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8B1B5" w14:textId="2B6474BA" w:rsidR="005C1E19" w:rsidRDefault="005C1E19" w:rsidP="005C1E19">
      <w:pPr>
        <w:rPr>
          <w:rFonts w:ascii="Arial" w:hAnsi="Arial" w:cs="Arial"/>
          <w:b/>
          <w:sz w:val="24"/>
          <w:szCs w:val="24"/>
        </w:rPr>
      </w:pPr>
      <w:r>
        <w:rPr>
          <w:rFonts w:ascii="Arial" w:hAnsi="Arial" w:cs="Arial"/>
          <w:b/>
          <w:sz w:val="24"/>
          <w:szCs w:val="24"/>
        </w:rPr>
        <w:t>SI Text and References</w:t>
      </w:r>
    </w:p>
    <w:p w14:paraId="47DEDB76" w14:textId="77777777" w:rsidR="005C1E19" w:rsidRDefault="005C1E19" w:rsidP="005C1E19">
      <w:pPr>
        <w:rPr>
          <w:rFonts w:ascii="Arial" w:hAnsi="Arial" w:cs="Arial"/>
          <w:b/>
          <w:sz w:val="24"/>
          <w:szCs w:val="24"/>
        </w:rPr>
      </w:pPr>
    </w:p>
    <w:p w14:paraId="1E0489B4" w14:textId="55AB2F0C" w:rsidR="00DD0C2D" w:rsidRDefault="00DD0C2D" w:rsidP="00DD0C2D">
      <w:pPr>
        <w:jc w:val="center"/>
        <w:rPr>
          <w:rFonts w:ascii="Arial" w:hAnsi="Arial" w:cs="Arial"/>
          <w:sz w:val="24"/>
          <w:szCs w:val="24"/>
        </w:rPr>
      </w:pPr>
      <w:r>
        <w:rPr>
          <w:rFonts w:ascii="Arial" w:hAnsi="Arial" w:cs="Arial"/>
          <w:b/>
          <w:sz w:val="24"/>
          <w:szCs w:val="24"/>
        </w:rPr>
        <w:t>Inapparent infections shape the transmission heterogeneity of dengue</w:t>
      </w:r>
    </w:p>
    <w:p w14:paraId="2F23740B" w14:textId="77777777" w:rsidR="00DD0C2D" w:rsidRDefault="00DD0C2D" w:rsidP="00DD0C2D">
      <w:pPr>
        <w:jc w:val="center"/>
        <w:rPr>
          <w:rFonts w:ascii="Arial" w:hAnsi="Arial" w:cs="Arial"/>
          <w:sz w:val="24"/>
          <w:szCs w:val="24"/>
        </w:rPr>
      </w:pPr>
      <w:r>
        <w:rPr>
          <w:rFonts w:ascii="Arial" w:hAnsi="Arial" w:cs="Arial"/>
          <w:b/>
          <w:sz w:val="24"/>
          <w:szCs w:val="24"/>
        </w:rPr>
        <w:t xml:space="preserve"> </w:t>
      </w:r>
    </w:p>
    <w:p w14:paraId="7E279692" w14:textId="77777777" w:rsidR="00DD0C2D" w:rsidRDefault="00DD0C2D" w:rsidP="00DD0C2D">
      <w:pPr>
        <w:jc w:val="center"/>
        <w:rPr>
          <w:rFonts w:ascii="Arial" w:hAnsi="Arial" w:cs="Arial"/>
          <w:sz w:val="24"/>
          <w:szCs w:val="24"/>
        </w:rPr>
      </w:pPr>
    </w:p>
    <w:p w14:paraId="4FC8514E" w14:textId="25AA8B1E" w:rsidR="00DD0C2D" w:rsidRDefault="00DD0C2D" w:rsidP="00DD0C2D">
      <w:pPr>
        <w:jc w:val="center"/>
        <w:rPr>
          <w:rFonts w:ascii="Arial" w:hAnsi="Arial" w:cs="Arial"/>
          <w:sz w:val="24"/>
          <w:szCs w:val="24"/>
        </w:rPr>
      </w:pPr>
      <w:bookmarkStart w:id="0" w:name="_Hlk92150160"/>
      <w:r w:rsidRPr="00530412">
        <w:rPr>
          <w:rFonts w:ascii="Arial" w:hAnsi="Arial" w:cs="Arial"/>
          <w:sz w:val="24"/>
          <w:szCs w:val="24"/>
        </w:rPr>
        <w:t>Gonzalo M. Vazquez-Prokopec</w:t>
      </w:r>
      <w:r w:rsidRPr="005C5CAF">
        <w:rPr>
          <w:rFonts w:ascii="Arial" w:hAnsi="Arial" w:cs="Arial"/>
          <w:sz w:val="24"/>
          <w:szCs w:val="24"/>
          <w:vertAlign w:val="superscript"/>
        </w:rPr>
        <w:t>1</w:t>
      </w:r>
      <w:r>
        <w:rPr>
          <w:rFonts w:ascii="Arial" w:hAnsi="Arial" w:cs="Arial"/>
          <w:sz w:val="24"/>
          <w:szCs w:val="24"/>
        </w:rPr>
        <w:t>*</w:t>
      </w:r>
      <w:r w:rsidRPr="00530412">
        <w:rPr>
          <w:rFonts w:ascii="Arial" w:hAnsi="Arial" w:cs="Arial"/>
          <w:sz w:val="24"/>
          <w:szCs w:val="24"/>
        </w:rPr>
        <w:t xml:space="preserve">, Amy </w:t>
      </w:r>
      <w:r w:rsidRPr="00C47D7D">
        <w:rPr>
          <w:rFonts w:ascii="Arial" w:hAnsi="Arial" w:cs="Arial"/>
          <w:sz w:val="24"/>
          <w:szCs w:val="24"/>
        </w:rPr>
        <w:t>C.</w:t>
      </w:r>
      <w:r w:rsidRPr="00530412">
        <w:rPr>
          <w:rFonts w:ascii="Arial" w:hAnsi="Arial" w:cs="Arial"/>
          <w:sz w:val="24"/>
          <w:szCs w:val="24"/>
        </w:rPr>
        <w:t xml:space="preserve"> </w:t>
      </w:r>
      <w:r>
        <w:rPr>
          <w:rFonts w:ascii="Arial" w:hAnsi="Arial" w:cs="Arial"/>
          <w:sz w:val="24"/>
          <w:szCs w:val="24"/>
        </w:rPr>
        <w:t>Morrison</w:t>
      </w:r>
      <w:r w:rsidRPr="005C5CAF">
        <w:rPr>
          <w:rFonts w:ascii="Arial" w:hAnsi="Arial" w:cs="Arial"/>
          <w:sz w:val="24"/>
          <w:szCs w:val="24"/>
          <w:vertAlign w:val="superscript"/>
        </w:rPr>
        <w:t>2</w:t>
      </w:r>
      <w:r>
        <w:rPr>
          <w:rFonts w:ascii="Arial" w:hAnsi="Arial" w:cs="Arial"/>
          <w:sz w:val="24"/>
          <w:szCs w:val="24"/>
        </w:rPr>
        <w:t>, Valerie Paz-Soldan</w:t>
      </w:r>
      <w:r w:rsidRPr="005C5CAF">
        <w:rPr>
          <w:rFonts w:ascii="Arial" w:hAnsi="Arial" w:cs="Arial"/>
          <w:sz w:val="24"/>
          <w:szCs w:val="24"/>
          <w:vertAlign w:val="superscript"/>
        </w:rPr>
        <w:t>3</w:t>
      </w:r>
      <w:r>
        <w:rPr>
          <w:rFonts w:ascii="Arial" w:hAnsi="Arial" w:cs="Arial"/>
          <w:sz w:val="24"/>
          <w:szCs w:val="24"/>
        </w:rPr>
        <w:t>, Steven T. Stoddard</w:t>
      </w:r>
      <w:r>
        <w:rPr>
          <w:rFonts w:ascii="Arial" w:hAnsi="Arial" w:cs="Arial"/>
          <w:sz w:val="24"/>
          <w:szCs w:val="24"/>
          <w:vertAlign w:val="superscript"/>
        </w:rPr>
        <w:t>4</w:t>
      </w:r>
      <w:r>
        <w:rPr>
          <w:rFonts w:ascii="Arial" w:hAnsi="Arial" w:cs="Arial"/>
          <w:sz w:val="24"/>
          <w:szCs w:val="24"/>
        </w:rPr>
        <w:t>, William Koval</w:t>
      </w:r>
      <w:r>
        <w:rPr>
          <w:rFonts w:ascii="Arial" w:hAnsi="Arial" w:cs="Arial"/>
          <w:vertAlign w:val="superscript"/>
        </w:rPr>
        <w:t>5</w:t>
      </w:r>
      <w:r>
        <w:rPr>
          <w:rFonts w:ascii="Arial" w:hAnsi="Arial" w:cs="Arial"/>
          <w:sz w:val="24"/>
          <w:szCs w:val="24"/>
        </w:rPr>
        <w:t>, Lance A. Waller</w:t>
      </w:r>
      <w:r>
        <w:rPr>
          <w:rFonts w:ascii="Arial" w:hAnsi="Arial" w:cs="Arial"/>
          <w:sz w:val="24"/>
          <w:szCs w:val="24"/>
          <w:vertAlign w:val="superscript"/>
        </w:rPr>
        <w:t>6</w:t>
      </w:r>
      <w:r>
        <w:rPr>
          <w:rFonts w:ascii="Arial" w:hAnsi="Arial" w:cs="Arial"/>
          <w:sz w:val="24"/>
          <w:szCs w:val="24"/>
        </w:rPr>
        <w:t>, T. Alex Perkins</w:t>
      </w:r>
      <w:r>
        <w:rPr>
          <w:rFonts w:ascii="Arial" w:hAnsi="Arial" w:cs="Arial"/>
          <w:sz w:val="24"/>
          <w:szCs w:val="24"/>
          <w:vertAlign w:val="superscript"/>
        </w:rPr>
        <w:t>7</w:t>
      </w:r>
      <w:r>
        <w:rPr>
          <w:rFonts w:ascii="Arial" w:hAnsi="Arial" w:cs="Arial"/>
          <w:sz w:val="24"/>
          <w:szCs w:val="24"/>
        </w:rPr>
        <w:t>, Alun L. Lloyd</w:t>
      </w:r>
      <w:r>
        <w:rPr>
          <w:rFonts w:ascii="Arial" w:hAnsi="Arial" w:cs="Arial"/>
          <w:sz w:val="24"/>
          <w:szCs w:val="24"/>
          <w:vertAlign w:val="superscript"/>
        </w:rPr>
        <w:t>8</w:t>
      </w:r>
      <w:r>
        <w:rPr>
          <w:rFonts w:ascii="Arial" w:hAnsi="Arial" w:cs="Arial"/>
          <w:sz w:val="24"/>
          <w:szCs w:val="24"/>
        </w:rPr>
        <w:t>, Helvio Astete-Vega</w:t>
      </w:r>
      <w:r>
        <w:rPr>
          <w:rFonts w:ascii="Arial" w:hAnsi="Arial" w:cs="Arial"/>
          <w:sz w:val="24"/>
          <w:szCs w:val="24"/>
          <w:vertAlign w:val="superscript"/>
        </w:rPr>
        <w:t>9</w:t>
      </w:r>
      <w:r>
        <w:rPr>
          <w:rFonts w:ascii="Arial" w:hAnsi="Arial" w:cs="Arial"/>
          <w:sz w:val="24"/>
          <w:szCs w:val="24"/>
        </w:rPr>
        <w:t>, John Elder</w:t>
      </w:r>
      <w:r>
        <w:rPr>
          <w:rFonts w:ascii="Arial" w:hAnsi="Arial" w:cs="Arial"/>
          <w:sz w:val="24"/>
          <w:szCs w:val="24"/>
          <w:vertAlign w:val="superscript"/>
        </w:rPr>
        <w:t>4</w:t>
      </w:r>
      <w:r>
        <w:rPr>
          <w:rFonts w:ascii="Arial" w:hAnsi="Arial" w:cs="Arial"/>
          <w:sz w:val="24"/>
          <w:szCs w:val="24"/>
        </w:rPr>
        <w:t>, Thomas W. Scott</w:t>
      </w:r>
      <w:r w:rsidRPr="00221ECD">
        <w:rPr>
          <w:rFonts w:ascii="Arial" w:hAnsi="Arial" w:cs="Arial"/>
          <w:sz w:val="24"/>
          <w:szCs w:val="24"/>
          <w:vertAlign w:val="superscript"/>
        </w:rPr>
        <w:t>1</w:t>
      </w:r>
      <w:r>
        <w:rPr>
          <w:rFonts w:ascii="Arial" w:hAnsi="Arial" w:cs="Arial"/>
          <w:sz w:val="24"/>
          <w:szCs w:val="24"/>
          <w:vertAlign w:val="superscript"/>
        </w:rPr>
        <w:t>0</w:t>
      </w:r>
      <w:r>
        <w:rPr>
          <w:rFonts w:ascii="Arial" w:hAnsi="Arial" w:cs="Arial"/>
          <w:sz w:val="24"/>
          <w:szCs w:val="24"/>
        </w:rPr>
        <w:t>, and Uriel Kitron</w:t>
      </w:r>
      <w:r w:rsidRPr="005C5CAF">
        <w:rPr>
          <w:rFonts w:ascii="Arial" w:hAnsi="Arial" w:cs="Arial"/>
          <w:sz w:val="24"/>
          <w:szCs w:val="24"/>
          <w:vertAlign w:val="superscript"/>
        </w:rPr>
        <w:t>1</w:t>
      </w:r>
    </w:p>
    <w:p w14:paraId="52E3F753" w14:textId="77777777" w:rsidR="00DD0C2D" w:rsidRDefault="00DD0C2D" w:rsidP="00DD0C2D">
      <w:pPr>
        <w:rPr>
          <w:rFonts w:ascii="Arial" w:hAnsi="Arial" w:cs="Arial"/>
          <w:sz w:val="24"/>
          <w:szCs w:val="24"/>
        </w:rPr>
      </w:pPr>
    </w:p>
    <w:p w14:paraId="0E940AC4" w14:textId="77777777" w:rsidR="00DD0C2D" w:rsidRDefault="00DD0C2D" w:rsidP="00DD0C2D">
      <w:pPr>
        <w:rPr>
          <w:rFonts w:ascii="Arial" w:hAnsi="Arial" w:cs="Arial"/>
          <w:sz w:val="24"/>
          <w:szCs w:val="24"/>
        </w:rPr>
      </w:pPr>
      <w:r w:rsidRPr="005C5CAF">
        <w:rPr>
          <w:rFonts w:ascii="Arial" w:hAnsi="Arial" w:cs="Arial"/>
          <w:sz w:val="24"/>
          <w:szCs w:val="24"/>
          <w:vertAlign w:val="superscript"/>
        </w:rPr>
        <w:t>1</w:t>
      </w:r>
      <w:r>
        <w:rPr>
          <w:rFonts w:ascii="Arial" w:hAnsi="Arial" w:cs="Arial"/>
          <w:sz w:val="24"/>
          <w:szCs w:val="24"/>
        </w:rPr>
        <w:t>Department of Environmental Sciences, Emory University, Atlanta, GA, USA.</w:t>
      </w:r>
    </w:p>
    <w:p w14:paraId="606DABFC" w14:textId="77777777" w:rsidR="00DD0C2D" w:rsidRDefault="00DD0C2D" w:rsidP="00DD0C2D">
      <w:pPr>
        <w:rPr>
          <w:rFonts w:ascii="Arial" w:hAnsi="Arial" w:cs="Arial"/>
          <w:sz w:val="24"/>
          <w:szCs w:val="24"/>
        </w:rPr>
      </w:pPr>
      <w:r w:rsidRPr="005C5CAF">
        <w:rPr>
          <w:rFonts w:ascii="Arial" w:hAnsi="Arial" w:cs="Arial"/>
          <w:sz w:val="24"/>
          <w:szCs w:val="24"/>
          <w:vertAlign w:val="superscript"/>
        </w:rPr>
        <w:t>2</w:t>
      </w:r>
      <w:r>
        <w:rPr>
          <w:rFonts w:ascii="Arial" w:hAnsi="Arial" w:cs="Arial"/>
          <w:sz w:val="24"/>
          <w:szCs w:val="24"/>
        </w:rPr>
        <w:t xml:space="preserve">Department </w:t>
      </w:r>
      <w:r w:rsidRPr="00221ECD">
        <w:rPr>
          <w:rFonts w:ascii="Arial" w:hAnsi="Arial" w:cs="Arial"/>
          <w:sz w:val="24"/>
          <w:szCs w:val="24"/>
        </w:rPr>
        <w:t>of Pathology, Microbiology, and Immunology, School of Veterinary Medicine, University of California, Davis, CA, USA</w:t>
      </w:r>
    </w:p>
    <w:p w14:paraId="6A6BD7E2" w14:textId="77777777" w:rsidR="00DD0C2D" w:rsidRDefault="00DD0C2D" w:rsidP="00DD0C2D">
      <w:pPr>
        <w:rPr>
          <w:rFonts w:ascii="Arial" w:hAnsi="Arial" w:cs="Arial"/>
          <w:sz w:val="24"/>
          <w:szCs w:val="24"/>
        </w:rPr>
      </w:pPr>
      <w:r w:rsidRPr="005C5CAF">
        <w:rPr>
          <w:rFonts w:ascii="Arial" w:hAnsi="Arial" w:cs="Arial"/>
          <w:sz w:val="24"/>
          <w:szCs w:val="24"/>
          <w:vertAlign w:val="superscript"/>
        </w:rPr>
        <w:t>3</w:t>
      </w:r>
      <w:r w:rsidRPr="00221ECD">
        <w:rPr>
          <w:rFonts w:ascii="Arial" w:hAnsi="Arial" w:cs="Arial"/>
          <w:sz w:val="24"/>
          <w:szCs w:val="24"/>
        </w:rPr>
        <w:t>Department of Global Community Health and Behavioral Sciences, Tulane University School of Public Health and Tropical Medicine, New Orleans, LA, USA</w:t>
      </w:r>
    </w:p>
    <w:p w14:paraId="4645E42D" w14:textId="77777777" w:rsidR="00DD0C2D" w:rsidRPr="00257FAA" w:rsidRDefault="00DD0C2D" w:rsidP="00DD0C2D">
      <w:pPr>
        <w:rPr>
          <w:rFonts w:ascii="Arial" w:hAnsi="Arial" w:cs="Arial"/>
          <w:sz w:val="24"/>
          <w:szCs w:val="24"/>
        </w:rPr>
      </w:pPr>
      <w:r>
        <w:rPr>
          <w:rFonts w:ascii="Arial" w:hAnsi="Arial" w:cs="Arial"/>
          <w:sz w:val="24"/>
          <w:szCs w:val="24"/>
          <w:vertAlign w:val="superscript"/>
        </w:rPr>
        <w:t>4</w:t>
      </w:r>
      <w:r w:rsidRPr="00257FAA">
        <w:rPr>
          <w:rFonts w:ascii="Arial" w:hAnsi="Arial" w:cs="Arial"/>
          <w:sz w:val="24"/>
          <w:szCs w:val="24"/>
          <w:vertAlign w:val="superscript"/>
        </w:rPr>
        <w:t xml:space="preserve"> </w:t>
      </w:r>
      <w:r w:rsidRPr="00257FAA">
        <w:rPr>
          <w:rFonts w:ascii="Arial" w:hAnsi="Arial" w:cs="Arial"/>
          <w:sz w:val="24"/>
          <w:szCs w:val="24"/>
        </w:rPr>
        <w:t>School of Public Health, San Diego State University, San Diego, California, USA</w:t>
      </w:r>
      <w:r>
        <w:rPr>
          <w:rFonts w:ascii="Arial" w:hAnsi="Arial" w:cs="Arial"/>
          <w:sz w:val="24"/>
          <w:szCs w:val="24"/>
        </w:rPr>
        <w:t>.</w:t>
      </w:r>
    </w:p>
    <w:p w14:paraId="024F5B7B" w14:textId="77777777" w:rsidR="00DD0C2D" w:rsidRDefault="00DD0C2D" w:rsidP="00DD0C2D">
      <w:pPr>
        <w:rPr>
          <w:rFonts w:ascii="Arial" w:hAnsi="Arial" w:cs="Arial"/>
          <w:sz w:val="24"/>
          <w:szCs w:val="24"/>
        </w:rPr>
      </w:pPr>
      <w:r>
        <w:rPr>
          <w:rFonts w:ascii="Arial" w:hAnsi="Arial" w:cs="Arial"/>
          <w:sz w:val="24"/>
          <w:szCs w:val="24"/>
          <w:vertAlign w:val="superscript"/>
        </w:rPr>
        <w:t>5</w:t>
      </w:r>
      <w:r>
        <w:rPr>
          <w:rFonts w:ascii="Arial" w:hAnsi="Arial" w:cs="Arial"/>
          <w:sz w:val="24"/>
          <w:szCs w:val="24"/>
        </w:rPr>
        <w:t>Department of Biology, University of Chicago, Chicago, IL, USA.</w:t>
      </w:r>
    </w:p>
    <w:p w14:paraId="39753BF3" w14:textId="77777777" w:rsidR="00DD0C2D" w:rsidRPr="005C5CAF" w:rsidRDefault="00DD0C2D" w:rsidP="00DD0C2D">
      <w:pPr>
        <w:rPr>
          <w:rFonts w:ascii="Arial" w:hAnsi="Arial" w:cs="Arial"/>
          <w:sz w:val="24"/>
          <w:szCs w:val="24"/>
        </w:rPr>
      </w:pPr>
      <w:r>
        <w:rPr>
          <w:rFonts w:ascii="Arial" w:hAnsi="Arial" w:cs="Arial"/>
          <w:sz w:val="24"/>
          <w:szCs w:val="24"/>
          <w:vertAlign w:val="superscript"/>
        </w:rPr>
        <w:t>6</w:t>
      </w:r>
      <w:r>
        <w:rPr>
          <w:rFonts w:ascii="Arial" w:hAnsi="Arial" w:cs="Arial"/>
          <w:sz w:val="24"/>
          <w:szCs w:val="24"/>
        </w:rPr>
        <w:t>Department of Biostatistics, Rollins School of Public Health, Emory University, Atlanta, GA, USA.</w:t>
      </w:r>
    </w:p>
    <w:p w14:paraId="6189B0F2" w14:textId="77777777" w:rsidR="00DD0C2D" w:rsidRDefault="00DD0C2D" w:rsidP="00DD0C2D">
      <w:pPr>
        <w:rPr>
          <w:rFonts w:ascii="Arial" w:hAnsi="Arial" w:cs="Arial"/>
          <w:sz w:val="24"/>
          <w:szCs w:val="24"/>
        </w:rPr>
      </w:pPr>
      <w:r>
        <w:rPr>
          <w:rFonts w:ascii="Arial" w:hAnsi="Arial" w:cs="Arial"/>
          <w:sz w:val="24"/>
          <w:szCs w:val="24"/>
          <w:vertAlign w:val="superscript"/>
        </w:rPr>
        <w:t>7</w:t>
      </w:r>
      <w:r>
        <w:rPr>
          <w:rFonts w:ascii="Arial" w:hAnsi="Arial" w:cs="Arial"/>
          <w:sz w:val="24"/>
          <w:szCs w:val="24"/>
        </w:rPr>
        <w:t>Department of Biology, University of Notre Dame, South Bend, IN, USA.</w:t>
      </w:r>
    </w:p>
    <w:p w14:paraId="7A561252" w14:textId="77777777" w:rsidR="00DD0C2D" w:rsidRDefault="00DD0C2D" w:rsidP="00DD0C2D">
      <w:pPr>
        <w:rPr>
          <w:rFonts w:ascii="Arial" w:hAnsi="Arial" w:cs="Arial"/>
          <w:sz w:val="24"/>
          <w:szCs w:val="24"/>
        </w:rPr>
      </w:pPr>
      <w:r>
        <w:rPr>
          <w:rFonts w:ascii="Arial" w:hAnsi="Arial" w:cs="Arial"/>
          <w:sz w:val="24"/>
          <w:szCs w:val="24"/>
          <w:vertAlign w:val="superscript"/>
        </w:rPr>
        <w:t>8</w:t>
      </w:r>
      <w:r w:rsidRPr="00257FAA">
        <w:t xml:space="preserve"> </w:t>
      </w:r>
      <w:r w:rsidRPr="00257FAA">
        <w:rPr>
          <w:rFonts w:ascii="Arial" w:hAnsi="Arial" w:cs="Arial"/>
          <w:sz w:val="24"/>
          <w:szCs w:val="24"/>
        </w:rPr>
        <w:t>Biomathematics Graduate Program and Department of Mathematics, North Carolina State University, Raleigh, NC</w:t>
      </w:r>
      <w:r>
        <w:rPr>
          <w:rFonts w:ascii="Arial" w:hAnsi="Arial" w:cs="Arial"/>
          <w:sz w:val="24"/>
          <w:szCs w:val="24"/>
        </w:rPr>
        <w:t>.</w:t>
      </w:r>
    </w:p>
    <w:p w14:paraId="5309CEE5" w14:textId="77777777" w:rsidR="00DD0C2D" w:rsidRPr="00A74E89" w:rsidRDefault="00DD0C2D" w:rsidP="00DD0C2D">
      <w:pPr>
        <w:rPr>
          <w:rFonts w:ascii="Arial" w:hAnsi="Arial" w:cs="Arial"/>
          <w:sz w:val="24"/>
          <w:szCs w:val="24"/>
        </w:rPr>
      </w:pPr>
      <w:r>
        <w:rPr>
          <w:rFonts w:ascii="Arial" w:hAnsi="Arial" w:cs="Arial"/>
          <w:sz w:val="24"/>
          <w:szCs w:val="24"/>
          <w:vertAlign w:val="superscript"/>
        </w:rPr>
        <w:t>9</w:t>
      </w:r>
      <w:r w:rsidRPr="00A74E89">
        <w:rPr>
          <w:rFonts w:ascii="Arial" w:hAnsi="Arial" w:cs="Arial"/>
          <w:sz w:val="24"/>
          <w:szCs w:val="24"/>
        </w:rPr>
        <w:t xml:space="preserve">Naval Medical Research Unit-6, Iquitos, Peru. </w:t>
      </w:r>
    </w:p>
    <w:p w14:paraId="3A5311D1" w14:textId="77777777" w:rsidR="00DD0C2D" w:rsidRDefault="00DD0C2D" w:rsidP="00DD0C2D">
      <w:pPr>
        <w:rPr>
          <w:rFonts w:ascii="Arial" w:hAnsi="Arial" w:cs="Arial"/>
          <w:sz w:val="24"/>
          <w:szCs w:val="24"/>
        </w:rPr>
      </w:pPr>
      <w:r w:rsidRPr="00221ECD">
        <w:rPr>
          <w:rFonts w:ascii="Arial" w:hAnsi="Arial" w:cs="Arial"/>
          <w:sz w:val="24"/>
          <w:szCs w:val="24"/>
          <w:vertAlign w:val="superscript"/>
        </w:rPr>
        <w:t>1</w:t>
      </w:r>
      <w:r>
        <w:rPr>
          <w:rFonts w:ascii="Arial" w:hAnsi="Arial" w:cs="Arial"/>
          <w:sz w:val="24"/>
          <w:szCs w:val="24"/>
          <w:vertAlign w:val="superscript"/>
        </w:rPr>
        <w:t>0</w:t>
      </w:r>
      <w:r>
        <w:rPr>
          <w:rFonts w:ascii="Arial" w:hAnsi="Arial" w:cs="Arial"/>
          <w:sz w:val="24"/>
          <w:szCs w:val="24"/>
        </w:rPr>
        <w:t xml:space="preserve"> </w:t>
      </w:r>
      <w:r w:rsidRPr="00257FAA">
        <w:rPr>
          <w:rFonts w:ascii="Arial" w:hAnsi="Arial" w:cs="Arial"/>
          <w:sz w:val="24"/>
          <w:szCs w:val="24"/>
        </w:rPr>
        <w:t>Department of Entomology and Nematology, University of California, Davis, CA, USA</w:t>
      </w:r>
      <w:r>
        <w:rPr>
          <w:rFonts w:ascii="Arial" w:hAnsi="Arial" w:cs="Arial"/>
          <w:sz w:val="24"/>
          <w:szCs w:val="24"/>
        </w:rPr>
        <w:t>.</w:t>
      </w:r>
    </w:p>
    <w:p w14:paraId="1FDF449D" w14:textId="77777777" w:rsidR="00DD0C2D" w:rsidRDefault="00DD0C2D" w:rsidP="00DD0C2D">
      <w:pPr>
        <w:rPr>
          <w:rFonts w:ascii="Arial" w:hAnsi="Arial" w:cs="Arial"/>
          <w:sz w:val="24"/>
          <w:szCs w:val="24"/>
        </w:rPr>
      </w:pPr>
    </w:p>
    <w:p w14:paraId="4E1A9079" w14:textId="5357EBAA" w:rsidR="00F13D75" w:rsidRDefault="00DD0C2D" w:rsidP="00DD0C2D">
      <w:pPr>
        <w:pStyle w:val="BodyText"/>
        <w:kinsoku w:val="0"/>
        <w:overflowPunct w:val="0"/>
      </w:pPr>
      <w:r>
        <w:rPr>
          <w:rFonts w:ascii="Arial" w:hAnsi="Arial" w:cs="Arial"/>
          <w:sz w:val="24"/>
          <w:szCs w:val="24"/>
        </w:rPr>
        <w:t xml:space="preserve">*Corresponding author: </w:t>
      </w:r>
      <w:hyperlink r:id="rId4" w:history="1">
        <w:r w:rsidRPr="00113240">
          <w:rPr>
            <w:rStyle w:val="Hyperlink"/>
            <w:rFonts w:ascii="Arial" w:hAnsi="Arial" w:cs="Arial"/>
            <w:sz w:val="24"/>
            <w:szCs w:val="24"/>
          </w:rPr>
          <w:t>gmvazqu@emory.edu</w:t>
        </w:r>
      </w:hyperlink>
      <w:r>
        <w:rPr>
          <w:rFonts w:ascii="Arial" w:hAnsi="Arial" w:cs="Arial"/>
          <w:sz w:val="24"/>
          <w:szCs w:val="24"/>
        </w:rPr>
        <w:t xml:space="preserve"> </w:t>
      </w:r>
      <w:r>
        <w:rPr>
          <w:rFonts w:ascii="Arial" w:hAnsi="Arial" w:cs="Arial"/>
          <w:sz w:val="24"/>
          <w:szCs w:val="24"/>
        </w:rPr>
        <w:br w:type="page"/>
      </w:r>
      <w:bookmarkEnd w:id="0"/>
    </w:p>
    <w:p w14:paraId="6C2557DB" w14:textId="77777777" w:rsidR="00F13D75" w:rsidRPr="00F139D7" w:rsidRDefault="00F13D75" w:rsidP="00F139D7">
      <w:pPr>
        <w:pStyle w:val="BodyText"/>
        <w:kinsoku w:val="0"/>
        <w:overflowPunct w:val="0"/>
        <w:jc w:val="center"/>
        <w:rPr>
          <w:rFonts w:ascii="Arial" w:hAnsi="Arial" w:cs="Arial"/>
          <w:b/>
          <w:bCs/>
          <w:sz w:val="24"/>
          <w:szCs w:val="24"/>
        </w:rPr>
      </w:pPr>
      <w:r w:rsidRPr="00F139D7">
        <w:rPr>
          <w:rFonts w:ascii="Arial" w:hAnsi="Arial" w:cs="Arial"/>
          <w:b/>
          <w:bCs/>
          <w:sz w:val="24"/>
          <w:szCs w:val="24"/>
        </w:rPr>
        <w:lastRenderedPageBreak/>
        <w:t>Supplementary Background and Methods</w:t>
      </w:r>
    </w:p>
    <w:p w14:paraId="6FA86DF5" w14:textId="77777777" w:rsidR="00F13D75" w:rsidRPr="00071D63" w:rsidRDefault="00F13D75" w:rsidP="00041B82">
      <w:pPr>
        <w:pStyle w:val="BodyText"/>
        <w:kinsoku w:val="0"/>
        <w:overflowPunct w:val="0"/>
        <w:rPr>
          <w:rFonts w:ascii="Wingdings" w:hAnsi="Wingdings"/>
        </w:rPr>
      </w:pPr>
    </w:p>
    <w:p w14:paraId="2B8F4485" w14:textId="77777777" w:rsidR="00F13D75" w:rsidRDefault="00F13D75" w:rsidP="00041B82">
      <w:pPr>
        <w:pStyle w:val="BodyText"/>
        <w:kinsoku w:val="0"/>
        <w:overflowPunct w:val="0"/>
      </w:pPr>
    </w:p>
    <w:p w14:paraId="2A17BEE5" w14:textId="2FE95719" w:rsidR="00F13D75" w:rsidRPr="00985DF8" w:rsidRDefault="00F13D75" w:rsidP="00A4282A">
      <w:pPr>
        <w:pStyle w:val="BodyText"/>
        <w:kinsoku w:val="0"/>
        <w:overflowPunct w:val="0"/>
        <w:rPr>
          <w:rFonts w:ascii="Arial" w:hAnsi="Arial" w:cs="Arial"/>
          <w:sz w:val="24"/>
          <w:szCs w:val="24"/>
        </w:rPr>
      </w:pPr>
      <w:r w:rsidRPr="00071D63">
        <w:rPr>
          <w:rFonts w:ascii="Arial" w:hAnsi="Arial" w:cs="Arial"/>
          <w:b/>
          <w:sz w:val="24"/>
          <w:szCs w:val="24"/>
        </w:rPr>
        <w:t>Background information about DENV epidemiology in Iquitos, Peru.</w:t>
      </w:r>
      <w:r w:rsidR="003C1667">
        <w:rPr>
          <w:rFonts w:ascii="Arial" w:hAnsi="Arial" w:cs="Arial"/>
          <w:b/>
          <w:sz w:val="24"/>
          <w:szCs w:val="24"/>
        </w:rPr>
        <w:t xml:space="preserve"> </w:t>
      </w:r>
      <w:r w:rsidRPr="00F94F06">
        <w:rPr>
          <w:rFonts w:ascii="Arial" w:eastAsiaTheme="minorHAnsi" w:hAnsi="Arial" w:cs="Arial"/>
          <w:sz w:val="24"/>
          <w:szCs w:val="24"/>
        </w:rPr>
        <w:t xml:space="preserve">Our study builds on over two decades of dengue research that have developed longitudinal data and research infrastructure for dengue cohort studies in Iquitos, Peru. Located </w:t>
      </w:r>
      <w:r w:rsidR="00F55661">
        <w:rPr>
          <w:rFonts w:ascii="Arial" w:eastAsiaTheme="minorHAnsi" w:hAnsi="Arial" w:cs="Arial"/>
          <w:sz w:val="24"/>
          <w:szCs w:val="24"/>
        </w:rPr>
        <w:t xml:space="preserve">at </w:t>
      </w:r>
      <w:r w:rsidRPr="00F94F06">
        <w:rPr>
          <w:rFonts w:ascii="Arial" w:eastAsiaTheme="minorHAnsi" w:hAnsi="Arial" w:cs="Arial"/>
          <w:sz w:val="24"/>
          <w:szCs w:val="24"/>
        </w:rPr>
        <w:t xml:space="preserve">the </w:t>
      </w:r>
      <w:r w:rsidR="00F55661">
        <w:rPr>
          <w:rFonts w:ascii="Arial" w:eastAsiaTheme="minorHAnsi" w:hAnsi="Arial" w:cs="Arial"/>
          <w:sz w:val="24"/>
          <w:szCs w:val="24"/>
        </w:rPr>
        <w:t>confluence</w:t>
      </w:r>
      <w:r w:rsidR="00F55661" w:rsidRPr="00F94F06">
        <w:rPr>
          <w:rFonts w:ascii="Arial" w:eastAsiaTheme="minorHAnsi" w:hAnsi="Arial" w:cs="Arial"/>
          <w:sz w:val="24"/>
          <w:szCs w:val="24"/>
        </w:rPr>
        <w:t xml:space="preserve"> </w:t>
      </w:r>
      <w:r w:rsidRPr="00F94F06">
        <w:rPr>
          <w:rFonts w:ascii="Arial" w:eastAsiaTheme="minorHAnsi" w:hAnsi="Arial" w:cs="Arial"/>
          <w:sz w:val="24"/>
          <w:szCs w:val="24"/>
        </w:rPr>
        <w:t xml:space="preserve">of the Amazon, Itaya and Nanay rivers, Iquitos </w:t>
      </w:r>
      <w:r w:rsidRPr="00F94F06">
        <w:rPr>
          <w:rFonts w:ascii="Arial" w:hAnsi="Arial" w:cs="Arial"/>
          <w:sz w:val="24"/>
          <w:szCs w:val="24"/>
        </w:rPr>
        <w:t xml:space="preserve">functions as a socio-epidemiological island because access is limited to air and river travel. UC Davis/NAMRU-6 epidemiological studies have documented continuous DENV transmission </w:t>
      </w:r>
      <w:r w:rsidR="00F55661">
        <w:rPr>
          <w:rFonts w:ascii="Arial" w:hAnsi="Arial" w:cs="Arial"/>
          <w:sz w:val="24"/>
          <w:szCs w:val="24"/>
        </w:rPr>
        <w:t xml:space="preserve">in Iquitos </w:t>
      </w:r>
      <w:r w:rsidRPr="00F94F06">
        <w:rPr>
          <w:rFonts w:ascii="Arial" w:hAnsi="Arial" w:cs="Arial"/>
          <w:sz w:val="24"/>
          <w:szCs w:val="24"/>
        </w:rPr>
        <w:t>since its reemergence in 1990, after a 30</w:t>
      </w:r>
      <w:r>
        <w:rPr>
          <w:rFonts w:ascii="Arial" w:hAnsi="Arial" w:cs="Arial"/>
          <w:sz w:val="24"/>
          <w:szCs w:val="24"/>
        </w:rPr>
        <w:t>-</w:t>
      </w:r>
      <w:r w:rsidRPr="00F94F06">
        <w:rPr>
          <w:rFonts w:ascii="Arial" w:hAnsi="Arial" w:cs="Arial"/>
          <w:sz w:val="24"/>
          <w:szCs w:val="24"/>
        </w:rPr>
        <w:t xml:space="preserve">year absence, with epidemics caused by sequential invasions of DENV-1 in 1990 (Phillips et al. 1992), DENV-2 (American) in 1995 </w:t>
      </w:r>
      <w:r>
        <w:rPr>
          <w:rFonts w:ascii="Arial" w:hAnsi="Arial" w:cs="Arial"/>
          <w:sz w:val="24"/>
          <w:szCs w:val="24"/>
        </w:rPr>
        <w:t>(</w:t>
      </w:r>
      <w:r w:rsidR="00F55661">
        <w:rPr>
          <w:rFonts w:ascii="Arial" w:hAnsi="Arial" w:cs="Arial"/>
          <w:sz w:val="24"/>
          <w:szCs w:val="24"/>
        </w:rPr>
        <w:t>W</w:t>
      </w:r>
      <w:r>
        <w:rPr>
          <w:rFonts w:ascii="Arial" w:hAnsi="Arial" w:cs="Arial"/>
          <w:sz w:val="24"/>
          <w:szCs w:val="24"/>
        </w:rPr>
        <w:t>atts et al. 1988, Hayes et al. 1996)</w:t>
      </w:r>
      <w:r w:rsidRPr="00F94F06">
        <w:rPr>
          <w:rFonts w:ascii="Arial" w:hAnsi="Arial" w:cs="Arial"/>
          <w:sz w:val="24"/>
          <w:szCs w:val="24"/>
        </w:rPr>
        <w:t>, DENV-3 in 20</w:t>
      </w:r>
      <w:r>
        <w:rPr>
          <w:rFonts w:ascii="Arial" w:hAnsi="Arial" w:cs="Arial"/>
          <w:sz w:val="24"/>
          <w:szCs w:val="24"/>
        </w:rPr>
        <w:t>0</w:t>
      </w:r>
      <w:r w:rsidRPr="00F94F06">
        <w:rPr>
          <w:rFonts w:ascii="Arial" w:hAnsi="Arial" w:cs="Arial"/>
          <w:sz w:val="24"/>
          <w:szCs w:val="24"/>
        </w:rPr>
        <w:t>1, DENV-2 (American-Asian) in 20</w:t>
      </w:r>
      <w:r>
        <w:rPr>
          <w:rFonts w:ascii="Arial" w:hAnsi="Arial" w:cs="Arial"/>
          <w:sz w:val="24"/>
          <w:szCs w:val="24"/>
        </w:rPr>
        <w:t>0</w:t>
      </w:r>
      <w:r w:rsidRPr="00F94F06">
        <w:rPr>
          <w:rFonts w:ascii="Arial" w:hAnsi="Arial" w:cs="Arial"/>
          <w:sz w:val="24"/>
          <w:szCs w:val="24"/>
        </w:rPr>
        <w:t>2, DENV-4 in</w:t>
      </w:r>
      <w:r>
        <w:rPr>
          <w:rFonts w:ascii="Arial" w:hAnsi="Arial" w:cs="Arial"/>
          <w:sz w:val="24"/>
          <w:szCs w:val="24"/>
        </w:rPr>
        <w:t xml:space="preserve"> </w:t>
      </w:r>
      <w:r w:rsidRPr="00F94F06">
        <w:rPr>
          <w:rFonts w:ascii="Arial" w:hAnsi="Arial" w:cs="Arial"/>
          <w:sz w:val="24"/>
          <w:szCs w:val="24"/>
        </w:rPr>
        <w:t>2008</w:t>
      </w:r>
      <w:r>
        <w:rPr>
          <w:rFonts w:ascii="Arial" w:hAnsi="Arial" w:cs="Arial"/>
          <w:sz w:val="24"/>
          <w:szCs w:val="24"/>
        </w:rPr>
        <w:t xml:space="preserve"> (Forshey et al. 2009)</w:t>
      </w:r>
      <w:r w:rsidRPr="00F94F06">
        <w:rPr>
          <w:rFonts w:ascii="Arial" w:hAnsi="Arial" w:cs="Arial"/>
          <w:sz w:val="24"/>
          <w:szCs w:val="24"/>
        </w:rPr>
        <w:t>, and DENV-2 (American-Asian, lineage 2) in 2011</w:t>
      </w:r>
      <w:r>
        <w:rPr>
          <w:rFonts w:ascii="Arial" w:hAnsi="Arial" w:cs="Arial"/>
          <w:sz w:val="24"/>
          <w:szCs w:val="24"/>
        </w:rPr>
        <w:t xml:space="preserve"> (Mamani et al. 2010, Reiner et al. 2014)</w:t>
      </w:r>
      <w:r w:rsidRPr="00F94F06">
        <w:rPr>
          <w:rFonts w:ascii="Arial" w:hAnsi="Arial" w:cs="Arial"/>
          <w:sz w:val="24"/>
          <w:szCs w:val="24"/>
        </w:rPr>
        <w:t xml:space="preserve">. </w:t>
      </w:r>
      <w:r w:rsidR="00F55661">
        <w:rPr>
          <w:rFonts w:ascii="Arial" w:hAnsi="Arial" w:cs="Arial"/>
          <w:sz w:val="24"/>
          <w:szCs w:val="24"/>
        </w:rPr>
        <w:t>In</w:t>
      </w:r>
      <w:r w:rsidR="00F55661" w:rsidRPr="00F94F06">
        <w:rPr>
          <w:rFonts w:ascii="Arial" w:hAnsi="Arial" w:cs="Arial"/>
          <w:sz w:val="24"/>
          <w:szCs w:val="24"/>
        </w:rPr>
        <w:t xml:space="preserve"> </w:t>
      </w:r>
      <w:r w:rsidR="00F55661">
        <w:rPr>
          <w:rFonts w:ascii="Arial" w:hAnsi="Arial" w:cs="Arial"/>
          <w:sz w:val="24"/>
          <w:szCs w:val="24"/>
        </w:rPr>
        <w:t xml:space="preserve">2011 DENV-2 </w:t>
      </w:r>
      <w:r w:rsidRPr="00F94F06">
        <w:rPr>
          <w:rFonts w:ascii="Arial" w:hAnsi="Arial" w:cs="Arial"/>
          <w:sz w:val="24"/>
          <w:szCs w:val="24"/>
        </w:rPr>
        <w:t>caused a major outbreak with a low</w:t>
      </w:r>
      <w:r>
        <w:rPr>
          <w:rFonts w:ascii="Arial" w:hAnsi="Arial" w:cs="Arial"/>
          <w:sz w:val="24"/>
          <w:szCs w:val="24"/>
        </w:rPr>
        <w:t xml:space="preserve"> </w:t>
      </w:r>
      <w:r w:rsidRPr="00F94F06">
        <w:rPr>
          <w:rFonts w:ascii="Arial" w:hAnsi="Arial" w:cs="Arial"/>
          <w:sz w:val="24"/>
          <w:szCs w:val="24"/>
        </w:rPr>
        <w:t>number of cases due to other serotypes (DENV-1, DENV-4), a decrease in the mean age of infected</w:t>
      </w:r>
      <w:r>
        <w:rPr>
          <w:rFonts w:ascii="Arial" w:hAnsi="Arial" w:cs="Arial"/>
          <w:sz w:val="24"/>
          <w:szCs w:val="24"/>
        </w:rPr>
        <w:t xml:space="preserve"> </w:t>
      </w:r>
      <w:r w:rsidRPr="00F94F06">
        <w:rPr>
          <w:rFonts w:ascii="Arial" w:hAnsi="Arial" w:cs="Arial"/>
          <w:sz w:val="24"/>
          <w:szCs w:val="24"/>
        </w:rPr>
        <w:t>individuals, and a higher proportion of severe disease than in previous epidemics</w:t>
      </w:r>
      <w:r>
        <w:rPr>
          <w:rFonts w:ascii="Arial" w:hAnsi="Arial" w:cs="Arial"/>
          <w:sz w:val="24"/>
          <w:szCs w:val="24"/>
        </w:rPr>
        <w:t xml:space="preserve"> (Durand Velazco et al. 2011)</w:t>
      </w:r>
      <w:r w:rsidRPr="00F94F06">
        <w:rPr>
          <w:rFonts w:ascii="Arial" w:hAnsi="Arial" w:cs="Arial"/>
          <w:sz w:val="24"/>
          <w:szCs w:val="24"/>
        </w:rPr>
        <w:t>; 22,000 cases were</w:t>
      </w:r>
      <w:r>
        <w:rPr>
          <w:rFonts w:ascii="Arial" w:hAnsi="Arial" w:cs="Arial"/>
          <w:sz w:val="24"/>
          <w:szCs w:val="24"/>
        </w:rPr>
        <w:t xml:space="preserve"> </w:t>
      </w:r>
      <w:r w:rsidRPr="00F94F06">
        <w:rPr>
          <w:rFonts w:ascii="Arial" w:hAnsi="Arial" w:cs="Arial"/>
          <w:sz w:val="24"/>
          <w:szCs w:val="24"/>
        </w:rPr>
        <w:t>reported, 10% with warning signs and 1% severe dengue. Since December 2012, DENV-2 transmission has</w:t>
      </w:r>
      <w:r>
        <w:rPr>
          <w:rFonts w:ascii="Arial" w:hAnsi="Arial" w:cs="Arial"/>
          <w:sz w:val="24"/>
          <w:szCs w:val="24"/>
        </w:rPr>
        <w:t xml:space="preserve"> </w:t>
      </w:r>
      <w:r w:rsidRPr="00F94F06">
        <w:rPr>
          <w:rFonts w:ascii="Arial" w:hAnsi="Arial" w:cs="Arial"/>
          <w:sz w:val="24"/>
          <w:szCs w:val="24"/>
        </w:rPr>
        <w:t xml:space="preserve">continued in Iquitos. </w:t>
      </w:r>
      <w:r w:rsidR="00F55661">
        <w:rPr>
          <w:rFonts w:ascii="Arial" w:hAnsi="Arial" w:cs="Arial"/>
          <w:sz w:val="24"/>
          <w:szCs w:val="24"/>
        </w:rPr>
        <w:t>D</w:t>
      </w:r>
      <w:r w:rsidRPr="00F94F06">
        <w:rPr>
          <w:rFonts w:ascii="Arial" w:hAnsi="Arial" w:cs="Arial"/>
          <w:sz w:val="24"/>
          <w:szCs w:val="24"/>
        </w:rPr>
        <w:t xml:space="preserve">engue transmission is </w:t>
      </w:r>
      <w:r w:rsidR="00F55661">
        <w:rPr>
          <w:rFonts w:ascii="Arial" w:hAnsi="Arial" w:cs="Arial"/>
          <w:sz w:val="24"/>
          <w:szCs w:val="24"/>
        </w:rPr>
        <w:t xml:space="preserve">typically </w:t>
      </w:r>
      <w:r w:rsidRPr="00F94F06">
        <w:rPr>
          <w:rFonts w:ascii="Arial" w:hAnsi="Arial" w:cs="Arial"/>
          <w:sz w:val="24"/>
          <w:szCs w:val="24"/>
        </w:rPr>
        <w:t>lowest from May-Jul</w:t>
      </w:r>
      <w:r w:rsidR="00F55661">
        <w:rPr>
          <w:rFonts w:ascii="Arial" w:hAnsi="Arial" w:cs="Arial"/>
          <w:sz w:val="24"/>
          <w:szCs w:val="24"/>
        </w:rPr>
        <w:t>y</w:t>
      </w:r>
      <w:r w:rsidRPr="00F94F06">
        <w:rPr>
          <w:rFonts w:ascii="Arial" w:hAnsi="Arial" w:cs="Arial"/>
          <w:sz w:val="24"/>
          <w:szCs w:val="24"/>
        </w:rPr>
        <w:t>, increases in Aug-Sept,</w:t>
      </w:r>
      <w:r>
        <w:rPr>
          <w:rFonts w:ascii="Arial" w:hAnsi="Arial" w:cs="Arial"/>
          <w:sz w:val="24"/>
          <w:szCs w:val="24"/>
        </w:rPr>
        <w:t xml:space="preserve"> </w:t>
      </w:r>
      <w:r w:rsidRPr="00F94F06">
        <w:rPr>
          <w:rFonts w:ascii="Arial" w:hAnsi="Arial" w:cs="Arial"/>
          <w:sz w:val="24"/>
          <w:szCs w:val="24"/>
        </w:rPr>
        <w:t>and usually peaks between Nov-Jan</w:t>
      </w:r>
      <w:r>
        <w:rPr>
          <w:rFonts w:ascii="Arial" w:hAnsi="Arial" w:cs="Arial"/>
          <w:sz w:val="24"/>
          <w:szCs w:val="24"/>
        </w:rPr>
        <w:t xml:space="preserve"> (Stoddard et al. 2014)</w:t>
      </w:r>
      <w:r w:rsidRPr="00F94F06">
        <w:rPr>
          <w:rFonts w:ascii="Arial" w:hAnsi="Arial" w:cs="Arial"/>
          <w:sz w:val="24"/>
          <w:szCs w:val="24"/>
        </w:rPr>
        <w:t xml:space="preserve">. </w:t>
      </w:r>
      <w:r w:rsidR="006125A3">
        <w:rPr>
          <w:rFonts w:ascii="Arial" w:hAnsi="Arial" w:cs="Arial"/>
          <w:sz w:val="24"/>
          <w:szCs w:val="24"/>
        </w:rPr>
        <w:t xml:space="preserve">Figure S1 shows the consequence of such history of DENV introductions in Iquitos, with age-stratified seroprevalence being larger for DENV-1 and DENV-2 compared to DENV-3 and the recently introduced DENV-4. </w:t>
      </w:r>
      <w:r w:rsidRPr="00F94F06">
        <w:rPr>
          <w:rFonts w:ascii="Arial" w:hAnsi="Arial" w:cs="Arial"/>
          <w:sz w:val="24"/>
          <w:szCs w:val="24"/>
        </w:rPr>
        <w:t>If no vector control is implemented</w:t>
      </w:r>
      <w:r>
        <w:rPr>
          <w:rFonts w:ascii="Arial" w:hAnsi="Arial" w:cs="Arial"/>
          <w:sz w:val="24"/>
          <w:szCs w:val="24"/>
        </w:rPr>
        <w:t>,</w:t>
      </w:r>
      <w:r w:rsidRPr="00F94F06">
        <w:rPr>
          <w:rFonts w:ascii="Arial" w:hAnsi="Arial" w:cs="Arial"/>
          <w:sz w:val="24"/>
          <w:szCs w:val="24"/>
        </w:rPr>
        <w:t xml:space="preserve"> transmission can continue through</w:t>
      </w:r>
      <w:r>
        <w:rPr>
          <w:rFonts w:ascii="Arial" w:hAnsi="Arial" w:cs="Arial"/>
          <w:sz w:val="24"/>
          <w:szCs w:val="24"/>
        </w:rPr>
        <w:t xml:space="preserve"> </w:t>
      </w:r>
      <w:r w:rsidRPr="00F94F06">
        <w:rPr>
          <w:rFonts w:ascii="Arial" w:hAnsi="Arial" w:cs="Arial"/>
          <w:sz w:val="24"/>
          <w:szCs w:val="24"/>
        </w:rPr>
        <w:t>Apr</w:t>
      </w:r>
      <w:r>
        <w:rPr>
          <w:rFonts w:ascii="Arial" w:hAnsi="Arial" w:cs="Arial"/>
          <w:sz w:val="24"/>
          <w:szCs w:val="24"/>
        </w:rPr>
        <w:t>il</w:t>
      </w:r>
      <w:r w:rsidRPr="00F94F06">
        <w:rPr>
          <w:rFonts w:ascii="Arial" w:hAnsi="Arial" w:cs="Arial"/>
          <w:sz w:val="24"/>
          <w:szCs w:val="24"/>
        </w:rPr>
        <w:t xml:space="preserve"> (</w:t>
      </w:r>
      <w:r>
        <w:rPr>
          <w:rFonts w:ascii="Arial" w:hAnsi="Arial" w:cs="Arial"/>
          <w:sz w:val="24"/>
          <w:szCs w:val="24"/>
        </w:rPr>
        <w:t>Cavany et al. 2020</w:t>
      </w:r>
      <w:r w:rsidRPr="00F94F06">
        <w:rPr>
          <w:rFonts w:ascii="Arial" w:hAnsi="Arial" w:cs="Arial"/>
          <w:sz w:val="24"/>
          <w:szCs w:val="24"/>
        </w:rPr>
        <w:t xml:space="preserve">). Outbreaks are often preceded by increases in </w:t>
      </w:r>
      <w:r w:rsidRPr="00E05F09">
        <w:rPr>
          <w:rFonts w:ascii="Arial" w:hAnsi="Arial" w:cs="Arial"/>
          <w:i/>
          <w:sz w:val="24"/>
          <w:szCs w:val="24"/>
        </w:rPr>
        <w:t>Ae. aegypti</w:t>
      </w:r>
      <w:r>
        <w:rPr>
          <w:rFonts w:ascii="Arial" w:hAnsi="Arial" w:cs="Arial"/>
          <w:sz w:val="24"/>
          <w:szCs w:val="24"/>
        </w:rPr>
        <w:t xml:space="preserve"> </w:t>
      </w:r>
      <w:r w:rsidRPr="00F94F06">
        <w:rPr>
          <w:rFonts w:ascii="Arial" w:hAnsi="Arial" w:cs="Arial"/>
          <w:sz w:val="24"/>
          <w:szCs w:val="24"/>
        </w:rPr>
        <w:t xml:space="preserve">densities, and mosquito dynamics and DENV transmission appear to be in part </w:t>
      </w:r>
      <w:r w:rsidRPr="00985DF8">
        <w:rPr>
          <w:rFonts w:ascii="Arial" w:hAnsi="Arial" w:cs="Arial"/>
          <w:sz w:val="24"/>
          <w:szCs w:val="24"/>
        </w:rPr>
        <w:t xml:space="preserve">climate driven (Stoddard et al. 2014). </w:t>
      </w:r>
    </w:p>
    <w:p w14:paraId="6C032F9B" w14:textId="77777777" w:rsidR="00F13D75" w:rsidRPr="00985DF8" w:rsidRDefault="00F13D75" w:rsidP="00A4282A">
      <w:pPr>
        <w:pStyle w:val="BodyText"/>
        <w:kinsoku w:val="0"/>
        <w:overflowPunct w:val="0"/>
        <w:rPr>
          <w:rFonts w:ascii="Arial" w:hAnsi="Arial" w:cs="Arial"/>
          <w:sz w:val="24"/>
          <w:szCs w:val="24"/>
        </w:rPr>
      </w:pPr>
    </w:p>
    <w:p w14:paraId="51463409" w14:textId="277A31D9" w:rsidR="00F13D75" w:rsidRDefault="00F13D75" w:rsidP="00A4282A">
      <w:pPr>
        <w:pStyle w:val="BodyText"/>
        <w:kinsoku w:val="0"/>
        <w:overflowPunct w:val="0"/>
        <w:rPr>
          <w:rFonts w:ascii="Arial" w:hAnsi="Arial" w:cs="Arial"/>
          <w:sz w:val="24"/>
          <w:szCs w:val="24"/>
        </w:rPr>
      </w:pPr>
      <w:r w:rsidRPr="00985DF8">
        <w:rPr>
          <w:rFonts w:ascii="Arial" w:hAnsi="Arial" w:cs="Arial"/>
          <w:sz w:val="24"/>
          <w:szCs w:val="24"/>
        </w:rPr>
        <w:t xml:space="preserve">Iquitos </w:t>
      </w:r>
      <w:r w:rsidR="005D7C3E">
        <w:rPr>
          <w:rFonts w:ascii="Arial" w:hAnsi="Arial" w:cs="Arial"/>
          <w:sz w:val="24"/>
          <w:szCs w:val="24"/>
        </w:rPr>
        <w:t>was</w:t>
      </w:r>
      <w:r w:rsidR="005D7C3E" w:rsidRPr="00985DF8">
        <w:rPr>
          <w:rFonts w:ascii="Arial" w:hAnsi="Arial" w:cs="Arial"/>
          <w:sz w:val="24"/>
          <w:szCs w:val="24"/>
        </w:rPr>
        <w:t xml:space="preserve"> </w:t>
      </w:r>
      <w:r w:rsidRPr="00985DF8">
        <w:rPr>
          <w:rFonts w:ascii="Arial" w:hAnsi="Arial" w:cs="Arial"/>
          <w:sz w:val="24"/>
          <w:szCs w:val="24"/>
        </w:rPr>
        <w:t xml:space="preserve">also the home of a </w:t>
      </w:r>
      <w:r w:rsidR="005D7C3E">
        <w:rPr>
          <w:rFonts w:ascii="Arial" w:hAnsi="Arial" w:cs="Arial"/>
          <w:sz w:val="24"/>
          <w:szCs w:val="24"/>
        </w:rPr>
        <w:t>project investigating</w:t>
      </w:r>
      <w:r w:rsidRPr="00985DF8">
        <w:rPr>
          <w:rFonts w:ascii="Arial" w:hAnsi="Arial" w:cs="Arial"/>
          <w:sz w:val="24"/>
          <w:szCs w:val="24"/>
        </w:rPr>
        <w:t xml:space="preserve"> the role of out-of home human mobility in DENV transmission dynamics and control. The study </w:t>
      </w:r>
      <w:r w:rsidR="005D7C3E">
        <w:rPr>
          <w:rFonts w:ascii="Arial" w:hAnsi="Arial" w:cs="Arial"/>
          <w:sz w:val="24"/>
          <w:szCs w:val="24"/>
        </w:rPr>
        <w:t>utilized</w:t>
      </w:r>
      <w:r w:rsidR="005D7C3E" w:rsidRPr="00985DF8">
        <w:rPr>
          <w:rFonts w:ascii="Arial" w:hAnsi="Arial" w:cs="Arial"/>
          <w:sz w:val="24"/>
          <w:szCs w:val="24"/>
        </w:rPr>
        <w:t xml:space="preserve"> </w:t>
      </w:r>
      <w:r w:rsidRPr="00985DF8">
        <w:rPr>
          <w:rFonts w:ascii="Arial" w:hAnsi="Arial" w:cs="Arial"/>
          <w:sz w:val="24"/>
          <w:szCs w:val="24"/>
        </w:rPr>
        <w:t>a survey instrument, called the retrospective movement survey (RMS</w:t>
      </w:r>
      <w:r w:rsidR="005D7C3E">
        <w:rPr>
          <w:rFonts w:ascii="Arial" w:eastAsiaTheme="minorHAnsi" w:hAnsi="Arial" w:cs="Arial"/>
          <w:bCs/>
          <w:iCs/>
          <w:sz w:val="24"/>
          <w:szCs w:val="24"/>
        </w:rPr>
        <w:t>). W</w:t>
      </w:r>
      <w:r w:rsidRPr="00985DF8">
        <w:rPr>
          <w:rFonts w:ascii="Arial" w:eastAsiaTheme="minorHAnsi" w:hAnsi="Arial" w:cs="Arial"/>
          <w:bCs/>
          <w:iCs/>
          <w:sz w:val="24"/>
          <w:szCs w:val="24"/>
        </w:rPr>
        <w:t>hen applied to an</w:t>
      </w:r>
      <w:r>
        <w:rPr>
          <w:rFonts w:ascii="Arial" w:eastAsiaTheme="minorHAnsi" w:hAnsi="Arial" w:cs="Arial"/>
          <w:bCs/>
          <w:iCs/>
          <w:sz w:val="24"/>
          <w:szCs w:val="24"/>
        </w:rPr>
        <w:t xml:space="preserve"> </w:t>
      </w:r>
      <w:r w:rsidRPr="00985DF8">
        <w:rPr>
          <w:rFonts w:ascii="Arial" w:eastAsiaTheme="minorHAnsi" w:hAnsi="Arial" w:cs="Arial"/>
          <w:bCs/>
          <w:iCs/>
          <w:sz w:val="24"/>
          <w:szCs w:val="24"/>
        </w:rPr>
        <w:t>index case</w:t>
      </w:r>
      <w:r w:rsidR="005D7C3E">
        <w:rPr>
          <w:rFonts w:ascii="Arial" w:eastAsiaTheme="minorHAnsi" w:hAnsi="Arial" w:cs="Arial"/>
          <w:bCs/>
          <w:iCs/>
          <w:sz w:val="24"/>
          <w:szCs w:val="24"/>
        </w:rPr>
        <w:t xml:space="preserve"> the survey</w:t>
      </w:r>
      <w:r w:rsidRPr="00985DF8">
        <w:rPr>
          <w:rFonts w:ascii="Arial" w:eastAsiaTheme="minorHAnsi" w:hAnsi="Arial" w:cs="Arial"/>
          <w:bCs/>
          <w:iCs/>
          <w:sz w:val="24"/>
          <w:szCs w:val="24"/>
        </w:rPr>
        <w:t xml:space="preserve"> help</w:t>
      </w:r>
      <w:r w:rsidR="005D7C3E">
        <w:rPr>
          <w:rFonts w:ascii="Arial" w:eastAsiaTheme="minorHAnsi" w:hAnsi="Arial" w:cs="Arial"/>
          <w:bCs/>
          <w:iCs/>
          <w:sz w:val="24"/>
          <w:szCs w:val="24"/>
        </w:rPr>
        <w:t>ed</w:t>
      </w:r>
      <w:r w:rsidRPr="00985DF8">
        <w:rPr>
          <w:rFonts w:ascii="Arial" w:eastAsiaTheme="minorHAnsi" w:hAnsi="Arial" w:cs="Arial"/>
          <w:bCs/>
          <w:iCs/>
          <w:sz w:val="24"/>
          <w:szCs w:val="24"/>
        </w:rPr>
        <w:t xml:space="preserve"> delineate a person’s activity space </w:t>
      </w:r>
      <w:r w:rsidR="005D7C3E">
        <w:rPr>
          <w:rFonts w:ascii="Arial" w:eastAsiaTheme="minorHAnsi" w:hAnsi="Arial" w:cs="Arial"/>
          <w:bCs/>
          <w:iCs/>
          <w:sz w:val="24"/>
          <w:szCs w:val="24"/>
        </w:rPr>
        <w:t xml:space="preserve">(AS) </w:t>
      </w:r>
      <w:r w:rsidRPr="00985DF8">
        <w:rPr>
          <w:rFonts w:ascii="Arial" w:eastAsiaTheme="minorHAnsi" w:hAnsi="Arial" w:cs="Arial"/>
          <w:bCs/>
          <w:iCs/>
          <w:sz w:val="24"/>
          <w:szCs w:val="24"/>
        </w:rPr>
        <w:t xml:space="preserve">based on </w:t>
      </w:r>
      <w:r w:rsidR="005D7C3E">
        <w:rPr>
          <w:rFonts w:ascii="Arial" w:eastAsiaTheme="minorHAnsi" w:hAnsi="Arial" w:cs="Arial"/>
          <w:bCs/>
          <w:iCs/>
          <w:sz w:val="24"/>
          <w:szCs w:val="24"/>
        </w:rPr>
        <w:t xml:space="preserve">identification of </w:t>
      </w:r>
      <w:r w:rsidRPr="00985DF8">
        <w:rPr>
          <w:rFonts w:ascii="Arial" w:eastAsiaTheme="minorHAnsi" w:hAnsi="Arial" w:cs="Arial"/>
          <w:bCs/>
          <w:iCs/>
          <w:sz w:val="24"/>
          <w:szCs w:val="24"/>
        </w:rPr>
        <w:t xml:space="preserve">locations with potential for virus exposure and onwards </w:t>
      </w:r>
      <w:r w:rsidR="005D7C3E">
        <w:rPr>
          <w:rFonts w:ascii="Arial" w:eastAsiaTheme="minorHAnsi" w:hAnsi="Arial" w:cs="Arial"/>
          <w:bCs/>
          <w:iCs/>
          <w:sz w:val="24"/>
          <w:szCs w:val="24"/>
        </w:rPr>
        <w:t xml:space="preserve">virus </w:t>
      </w:r>
      <w:r w:rsidRPr="00985DF8">
        <w:rPr>
          <w:rFonts w:ascii="Arial" w:eastAsiaTheme="minorHAnsi" w:hAnsi="Arial" w:cs="Arial"/>
          <w:bCs/>
          <w:iCs/>
          <w:sz w:val="24"/>
          <w:szCs w:val="24"/>
        </w:rPr>
        <w:t xml:space="preserve">transmission. </w:t>
      </w:r>
      <w:r>
        <w:rPr>
          <w:rFonts w:ascii="Arial" w:eastAsiaTheme="minorHAnsi" w:hAnsi="Arial" w:cs="Arial"/>
          <w:bCs/>
          <w:iCs/>
          <w:sz w:val="24"/>
          <w:szCs w:val="24"/>
        </w:rPr>
        <w:t xml:space="preserve">The RMS instrument was developed from focus groups in Iquitos in 2008 and validated using GPS data-loggers (Paz-Soldan et al. 2010). </w:t>
      </w:r>
      <w:r w:rsidRPr="00C65930">
        <w:rPr>
          <w:rFonts w:ascii="Arial" w:eastAsiaTheme="minorHAnsi" w:hAnsi="Arial" w:cs="Arial"/>
          <w:bCs/>
          <w:iCs/>
          <w:sz w:val="24"/>
          <w:szCs w:val="24"/>
        </w:rPr>
        <w:t>The RMS gather</w:t>
      </w:r>
      <w:r w:rsidR="005D7C3E">
        <w:rPr>
          <w:rFonts w:ascii="Arial" w:eastAsiaTheme="minorHAnsi" w:hAnsi="Arial" w:cs="Arial"/>
          <w:bCs/>
          <w:iCs/>
          <w:sz w:val="24"/>
          <w:szCs w:val="24"/>
        </w:rPr>
        <w:t>ed</w:t>
      </w:r>
      <w:r w:rsidRPr="00C65930">
        <w:rPr>
          <w:rFonts w:ascii="Arial" w:eastAsiaTheme="minorHAnsi" w:hAnsi="Arial" w:cs="Arial"/>
          <w:bCs/>
          <w:iCs/>
          <w:sz w:val="24"/>
          <w:szCs w:val="24"/>
        </w:rPr>
        <w:t xml:space="preserve"> information </w:t>
      </w:r>
      <w:r w:rsidRPr="00C65930">
        <w:rPr>
          <w:rFonts w:ascii="Arial" w:eastAsiaTheme="minorHAnsi" w:hAnsi="Arial" w:cs="Arial"/>
          <w:sz w:val="24"/>
          <w:szCs w:val="24"/>
        </w:rPr>
        <w:t>about locations visited in the past 15</w:t>
      </w:r>
      <w:r>
        <w:rPr>
          <w:rFonts w:ascii="Arial" w:eastAsiaTheme="minorHAnsi" w:hAnsi="Arial" w:cs="Arial"/>
          <w:sz w:val="24"/>
          <w:szCs w:val="24"/>
        </w:rPr>
        <w:t xml:space="preserve"> </w:t>
      </w:r>
      <w:r w:rsidRPr="00C65930">
        <w:rPr>
          <w:rFonts w:ascii="Arial" w:eastAsiaTheme="minorHAnsi" w:hAnsi="Arial" w:cs="Arial"/>
          <w:sz w:val="24"/>
          <w:szCs w:val="24"/>
        </w:rPr>
        <w:t>d</w:t>
      </w:r>
      <w:r>
        <w:rPr>
          <w:rFonts w:ascii="Arial" w:eastAsiaTheme="minorHAnsi" w:hAnsi="Arial" w:cs="Arial"/>
          <w:sz w:val="24"/>
          <w:szCs w:val="24"/>
        </w:rPr>
        <w:t>ays</w:t>
      </w:r>
      <w:r w:rsidRPr="00C65930">
        <w:rPr>
          <w:rFonts w:ascii="Arial" w:eastAsiaTheme="minorHAnsi" w:hAnsi="Arial" w:cs="Arial"/>
          <w:sz w:val="24"/>
          <w:szCs w:val="24"/>
        </w:rPr>
        <w:t xml:space="preserve"> by engaging with people in a conversation about their routine and the places they visit, with a focus on residential location. The RMS gather</w:t>
      </w:r>
      <w:r w:rsidR="005D7C3E">
        <w:rPr>
          <w:rFonts w:ascii="Arial" w:eastAsiaTheme="minorHAnsi" w:hAnsi="Arial" w:cs="Arial"/>
          <w:sz w:val="24"/>
          <w:szCs w:val="24"/>
        </w:rPr>
        <w:t>ed</w:t>
      </w:r>
      <w:r w:rsidRPr="00C65930">
        <w:rPr>
          <w:rFonts w:ascii="Arial" w:eastAsiaTheme="minorHAnsi" w:hAnsi="Arial" w:cs="Arial"/>
          <w:sz w:val="24"/>
          <w:szCs w:val="24"/>
        </w:rPr>
        <w:t xml:space="preserve"> information on the main activity performed in visited locations and the self-reported duration of the visits (frequency and time o</w:t>
      </w:r>
      <w:r>
        <w:rPr>
          <w:rFonts w:ascii="Arial" w:eastAsiaTheme="minorHAnsi" w:hAnsi="Arial" w:cs="Arial"/>
          <w:sz w:val="24"/>
          <w:szCs w:val="24"/>
        </w:rPr>
        <w:t xml:space="preserve">f </w:t>
      </w:r>
      <w:r w:rsidRPr="00B615F5">
        <w:rPr>
          <w:rFonts w:ascii="Arial" w:eastAsiaTheme="minorHAnsi" w:hAnsi="Arial" w:cs="Arial"/>
          <w:sz w:val="24"/>
          <w:szCs w:val="24"/>
        </w:rPr>
        <w:t>visits). The RMS has been in use in Iquitos for a decade and analysis of published contact-cluster investigations indicate that: a) participants visit</w:t>
      </w:r>
      <w:r w:rsidR="0097761D">
        <w:rPr>
          <w:rFonts w:ascii="Arial" w:eastAsiaTheme="minorHAnsi" w:hAnsi="Arial" w:cs="Arial"/>
          <w:sz w:val="24"/>
          <w:szCs w:val="24"/>
        </w:rPr>
        <w:t>ed</w:t>
      </w:r>
      <w:r w:rsidRPr="00B615F5">
        <w:rPr>
          <w:rFonts w:ascii="Arial" w:eastAsiaTheme="minorHAnsi" w:hAnsi="Arial" w:cs="Arial"/>
          <w:sz w:val="24"/>
          <w:szCs w:val="24"/>
        </w:rPr>
        <w:t xml:space="preserve"> a median of 4 locations; b) residential locations ha</w:t>
      </w:r>
      <w:r w:rsidR="0097761D">
        <w:rPr>
          <w:rFonts w:ascii="Arial" w:eastAsiaTheme="minorHAnsi" w:hAnsi="Arial" w:cs="Arial"/>
          <w:sz w:val="24"/>
          <w:szCs w:val="24"/>
        </w:rPr>
        <w:t>d</w:t>
      </w:r>
      <w:r w:rsidRPr="00B615F5">
        <w:rPr>
          <w:rFonts w:ascii="Arial" w:eastAsiaTheme="minorHAnsi" w:hAnsi="Arial" w:cs="Arial"/>
          <w:sz w:val="24"/>
          <w:szCs w:val="24"/>
        </w:rPr>
        <w:t xml:space="preserve"> the highest frequency of visits (35.3%); c) visits last</w:t>
      </w:r>
      <w:r w:rsidR="0097761D">
        <w:rPr>
          <w:rFonts w:ascii="Arial" w:eastAsiaTheme="minorHAnsi" w:hAnsi="Arial" w:cs="Arial"/>
          <w:sz w:val="24"/>
          <w:szCs w:val="24"/>
        </w:rPr>
        <w:t>ed</w:t>
      </w:r>
      <w:r w:rsidRPr="00B615F5">
        <w:rPr>
          <w:rFonts w:ascii="Arial" w:eastAsiaTheme="minorHAnsi" w:hAnsi="Arial" w:cs="Arial"/>
          <w:sz w:val="24"/>
          <w:szCs w:val="24"/>
        </w:rPr>
        <w:t xml:space="preserve"> a median of 90 min; and d) participants visit</w:t>
      </w:r>
      <w:r w:rsidR="0097761D">
        <w:rPr>
          <w:rFonts w:ascii="Arial" w:eastAsiaTheme="minorHAnsi" w:hAnsi="Arial" w:cs="Arial"/>
          <w:sz w:val="24"/>
          <w:szCs w:val="24"/>
        </w:rPr>
        <w:t>ed</w:t>
      </w:r>
      <w:r w:rsidRPr="00B615F5">
        <w:rPr>
          <w:rFonts w:ascii="Arial" w:eastAsiaTheme="minorHAnsi" w:hAnsi="Arial" w:cs="Arial"/>
          <w:sz w:val="24"/>
          <w:szCs w:val="24"/>
        </w:rPr>
        <w:t xml:space="preserve"> a high number of residential locations in close proximity to their homes (52% of visited locations were within 100 m</w:t>
      </w:r>
      <w:r w:rsidR="0097761D">
        <w:rPr>
          <w:rFonts w:ascii="Arial" w:eastAsiaTheme="minorHAnsi" w:hAnsi="Arial" w:cs="Arial"/>
          <w:sz w:val="24"/>
          <w:szCs w:val="24"/>
        </w:rPr>
        <w:t xml:space="preserve"> of home</w:t>
      </w:r>
      <w:r w:rsidRPr="00B615F5">
        <w:rPr>
          <w:rFonts w:ascii="Arial" w:eastAsiaTheme="minorHAnsi" w:hAnsi="Arial" w:cs="Arial"/>
          <w:sz w:val="24"/>
          <w:szCs w:val="24"/>
        </w:rPr>
        <w:t>)</w:t>
      </w:r>
      <w:r>
        <w:rPr>
          <w:rFonts w:ascii="Arial" w:eastAsiaTheme="minorHAnsi" w:hAnsi="Arial" w:cs="Arial"/>
          <w:sz w:val="24"/>
          <w:szCs w:val="24"/>
        </w:rPr>
        <w:t xml:space="preserve"> </w:t>
      </w:r>
      <w:r w:rsidRPr="00B615F5">
        <w:rPr>
          <w:rFonts w:ascii="Arial" w:eastAsiaTheme="minorHAnsi" w:hAnsi="Arial" w:cs="Arial"/>
          <w:sz w:val="24"/>
          <w:szCs w:val="24"/>
        </w:rPr>
        <w:t>(Stoddard et al. 2013</w:t>
      </w:r>
      <w:r w:rsidR="0075192C">
        <w:rPr>
          <w:rFonts w:ascii="Arial" w:eastAsiaTheme="minorHAnsi" w:hAnsi="Arial" w:cs="Arial"/>
          <w:sz w:val="24"/>
          <w:szCs w:val="24"/>
        </w:rPr>
        <w:t>, Olkowsky et al. 2013</w:t>
      </w:r>
      <w:r w:rsidRPr="00B615F5">
        <w:rPr>
          <w:rFonts w:ascii="Arial" w:eastAsiaTheme="minorHAnsi" w:hAnsi="Arial" w:cs="Arial"/>
          <w:sz w:val="24"/>
          <w:szCs w:val="24"/>
        </w:rPr>
        <w:t xml:space="preserve">). Other important findings </w:t>
      </w:r>
      <w:r w:rsidR="0097761D">
        <w:rPr>
          <w:rFonts w:ascii="Arial" w:eastAsiaTheme="minorHAnsi" w:hAnsi="Arial" w:cs="Arial"/>
          <w:sz w:val="24"/>
          <w:szCs w:val="24"/>
        </w:rPr>
        <w:t>were</w:t>
      </w:r>
      <w:r w:rsidRPr="00B615F5">
        <w:rPr>
          <w:rFonts w:ascii="Arial" w:eastAsiaTheme="minorHAnsi" w:hAnsi="Arial" w:cs="Arial"/>
          <w:sz w:val="24"/>
          <w:szCs w:val="24"/>
        </w:rPr>
        <w:t xml:space="preserve"> that </w:t>
      </w:r>
      <w:r>
        <w:rPr>
          <w:rFonts w:ascii="Arial" w:eastAsiaTheme="minorHAnsi" w:hAnsi="Arial" w:cs="Arial"/>
          <w:sz w:val="24"/>
          <w:szCs w:val="24"/>
        </w:rPr>
        <w:t>people vary their mobility as a function of their DENV symptomology (</w:t>
      </w:r>
      <w:r w:rsidRPr="00F139D7">
        <w:rPr>
          <w:rFonts w:ascii="Arial" w:eastAsiaTheme="minorHAnsi" w:hAnsi="Arial" w:cs="Arial"/>
          <w:sz w:val="24"/>
          <w:szCs w:val="24"/>
        </w:rPr>
        <w:t>Perkins et al. 2016</w:t>
      </w:r>
      <w:r w:rsidR="0097761D">
        <w:rPr>
          <w:rFonts w:ascii="Arial" w:eastAsiaTheme="minorHAnsi" w:hAnsi="Arial" w:cs="Arial"/>
          <w:sz w:val="24"/>
          <w:szCs w:val="24"/>
        </w:rPr>
        <w:t>). During t</w:t>
      </w:r>
      <w:r>
        <w:rPr>
          <w:rFonts w:ascii="Arial" w:eastAsiaTheme="minorHAnsi" w:hAnsi="Arial" w:cs="Arial"/>
          <w:sz w:val="24"/>
          <w:szCs w:val="24"/>
        </w:rPr>
        <w:t xml:space="preserve">he first three days post-symptom onset </w:t>
      </w:r>
      <w:r w:rsidR="0097761D">
        <w:rPr>
          <w:rFonts w:ascii="Arial" w:eastAsiaTheme="minorHAnsi" w:hAnsi="Arial" w:cs="Arial"/>
          <w:sz w:val="24"/>
          <w:szCs w:val="24"/>
        </w:rPr>
        <w:t xml:space="preserve">people </w:t>
      </w:r>
      <w:r>
        <w:rPr>
          <w:rFonts w:ascii="Arial" w:eastAsiaTheme="minorHAnsi" w:hAnsi="Arial" w:cs="Arial"/>
          <w:sz w:val="24"/>
          <w:szCs w:val="24"/>
        </w:rPr>
        <w:t>concentrat</w:t>
      </w:r>
      <w:r w:rsidR="0097761D">
        <w:rPr>
          <w:rFonts w:ascii="Arial" w:eastAsiaTheme="minorHAnsi" w:hAnsi="Arial" w:cs="Arial"/>
          <w:sz w:val="24"/>
          <w:szCs w:val="24"/>
        </w:rPr>
        <w:t>ed</w:t>
      </w:r>
      <w:r>
        <w:rPr>
          <w:rFonts w:ascii="Arial" w:eastAsiaTheme="minorHAnsi" w:hAnsi="Arial" w:cs="Arial"/>
          <w:sz w:val="24"/>
          <w:szCs w:val="24"/>
        </w:rPr>
        <w:t xml:space="preserve"> ~80% of the</w:t>
      </w:r>
      <w:r w:rsidR="0097761D">
        <w:rPr>
          <w:rFonts w:ascii="Arial" w:eastAsiaTheme="minorHAnsi" w:hAnsi="Arial" w:cs="Arial"/>
          <w:sz w:val="24"/>
          <w:szCs w:val="24"/>
        </w:rPr>
        <w:t>ir</w:t>
      </w:r>
      <w:r>
        <w:rPr>
          <w:rFonts w:ascii="Arial" w:eastAsiaTheme="minorHAnsi" w:hAnsi="Arial" w:cs="Arial"/>
          <w:sz w:val="24"/>
          <w:szCs w:val="24"/>
        </w:rPr>
        <w:t xml:space="preserve"> daytime </w:t>
      </w:r>
      <w:r w:rsidR="0097761D">
        <w:rPr>
          <w:rFonts w:ascii="Arial" w:eastAsiaTheme="minorHAnsi" w:hAnsi="Arial" w:cs="Arial"/>
          <w:sz w:val="24"/>
          <w:szCs w:val="24"/>
        </w:rPr>
        <w:t xml:space="preserve">activity </w:t>
      </w:r>
      <w:r>
        <w:rPr>
          <w:rFonts w:ascii="Arial" w:eastAsiaTheme="minorHAnsi" w:hAnsi="Arial" w:cs="Arial"/>
          <w:sz w:val="24"/>
          <w:szCs w:val="24"/>
        </w:rPr>
        <w:t xml:space="preserve">at home </w:t>
      </w:r>
      <w:r>
        <w:rPr>
          <w:rFonts w:ascii="Arial" w:eastAsiaTheme="minorHAnsi" w:hAnsi="Arial" w:cs="Arial"/>
          <w:sz w:val="24"/>
          <w:szCs w:val="24"/>
        </w:rPr>
        <w:lastRenderedPageBreak/>
        <w:t xml:space="preserve">(Schaber et al. 2019). In the context of the current study, the RMS was used to identify the locations that were part of the AS of index cases </w:t>
      </w:r>
      <w:r w:rsidR="0097761D">
        <w:rPr>
          <w:rFonts w:ascii="Arial" w:eastAsiaTheme="minorHAnsi" w:hAnsi="Arial" w:cs="Arial"/>
          <w:sz w:val="24"/>
          <w:szCs w:val="24"/>
        </w:rPr>
        <w:t>with virologically confirmed</w:t>
      </w:r>
      <w:r>
        <w:rPr>
          <w:rFonts w:ascii="Arial" w:eastAsiaTheme="minorHAnsi" w:hAnsi="Arial" w:cs="Arial"/>
          <w:sz w:val="24"/>
          <w:szCs w:val="24"/>
        </w:rPr>
        <w:t xml:space="preserve"> DENV</w:t>
      </w:r>
      <w:r w:rsidR="0097761D">
        <w:rPr>
          <w:rFonts w:ascii="Arial" w:eastAsiaTheme="minorHAnsi" w:hAnsi="Arial" w:cs="Arial"/>
          <w:sz w:val="24"/>
          <w:szCs w:val="24"/>
        </w:rPr>
        <w:t xml:space="preserve"> infections</w:t>
      </w:r>
      <w:r>
        <w:rPr>
          <w:rFonts w:ascii="Arial" w:eastAsiaTheme="minorHAnsi" w:hAnsi="Arial" w:cs="Arial"/>
          <w:sz w:val="24"/>
          <w:szCs w:val="24"/>
        </w:rPr>
        <w:t xml:space="preserve">. </w:t>
      </w:r>
    </w:p>
    <w:p w14:paraId="0D471850" w14:textId="77777777" w:rsidR="00F13D75" w:rsidRDefault="00F13D75" w:rsidP="00A4282A">
      <w:pPr>
        <w:pStyle w:val="BodyText"/>
        <w:kinsoku w:val="0"/>
        <w:overflowPunct w:val="0"/>
        <w:rPr>
          <w:rFonts w:ascii="Arial" w:hAnsi="Arial" w:cs="Arial"/>
          <w:sz w:val="24"/>
          <w:szCs w:val="24"/>
        </w:rPr>
      </w:pPr>
    </w:p>
    <w:p w14:paraId="33779278" w14:textId="77777777" w:rsidR="00F13D75" w:rsidRDefault="00F13D75" w:rsidP="00041B82">
      <w:pPr>
        <w:pStyle w:val="BodyText"/>
        <w:kinsoku w:val="0"/>
        <w:overflowPunct w:val="0"/>
        <w:rPr>
          <w:rFonts w:ascii="Arial" w:hAnsi="Arial" w:cs="Arial"/>
          <w:b/>
          <w:sz w:val="24"/>
          <w:szCs w:val="24"/>
        </w:rPr>
      </w:pPr>
    </w:p>
    <w:p w14:paraId="0D3AC669" w14:textId="519D3458" w:rsidR="00F13D75" w:rsidRDefault="00F13D75" w:rsidP="00F13D75">
      <w:pPr>
        <w:rPr>
          <w:rFonts w:ascii="Arial" w:hAnsi="Arial" w:cs="Arial"/>
          <w:sz w:val="24"/>
          <w:szCs w:val="24"/>
        </w:rPr>
      </w:pPr>
      <w:r w:rsidRPr="00A54531">
        <w:rPr>
          <w:rFonts w:ascii="Arial" w:hAnsi="Arial" w:cs="Arial"/>
          <w:b/>
          <w:bCs/>
          <w:iCs/>
          <w:sz w:val="24"/>
          <w:szCs w:val="24"/>
        </w:rPr>
        <w:t>Contact cluster studies and case ascertainment</w:t>
      </w:r>
      <w:r>
        <w:rPr>
          <w:rFonts w:ascii="Arial" w:hAnsi="Arial" w:cs="Arial"/>
          <w:b/>
          <w:bCs/>
          <w:iCs/>
          <w:sz w:val="24"/>
          <w:szCs w:val="24"/>
        </w:rPr>
        <w:t xml:space="preserve">. </w:t>
      </w:r>
      <w:r w:rsidRPr="00A52887">
        <w:rPr>
          <w:rFonts w:ascii="Arial" w:hAnsi="Arial" w:cs="Arial"/>
          <w:sz w:val="24"/>
          <w:szCs w:val="24"/>
        </w:rPr>
        <w:t>Methods for participant identification and testing were described</w:t>
      </w:r>
      <w:r>
        <w:rPr>
          <w:rFonts w:ascii="Arial" w:hAnsi="Arial" w:cs="Arial"/>
          <w:sz w:val="24"/>
          <w:szCs w:val="24"/>
        </w:rPr>
        <w:t xml:space="preserve"> previously </w:t>
      </w:r>
      <w:bookmarkStart w:id="1" w:name="_Hlk87528389"/>
      <w:r>
        <w:rPr>
          <w:rFonts w:ascii="Arial" w:hAnsi="Arial" w:cs="Arial"/>
          <w:noProof/>
          <w:sz w:val="24"/>
          <w:szCs w:val="24"/>
        </w:rPr>
        <w:t>(</w:t>
      </w:r>
      <w:r w:rsidR="001B3531">
        <w:rPr>
          <w:rFonts w:ascii="Arial" w:hAnsi="Arial" w:cs="Arial"/>
          <w:noProof/>
          <w:sz w:val="24"/>
          <w:szCs w:val="24"/>
        </w:rPr>
        <w:t>Stoddard et al. 2013; Morrison et al. 2010</w:t>
      </w:r>
      <w:r>
        <w:rPr>
          <w:rFonts w:ascii="Arial" w:hAnsi="Arial" w:cs="Arial"/>
          <w:noProof/>
          <w:sz w:val="24"/>
          <w:szCs w:val="24"/>
        </w:rPr>
        <w:t>)</w:t>
      </w:r>
      <w:r w:rsidRPr="00A52887">
        <w:rPr>
          <w:rFonts w:ascii="Arial" w:hAnsi="Arial" w:cs="Arial"/>
          <w:sz w:val="24"/>
          <w:szCs w:val="24"/>
        </w:rPr>
        <w:t>.</w:t>
      </w:r>
      <w:bookmarkEnd w:id="1"/>
      <w:r w:rsidRPr="00A52887">
        <w:rPr>
          <w:rFonts w:ascii="Arial" w:hAnsi="Arial" w:cs="Arial"/>
          <w:sz w:val="24"/>
          <w:szCs w:val="24"/>
        </w:rPr>
        <w:t xml:space="preserve"> Briefly, </w:t>
      </w:r>
      <w:bookmarkStart w:id="2" w:name="_Hlk87528449"/>
      <w:r>
        <w:rPr>
          <w:rFonts w:ascii="Arial" w:hAnsi="Arial" w:cs="Arial"/>
          <w:sz w:val="24"/>
          <w:szCs w:val="24"/>
        </w:rPr>
        <w:t>we layered a</w:t>
      </w:r>
      <w:r w:rsidRPr="00A52887">
        <w:rPr>
          <w:rFonts w:ascii="Arial" w:hAnsi="Arial" w:cs="Arial"/>
          <w:sz w:val="24"/>
          <w:szCs w:val="24"/>
        </w:rPr>
        <w:t xml:space="preserve">ctive febrile surveillance </w:t>
      </w:r>
      <w:r>
        <w:rPr>
          <w:rFonts w:ascii="Arial" w:hAnsi="Arial" w:cs="Arial"/>
          <w:sz w:val="24"/>
          <w:szCs w:val="24"/>
        </w:rPr>
        <w:t xml:space="preserve">with a longitudinal </w:t>
      </w:r>
      <w:r w:rsidRPr="00A52887">
        <w:rPr>
          <w:rFonts w:ascii="Arial" w:hAnsi="Arial" w:cs="Arial"/>
          <w:sz w:val="24"/>
          <w:szCs w:val="24"/>
        </w:rPr>
        <w:t xml:space="preserve">cohort </w:t>
      </w:r>
      <w:r>
        <w:rPr>
          <w:rFonts w:ascii="Arial" w:hAnsi="Arial" w:cs="Arial"/>
          <w:sz w:val="24"/>
          <w:szCs w:val="24"/>
        </w:rPr>
        <w:t xml:space="preserve">involving ~2,400 participants aged 5 years and older and living </w:t>
      </w:r>
      <w:r w:rsidRPr="00A52887">
        <w:rPr>
          <w:rFonts w:ascii="Arial" w:hAnsi="Arial" w:cs="Arial"/>
          <w:sz w:val="24"/>
          <w:szCs w:val="24"/>
        </w:rPr>
        <w:t>in Maynas and Tupac Amaru</w:t>
      </w:r>
      <w:r>
        <w:rPr>
          <w:rFonts w:ascii="Arial" w:hAnsi="Arial" w:cs="Arial"/>
          <w:sz w:val="24"/>
          <w:szCs w:val="24"/>
        </w:rPr>
        <w:t xml:space="preserve">, </w:t>
      </w:r>
      <w:r w:rsidRPr="00A52887">
        <w:rPr>
          <w:rFonts w:ascii="Arial" w:hAnsi="Arial" w:cs="Arial"/>
          <w:sz w:val="24"/>
          <w:szCs w:val="24"/>
        </w:rPr>
        <w:t>two neighborhoods of Iquitos</w:t>
      </w:r>
      <w:r>
        <w:rPr>
          <w:rFonts w:ascii="Arial" w:hAnsi="Arial" w:cs="Arial"/>
          <w:sz w:val="24"/>
          <w:szCs w:val="24"/>
        </w:rPr>
        <w:t>, Peru (population ~370,000). During 2008-2014</w:t>
      </w:r>
      <w:bookmarkEnd w:id="2"/>
      <w:r>
        <w:rPr>
          <w:rFonts w:ascii="Arial" w:hAnsi="Arial" w:cs="Arial"/>
          <w:sz w:val="24"/>
          <w:szCs w:val="24"/>
        </w:rPr>
        <w:t>, p</w:t>
      </w:r>
      <w:r w:rsidRPr="00A52887">
        <w:rPr>
          <w:rFonts w:ascii="Arial" w:hAnsi="Arial" w:cs="Arial"/>
          <w:sz w:val="24"/>
          <w:szCs w:val="24"/>
        </w:rPr>
        <w:t xml:space="preserve">roject nurses </w:t>
      </w:r>
      <w:r>
        <w:rPr>
          <w:rFonts w:ascii="Arial" w:hAnsi="Arial" w:cs="Arial"/>
          <w:sz w:val="24"/>
          <w:szCs w:val="24"/>
        </w:rPr>
        <w:t>visited enrolled households every other day and, upon identification of a febrile individual, they contacted a project physician who visited the participant during</w:t>
      </w:r>
      <w:r w:rsidRPr="00A52887">
        <w:rPr>
          <w:rFonts w:ascii="Arial" w:hAnsi="Arial" w:cs="Arial"/>
          <w:sz w:val="24"/>
          <w:szCs w:val="24"/>
        </w:rPr>
        <w:t xml:space="preserve"> the same day of detection</w:t>
      </w:r>
      <w:r w:rsidRPr="00693F0B">
        <w:rPr>
          <w:rFonts w:ascii="Arial" w:hAnsi="Arial" w:cs="Arial"/>
          <w:sz w:val="24"/>
          <w:szCs w:val="24"/>
        </w:rPr>
        <w:t>.</w:t>
      </w:r>
      <w:r>
        <w:rPr>
          <w:rFonts w:ascii="Arial" w:hAnsi="Arial" w:cs="Arial"/>
          <w:sz w:val="24"/>
          <w:szCs w:val="24"/>
        </w:rPr>
        <w:t xml:space="preserve"> After a medical examination, consenting participants provided an acute (</w:t>
      </w:r>
      <w:r w:rsidRPr="00BA42AA">
        <w:rPr>
          <w:rFonts w:ascii="Arial" w:hAnsi="Arial" w:cs="Arial"/>
          <w:sz w:val="24"/>
          <w:szCs w:val="24"/>
        </w:rPr>
        <w:t>at the time of case identification</w:t>
      </w:r>
      <w:r>
        <w:rPr>
          <w:rFonts w:ascii="Arial" w:hAnsi="Arial" w:cs="Arial"/>
          <w:sz w:val="24"/>
          <w:szCs w:val="24"/>
        </w:rPr>
        <w:t xml:space="preserve">) </w:t>
      </w:r>
      <w:r w:rsidRPr="00BA42AA">
        <w:rPr>
          <w:rFonts w:ascii="Arial" w:hAnsi="Arial" w:cs="Arial"/>
          <w:sz w:val="24"/>
          <w:szCs w:val="24"/>
        </w:rPr>
        <w:t>blood sample</w:t>
      </w:r>
      <w:r>
        <w:rPr>
          <w:rFonts w:ascii="Arial" w:hAnsi="Arial" w:cs="Arial"/>
          <w:sz w:val="24"/>
          <w:szCs w:val="24"/>
        </w:rPr>
        <w:t xml:space="preserve"> and answered a semi-structured </w:t>
      </w:r>
      <w:r w:rsidRPr="00BA42AA">
        <w:rPr>
          <w:rFonts w:ascii="Arial" w:hAnsi="Arial" w:cs="Arial"/>
          <w:sz w:val="24"/>
          <w:szCs w:val="24"/>
        </w:rPr>
        <w:t>interview inquiring about the</w:t>
      </w:r>
      <w:r>
        <w:rPr>
          <w:rFonts w:ascii="Arial" w:hAnsi="Arial" w:cs="Arial"/>
          <w:sz w:val="24"/>
          <w:szCs w:val="24"/>
        </w:rPr>
        <w:t>ir</w:t>
      </w:r>
      <w:r w:rsidRPr="00BA42AA">
        <w:rPr>
          <w:rFonts w:ascii="Arial" w:hAnsi="Arial" w:cs="Arial"/>
          <w:sz w:val="24"/>
          <w:szCs w:val="24"/>
        </w:rPr>
        <w:t xml:space="preserve"> movement patterns over the previous 15 days.</w:t>
      </w:r>
      <w:r>
        <w:rPr>
          <w:rFonts w:ascii="Arial" w:hAnsi="Arial" w:cs="Arial"/>
          <w:sz w:val="24"/>
          <w:szCs w:val="24"/>
        </w:rPr>
        <w:t xml:space="preserve"> For </w:t>
      </w:r>
      <w:r w:rsidRPr="009E57A2">
        <w:rPr>
          <w:rFonts w:ascii="Arial" w:hAnsi="Arial" w:cs="Arial"/>
          <w:sz w:val="24"/>
          <w:szCs w:val="24"/>
        </w:rPr>
        <w:t>children &lt;8 years, interviews</w:t>
      </w:r>
      <w:r>
        <w:rPr>
          <w:rFonts w:ascii="Arial" w:hAnsi="Arial" w:cs="Arial"/>
          <w:sz w:val="24"/>
          <w:szCs w:val="24"/>
        </w:rPr>
        <w:t xml:space="preserve"> were conducted </w:t>
      </w:r>
      <w:r w:rsidR="005828E6">
        <w:rPr>
          <w:rFonts w:ascii="Arial" w:hAnsi="Arial" w:cs="Arial"/>
          <w:sz w:val="24"/>
          <w:szCs w:val="24"/>
        </w:rPr>
        <w:t>with</w:t>
      </w:r>
      <w:r>
        <w:rPr>
          <w:rFonts w:ascii="Arial" w:hAnsi="Arial" w:cs="Arial"/>
          <w:sz w:val="24"/>
          <w:szCs w:val="24"/>
        </w:rPr>
        <w:t xml:space="preserve"> their caregivers, who provided information of the </w:t>
      </w:r>
      <w:r w:rsidR="005828E6">
        <w:rPr>
          <w:rFonts w:ascii="Arial" w:hAnsi="Arial" w:cs="Arial"/>
          <w:sz w:val="24"/>
          <w:szCs w:val="24"/>
        </w:rPr>
        <w:t xml:space="preserve">child’s </w:t>
      </w:r>
      <w:r>
        <w:rPr>
          <w:rFonts w:ascii="Arial" w:hAnsi="Arial" w:cs="Arial"/>
          <w:sz w:val="24"/>
          <w:szCs w:val="24"/>
        </w:rPr>
        <w:t xml:space="preserve">whereabouts. Our culturally sensitive retrospective movement surveys, externally validated with GPS devices </w:t>
      </w:r>
      <w:r>
        <w:rPr>
          <w:rFonts w:ascii="Arial" w:hAnsi="Arial" w:cs="Arial"/>
          <w:noProof/>
          <w:sz w:val="24"/>
          <w:szCs w:val="24"/>
        </w:rPr>
        <w:t>(</w:t>
      </w:r>
      <w:r w:rsidR="003C1667">
        <w:rPr>
          <w:rFonts w:ascii="Arial" w:hAnsi="Arial" w:cs="Arial"/>
          <w:noProof/>
          <w:sz w:val="24"/>
          <w:szCs w:val="24"/>
        </w:rPr>
        <w:t>Paz-Soldan et al. 2010, 2013</w:t>
      </w:r>
      <w:r>
        <w:rPr>
          <w:rFonts w:ascii="Arial" w:hAnsi="Arial" w:cs="Arial"/>
          <w:noProof/>
          <w:sz w:val="24"/>
          <w:szCs w:val="24"/>
        </w:rPr>
        <w:t>)</w:t>
      </w:r>
      <w:r>
        <w:rPr>
          <w:rFonts w:ascii="Arial" w:hAnsi="Arial" w:cs="Arial"/>
          <w:sz w:val="24"/>
          <w:szCs w:val="24"/>
        </w:rPr>
        <w:t>, were designed to characterize</w:t>
      </w:r>
      <w:r w:rsidRPr="002618AA">
        <w:rPr>
          <w:rFonts w:ascii="Arial" w:hAnsi="Arial" w:cs="Arial"/>
          <w:sz w:val="24"/>
          <w:szCs w:val="24"/>
        </w:rPr>
        <w:t xml:space="preserve"> </w:t>
      </w:r>
      <w:r>
        <w:rPr>
          <w:rFonts w:ascii="Arial" w:hAnsi="Arial" w:cs="Arial"/>
          <w:sz w:val="24"/>
          <w:szCs w:val="24"/>
        </w:rPr>
        <w:t>an individual’s AS by asking participants about</w:t>
      </w:r>
      <w:r w:rsidRPr="002618AA">
        <w:rPr>
          <w:rFonts w:ascii="Arial" w:hAnsi="Arial" w:cs="Arial"/>
          <w:sz w:val="24"/>
          <w:szCs w:val="24"/>
        </w:rPr>
        <w:t xml:space="preserve"> all locations visited between 5 am and 10 pm in the prior 15 </w:t>
      </w:r>
      <w:proofErr w:type="gramStart"/>
      <w:r w:rsidRPr="002618AA">
        <w:rPr>
          <w:rFonts w:ascii="Arial" w:hAnsi="Arial" w:cs="Arial"/>
          <w:sz w:val="24"/>
          <w:szCs w:val="24"/>
        </w:rPr>
        <w:t>day</w:t>
      </w:r>
      <w:r>
        <w:rPr>
          <w:rFonts w:ascii="Arial" w:hAnsi="Arial" w:cs="Arial"/>
          <w:sz w:val="24"/>
          <w:szCs w:val="24"/>
        </w:rPr>
        <w:t>s;</w:t>
      </w:r>
      <w:proofErr w:type="gramEnd"/>
      <w:r>
        <w:rPr>
          <w:rFonts w:ascii="Arial" w:hAnsi="Arial" w:cs="Arial"/>
          <w:sz w:val="24"/>
          <w:szCs w:val="24"/>
        </w:rPr>
        <w:t xml:space="preserve"> i.e., </w:t>
      </w:r>
      <w:r w:rsidRPr="002618AA">
        <w:rPr>
          <w:rFonts w:ascii="Arial" w:hAnsi="Arial" w:cs="Arial"/>
          <w:sz w:val="24"/>
          <w:szCs w:val="24"/>
        </w:rPr>
        <w:t xml:space="preserve">when </w:t>
      </w:r>
      <w:r>
        <w:rPr>
          <w:rFonts w:ascii="Arial" w:hAnsi="Arial" w:cs="Arial"/>
          <w:sz w:val="24"/>
          <w:szCs w:val="24"/>
        </w:rPr>
        <w:t xml:space="preserve">DENV </w:t>
      </w:r>
      <w:r w:rsidRPr="002618AA">
        <w:rPr>
          <w:rFonts w:ascii="Arial" w:hAnsi="Arial" w:cs="Arial"/>
          <w:sz w:val="24"/>
          <w:szCs w:val="24"/>
        </w:rPr>
        <w:t>infection most likely occurred</w:t>
      </w:r>
      <w:r>
        <w:rPr>
          <w:rFonts w:ascii="Arial" w:hAnsi="Arial" w:cs="Arial"/>
          <w:sz w:val="24"/>
          <w:szCs w:val="24"/>
        </w:rPr>
        <w:t xml:space="preserve"> </w:t>
      </w:r>
      <w:r>
        <w:rPr>
          <w:rFonts w:ascii="Arial" w:hAnsi="Arial" w:cs="Arial"/>
          <w:noProof/>
          <w:sz w:val="24"/>
          <w:szCs w:val="24"/>
        </w:rPr>
        <w:t>(</w:t>
      </w:r>
      <w:r w:rsidR="003C1667">
        <w:rPr>
          <w:rFonts w:ascii="Arial" w:hAnsi="Arial" w:cs="Arial"/>
          <w:noProof/>
          <w:sz w:val="24"/>
          <w:szCs w:val="24"/>
        </w:rPr>
        <w:t>Stoddard et al. 2013</w:t>
      </w:r>
      <w:r>
        <w:rPr>
          <w:rFonts w:ascii="Arial" w:hAnsi="Arial" w:cs="Arial"/>
          <w:noProof/>
          <w:sz w:val="24"/>
          <w:szCs w:val="24"/>
        </w:rPr>
        <w:t>)</w:t>
      </w:r>
      <w:r w:rsidRPr="002618AA">
        <w:rPr>
          <w:rFonts w:ascii="Arial" w:hAnsi="Arial" w:cs="Arial"/>
          <w:sz w:val="24"/>
          <w:szCs w:val="24"/>
        </w:rPr>
        <w:t>. Interviews lasted ~20 minute</w:t>
      </w:r>
      <w:r>
        <w:rPr>
          <w:rFonts w:ascii="Arial" w:hAnsi="Arial" w:cs="Arial"/>
          <w:sz w:val="24"/>
          <w:szCs w:val="24"/>
        </w:rPr>
        <w:t>s. All h</w:t>
      </w:r>
      <w:r w:rsidRPr="002618AA">
        <w:rPr>
          <w:rFonts w:ascii="Arial" w:hAnsi="Arial" w:cs="Arial"/>
          <w:sz w:val="24"/>
          <w:szCs w:val="24"/>
        </w:rPr>
        <w:t xml:space="preserve">ouseholds identified </w:t>
      </w:r>
      <w:r>
        <w:rPr>
          <w:rFonts w:ascii="Arial" w:hAnsi="Arial" w:cs="Arial"/>
          <w:sz w:val="24"/>
          <w:szCs w:val="24"/>
        </w:rPr>
        <w:t xml:space="preserve">in Iquitos </w:t>
      </w:r>
      <w:r w:rsidRPr="002618AA">
        <w:rPr>
          <w:rFonts w:ascii="Arial" w:hAnsi="Arial" w:cs="Arial"/>
          <w:sz w:val="24"/>
          <w:szCs w:val="24"/>
        </w:rPr>
        <w:t xml:space="preserve">were geocoded </w:t>
      </w:r>
      <w:r>
        <w:rPr>
          <w:rFonts w:ascii="Arial" w:hAnsi="Arial" w:cs="Arial"/>
          <w:sz w:val="24"/>
          <w:szCs w:val="24"/>
        </w:rPr>
        <w:t xml:space="preserve">in a Geographic Information System. A </w:t>
      </w:r>
      <w:r w:rsidRPr="00BA42AA">
        <w:rPr>
          <w:rFonts w:ascii="Arial" w:hAnsi="Arial" w:cs="Arial"/>
          <w:sz w:val="24"/>
          <w:szCs w:val="24"/>
        </w:rPr>
        <w:t xml:space="preserve">convalescent </w:t>
      </w:r>
      <w:r>
        <w:rPr>
          <w:rFonts w:ascii="Arial" w:hAnsi="Arial" w:cs="Arial"/>
          <w:sz w:val="24"/>
          <w:szCs w:val="24"/>
        </w:rPr>
        <w:t>blood specimen (</w:t>
      </w:r>
      <w:r w:rsidRPr="00BA42AA">
        <w:rPr>
          <w:rFonts w:ascii="Arial" w:hAnsi="Arial" w:cs="Arial"/>
          <w:sz w:val="24"/>
          <w:szCs w:val="24"/>
        </w:rPr>
        <w:t xml:space="preserve">14-21 days </w:t>
      </w:r>
      <w:r>
        <w:rPr>
          <w:rFonts w:ascii="Arial" w:hAnsi="Arial" w:cs="Arial"/>
          <w:sz w:val="24"/>
          <w:szCs w:val="24"/>
        </w:rPr>
        <w:t xml:space="preserve">after acute sample) was collected to further confirm DENV seroconversion. </w:t>
      </w:r>
    </w:p>
    <w:p w14:paraId="7C925D89" w14:textId="77777777" w:rsidR="005828E6" w:rsidRDefault="005828E6" w:rsidP="005828E6">
      <w:pPr>
        <w:rPr>
          <w:rFonts w:ascii="Arial" w:hAnsi="Arial" w:cs="Arial"/>
          <w:sz w:val="24"/>
          <w:szCs w:val="24"/>
        </w:rPr>
      </w:pPr>
      <w:bookmarkStart w:id="3" w:name="_Hlk87528527"/>
    </w:p>
    <w:p w14:paraId="22DA6231" w14:textId="73721A10" w:rsidR="00F13D75" w:rsidRDefault="005828E6" w:rsidP="009B203A">
      <w:pPr>
        <w:rPr>
          <w:rFonts w:ascii="Arial" w:hAnsi="Arial" w:cs="Arial"/>
          <w:sz w:val="24"/>
          <w:szCs w:val="24"/>
        </w:rPr>
      </w:pPr>
      <w:r>
        <w:rPr>
          <w:rFonts w:ascii="Arial" w:hAnsi="Arial" w:cs="Arial"/>
          <w:sz w:val="24"/>
          <w:szCs w:val="24"/>
        </w:rPr>
        <w:t>A</w:t>
      </w:r>
      <w:r w:rsidR="00F13D75">
        <w:rPr>
          <w:rFonts w:ascii="Arial" w:hAnsi="Arial" w:cs="Arial"/>
          <w:sz w:val="24"/>
          <w:szCs w:val="24"/>
        </w:rPr>
        <w:t xml:space="preserve">fter confirmation of a positive symptomatic dengue case, hereafter referred to as an index case, we initiated the contact-cluster investigation using geocoded maps to visit </w:t>
      </w:r>
      <w:r>
        <w:rPr>
          <w:rFonts w:ascii="Arial" w:hAnsi="Arial" w:cs="Arial"/>
          <w:sz w:val="24"/>
          <w:szCs w:val="24"/>
        </w:rPr>
        <w:t xml:space="preserve">to </w:t>
      </w:r>
      <w:r w:rsidR="00F13D75">
        <w:rPr>
          <w:rFonts w:ascii="Arial" w:hAnsi="Arial" w:cs="Arial"/>
          <w:sz w:val="24"/>
          <w:szCs w:val="24"/>
        </w:rPr>
        <w:t>all residential locations mentioned in the interview and, therefore, in the index case’s AS</w:t>
      </w:r>
      <w:bookmarkEnd w:id="3"/>
      <w:r w:rsidR="00F13D75">
        <w:rPr>
          <w:rFonts w:ascii="Arial" w:hAnsi="Arial" w:cs="Arial"/>
          <w:sz w:val="24"/>
          <w:szCs w:val="24"/>
        </w:rPr>
        <w:t xml:space="preserve">. </w:t>
      </w:r>
      <w:r w:rsidR="00F13D75" w:rsidRPr="00A52887">
        <w:rPr>
          <w:rFonts w:ascii="Arial" w:hAnsi="Arial" w:cs="Arial"/>
          <w:sz w:val="24"/>
          <w:szCs w:val="24"/>
        </w:rPr>
        <w:t>The individuals residing at those locations</w:t>
      </w:r>
      <w:r w:rsidR="00F13D75">
        <w:rPr>
          <w:rFonts w:ascii="Arial" w:hAnsi="Arial" w:cs="Arial"/>
          <w:sz w:val="24"/>
          <w:szCs w:val="24"/>
        </w:rPr>
        <w:t>, hereafter referred to as contacts,</w:t>
      </w:r>
      <w:r w:rsidR="00F13D75" w:rsidRPr="00A52887">
        <w:rPr>
          <w:rFonts w:ascii="Arial" w:hAnsi="Arial" w:cs="Arial"/>
          <w:sz w:val="24"/>
          <w:szCs w:val="24"/>
        </w:rPr>
        <w:t xml:space="preserve"> were </w:t>
      </w:r>
      <w:r w:rsidR="00F13D75">
        <w:rPr>
          <w:rFonts w:ascii="Arial" w:hAnsi="Arial" w:cs="Arial"/>
          <w:sz w:val="24"/>
          <w:szCs w:val="24"/>
        </w:rPr>
        <w:t xml:space="preserve">invited to </w:t>
      </w:r>
      <w:r w:rsidR="00F13D75" w:rsidRPr="00A52887">
        <w:rPr>
          <w:rFonts w:ascii="Arial" w:hAnsi="Arial" w:cs="Arial"/>
          <w:sz w:val="24"/>
          <w:szCs w:val="24"/>
        </w:rPr>
        <w:t>enrol</w:t>
      </w:r>
      <w:r w:rsidR="00F13D75">
        <w:rPr>
          <w:rFonts w:ascii="Arial" w:hAnsi="Arial" w:cs="Arial"/>
          <w:sz w:val="24"/>
          <w:szCs w:val="24"/>
        </w:rPr>
        <w:t>l</w:t>
      </w:r>
      <w:r w:rsidR="00F13D75" w:rsidRPr="00A52887">
        <w:rPr>
          <w:rFonts w:ascii="Arial" w:hAnsi="Arial" w:cs="Arial"/>
          <w:sz w:val="24"/>
          <w:szCs w:val="24"/>
        </w:rPr>
        <w:t xml:space="preserve"> as participants </w:t>
      </w:r>
      <w:r w:rsidR="00F13D75">
        <w:rPr>
          <w:rFonts w:ascii="Arial" w:hAnsi="Arial" w:cs="Arial"/>
          <w:sz w:val="24"/>
          <w:szCs w:val="24"/>
        </w:rPr>
        <w:t>in</w:t>
      </w:r>
      <w:r w:rsidR="00F13D75" w:rsidRPr="00A52887">
        <w:rPr>
          <w:rFonts w:ascii="Arial" w:hAnsi="Arial" w:cs="Arial"/>
          <w:sz w:val="24"/>
          <w:szCs w:val="24"/>
        </w:rPr>
        <w:t xml:space="preserve"> the study</w:t>
      </w:r>
      <w:r w:rsidR="00F13D75">
        <w:rPr>
          <w:rFonts w:ascii="Arial" w:hAnsi="Arial" w:cs="Arial"/>
          <w:sz w:val="24"/>
          <w:szCs w:val="24"/>
        </w:rPr>
        <w:t xml:space="preserve">, following the same procedures as for an index case. All consenting contacts </w:t>
      </w:r>
      <w:r w:rsidR="00F13D75" w:rsidRPr="007B4AE2">
        <w:rPr>
          <w:rFonts w:ascii="Arial" w:hAnsi="Arial" w:cs="Arial"/>
          <w:sz w:val="24"/>
          <w:szCs w:val="24"/>
        </w:rPr>
        <w:t>were invited to provid</w:t>
      </w:r>
      <w:r w:rsidR="00F13D75">
        <w:rPr>
          <w:rFonts w:ascii="Arial" w:hAnsi="Arial" w:cs="Arial"/>
          <w:sz w:val="24"/>
          <w:szCs w:val="24"/>
        </w:rPr>
        <w:t>e</w:t>
      </w:r>
      <w:r w:rsidR="00F13D75" w:rsidRPr="007B4AE2">
        <w:rPr>
          <w:rFonts w:ascii="Arial" w:hAnsi="Arial" w:cs="Arial"/>
          <w:sz w:val="24"/>
          <w:szCs w:val="24"/>
        </w:rPr>
        <w:t xml:space="preserve"> </w:t>
      </w:r>
      <w:r w:rsidR="00F13D75">
        <w:rPr>
          <w:rFonts w:ascii="Arial" w:hAnsi="Arial" w:cs="Arial"/>
          <w:sz w:val="24"/>
          <w:szCs w:val="24"/>
        </w:rPr>
        <w:t xml:space="preserve">two </w:t>
      </w:r>
      <w:r w:rsidR="00F13D75" w:rsidRPr="007B4AE2">
        <w:rPr>
          <w:rFonts w:ascii="Arial" w:hAnsi="Arial" w:cs="Arial"/>
          <w:sz w:val="24"/>
          <w:szCs w:val="24"/>
        </w:rPr>
        <w:t xml:space="preserve">blood samples 14-21 days apart for diagnosis of DENV infection. </w:t>
      </w:r>
      <w:r w:rsidR="00F13D75">
        <w:rPr>
          <w:rFonts w:ascii="Arial" w:hAnsi="Arial" w:cs="Arial"/>
          <w:sz w:val="24"/>
          <w:szCs w:val="24"/>
        </w:rPr>
        <w:t xml:space="preserve">Index and contact households </w:t>
      </w:r>
      <w:r w:rsidR="00F13D75" w:rsidRPr="007B4AE2">
        <w:rPr>
          <w:rFonts w:ascii="Arial" w:hAnsi="Arial" w:cs="Arial"/>
          <w:sz w:val="24"/>
          <w:szCs w:val="24"/>
        </w:rPr>
        <w:t>were visited every other day for 2-3 week</w:t>
      </w:r>
      <w:r w:rsidR="00F13D75">
        <w:rPr>
          <w:rFonts w:ascii="Arial" w:hAnsi="Arial" w:cs="Arial"/>
          <w:sz w:val="24"/>
          <w:szCs w:val="24"/>
        </w:rPr>
        <w:t>s</w:t>
      </w:r>
      <w:r w:rsidR="00F13D75" w:rsidRPr="007B4AE2">
        <w:rPr>
          <w:rFonts w:ascii="Arial" w:hAnsi="Arial" w:cs="Arial"/>
          <w:sz w:val="24"/>
          <w:szCs w:val="24"/>
        </w:rPr>
        <w:t xml:space="preserve"> to inquire about fever and other dengue symptoms. Individuals developing a fever during a cluster investigation</w:t>
      </w:r>
      <w:r w:rsidR="00F13D75">
        <w:rPr>
          <w:rFonts w:ascii="Arial" w:hAnsi="Arial" w:cs="Arial"/>
          <w:sz w:val="24"/>
          <w:szCs w:val="24"/>
        </w:rPr>
        <w:t xml:space="preserve"> and laboratory confirmed as DENV infected were considered symptomatic. Individuals not reporting a fever or other </w:t>
      </w:r>
      <w:r>
        <w:rPr>
          <w:rFonts w:ascii="Arial" w:hAnsi="Arial" w:cs="Arial"/>
          <w:sz w:val="24"/>
          <w:szCs w:val="24"/>
        </w:rPr>
        <w:t xml:space="preserve">signs of </w:t>
      </w:r>
      <w:r w:rsidR="00F13D75">
        <w:rPr>
          <w:rFonts w:ascii="Arial" w:hAnsi="Arial" w:cs="Arial"/>
          <w:sz w:val="24"/>
          <w:szCs w:val="24"/>
        </w:rPr>
        <w:t>dengue</w:t>
      </w:r>
      <w:r>
        <w:rPr>
          <w:rFonts w:ascii="Arial" w:hAnsi="Arial" w:cs="Arial"/>
          <w:sz w:val="24"/>
          <w:szCs w:val="24"/>
        </w:rPr>
        <w:t>-like</w:t>
      </w:r>
      <w:r w:rsidR="00F13D75">
        <w:rPr>
          <w:rFonts w:ascii="Arial" w:hAnsi="Arial" w:cs="Arial"/>
          <w:sz w:val="24"/>
          <w:szCs w:val="24"/>
        </w:rPr>
        <w:t xml:space="preserve"> illness over the duration of the </w:t>
      </w:r>
      <w:proofErr w:type="gramStart"/>
      <w:r w:rsidR="00F13D75">
        <w:rPr>
          <w:rFonts w:ascii="Arial" w:hAnsi="Arial" w:cs="Arial"/>
          <w:sz w:val="24"/>
          <w:szCs w:val="24"/>
        </w:rPr>
        <w:t>14-21 day</w:t>
      </w:r>
      <w:proofErr w:type="gramEnd"/>
      <w:r w:rsidR="00F13D75">
        <w:rPr>
          <w:rFonts w:ascii="Arial" w:hAnsi="Arial" w:cs="Arial"/>
          <w:sz w:val="24"/>
          <w:szCs w:val="24"/>
        </w:rPr>
        <w:t xml:space="preserve"> follow-up, but </w:t>
      </w:r>
      <w:r>
        <w:rPr>
          <w:rFonts w:ascii="Arial" w:hAnsi="Arial" w:cs="Arial"/>
          <w:sz w:val="24"/>
          <w:szCs w:val="24"/>
        </w:rPr>
        <w:t xml:space="preserve">were </w:t>
      </w:r>
      <w:r w:rsidR="00F13D75">
        <w:rPr>
          <w:rFonts w:ascii="Arial" w:hAnsi="Arial" w:cs="Arial"/>
          <w:sz w:val="24"/>
          <w:szCs w:val="24"/>
        </w:rPr>
        <w:t>positive by laboratory diagnosis, were considered as ‘inapparent infection</w:t>
      </w:r>
      <w:r w:rsidR="000253D8">
        <w:rPr>
          <w:rFonts w:ascii="Arial" w:hAnsi="Arial" w:cs="Arial"/>
          <w:sz w:val="24"/>
          <w:szCs w:val="24"/>
        </w:rPr>
        <w:t>s.’ W</w:t>
      </w:r>
      <w:r w:rsidR="00F13D75">
        <w:rPr>
          <w:rFonts w:ascii="Arial" w:hAnsi="Arial" w:cs="Arial"/>
          <w:sz w:val="24"/>
          <w:szCs w:val="24"/>
        </w:rPr>
        <w:t xml:space="preserve">hile </w:t>
      </w:r>
      <w:r w:rsidR="000253D8">
        <w:rPr>
          <w:rFonts w:ascii="Arial" w:hAnsi="Arial" w:cs="Arial"/>
          <w:sz w:val="24"/>
          <w:szCs w:val="24"/>
        </w:rPr>
        <w:t>we refer to them as</w:t>
      </w:r>
      <w:r w:rsidR="00F13D75">
        <w:rPr>
          <w:rFonts w:ascii="Arial" w:hAnsi="Arial" w:cs="Arial"/>
          <w:sz w:val="24"/>
          <w:szCs w:val="24"/>
        </w:rPr>
        <w:t xml:space="preserve"> ‘</w:t>
      </w:r>
      <w:r w:rsidR="003C7D7C">
        <w:rPr>
          <w:rFonts w:ascii="Arial" w:hAnsi="Arial" w:cs="Arial"/>
          <w:sz w:val="24"/>
          <w:szCs w:val="24"/>
        </w:rPr>
        <w:t>inapparent</w:t>
      </w:r>
      <w:r w:rsidR="000253D8">
        <w:rPr>
          <w:rFonts w:ascii="Arial" w:hAnsi="Arial" w:cs="Arial"/>
          <w:sz w:val="24"/>
          <w:szCs w:val="24"/>
        </w:rPr>
        <w:t>,’</w:t>
      </w:r>
      <w:r w:rsidR="00F13D75">
        <w:rPr>
          <w:rFonts w:ascii="Arial" w:hAnsi="Arial" w:cs="Arial"/>
          <w:sz w:val="24"/>
          <w:szCs w:val="24"/>
        </w:rPr>
        <w:t xml:space="preserve"> we cannot rule out mild and unspecific symptoms that were not self-reported </w:t>
      </w:r>
      <w:r>
        <w:rPr>
          <w:rFonts w:ascii="Arial" w:hAnsi="Arial" w:cs="Arial"/>
          <w:sz w:val="24"/>
          <w:szCs w:val="24"/>
        </w:rPr>
        <w:t>or detected by</w:t>
      </w:r>
      <w:r w:rsidR="00F13D75">
        <w:rPr>
          <w:rFonts w:ascii="Arial" w:hAnsi="Arial" w:cs="Arial"/>
          <w:sz w:val="24"/>
          <w:szCs w:val="24"/>
        </w:rPr>
        <w:t xml:space="preserve"> study nurse</w:t>
      </w:r>
      <w:r w:rsidR="000253D8">
        <w:rPr>
          <w:rFonts w:ascii="Arial" w:hAnsi="Arial" w:cs="Arial"/>
          <w:sz w:val="24"/>
          <w:szCs w:val="24"/>
        </w:rPr>
        <w:t>s</w:t>
      </w:r>
      <w:r w:rsidR="00F13D75">
        <w:rPr>
          <w:rFonts w:ascii="Arial" w:hAnsi="Arial" w:cs="Arial"/>
          <w:sz w:val="24"/>
          <w:szCs w:val="24"/>
        </w:rPr>
        <w:t xml:space="preserve">. </w:t>
      </w:r>
    </w:p>
    <w:p w14:paraId="2EF5C68C" w14:textId="77777777" w:rsidR="00F13D75" w:rsidRDefault="00F13D75" w:rsidP="00F13D75">
      <w:pPr>
        <w:rPr>
          <w:rFonts w:ascii="Arial" w:hAnsi="Arial" w:cs="Arial"/>
          <w:sz w:val="24"/>
          <w:szCs w:val="24"/>
        </w:rPr>
      </w:pPr>
    </w:p>
    <w:p w14:paraId="25CEAD0C" w14:textId="2BA6B7F5" w:rsidR="00F13D75" w:rsidRDefault="00F13D75" w:rsidP="00F13D75">
      <w:pPr>
        <w:rPr>
          <w:rFonts w:ascii="Arial" w:hAnsi="Arial" w:cs="Arial"/>
          <w:sz w:val="24"/>
          <w:szCs w:val="24"/>
        </w:rPr>
      </w:pPr>
      <w:r w:rsidRPr="00625BAC">
        <w:rPr>
          <w:rFonts w:ascii="Arial" w:hAnsi="Arial" w:cs="Arial"/>
          <w:b/>
          <w:bCs/>
          <w:sz w:val="24"/>
          <w:szCs w:val="24"/>
        </w:rPr>
        <w:t>Sample processing.</w:t>
      </w:r>
      <w:r>
        <w:rPr>
          <w:rFonts w:ascii="Arial" w:hAnsi="Arial" w:cs="Arial"/>
          <w:sz w:val="24"/>
          <w:szCs w:val="24"/>
        </w:rPr>
        <w:t xml:space="preserve"> Four-dilution plaque reduction neutralization tests (PRNT) with a 70% cutoff for all four DENV serotypes was used to determine the level of susceptibility in the longitudinal cohort </w:t>
      </w:r>
      <w:r>
        <w:rPr>
          <w:rFonts w:ascii="Arial" w:hAnsi="Arial" w:cs="Arial"/>
          <w:noProof/>
          <w:sz w:val="24"/>
          <w:szCs w:val="24"/>
        </w:rPr>
        <w:t>(</w:t>
      </w:r>
      <w:r w:rsidR="003C1667">
        <w:rPr>
          <w:rFonts w:ascii="Arial" w:hAnsi="Arial" w:cs="Arial"/>
          <w:noProof/>
          <w:sz w:val="24"/>
          <w:szCs w:val="24"/>
        </w:rPr>
        <w:t>Morrison et al. 2010</w:t>
      </w:r>
      <w:r>
        <w:rPr>
          <w:rFonts w:ascii="Arial" w:hAnsi="Arial" w:cs="Arial"/>
          <w:noProof/>
          <w:sz w:val="24"/>
          <w:szCs w:val="24"/>
        </w:rPr>
        <w:t>)</w:t>
      </w:r>
      <w:r w:rsidR="00160493">
        <w:rPr>
          <w:rFonts w:ascii="Arial" w:hAnsi="Arial" w:cs="Arial"/>
          <w:noProof/>
          <w:sz w:val="24"/>
          <w:szCs w:val="24"/>
        </w:rPr>
        <w:t xml:space="preserve"> which included a subset of members of each AS</w:t>
      </w:r>
      <w:r>
        <w:rPr>
          <w:rFonts w:ascii="Arial" w:hAnsi="Arial" w:cs="Arial"/>
          <w:sz w:val="24"/>
          <w:szCs w:val="24"/>
        </w:rPr>
        <w:t>.</w:t>
      </w:r>
      <w:r w:rsidRPr="00625BAC">
        <w:rPr>
          <w:rFonts w:ascii="Arial" w:hAnsi="Arial" w:cs="Arial"/>
          <w:sz w:val="24"/>
          <w:szCs w:val="24"/>
        </w:rPr>
        <w:t xml:space="preserve"> Acute </w:t>
      </w:r>
      <w:r>
        <w:rPr>
          <w:rFonts w:ascii="Arial" w:hAnsi="Arial" w:cs="Arial"/>
          <w:sz w:val="24"/>
          <w:szCs w:val="24"/>
        </w:rPr>
        <w:t xml:space="preserve">blood specimens were tested by RT-PCR. Acute </w:t>
      </w:r>
      <w:r w:rsidRPr="00625BAC">
        <w:rPr>
          <w:rFonts w:ascii="Arial" w:hAnsi="Arial" w:cs="Arial"/>
          <w:sz w:val="24"/>
          <w:szCs w:val="24"/>
        </w:rPr>
        <w:t>and convalescent samples were assayed for DENV-specific IgM by antibody-capture ELISA</w:t>
      </w:r>
      <w:r>
        <w:rPr>
          <w:rFonts w:ascii="Arial" w:hAnsi="Arial" w:cs="Arial"/>
          <w:sz w:val="24"/>
          <w:szCs w:val="24"/>
        </w:rPr>
        <w:t xml:space="preserve"> </w:t>
      </w:r>
      <w:r>
        <w:rPr>
          <w:rFonts w:ascii="Arial" w:hAnsi="Arial" w:cs="Arial"/>
          <w:noProof/>
          <w:sz w:val="24"/>
          <w:szCs w:val="24"/>
        </w:rPr>
        <w:t>(1, 2, 4)</w:t>
      </w:r>
      <w:r>
        <w:rPr>
          <w:rFonts w:ascii="Arial" w:hAnsi="Arial" w:cs="Arial"/>
          <w:sz w:val="24"/>
          <w:szCs w:val="24"/>
        </w:rPr>
        <w:t xml:space="preserve">. Index cases for contact cluster investigations were primarily identified by RT-PCR given </w:t>
      </w:r>
      <w:r>
        <w:rPr>
          <w:rFonts w:ascii="Arial" w:hAnsi="Arial" w:cs="Arial"/>
          <w:sz w:val="24"/>
          <w:szCs w:val="24"/>
        </w:rPr>
        <w:lastRenderedPageBreak/>
        <w:t xml:space="preserve">the need to reach all contact locations within 48h of initial detection. All index cases were subsequently confirmed by IgM ELISA on acute-convalescent samples. </w:t>
      </w:r>
      <w:r w:rsidR="00160493">
        <w:rPr>
          <w:rFonts w:ascii="Arial" w:hAnsi="Arial" w:cs="Arial"/>
          <w:sz w:val="24"/>
          <w:szCs w:val="24"/>
        </w:rPr>
        <w:t xml:space="preserve">Molecular </w:t>
      </w:r>
      <w:r w:rsidR="00396971">
        <w:rPr>
          <w:rFonts w:ascii="Arial" w:hAnsi="Arial" w:cs="Arial"/>
          <w:sz w:val="24"/>
          <w:szCs w:val="24"/>
        </w:rPr>
        <w:t xml:space="preserve">assays </w:t>
      </w:r>
      <w:r>
        <w:rPr>
          <w:rFonts w:ascii="Arial" w:hAnsi="Arial" w:cs="Arial"/>
          <w:sz w:val="24"/>
          <w:szCs w:val="24"/>
        </w:rPr>
        <w:t>were conducted at the Virology Laboratory of NAMRU-Unit 6 in Iquitos</w:t>
      </w:r>
      <w:r w:rsidR="00160493">
        <w:rPr>
          <w:rFonts w:ascii="Arial" w:hAnsi="Arial" w:cs="Arial"/>
          <w:sz w:val="24"/>
          <w:szCs w:val="24"/>
        </w:rPr>
        <w:t>, whereas PRNTs were conducted in the virology lab at NAMRU Lima</w:t>
      </w:r>
      <w:r>
        <w:rPr>
          <w:rFonts w:ascii="Arial" w:hAnsi="Arial" w:cs="Arial"/>
          <w:sz w:val="24"/>
          <w:szCs w:val="24"/>
        </w:rPr>
        <w:t xml:space="preserve">. </w:t>
      </w:r>
    </w:p>
    <w:p w14:paraId="04D16414" w14:textId="77777777" w:rsidR="00F13D75" w:rsidRDefault="00F13D75" w:rsidP="00F13D75">
      <w:pPr>
        <w:rPr>
          <w:rFonts w:ascii="Arial" w:hAnsi="Arial" w:cs="Arial"/>
          <w:sz w:val="24"/>
          <w:szCs w:val="24"/>
        </w:rPr>
      </w:pPr>
    </w:p>
    <w:p w14:paraId="2AC42645" w14:textId="2A89031E" w:rsidR="00F13D75" w:rsidRDefault="00F13D75" w:rsidP="00F13D75">
      <w:pPr>
        <w:pStyle w:val="BodyText"/>
        <w:kinsoku w:val="0"/>
        <w:overflowPunct w:val="0"/>
        <w:rPr>
          <w:rFonts w:ascii="Arial" w:hAnsi="Arial" w:cs="Arial"/>
          <w:color w:val="131413"/>
          <w:sz w:val="24"/>
          <w:szCs w:val="24"/>
        </w:rPr>
      </w:pPr>
      <w:r>
        <w:rPr>
          <w:rFonts w:ascii="Arial" w:hAnsi="Arial" w:cs="Arial"/>
          <w:b/>
          <w:sz w:val="24"/>
          <w:szCs w:val="24"/>
        </w:rPr>
        <w:t>Estimates of individual susceptibility to DENV at the AS level</w:t>
      </w:r>
      <w:r w:rsidR="003C1667">
        <w:rPr>
          <w:rFonts w:ascii="Arial" w:hAnsi="Arial" w:cs="Arial"/>
          <w:b/>
          <w:sz w:val="24"/>
          <w:szCs w:val="24"/>
        </w:rPr>
        <w:t xml:space="preserve">. </w:t>
      </w:r>
      <w:r>
        <w:rPr>
          <w:rFonts w:ascii="Arial" w:hAnsi="Arial" w:cs="Arial"/>
          <w:sz w:val="24"/>
          <w:szCs w:val="24"/>
        </w:rPr>
        <w:t xml:space="preserve">Within an AS, </w:t>
      </w:r>
      <w:r w:rsidR="000430EA">
        <w:rPr>
          <w:rFonts w:ascii="Arial" w:hAnsi="Arial" w:cs="Arial"/>
          <w:sz w:val="24"/>
          <w:szCs w:val="24"/>
        </w:rPr>
        <w:t xml:space="preserve">we </w:t>
      </w:r>
      <w:r>
        <w:rPr>
          <w:rFonts w:ascii="Arial" w:hAnsi="Arial" w:cs="Arial"/>
          <w:sz w:val="24"/>
          <w:szCs w:val="24"/>
        </w:rPr>
        <w:t>characterize</w:t>
      </w:r>
      <w:r w:rsidR="000430EA">
        <w:rPr>
          <w:rFonts w:ascii="Arial" w:hAnsi="Arial" w:cs="Arial"/>
          <w:sz w:val="24"/>
          <w:szCs w:val="24"/>
        </w:rPr>
        <w:t>d</w:t>
      </w:r>
      <w:r>
        <w:rPr>
          <w:rFonts w:ascii="Arial" w:hAnsi="Arial" w:cs="Arial"/>
          <w:sz w:val="24"/>
          <w:szCs w:val="24"/>
        </w:rPr>
        <w:t xml:space="preserve"> susceptibility as the proportion of </w:t>
      </w:r>
      <w:r w:rsidR="000430EA">
        <w:rPr>
          <w:rFonts w:ascii="Arial" w:hAnsi="Arial" w:cs="Arial"/>
          <w:sz w:val="24"/>
          <w:szCs w:val="24"/>
        </w:rPr>
        <w:t xml:space="preserve">susceptible </w:t>
      </w:r>
      <w:r>
        <w:rPr>
          <w:rFonts w:ascii="Arial" w:hAnsi="Arial" w:cs="Arial"/>
          <w:sz w:val="24"/>
          <w:szCs w:val="24"/>
        </w:rPr>
        <w:t>individuals</w:t>
      </w:r>
      <w:r w:rsidR="00160493">
        <w:rPr>
          <w:rFonts w:ascii="Arial" w:hAnsi="Arial" w:cs="Arial"/>
          <w:sz w:val="24"/>
          <w:szCs w:val="24"/>
        </w:rPr>
        <w:t xml:space="preserve"> who provided a PRNT blood sample</w:t>
      </w:r>
      <w:r>
        <w:rPr>
          <w:rFonts w:ascii="Arial" w:hAnsi="Arial" w:cs="Arial"/>
          <w:sz w:val="24"/>
          <w:szCs w:val="24"/>
        </w:rPr>
        <w:t xml:space="preserve">. </w:t>
      </w:r>
      <w:r>
        <w:rPr>
          <w:rFonts w:ascii="Arial" w:hAnsi="Arial" w:cs="Arial"/>
          <w:color w:val="131413"/>
          <w:sz w:val="24"/>
          <w:szCs w:val="24"/>
        </w:rPr>
        <w:t>The susceptibility to the prevailing DENV serotype, S</w:t>
      </w:r>
      <w:r w:rsidRPr="00891E64">
        <w:rPr>
          <w:rFonts w:ascii="Arial" w:hAnsi="Arial" w:cs="Arial"/>
          <w:color w:val="131413"/>
          <w:sz w:val="24"/>
          <w:szCs w:val="24"/>
          <w:vertAlign w:val="subscript"/>
        </w:rPr>
        <w:t>i</w:t>
      </w:r>
      <w:r>
        <w:rPr>
          <w:rFonts w:ascii="Arial" w:hAnsi="Arial" w:cs="Arial"/>
          <w:color w:val="131413"/>
          <w:sz w:val="24"/>
          <w:szCs w:val="24"/>
        </w:rPr>
        <w:t>, was calculated as:</w:t>
      </w:r>
    </w:p>
    <w:p w14:paraId="41FD00A1" w14:textId="77777777" w:rsidR="00F13D75" w:rsidRDefault="00F13D75" w:rsidP="00F13D75">
      <w:pPr>
        <w:pStyle w:val="BodyText"/>
        <w:kinsoku w:val="0"/>
        <w:overflowPunct w:val="0"/>
        <w:rPr>
          <w:rFonts w:ascii="Arial" w:hAnsi="Arial" w:cs="Arial"/>
          <w:color w:val="131413"/>
          <w:sz w:val="24"/>
          <w:szCs w:val="24"/>
        </w:rPr>
      </w:pPr>
    </w:p>
    <w:p w14:paraId="220DF8FB" w14:textId="77777777" w:rsidR="00F13D75" w:rsidRDefault="00000000" w:rsidP="00F13D75">
      <w:pPr>
        <w:pStyle w:val="BodyText"/>
        <w:kinsoku w:val="0"/>
        <w:overflowPunct w:val="0"/>
        <w:jc w:val="center"/>
        <w:rPr>
          <w:rFonts w:ascii="Arial" w:hAnsi="Arial" w:cs="Arial"/>
          <w:color w:val="131413"/>
          <w:sz w:val="24"/>
          <w:szCs w:val="24"/>
        </w:rPr>
      </w:pPr>
      <m:oMath>
        <m:sSub>
          <m:sSubPr>
            <m:ctrlPr>
              <w:rPr>
                <w:rFonts w:ascii="Cambria Math" w:eastAsiaTheme="minorHAnsi" w:hAnsi="Cambria Math" w:cs="Arial"/>
                <w:i/>
                <w:color w:val="131413"/>
                <w:sz w:val="24"/>
                <w:szCs w:val="24"/>
              </w:rPr>
            </m:ctrlPr>
          </m:sSubPr>
          <m:e>
            <m:r>
              <w:rPr>
                <w:rFonts w:ascii="Cambria Math" w:hAnsi="Cambria Math" w:cs="Arial"/>
                <w:color w:val="131413"/>
                <w:sz w:val="24"/>
                <w:szCs w:val="24"/>
              </w:rPr>
              <m:t>S</m:t>
            </m:r>
          </m:e>
          <m:sub>
            <m:r>
              <w:rPr>
                <w:rFonts w:ascii="Cambria Math" w:hAnsi="Cambria Math" w:cs="Arial"/>
                <w:color w:val="131413"/>
                <w:sz w:val="24"/>
                <w:szCs w:val="24"/>
              </w:rPr>
              <m:t>i</m:t>
            </m:r>
          </m:sub>
        </m:sSub>
        <m:r>
          <w:rPr>
            <w:rFonts w:ascii="Cambria Math" w:hAnsi="Cambria Math" w:cs="Arial"/>
            <w:color w:val="131413"/>
            <w:sz w:val="24"/>
            <w:szCs w:val="24"/>
          </w:rPr>
          <m:t>= 1-</m:t>
        </m:r>
        <m:d>
          <m:dPr>
            <m:ctrlPr>
              <w:rPr>
                <w:rFonts w:ascii="Cambria Math" w:eastAsiaTheme="minorHAnsi" w:hAnsi="Cambria Math" w:cs="Arial"/>
                <w:i/>
                <w:color w:val="131413"/>
                <w:sz w:val="24"/>
                <w:szCs w:val="24"/>
              </w:rPr>
            </m:ctrlPr>
          </m:dPr>
          <m:e>
            <m:f>
              <m:fPr>
                <m:ctrlPr>
                  <w:rPr>
                    <w:rFonts w:ascii="Cambria Math" w:eastAsiaTheme="minorHAnsi" w:hAnsi="Cambria Math" w:cs="Arial"/>
                    <w:i/>
                    <w:color w:val="131413"/>
                    <w:sz w:val="24"/>
                    <w:szCs w:val="24"/>
                  </w:rPr>
                </m:ctrlPr>
              </m:fPr>
              <m:num>
                <m:sSub>
                  <m:sSubPr>
                    <m:ctrlPr>
                      <w:rPr>
                        <w:rFonts w:ascii="Cambria Math" w:eastAsiaTheme="minorHAnsi" w:hAnsi="Cambria Math" w:cs="Arial"/>
                        <w:i/>
                        <w:color w:val="131413"/>
                        <w:sz w:val="24"/>
                        <w:szCs w:val="24"/>
                      </w:rPr>
                    </m:ctrlPr>
                  </m:sSubPr>
                  <m:e>
                    <m:r>
                      <w:rPr>
                        <w:rFonts w:ascii="Cambria Math" w:hAnsi="Cambria Math" w:cs="Arial"/>
                        <w:color w:val="131413"/>
                        <w:sz w:val="24"/>
                        <w:szCs w:val="24"/>
                      </w:rPr>
                      <m:t>N</m:t>
                    </m:r>
                  </m:e>
                  <m:sub>
                    <m:r>
                      <w:rPr>
                        <w:rFonts w:ascii="Cambria Math" w:hAnsi="Cambria Math" w:cs="Arial"/>
                        <w:color w:val="131413"/>
                        <w:sz w:val="24"/>
                        <w:szCs w:val="24"/>
                      </w:rPr>
                      <m:t>PRNT70</m:t>
                    </m:r>
                  </m:sub>
                </m:sSub>
              </m:num>
              <m:den>
                <m:r>
                  <w:rPr>
                    <w:rFonts w:ascii="Cambria Math" w:hAnsi="Cambria Math" w:cs="Arial"/>
                    <w:color w:val="131413"/>
                    <w:sz w:val="24"/>
                    <w:szCs w:val="24"/>
                  </w:rPr>
                  <m:t>N</m:t>
                </m:r>
              </m:den>
            </m:f>
          </m:e>
        </m:d>
      </m:oMath>
      <w:r w:rsidR="00F13D75">
        <w:rPr>
          <w:rFonts w:ascii="Arial" w:hAnsi="Arial" w:cs="Arial"/>
          <w:color w:val="131413"/>
          <w:sz w:val="24"/>
          <w:szCs w:val="24"/>
        </w:rPr>
        <w:t>,</w:t>
      </w:r>
    </w:p>
    <w:p w14:paraId="0D157C85" w14:textId="77777777" w:rsidR="00F13D75" w:rsidRDefault="00F13D75" w:rsidP="00F13D75">
      <w:pPr>
        <w:pStyle w:val="BodyText"/>
        <w:kinsoku w:val="0"/>
        <w:overflowPunct w:val="0"/>
        <w:jc w:val="center"/>
        <w:rPr>
          <w:rFonts w:ascii="Arial" w:hAnsi="Arial" w:cs="Arial"/>
          <w:color w:val="131413"/>
          <w:sz w:val="24"/>
          <w:szCs w:val="24"/>
        </w:rPr>
      </w:pPr>
    </w:p>
    <w:p w14:paraId="0C56AACC" w14:textId="5E62D5EF" w:rsidR="00F13D75" w:rsidRDefault="00F13D75" w:rsidP="00F13D75">
      <w:pPr>
        <w:pStyle w:val="BodyText"/>
        <w:kinsoku w:val="0"/>
        <w:overflowPunct w:val="0"/>
        <w:rPr>
          <w:rFonts w:ascii="Arial" w:hAnsi="Arial" w:cs="Arial"/>
          <w:color w:val="131413"/>
          <w:sz w:val="24"/>
          <w:szCs w:val="24"/>
        </w:rPr>
      </w:pPr>
      <w:r>
        <w:rPr>
          <w:rFonts w:ascii="Arial" w:hAnsi="Arial" w:cs="Arial"/>
          <w:color w:val="131413"/>
          <w:sz w:val="24"/>
          <w:szCs w:val="24"/>
        </w:rPr>
        <w:t>where N</w:t>
      </w:r>
      <w:r w:rsidRPr="00565E03">
        <w:rPr>
          <w:rFonts w:ascii="Arial" w:hAnsi="Arial" w:cs="Arial"/>
          <w:color w:val="131413"/>
          <w:sz w:val="24"/>
          <w:szCs w:val="24"/>
          <w:vertAlign w:val="subscript"/>
        </w:rPr>
        <w:t>PRNT70</w:t>
      </w:r>
      <w:r>
        <w:rPr>
          <w:rFonts w:ascii="Arial" w:hAnsi="Arial" w:cs="Arial"/>
          <w:color w:val="131413"/>
          <w:sz w:val="24"/>
          <w:szCs w:val="24"/>
        </w:rPr>
        <w:t xml:space="preserve"> is the count of individuals within an AS whose PRNT score for a given DENV serotype was above </w:t>
      </w:r>
      <w:r w:rsidR="009B203A">
        <w:rPr>
          <w:rFonts w:ascii="Arial" w:hAnsi="Arial" w:cs="Arial"/>
          <w:color w:val="131413"/>
          <w:sz w:val="24"/>
          <w:szCs w:val="24"/>
        </w:rPr>
        <w:t xml:space="preserve">a predefined cut-off dilution (1:60 for DENV1 and DENV3, </w:t>
      </w:r>
      <w:r w:rsidR="00160493">
        <w:rPr>
          <w:rFonts w:ascii="Arial" w:hAnsi="Arial" w:cs="Arial"/>
          <w:color w:val="131413"/>
          <w:sz w:val="24"/>
          <w:szCs w:val="24"/>
        </w:rPr>
        <w:t>1:80 for DENV 2 and 1:40 for DENV4)</w:t>
      </w:r>
      <w:r w:rsidR="00160493">
        <w:rPr>
          <w:rStyle w:val="CommentReference"/>
        </w:rPr>
        <w:t xml:space="preserve"> </w:t>
      </w:r>
      <w:r>
        <w:rPr>
          <w:rFonts w:ascii="Arial" w:hAnsi="Arial" w:cs="Arial"/>
          <w:color w:val="131413"/>
          <w:sz w:val="24"/>
          <w:szCs w:val="24"/>
        </w:rPr>
        <w:t xml:space="preserve">, relative to </w:t>
      </w:r>
      <w:r w:rsidRPr="00A102FA">
        <w:rPr>
          <w:rFonts w:ascii="Arial" w:hAnsi="Arial" w:cs="Arial"/>
          <w:i/>
          <w:iCs/>
          <w:color w:val="131413"/>
          <w:sz w:val="24"/>
          <w:szCs w:val="24"/>
        </w:rPr>
        <w:t>N</w:t>
      </w:r>
      <w:r>
        <w:rPr>
          <w:rFonts w:ascii="Arial" w:hAnsi="Arial" w:cs="Arial"/>
          <w:color w:val="131413"/>
          <w:sz w:val="24"/>
          <w:szCs w:val="24"/>
        </w:rPr>
        <w:t xml:space="preserve">, the total individuals tested in that AS. </w:t>
      </w:r>
      <w:r w:rsidRPr="00A102FA">
        <w:rPr>
          <w:rFonts w:ascii="Arial" w:hAnsi="Arial" w:cs="Arial"/>
          <w:i/>
          <w:iCs/>
          <w:color w:val="131413"/>
          <w:sz w:val="24"/>
          <w:szCs w:val="24"/>
        </w:rPr>
        <w:t>S</w:t>
      </w:r>
      <w:r w:rsidRPr="00A102FA">
        <w:rPr>
          <w:rFonts w:ascii="Arial" w:hAnsi="Arial" w:cs="Arial"/>
          <w:i/>
          <w:iCs/>
          <w:color w:val="131413"/>
          <w:sz w:val="24"/>
          <w:szCs w:val="24"/>
          <w:vertAlign w:val="subscript"/>
        </w:rPr>
        <w:t>i</w:t>
      </w:r>
      <w:r>
        <w:rPr>
          <w:rFonts w:ascii="Arial" w:hAnsi="Arial" w:cs="Arial"/>
          <w:color w:val="131413"/>
          <w:sz w:val="24"/>
          <w:szCs w:val="24"/>
        </w:rPr>
        <w:t xml:space="preserve"> takes values from 0 to 1, where </w:t>
      </w:r>
      <w:r w:rsidR="007414F7">
        <w:rPr>
          <w:rFonts w:ascii="Arial" w:hAnsi="Arial" w:cs="Arial"/>
          <w:color w:val="131413"/>
          <w:sz w:val="24"/>
          <w:szCs w:val="24"/>
        </w:rPr>
        <w:t>1</w:t>
      </w:r>
      <w:r>
        <w:rPr>
          <w:rFonts w:ascii="Arial" w:hAnsi="Arial" w:cs="Arial"/>
          <w:color w:val="131413"/>
          <w:sz w:val="24"/>
          <w:szCs w:val="24"/>
        </w:rPr>
        <w:t xml:space="preserve"> implies full susceptibility to the circulating serotype and </w:t>
      </w:r>
      <w:r w:rsidR="007414F7">
        <w:rPr>
          <w:rFonts w:ascii="Arial" w:hAnsi="Arial" w:cs="Arial"/>
          <w:color w:val="131413"/>
          <w:sz w:val="24"/>
          <w:szCs w:val="24"/>
        </w:rPr>
        <w:t>0</w:t>
      </w:r>
      <w:r>
        <w:rPr>
          <w:rFonts w:ascii="Arial" w:hAnsi="Arial" w:cs="Arial"/>
          <w:color w:val="131413"/>
          <w:sz w:val="24"/>
          <w:szCs w:val="24"/>
        </w:rPr>
        <w:t xml:space="preserve"> full immunity. Given polytypic DENV infections are common in Iquitos, we evaluated another measure of susceptibility characterized by the diversity of susceptibility rather than the magnitude. We based our estimate on an extension of the Shannon diversity index (H</w:t>
      </w:r>
      <w:r w:rsidR="000430EA">
        <w:rPr>
          <w:rFonts w:ascii="Arial" w:hAnsi="Arial" w:cs="Arial"/>
          <w:color w:val="131413"/>
          <w:sz w:val="24"/>
          <w:szCs w:val="24"/>
        </w:rPr>
        <w:t>). T</w:t>
      </w:r>
      <w:r>
        <w:rPr>
          <w:rFonts w:ascii="Arial" w:hAnsi="Arial" w:cs="Arial"/>
          <w:color w:val="131413"/>
          <w:sz w:val="24"/>
          <w:szCs w:val="24"/>
        </w:rPr>
        <w:t>he Shannon susceptibility inde</w:t>
      </w:r>
      <w:r w:rsidR="000430EA">
        <w:rPr>
          <w:rFonts w:ascii="Arial" w:hAnsi="Arial" w:cs="Arial"/>
          <w:color w:val="131413"/>
          <w:sz w:val="24"/>
          <w:szCs w:val="24"/>
        </w:rPr>
        <w:t>x</w:t>
      </w:r>
      <w:r>
        <w:rPr>
          <w:rFonts w:ascii="Arial" w:hAnsi="Arial" w:cs="Arial"/>
          <w:color w:val="131413"/>
          <w:sz w:val="24"/>
          <w:szCs w:val="24"/>
        </w:rPr>
        <w:t xml:space="preserve"> </w:t>
      </w:r>
      <w:r w:rsidRPr="00A40B28">
        <w:rPr>
          <w:rFonts w:ascii="Arial" w:hAnsi="Arial" w:cs="Arial"/>
          <w:i/>
          <w:color w:val="131413"/>
          <w:sz w:val="24"/>
          <w:szCs w:val="24"/>
        </w:rPr>
        <w:t>SH</w:t>
      </w:r>
      <w:r w:rsidRPr="00A40B28">
        <w:rPr>
          <w:rFonts w:ascii="Arial" w:hAnsi="Arial" w:cs="Arial"/>
          <w:i/>
          <w:color w:val="131413"/>
          <w:sz w:val="24"/>
          <w:szCs w:val="24"/>
          <w:vertAlign w:val="subscript"/>
        </w:rPr>
        <w:t>i</w:t>
      </w:r>
      <w:r>
        <w:rPr>
          <w:rFonts w:ascii="Arial" w:hAnsi="Arial" w:cs="Arial"/>
          <w:i/>
          <w:color w:val="131413"/>
          <w:sz w:val="24"/>
          <w:szCs w:val="24"/>
          <w:vertAlign w:val="subscript"/>
        </w:rPr>
        <w:t xml:space="preserve"> </w:t>
      </w:r>
      <w:r>
        <w:rPr>
          <w:rFonts w:ascii="Arial" w:hAnsi="Arial" w:cs="Arial"/>
          <w:color w:val="131413"/>
          <w:sz w:val="24"/>
          <w:szCs w:val="24"/>
        </w:rPr>
        <w:t xml:space="preserve"> was calculated as follows: </w:t>
      </w:r>
    </w:p>
    <w:p w14:paraId="73E31B97" w14:textId="77777777" w:rsidR="00F13D75" w:rsidRDefault="00000000" w:rsidP="00F13D75">
      <w:pPr>
        <w:pStyle w:val="BodyText"/>
        <w:kinsoku w:val="0"/>
        <w:overflowPunct w:val="0"/>
        <w:jc w:val="center"/>
        <w:rPr>
          <w:rFonts w:ascii="Arial" w:hAnsi="Arial" w:cs="Arial"/>
          <w:color w:val="131413"/>
          <w:sz w:val="24"/>
          <w:szCs w:val="24"/>
        </w:rPr>
      </w:pPr>
      <m:oMath>
        <m:sSub>
          <m:sSubPr>
            <m:ctrlPr>
              <w:rPr>
                <w:rFonts w:ascii="Cambria Math" w:hAnsi="Cambria Math" w:cs="Arial"/>
                <w:i/>
                <w:color w:val="131413"/>
                <w:sz w:val="24"/>
                <w:szCs w:val="24"/>
              </w:rPr>
            </m:ctrlPr>
          </m:sSubPr>
          <m:e>
            <m:r>
              <w:rPr>
                <w:rFonts w:ascii="Cambria Math" w:hAnsi="Cambria Math" w:cs="Arial"/>
                <w:color w:val="131413"/>
                <w:sz w:val="24"/>
                <w:szCs w:val="24"/>
              </w:rPr>
              <m:t>SH</m:t>
            </m:r>
          </m:e>
          <m:sub>
            <m:r>
              <w:rPr>
                <w:rFonts w:ascii="Cambria Math" w:hAnsi="Cambria Math" w:cs="Arial"/>
                <w:color w:val="131413"/>
                <w:sz w:val="24"/>
                <w:szCs w:val="24"/>
              </w:rPr>
              <m:t>i</m:t>
            </m:r>
          </m:sub>
        </m:sSub>
        <m:r>
          <w:rPr>
            <w:rFonts w:ascii="Cambria Math" w:hAnsi="Cambria Math" w:cs="Arial"/>
            <w:color w:val="131413"/>
            <w:sz w:val="24"/>
            <w:szCs w:val="24"/>
          </w:rPr>
          <m:t>= -</m:t>
        </m:r>
        <m:nary>
          <m:naryPr>
            <m:chr m:val="∑"/>
            <m:limLoc m:val="undOvr"/>
            <m:ctrlPr>
              <w:rPr>
                <w:rFonts w:ascii="Cambria Math" w:hAnsi="Cambria Math" w:cs="Arial"/>
                <w:i/>
                <w:color w:val="131413"/>
                <w:sz w:val="24"/>
                <w:szCs w:val="24"/>
              </w:rPr>
            </m:ctrlPr>
          </m:naryPr>
          <m:sub>
            <m:r>
              <w:rPr>
                <w:rFonts w:ascii="Cambria Math" w:hAnsi="Cambria Math" w:cs="Arial"/>
                <w:color w:val="131413"/>
                <w:sz w:val="24"/>
                <w:szCs w:val="24"/>
              </w:rPr>
              <m:t>i=1</m:t>
            </m:r>
          </m:sub>
          <m:sup>
            <m:r>
              <w:rPr>
                <w:rFonts w:ascii="Cambria Math" w:hAnsi="Cambria Math" w:cs="Arial"/>
                <w:color w:val="131413"/>
                <w:sz w:val="24"/>
                <w:szCs w:val="24"/>
              </w:rPr>
              <m:t>4</m:t>
            </m:r>
          </m:sup>
          <m:e>
            <m:sSub>
              <m:sSubPr>
                <m:ctrlPr>
                  <w:rPr>
                    <w:rFonts w:ascii="Cambria Math" w:hAnsi="Cambria Math" w:cs="Arial"/>
                    <w:i/>
                    <w:color w:val="131413"/>
                    <w:sz w:val="24"/>
                    <w:szCs w:val="24"/>
                  </w:rPr>
                </m:ctrlPr>
              </m:sSubPr>
              <m:e>
                <m:r>
                  <w:rPr>
                    <w:rFonts w:ascii="Cambria Math" w:hAnsi="Cambria Math" w:cs="Arial"/>
                    <w:color w:val="131413"/>
                    <w:sz w:val="24"/>
                    <w:szCs w:val="24"/>
                  </w:rPr>
                  <m:t>p</m:t>
                </m:r>
              </m:e>
              <m:sub>
                <m:r>
                  <w:rPr>
                    <w:rFonts w:ascii="Cambria Math" w:hAnsi="Cambria Math" w:cs="Arial"/>
                    <w:color w:val="131413"/>
                    <w:sz w:val="24"/>
                    <w:szCs w:val="24"/>
                  </w:rPr>
                  <m:t>i</m:t>
                </m:r>
              </m:sub>
            </m:sSub>
            <m:r>
              <w:rPr>
                <w:rFonts w:ascii="Cambria Math" w:hAnsi="Cambria Math" w:cs="Arial"/>
                <w:color w:val="131413"/>
                <w:sz w:val="24"/>
                <w:szCs w:val="24"/>
              </w:rPr>
              <m:t>ln</m:t>
            </m:r>
            <m:sSub>
              <m:sSubPr>
                <m:ctrlPr>
                  <w:rPr>
                    <w:rFonts w:ascii="Cambria Math" w:hAnsi="Cambria Math" w:cs="Arial"/>
                    <w:i/>
                    <w:color w:val="131413"/>
                    <w:sz w:val="24"/>
                    <w:szCs w:val="24"/>
                  </w:rPr>
                </m:ctrlPr>
              </m:sSubPr>
              <m:e>
                <m:r>
                  <w:rPr>
                    <w:rFonts w:ascii="Cambria Math" w:hAnsi="Cambria Math" w:cs="Arial"/>
                    <w:color w:val="131413"/>
                    <w:sz w:val="24"/>
                    <w:szCs w:val="24"/>
                  </w:rPr>
                  <m:t xml:space="preserve"> p</m:t>
                </m:r>
              </m:e>
              <m:sub>
                <m:r>
                  <w:rPr>
                    <w:rFonts w:ascii="Cambria Math" w:hAnsi="Cambria Math" w:cs="Arial"/>
                    <w:color w:val="131413"/>
                    <w:sz w:val="24"/>
                    <w:szCs w:val="24"/>
                  </w:rPr>
                  <m:t>i</m:t>
                </m:r>
              </m:sub>
            </m:sSub>
          </m:e>
        </m:nary>
      </m:oMath>
      <w:r w:rsidR="00F13D75">
        <w:rPr>
          <w:rFonts w:ascii="Arial" w:hAnsi="Arial" w:cs="Arial"/>
          <w:color w:val="131413"/>
          <w:sz w:val="24"/>
          <w:szCs w:val="24"/>
        </w:rPr>
        <w:t>,</w:t>
      </w:r>
    </w:p>
    <w:p w14:paraId="6AA654A2" w14:textId="77777777" w:rsidR="00F13D75" w:rsidRDefault="00F13D75" w:rsidP="00F13D75">
      <w:pPr>
        <w:pStyle w:val="BodyText"/>
        <w:kinsoku w:val="0"/>
        <w:overflowPunct w:val="0"/>
        <w:jc w:val="center"/>
        <w:rPr>
          <w:rFonts w:ascii="Arial" w:hAnsi="Arial" w:cs="Arial"/>
          <w:color w:val="131413"/>
          <w:sz w:val="24"/>
          <w:szCs w:val="24"/>
        </w:rPr>
      </w:pPr>
    </w:p>
    <w:p w14:paraId="0A09B088" w14:textId="10270FBA" w:rsidR="00F13D75" w:rsidRPr="00113D51" w:rsidRDefault="00F13D75" w:rsidP="00F13D75">
      <w:pPr>
        <w:pStyle w:val="BodyText"/>
        <w:kinsoku w:val="0"/>
        <w:overflowPunct w:val="0"/>
        <w:rPr>
          <w:rFonts w:ascii="Arial" w:hAnsi="Arial" w:cs="Arial"/>
          <w:sz w:val="24"/>
          <w:szCs w:val="24"/>
        </w:rPr>
      </w:pPr>
      <w:r>
        <w:rPr>
          <w:rFonts w:ascii="Arial" w:hAnsi="Arial" w:cs="Arial"/>
          <w:color w:val="131413"/>
          <w:sz w:val="24"/>
          <w:szCs w:val="24"/>
        </w:rPr>
        <w:t xml:space="preserve">where </w:t>
      </w:r>
      <w:r w:rsidRPr="00A102FA">
        <w:rPr>
          <w:rFonts w:ascii="Arial" w:hAnsi="Arial" w:cs="Arial"/>
          <w:i/>
          <w:iCs/>
          <w:color w:val="131413"/>
          <w:sz w:val="24"/>
          <w:szCs w:val="24"/>
        </w:rPr>
        <w:t>p</w:t>
      </w:r>
      <w:r w:rsidRPr="00A102FA">
        <w:rPr>
          <w:rFonts w:ascii="Arial" w:hAnsi="Arial" w:cs="Arial"/>
          <w:i/>
          <w:iCs/>
          <w:color w:val="131413"/>
          <w:sz w:val="24"/>
          <w:szCs w:val="24"/>
          <w:vertAlign w:val="subscript"/>
        </w:rPr>
        <w:t>i</w:t>
      </w:r>
      <w:r>
        <w:rPr>
          <w:rFonts w:ascii="Arial" w:hAnsi="Arial" w:cs="Arial"/>
          <w:color w:val="131413"/>
          <w:sz w:val="24"/>
          <w:szCs w:val="24"/>
        </w:rPr>
        <w:t xml:space="preserve"> is the </w:t>
      </w:r>
      <w:r w:rsidRPr="00A40B28">
        <w:rPr>
          <w:rFonts w:ascii="Arial" w:hAnsi="Arial" w:cs="Arial"/>
          <w:sz w:val="24"/>
          <w:szCs w:val="24"/>
        </w:rPr>
        <w:t xml:space="preserve">proportion of </w:t>
      </w:r>
      <w:r>
        <w:rPr>
          <w:rFonts w:ascii="Arial" w:hAnsi="Arial" w:cs="Arial"/>
          <w:sz w:val="24"/>
          <w:szCs w:val="24"/>
        </w:rPr>
        <w:t xml:space="preserve">susceptible individuals to DENV serotype </w:t>
      </w:r>
      <w:r w:rsidRPr="00A40B28">
        <w:rPr>
          <w:rFonts w:ascii="Arial" w:hAnsi="Arial" w:cs="Arial"/>
          <w:i/>
          <w:iCs/>
          <w:sz w:val="24"/>
          <w:szCs w:val="24"/>
        </w:rPr>
        <w:t>i</w:t>
      </w:r>
      <w:r w:rsidRPr="00A40B28">
        <w:rPr>
          <w:rFonts w:ascii="Arial" w:hAnsi="Arial" w:cs="Arial"/>
          <w:sz w:val="24"/>
          <w:szCs w:val="24"/>
        </w:rPr>
        <w:t xml:space="preserve"> relative to the total number of </w:t>
      </w:r>
      <w:r>
        <w:rPr>
          <w:rFonts w:ascii="Arial" w:hAnsi="Arial" w:cs="Arial"/>
          <w:sz w:val="24"/>
          <w:szCs w:val="24"/>
        </w:rPr>
        <w:t>serotypes (</w:t>
      </w:r>
      <w:r w:rsidR="003C1667">
        <w:rPr>
          <w:rFonts w:ascii="Arial" w:hAnsi="Arial" w:cs="Arial"/>
          <w:sz w:val="24"/>
          <w:szCs w:val="24"/>
        </w:rPr>
        <w:t>Forshey et al. 2016</w:t>
      </w:r>
      <w:r>
        <w:rPr>
          <w:rFonts w:ascii="Arial" w:hAnsi="Arial" w:cs="Arial"/>
          <w:sz w:val="24"/>
          <w:szCs w:val="24"/>
        </w:rPr>
        <w:t xml:space="preserve">). </w:t>
      </w:r>
      <w:r w:rsidRPr="00A40B28">
        <w:rPr>
          <w:rFonts w:ascii="Arial" w:hAnsi="Arial" w:cs="Arial"/>
          <w:i/>
          <w:sz w:val="24"/>
          <w:szCs w:val="24"/>
        </w:rPr>
        <w:t>SH</w:t>
      </w:r>
      <w:r w:rsidRPr="00A40B28">
        <w:rPr>
          <w:rFonts w:ascii="Arial" w:hAnsi="Arial" w:cs="Arial"/>
          <w:i/>
          <w:sz w:val="24"/>
          <w:szCs w:val="24"/>
          <w:vertAlign w:val="subscript"/>
        </w:rPr>
        <w:t>i</w:t>
      </w:r>
      <w:r>
        <w:rPr>
          <w:rFonts w:ascii="Arial" w:hAnsi="Arial" w:cs="Arial"/>
          <w:sz w:val="24"/>
          <w:szCs w:val="24"/>
        </w:rPr>
        <w:t xml:space="preserve"> considers the contribution of each serotype to the total susceptibility, rather than just the circulating serotyp</w:t>
      </w:r>
      <w:r w:rsidR="000430EA">
        <w:rPr>
          <w:rFonts w:ascii="Arial" w:hAnsi="Arial" w:cs="Arial"/>
          <w:sz w:val="24"/>
          <w:szCs w:val="24"/>
        </w:rPr>
        <w:t>es</w:t>
      </w:r>
      <w:r>
        <w:rPr>
          <w:rFonts w:ascii="Arial" w:hAnsi="Arial" w:cs="Arial"/>
          <w:sz w:val="24"/>
          <w:szCs w:val="24"/>
        </w:rPr>
        <w:t xml:space="preserve">. </w:t>
      </w:r>
    </w:p>
    <w:p w14:paraId="30C6178A" w14:textId="77777777" w:rsidR="00F13D75" w:rsidRDefault="00F13D75" w:rsidP="00F13D75">
      <w:pPr>
        <w:pStyle w:val="BodyText"/>
        <w:kinsoku w:val="0"/>
        <w:overflowPunct w:val="0"/>
        <w:rPr>
          <w:rFonts w:ascii="Arial" w:hAnsi="Arial" w:cs="Arial"/>
          <w:b/>
          <w:sz w:val="24"/>
          <w:szCs w:val="24"/>
        </w:rPr>
      </w:pPr>
    </w:p>
    <w:p w14:paraId="3A81E392" w14:textId="77777777" w:rsidR="00F13D75" w:rsidRPr="000B2788" w:rsidRDefault="00F13D75" w:rsidP="00F13D75">
      <w:pPr>
        <w:pStyle w:val="BodyText"/>
        <w:kinsoku w:val="0"/>
        <w:overflowPunct w:val="0"/>
        <w:spacing w:before="184"/>
        <w:ind w:right="823"/>
        <w:rPr>
          <w:rFonts w:ascii="Arial" w:hAnsi="Arial" w:cs="Arial"/>
          <w:b/>
          <w:sz w:val="24"/>
          <w:szCs w:val="24"/>
        </w:rPr>
      </w:pPr>
      <w:r>
        <w:rPr>
          <w:rFonts w:ascii="Arial" w:hAnsi="Arial" w:cs="Arial"/>
          <w:b/>
          <w:sz w:val="24"/>
          <w:szCs w:val="24"/>
        </w:rPr>
        <w:t xml:space="preserve">Estimating </w:t>
      </w:r>
      <w:r w:rsidRPr="00A102FA">
        <w:rPr>
          <w:rFonts w:ascii="Arial" w:hAnsi="Arial" w:cs="Arial"/>
          <w:b/>
          <w:i/>
          <w:sz w:val="24"/>
          <w:szCs w:val="24"/>
        </w:rPr>
        <w:t>k</w:t>
      </w:r>
      <w:r>
        <w:rPr>
          <w:rFonts w:ascii="Arial" w:hAnsi="Arial" w:cs="Arial"/>
          <w:b/>
          <w:sz w:val="24"/>
          <w:szCs w:val="24"/>
        </w:rPr>
        <w:t xml:space="preserve"> when</w:t>
      </w:r>
      <w:r w:rsidRPr="000B2788">
        <w:rPr>
          <w:rFonts w:ascii="Arial" w:hAnsi="Arial" w:cs="Arial"/>
          <w:b/>
          <w:sz w:val="24"/>
          <w:szCs w:val="24"/>
        </w:rPr>
        <w:t xml:space="preserve"> Z</w:t>
      </w:r>
      <w:r w:rsidRPr="000B2788">
        <w:rPr>
          <w:rFonts w:ascii="Arial" w:hAnsi="Arial" w:cs="Arial"/>
          <w:b/>
          <w:sz w:val="24"/>
          <w:szCs w:val="24"/>
          <w:vertAlign w:val="subscript"/>
        </w:rPr>
        <w:t>AS</w:t>
      </w:r>
      <w:r w:rsidRPr="000B2788">
        <w:rPr>
          <w:rFonts w:ascii="Arial" w:hAnsi="Arial" w:cs="Arial"/>
          <w:b/>
          <w:sz w:val="24"/>
          <w:szCs w:val="24"/>
        </w:rPr>
        <w:t xml:space="preserve"> </w:t>
      </w:r>
      <w:r>
        <w:rPr>
          <w:rFonts w:ascii="Arial" w:hAnsi="Arial" w:cs="Arial"/>
          <w:b/>
          <w:sz w:val="24"/>
          <w:szCs w:val="24"/>
        </w:rPr>
        <w:t>follows a negative binomial distribution</w:t>
      </w:r>
    </w:p>
    <w:p w14:paraId="24043B19" w14:textId="2C23F9B0" w:rsidR="00F13D75" w:rsidRDefault="00C63676" w:rsidP="00F13D75">
      <w:pPr>
        <w:pStyle w:val="BodyText"/>
        <w:kinsoku w:val="0"/>
        <w:overflowPunct w:val="0"/>
        <w:spacing w:before="100" w:beforeAutospacing="1"/>
        <w:ind w:left="418"/>
        <w:rPr>
          <w:rFonts w:ascii="Arial" w:hAnsi="Arial" w:cs="Arial"/>
          <w:spacing w:val="3"/>
          <w:w w:val="105"/>
          <w:sz w:val="24"/>
          <w:szCs w:val="24"/>
        </w:rPr>
      </w:pPr>
      <w:r>
        <w:rPr>
          <w:rFonts w:ascii="Arial" w:hAnsi="Arial" w:cs="Arial"/>
          <w:w w:val="105"/>
          <w:sz w:val="24"/>
          <w:szCs w:val="24"/>
        </w:rPr>
        <w:t>We followed the method described by Lloyd-Smith et al. (2007) to derive k from a negative binomial distribution. Briefly, t</w:t>
      </w:r>
      <w:r w:rsidR="00F13D75" w:rsidRPr="000B2788">
        <w:rPr>
          <w:rFonts w:ascii="Arial" w:hAnsi="Arial" w:cs="Arial"/>
          <w:w w:val="105"/>
          <w:sz w:val="24"/>
          <w:szCs w:val="24"/>
        </w:rPr>
        <w:t xml:space="preserve">he dispersion parameter </w:t>
      </w:r>
      <w:r w:rsidR="00F13D75" w:rsidRPr="000B2788">
        <w:rPr>
          <w:rFonts w:ascii="Arial" w:hAnsi="Arial" w:cs="Arial"/>
          <w:i/>
          <w:iCs/>
          <w:w w:val="105"/>
          <w:sz w:val="24"/>
          <w:szCs w:val="24"/>
        </w:rPr>
        <w:t xml:space="preserve">k </w:t>
      </w:r>
      <w:r w:rsidR="000430EA">
        <w:rPr>
          <w:rFonts w:ascii="Arial" w:hAnsi="Arial" w:cs="Arial"/>
          <w:w w:val="105"/>
          <w:sz w:val="24"/>
          <w:szCs w:val="24"/>
        </w:rPr>
        <w:t>is</w:t>
      </w:r>
      <w:r w:rsidR="000430EA" w:rsidRPr="000B2788">
        <w:rPr>
          <w:rFonts w:ascii="Arial" w:hAnsi="Arial" w:cs="Arial"/>
          <w:w w:val="105"/>
          <w:sz w:val="24"/>
          <w:szCs w:val="24"/>
        </w:rPr>
        <w:t xml:space="preserve"> </w:t>
      </w:r>
      <w:r w:rsidR="00F13D75" w:rsidRPr="000B2788">
        <w:rPr>
          <w:rFonts w:ascii="Arial" w:hAnsi="Arial" w:cs="Arial"/>
          <w:spacing w:val="2"/>
          <w:w w:val="105"/>
          <w:sz w:val="24"/>
          <w:szCs w:val="24"/>
        </w:rPr>
        <w:t xml:space="preserve">be </w:t>
      </w:r>
      <w:r w:rsidR="00F13D75" w:rsidRPr="000B2788">
        <w:rPr>
          <w:rFonts w:ascii="Arial" w:hAnsi="Arial" w:cs="Arial"/>
          <w:w w:val="105"/>
          <w:sz w:val="24"/>
          <w:szCs w:val="24"/>
        </w:rPr>
        <w:t xml:space="preserve">found in random variable </w:t>
      </w:r>
      <w:r w:rsidR="00F13D75">
        <w:rPr>
          <w:rFonts w:ascii="Arial" w:hAnsi="Arial" w:cs="Arial"/>
          <w:i/>
          <w:iCs/>
          <w:w w:val="105"/>
          <w:sz w:val="24"/>
          <w:szCs w:val="24"/>
        </w:rPr>
        <w:t>Z</w:t>
      </w:r>
      <w:r w:rsidR="00F13D75" w:rsidRPr="00A102FA">
        <w:rPr>
          <w:rFonts w:ascii="Arial" w:hAnsi="Arial" w:cs="Arial"/>
          <w:i/>
          <w:iCs/>
          <w:w w:val="105"/>
          <w:sz w:val="24"/>
          <w:szCs w:val="24"/>
          <w:vertAlign w:val="subscript"/>
        </w:rPr>
        <w:t>AS</w:t>
      </w:r>
      <w:r w:rsidR="00F13D75" w:rsidRPr="000B2788">
        <w:rPr>
          <w:rFonts w:ascii="Arial" w:hAnsi="Arial" w:cs="Arial"/>
          <w:i/>
          <w:iCs/>
          <w:w w:val="105"/>
          <w:sz w:val="24"/>
          <w:szCs w:val="24"/>
        </w:rPr>
        <w:t xml:space="preserve"> </w:t>
      </w:r>
      <w:r w:rsidR="00F13D75" w:rsidRPr="000B2788">
        <w:rPr>
          <w:rFonts w:ascii="Cambria Math" w:hAnsi="Cambria Math" w:cs="Cambria Math"/>
          <w:w w:val="105"/>
          <w:sz w:val="24"/>
          <w:szCs w:val="24"/>
        </w:rPr>
        <w:t>∼</w:t>
      </w:r>
      <w:r w:rsidR="00F13D75" w:rsidRPr="000B2788">
        <w:rPr>
          <w:rFonts w:ascii="Arial" w:hAnsi="Arial" w:cs="Arial"/>
          <w:spacing w:val="56"/>
          <w:w w:val="105"/>
          <w:sz w:val="24"/>
          <w:szCs w:val="24"/>
        </w:rPr>
        <w:t xml:space="preserve"> </w:t>
      </w:r>
      <w:r w:rsidR="00F13D75" w:rsidRPr="000B2788">
        <w:rPr>
          <w:rFonts w:ascii="Arial" w:hAnsi="Arial" w:cs="Arial"/>
          <w:i/>
          <w:iCs/>
          <w:spacing w:val="5"/>
          <w:w w:val="105"/>
          <w:sz w:val="24"/>
          <w:szCs w:val="24"/>
        </w:rPr>
        <w:t>NB</w:t>
      </w:r>
      <w:r w:rsidR="00F13D75" w:rsidRPr="000B2788">
        <w:rPr>
          <w:rFonts w:ascii="Arial" w:hAnsi="Arial" w:cs="Arial"/>
          <w:spacing w:val="5"/>
          <w:w w:val="105"/>
          <w:sz w:val="24"/>
          <w:szCs w:val="24"/>
        </w:rPr>
        <w:t>(</w:t>
      </w:r>
      <w:r w:rsidR="00F13D75" w:rsidRPr="000B2788">
        <w:rPr>
          <w:rFonts w:ascii="Arial" w:hAnsi="Arial" w:cs="Arial"/>
          <w:i/>
          <w:iCs/>
          <w:spacing w:val="5"/>
          <w:w w:val="105"/>
          <w:sz w:val="24"/>
          <w:szCs w:val="24"/>
        </w:rPr>
        <w:t>y</w:t>
      </w:r>
      <w:r w:rsidR="00F13D75" w:rsidRPr="000B2788">
        <w:rPr>
          <w:rFonts w:ascii="Arial" w:hAnsi="Arial" w:cs="Arial"/>
          <w:spacing w:val="5"/>
          <w:w w:val="105"/>
          <w:sz w:val="24"/>
          <w:szCs w:val="24"/>
        </w:rPr>
        <w:t>|</w:t>
      </w:r>
      <w:r w:rsidR="00F13D75" w:rsidRPr="000B2788">
        <w:rPr>
          <w:rFonts w:ascii="Arial" w:hAnsi="Arial" w:cs="Arial"/>
          <w:i/>
          <w:iCs/>
          <w:spacing w:val="5"/>
          <w:w w:val="105"/>
          <w:sz w:val="24"/>
          <w:szCs w:val="24"/>
        </w:rPr>
        <w:t xml:space="preserve">λ, </w:t>
      </w:r>
      <w:r w:rsidR="00F13D75" w:rsidRPr="000B2788">
        <w:rPr>
          <w:rFonts w:ascii="Arial" w:hAnsi="Arial" w:cs="Arial"/>
          <w:i/>
          <w:iCs/>
          <w:spacing w:val="3"/>
          <w:w w:val="105"/>
          <w:sz w:val="24"/>
          <w:szCs w:val="24"/>
        </w:rPr>
        <w:t>k</w:t>
      </w:r>
      <w:r w:rsidR="00F13D75" w:rsidRPr="000B2788">
        <w:rPr>
          <w:rFonts w:ascii="Arial" w:hAnsi="Arial" w:cs="Arial"/>
          <w:spacing w:val="3"/>
          <w:w w:val="105"/>
          <w:sz w:val="24"/>
          <w:szCs w:val="24"/>
        </w:rPr>
        <w:t>)</w:t>
      </w:r>
    </w:p>
    <w:p w14:paraId="515BE681" w14:textId="77777777" w:rsidR="00F13D75" w:rsidRPr="000B2788" w:rsidRDefault="00F13D75" w:rsidP="00F13D75">
      <w:pPr>
        <w:pStyle w:val="BodyText"/>
        <w:kinsoku w:val="0"/>
        <w:overflowPunct w:val="0"/>
        <w:spacing w:before="100" w:beforeAutospacing="1"/>
        <w:ind w:left="418"/>
        <w:rPr>
          <w:rFonts w:ascii="Arial" w:hAnsi="Arial" w:cs="Arial"/>
          <w:spacing w:val="3"/>
          <w:w w:val="105"/>
          <w:sz w:val="24"/>
          <w:szCs w:val="24"/>
        </w:rPr>
      </w:pPr>
      <w:r w:rsidRPr="000B2788">
        <w:rPr>
          <w:rFonts w:ascii="Arial" w:hAnsi="Arial" w:cs="Arial"/>
          <w:noProof/>
          <w:sz w:val="24"/>
          <w:szCs w:val="24"/>
        </w:rPr>
        <w:drawing>
          <wp:anchor distT="0" distB="0" distL="114300" distR="114300" simplePos="0" relativeHeight="251659264" behindDoc="0" locked="0" layoutInCell="1" allowOverlap="1" wp14:anchorId="507B8993" wp14:editId="2E59A33F">
            <wp:simplePos x="0" y="0"/>
            <wp:positionH relativeFrom="column">
              <wp:posOffset>1633220</wp:posOffset>
            </wp:positionH>
            <wp:positionV relativeFrom="paragraph">
              <wp:posOffset>46990</wp:posOffset>
            </wp:positionV>
            <wp:extent cx="2994660" cy="46291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94660" cy="4629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A6B416" w14:textId="77777777" w:rsidR="00F13D75" w:rsidRPr="000B2788" w:rsidRDefault="00F13D75" w:rsidP="00F13D75">
      <w:pPr>
        <w:pStyle w:val="BodyText"/>
        <w:kinsoku w:val="0"/>
        <w:overflowPunct w:val="0"/>
        <w:spacing w:before="100" w:beforeAutospacing="1"/>
        <w:ind w:left="418"/>
        <w:rPr>
          <w:rFonts w:ascii="Arial" w:hAnsi="Arial" w:cs="Arial"/>
          <w:spacing w:val="3"/>
          <w:w w:val="105"/>
          <w:sz w:val="24"/>
          <w:szCs w:val="24"/>
        </w:rPr>
        <w:sectPr w:rsidR="00F13D75" w:rsidRPr="000B2788" w:rsidSect="00A02A54">
          <w:pgSz w:w="12240" w:h="15840"/>
          <w:pgMar w:top="1440" w:right="1440" w:bottom="1440" w:left="1440" w:header="720" w:footer="720" w:gutter="0"/>
          <w:cols w:space="720"/>
          <w:docGrid w:linePitch="360"/>
        </w:sectPr>
      </w:pPr>
    </w:p>
    <w:p w14:paraId="0F5785F0" w14:textId="591974FB" w:rsidR="00F13D75" w:rsidRPr="000B2788" w:rsidRDefault="00F13D75" w:rsidP="00F13D75">
      <w:pPr>
        <w:pStyle w:val="BodyText"/>
        <w:kinsoku w:val="0"/>
        <w:overflowPunct w:val="0"/>
        <w:spacing w:before="100" w:beforeAutospacing="1"/>
        <w:ind w:left="120" w:right="118"/>
        <w:rPr>
          <w:rFonts w:ascii="Arial" w:hAnsi="Arial" w:cs="Arial"/>
          <w:w w:val="105"/>
          <w:sz w:val="24"/>
          <w:szCs w:val="24"/>
        </w:rPr>
      </w:pPr>
      <w:r w:rsidRPr="000B2788">
        <w:rPr>
          <w:rFonts w:ascii="Arial" w:hAnsi="Arial" w:cs="Arial"/>
          <w:w w:val="110"/>
          <w:sz w:val="24"/>
          <w:szCs w:val="24"/>
        </w:rPr>
        <w:t>The maximum likelihood estimator</w:t>
      </w:r>
      <w:r w:rsidRPr="000B2788">
        <w:rPr>
          <w:rFonts w:ascii="Arial" w:hAnsi="Arial" w:cs="Arial"/>
          <w:sz w:val="24"/>
          <w:szCs w:val="24"/>
        </w:rPr>
        <w:t xml:space="preserve"> </w:t>
      </w:r>
      <w:r w:rsidRPr="000B2788">
        <w:rPr>
          <w:rFonts w:ascii="Arial" w:hAnsi="Arial" w:cs="Arial"/>
          <w:w w:val="96"/>
          <w:sz w:val="24"/>
          <w:szCs w:val="24"/>
        </w:rPr>
        <w:t>of</w:t>
      </w:r>
      <w:r w:rsidRPr="000B2788">
        <w:rPr>
          <w:rFonts w:ascii="Arial" w:hAnsi="Arial" w:cs="Arial"/>
          <w:sz w:val="24"/>
          <w:szCs w:val="24"/>
        </w:rPr>
        <w:t xml:space="preserve"> </w:t>
      </w:r>
      <w:r w:rsidRPr="000B2788">
        <w:rPr>
          <w:rFonts w:ascii="Arial" w:hAnsi="Arial" w:cs="Arial"/>
          <w:i/>
          <w:iCs/>
          <w:w w:val="110"/>
          <w:sz w:val="24"/>
          <w:szCs w:val="24"/>
        </w:rPr>
        <w:t>λ</w:t>
      </w:r>
      <w:r w:rsidRPr="000B2788">
        <w:rPr>
          <w:rFonts w:ascii="Arial" w:hAnsi="Arial" w:cs="Arial"/>
          <w:i/>
          <w:iCs/>
          <w:sz w:val="24"/>
          <w:szCs w:val="24"/>
        </w:rPr>
        <w:t xml:space="preserve"> </w:t>
      </w:r>
      <w:r w:rsidRPr="000B2788">
        <w:rPr>
          <w:rFonts w:ascii="Arial" w:hAnsi="Arial" w:cs="Arial"/>
          <w:w w:val="102"/>
          <w:sz w:val="24"/>
          <w:szCs w:val="24"/>
        </w:rPr>
        <w:t>for</w:t>
      </w:r>
      <w:r w:rsidRPr="000B2788">
        <w:rPr>
          <w:rFonts w:ascii="Arial" w:hAnsi="Arial" w:cs="Arial"/>
          <w:sz w:val="24"/>
          <w:szCs w:val="24"/>
        </w:rPr>
        <w:t xml:space="preserve"> </w:t>
      </w:r>
      <w:r w:rsidRPr="000B2788">
        <w:rPr>
          <w:rFonts w:ascii="Arial" w:hAnsi="Arial" w:cs="Arial"/>
          <w:w w:val="105"/>
          <w:sz w:val="24"/>
          <w:szCs w:val="24"/>
        </w:rPr>
        <w:t>samples</w:t>
      </w:r>
      <w:r w:rsidRPr="000B2788">
        <w:rPr>
          <w:rFonts w:ascii="Arial" w:hAnsi="Arial" w:cs="Arial"/>
          <w:sz w:val="24"/>
          <w:szCs w:val="24"/>
        </w:rPr>
        <w:t xml:space="preserve"> </w:t>
      </w:r>
      <w:r w:rsidRPr="000B2788">
        <w:rPr>
          <w:rFonts w:ascii="Arial" w:hAnsi="Arial" w:cs="Arial"/>
          <w:i/>
          <w:iCs/>
          <w:w w:val="87"/>
          <w:sz w:val="24"/>
          <w:szCs w:val="24"/>
        </w:rPr>
        <w:t>Y</w:t>
      </w:r>
      <w:r w:rsidRPr="000B2788">
        <w:rPr>
          <w:rFonts w:ascii="Arial" w:hAnsi="Arial" w:cs="Arial"/>
          <w:spacing w:val="10"/>
          <w:w w:val="83"/>
          <w:sz w:val="24"/>
          <w:szCs w:val="24"/>
          <w:vertAlign w:val="subscript"/>
        </w:rPr>
        <w:t>1</w:t>
      </w:r>
      <w:r w:rsidRPr="000B2788">
        <w:rPr>
          <w:rFonts w:ascii="Arial" w:hAnsi="Arial" w:cs="Arial"/>
          <w:i/>
          <w:iCs/>
          <w:w w:val="92"/>
          <w:sz w:val="24"/>
          <w:szCs w:val="24"/>
        </w:rPr>
        <w:t>,</w:t>
      </w:r>
      <w:r w:rsidRPr="000B2788">
        <w:rPr>
          <w:rFonts w:ascii="Arial" w:hAnsi="Arial" w:cs="Arial"/>
          <w:i/>
          <w:iCs/>
          <w:sz w:val="24"/>
          <w:szCs w:val="24"/>
        </w:rPr>
        <w:t xml:space="preserve"> </w:t>
      </w:r>
      <w:r w:rsidRPr="000B2788">
        <w:rPr>
          <w:rFonts w:ascii="Arial" w:hAnsi="Arial" w:cs="Arial"/>
          <w:i/>
          <w:iCs/>
          <w:w w:val="87"/>
          <w:sz w:val="24"/>
          <w:szCs w:val="24"/>
        </w:rPr>
        <w:t>Y</w:t>
      </w:r>
      <w:r w:rsidRPr="000B2788">
        <w:rPr>
          <w:rFonts w:ascii="Arial" w:hAnsi="Arial" w:cs="Arial"/>
          <w:spacing w:val="10"/>
          <w:w w:val="83"/>
          <w:sz w:val="24"/>
          <w:szCs w:val="24"/>
          <w:vertAlign w:val="subscript"/>
        </w:rPr>
        <w:t>2</w:t>
      </w:r>
      <w:r w:rsidRPr="000B2788">
        <w:rPr>
          <w:rFonts w:ascii="Arial" w:hAnsi="Arial" w:cs="Arial"/>
          <w:i/>
          <w:iCs/>
          <w:w w:val="90"/>
          <w:sz w:val="24"/>
          <w:szCs w:val="24"/>
        </w:rPr>
        <w:t>...Y</w:t>
      </w:r>
      <w:r w:rsidRPr="000B2788">
        <w:rPr>
          <w:rFonts w:ascii="Arial" w:hAnsi="Arial" w:cs="Arial"/>
          <w:i/>
          <w:iCs/>
          <w:w w:val="104"/>
          <w:sz w:val="24"/>
          <w:szCs w:val="24"/>
          <w:vertAlign w:val="subscript"/>
        </w:rPr>
        <w:t>n</w:t>
      </w:r>
      <w:r w:rsidRPr="000B2788">
        <w:rPr>
          <w:rFonts w:ascii="Arial" w:hAnsi="Arial" w:cs="Arial"/>
          <w:i/>
          <w:iCs/>
          <w:sz w:val="24"/>
          <w:szCs w:val="24"/>
        </w:rPr>
        <w:t xml:space="preserve"> </w:t>
      </w:r>
      <w:r w:rsidRPr="000B2788">
        <w:rPr>
          <w:rFonts w:ascii="Arial" w:hAnsi="Arial" w:cs="Arial"/>
          <w:sz w:val="24"/>
          <w:szCs w:val="24"/>
        </w:rPr>
        <w:t xml:space="preserve">is </w:t>
      </w:r>
      <w:r w:rsidRPr="000B2788">
        <w:rPr>
          <w:rFonts w:ascii="Arial" w:hAnsi="Arial" w:cs="Arial"/>
          <w:w w:val="104"/>
          <w:sz w:val="24"/>
          <w:szCs w:val="24"/>
        </w:rPr>
        <w:t>simply</w:t>
      </w:r>
      <w:r w:rsidRPr="000B2788">
        <w:rPr>
          <w:rFonts w:ascii="Arial" w:hAnsi="Arial" w:cs="Arial"/>
          <w:sz w:val="24"/>
          <w:szCs w:val="24"/>
        </w:rPr>
        <w:t xml:space="preserve"> </w:t>
      </w:r>
      <w:r w:rsidRPr="000B2788">
        <w:rPr>
          <w:rFonts w:ascii="Arial" w:hAnsi="Arial" w:cs="Arial"/>
          <w:w w:val="113"/>
          <w:sz w:val="24"/>
          <w:szCs w:val="24"/>
        </w:rPr>
        <w:t>the</w:t>
      </w:r>
      <w:r w:rsidRPr="000B2788">
        <w:rPr>
          <w:rFonts w:ascii="Arial" w:hAnsi="Arial" w:cs="Arial"/>
          <w:sz w:val="24"/>
          <w:szCs w:val="24"/>
        </w:rPr>
        <w:t xml:space="preserve"> </w:t>
      </w:r>
      <w:r w:rsidRPr="000B2788">
        <w:rPr>
          <w:rFonts w:ascii="Arial" w:hAnsi="Arial" w:cs="Arial"/>
          <w:w w:val="105"/>
          <w:sz w:val="24"/>
          <w:szCs w:val="24"/>
        </w:rPr>
        <w:t>sample</w:t>
      </w:r>
      <w:r w:rsidRPr="000B2788">
        <w:rPr>
          <w:rFonts w:ascii="Arial" w:hAnsi="Arial" w:cs="Arial"/>
          <w:sz w:val="24"/>
          <w:szCs w:val="24"/>
        </w:rPr>
        <w:t xml:space="preserve"> </w:t>
      </w:r>
      <w:r w:rsidRPr="000B2788">
        <w:rPr>
          <w:rFonts w:ascii="Arial" w:hAnsi="Arial" w:cs="Arial"/>
          <w:w w:val="107"/>
          <w:sz w:val="24"/>
          <w:szCs w:val="24"/>
        </w:rPr>
        <w:t>mean</w:t>
      </w:r>
      <w:r w:rsidRPr="000B2788">
        <w:rPr>
          <w:rFonts w:ascii="Arial" w:hAnsi="Arial" w:cs="Arial"/>
          <w:sz w:val="24"/>
          <w:szCs w:val="24"/>
        </w:rPr>
        <w:t xml:space="preserve"> </w:t>
      </w:r>
      <w:r w:rsidRPr="000B2788">
        <w:rPr>
          <w:rFonts w:ascii="Arial" w:hAnsi="Arial" w:cs="Arial"/>
          <w:i/>
          <w:iCs/>
          <w:spacing w:val="-86"/>
          <w:w w:val="87"/>
          <w:sz w:val="24"/>
          <w:szCs w:val="24"/>
        </w:rPr>
        <w:t>Y</w:t>
      </w:r>
      <w:r w:rsidRPr="000B2788">
        <w:rPr>
          <w:rFonts w:ascii="Arial" w:hAnsi="Arial" w:cs="Arial"/>
          <w:w w:val="99"/>
          <w:position w:val="5"/>
          <w:sz w:val="24"/>
          <w:szCs w:val="24"/>
        </w:rPr>
        <w:t>¯</w:t>
      </w:r>
      <w:r w:rsidRPr="000B2788">
        <w:rPr>
          <w:rFonts w:ascii="Arial" w:hAnsi="Arial" w:cs="Arial"/>
          <w:w w:val="110"/>
          <w:sz w:val="24"/>
          <w:szCs w:val="24"/>
        </w:rPr>
        <w:t>.</w:t>
      </w:r>
      <w:r w:rsidRPr="000B2788">
        <w:rPr>
          <w:rFonts w:ascii="Arial" w:hAnsi="Arial" w:cs="Arial"/>
          <w:sz w:val="24"/>
          <w:szCs w:val="24"/>
        </w:rPr>
        <w:t xml:space="preserve">  </w:t>
      </w:r>
      <w:r w:rsidR="000430EA">
        <w:rPr>
          <w:rFonts w:ascii="Arial" w:hAnsi="Arial" w:cs="Arial"/>
          <w:w w:val="119"/>
          <w:sz w:val="24"/>
          <w:szCs w:val="24"/>
        </w:rPr>
        <w:t>I</w:t>
      </w:r>
      <w:r w:rsidRPr="000B2788">
        <w:rPr>
          <w:rFonts w:ascii="Arial" w:hAnsi="Arial" w:cs="Arial"/>
          <w:w w:val="119"/>
          <w:sz w:val="24"/>
          <w:szCs w:val="24"/>
        </w:rPr>
        <w:t>t</w:t>
      </w:r>
      <w:r w:rsidRPr="000B2788">
        <w:rPr>
          <w:rFonts w:ascii="Arial" w:hAnsi="Arial" w:cs="Arial"/>
          <w:sz w:val="24"/>
          <w:szCs w:val="24"/>
        </w:rPr>
        <w:t xml:space="preserve"> is</w:t>
      </w:r>
      <w:r w:rsidR="000430EA">
        <w:rPr>
          <w:rFonts w:ascii="Arial" w:hAnsi="Arial" w:cs="Arial"/>
          <w:w w:val="101"/>
          <w:sz w:val="24"/>
          <w:szCs w:val="24"/>
        </w:rPr>
        <w:t>, h</w:t>
      </w:r>
      <w:r w:rsidR="000430EA" w:rsidRPr="000B2788">
        <w:rPr>
          <w:rFonts w:ascii="Arial" w:hAnsi="Arial" w:cs="Arial"/>
          <w:spacing w:val="-6"/>
          <w:w w:val="101"/>
          <w:sz w:val="24"/>
          <w:szCs w:val="24"/>
        </w:rPr>
        <w:t>o</w:t>
      </w:r>
      <w:r w:rsidR="000430EA" w:rsidRPr="000B2788">
        <w:rPr>
          <w:rFonts w:ascii="Arial" w:hAnsi="Arial" w:cs="Arial"/>
          <w:spacing w:val="-6"/>
          <w:w w:val="99"/>
          <w:sz w:val="24"/>
          <w:szCs w:val="24"/>
        </w:rPr>
        <w:t>w</w:t>
      </w:r>
      <w:r w:rsidR="000430EA" w:rsidRPr="000B2788">
        <w:rPr>
          <w:rFonts w:ascii="Arial" w:hAnsi="Arial" w:cs="Arial"/>
          <w:w w:val="102"/>
          <w:sz w:val="24"/>
          <w:szCs w:val="24"/>
        </w:rPr>
        <w:t>e</w:t>
      </w:r>
      <w:r w:rsidR="000430EA" w:rsidRPr="000B2788">
        <w:rPr>
          <w:rFonts w:ascii="Arial" w:hAnsi="Arial" w:cs="Arial"/>
          <w:spacing w:val="-6"/>
          <w:w w:val="102"/>
          <w:sz w:val="24"/>
          <w:szCs w:val="24"/>
        </w:rPr>
        <w:t>v</w:t>
      </w:r>
      <w:r w:rsidR="000430EA" w:rsidRPr="000B2788">
        <w:rPr>
          <w:rFonts w:ascii="Arial" w:hAnsi="Arial" w:cs="Arial"/>
          <w:w w:val="107"/>
          <w:sz w:val="24"/>
          <w:szCs w:val="24"/>
        </w:rPr>
        <w:t>er</w:t>
      </w:r>
      <w:r w:rsidR="000430EA">
        <w:rPr>
          <w:rFonts w:ascii="Arial" w:hAnsi="Arial" w:cs="Arial"/>
          <w:w w:val="107"/>
          <w:sz w:val="24"/>
          <w:szCs w:val="24"/>
        </w:rPr>
        <w:t>,</w:t>
      </w:r>
      <w:r w:rsidR="000430EA" w:rsidRPr="000B2788">
        <w:rPr>
          <w:rFonts w:ascii="Arial" w:hAnsi="Arial" w:cs="Arial"/>
          <w:w w:val="105"/>
          <w:sz w:val="24"/>
          <w:szCs w:val="24"/>
        </w:rPr>
        <w:t xml:space="preserve"> </w:t>
      </w:r>
      <w:r w:rsidRPr="000B2788">
        <w:rPr>
          <w:rFonts w:ascii="Arial" w:hAnsi="Arial" w:cs="Arial"/>
          <w:w w:val="105"/>
          <w:sz w:val="24"/>
          <w:szCs w:val="24"/>
        </w:rPr>
        <w:t>more</w:t>
      </w:r>
      <w:r w:rsidRPr="000B2788">
        <w:rPr>
          <w:rFonts w:ascii="Arial" w:hAnsi="Arial" w:cs="Arial"/>
          <w:sz w:val="24"/>
          <w:szCs w:val="24"/>
        </w:rPr>
        <w:t xml:space="preserve"> </w:t>
      </w:r>
      <w:r w:rsidRPr="000B2788">
        <w:rPr>
          <w:rFonts w:ascii="Arial" w:hAnsi="Arial" w:cs="Arial"/>
          <w:spacing w:val="-1"/>
          <w:w w:val="110"/>
          <w:sz w:val="24"/>
          <w:szCs w:val="24"/>
        </w:rPr>
        <w:t>d</w:t>
      </w:r>
      <w:r w:rsidRPr="000B2788">
        <w:rPr>
          <w:rFonts w:ascii="Arial" w:hAnsi="Arial" w:cs="Arial"/>
          <w:w w:val="92"/>
          <w:sz w:val="24"/>
          <w:szCs w:val="24"/>
        </w:rPr>
        <w:t>iffic</w:t>
      </w:r>
      <w:r w:rsidRPr="000B2788">
        <w:rPr>
          <w:rFonts w:ascii="Arial" w:hAnsi="Arial" w:cs="Arial"/>
          <w:w w:val="106"/>
          <w:sz w:val="24"/>
          <w:szCs w:val="24"/>
        </w:rPr>
        <w:t>u</w:t>
      </w:r>
      <w:r w:rsidRPr="000B2788">
        <w:rPr>
          <w:rFonts w:ascii="Arial" w:hAnsi="Arial" w:cs="Arial"/>
          <w:spacing w:val="-1"/>
          <w:w w:val="106"/>
          <w:sz w:val="24"/>
          <w:szCs w:val="24"/>
        </w:rPr>
        <w:t>l</w:t>
      </w:r>
      <w:r w:rsidRPr="000B2788">
        <w:rPr>
          <w:rFonts w:ascii="Arial" w:hAnsi="Arial" w:cs="Arial"/>
          <w:w w:val="139"/>
          <w:sz w:val="24"/>
          <w:szCs w:val="24"/>
        </w:rPr>
        <w:t xml:space="preserve">t </w:t>
      </w:r>
      <w:r w:rsidRPr="000B2788">
        <w:rPr>
          <w:rFonts w:ascii="Arial" w:hAnsi="Arial" w:cs="Arial"/>
          <w:w w:val="105"/>
          <w:sz w:val="24"/>
          <w:szCs w:val="24"/>
        </w:rPr>
        <w:t xml:space="preserve">to obtain a minimally biased estimator of dispersion parameter </w:t>
      </w:r>
      <w:r w:rsidRPr="000B2788">
        <w:rPr>
          <w:rFonts w:ascii="Arial" w:hAnsi="Arial" w:cs="Arial"/>
          <w:i/>
          <w:iCs/>
          <w:spacing w:val="3"/>
          <w:w w:val="105"/>
          <w:sz w:val="24"/>
          <w:szCs w:val="24"/>
        </w:rPr>
        <w:t>k</w:t>
      </w:r>
      <w:r w:rsidRPr="000B2788">
        <w:rPr>
          <w:rFonts w:ascii="Arial" w:hAnsi="Arial" w:cs="Arial"/>
          <w:spacing w:val="3"/>
          <w:w w:val="105"/>
          <w:sz w:val="24"/>
          <w:szCs w:val="24"/>
        </w:rPr>
        <w:t xml:space="preserve">. </w:t>
      </w:r>
      <w:r>
        <w:rPr>
          <w:rFonts w:ascii="Arial" w:hAnsi="Arial" w:cs="Arial"/>
          <w:w w:val="105"/>
          <w:sz w:val="24"/>
          <w:szCs w:val="24"/>
        </w:rPr>
        <w:t>M</w:t>
      </w:r>
      <w:r w:rsidRPr="000B2788">
        <w:rPr>
          <w:rFonts w:ascii="Arial" w:hAnsi="Arial" w:cs="Arial"/>
          <w:w w:val="105"/>
          <w:sz w:val="24"/>
          <w:szCs w:val="24"/>
        </w:rPr>
        <w:t>aximum likelihood</w:t>
      </w:r>
      <w:r>
        <w:rPr>
          <w:rFonts w:ascii="Arial" w:hAnsi="Arial" w:cs="Arial"/>
          <w:w w:val="105"/>
          <w:sz w:val="24"/>
          <w:szCs w:val="24"/>
        </w:rPr>
        <w:t xml:space="preserve"> estimation (MLE)</w:t>
      </w:r>
      <w:r w:rsidRPr="000B2788">
        <w:rPr>
          <w:rFonts w:ascii="Arial" w:hAnsi="Arial" w:cs="Arial"/>
          <w:w w:val="105"/>
          <w:sz w:val="24"/>
          <w:szCs w:val="24"/>
        </w:rPr>
        <w:t xml:space="preserve"> </w:t>
      </w:r>
      <w:r>
        <w:rPr>
          <w:rFonts w:ascii="Arial" w:hAnsi="Arial" w:cs="Arial"/>
          <w:w w:val="105"/>
          <w:sz w:val="24"/>
          <w:szCs w:val="24"/>
        </w:rPr>
        <w:t>yields</w:t>
      </w:r>
    </w:p>
    <w:p w14:paraId="2BBA08C7" w14:textId="12B90B69" w:rsidR="00F13D75" w:rsidRDefault="006A1709" w:rsidP="00F13D75">
      <w:pPr>
        <w:pStyle w:val="BodyText"/>
        <w:kinsoku w:val="0"/>
        <w:overflowPunct w:val="0"/>
        <w:spacing w:before="100" w:beforeAutospacing="1"/>
        <w:ind w:left="120" w:right="118"/>
        <w:rPr>
          <w:w w:val="105"/>
        </w:rPr>
      </w:pPr>
      <w:r w:rsidRPr="003D665C">
        <w:rPr>
          <w:noProof/>
        </w:rPr>
        <w:drawing>
          <wp:anchor distT="0" distB="0" distL="114300" distR="114300" simplePos="0" relativeHeight="251660288" behindDoc="0" locked="0" layoutInCell="1" allowOverlap="1" wp14:anchorId="3FD86F5E" wp14:editId="5FF76361">
            <wp:simplePos x="0" y="0"/>
            <wp:positionH relativeFrom="margin">
              <wp:align>center</wp:align>
            </wp:positionH>
            <wp:positionV relativeFrom="paragraph">
              <wp:posOffset>110552</wp:posOffset>
            </wp:positionV>
            <wp:extent cx="1009650" cy="5905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09650" cy="590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EF83CD" w14:textId="77777777" w:rsidR="00F13D75" w:rsidRDefault="00F13D75" w:rsidP="00F13D75">
      <w:pPr>
        <w:pStyle w:val="BodyText"/>
        <w:kinsoku w:val="0"/>
        <w:overflowPunct w:val="0"/>
        <w:spacing w:before="100" w:beforeAutospacing="1"/>
        <w:ind w:left="120" w:right="118"/>
        <w:rPr>
          <w:w w:val="105"/>
        </w:rPr>
      </w:pPr>
    </w:p>
    <w:p w14:paraId="71A00A37" w14:textId="77777777" w:rsidR="00F13D75" w:rsidRDefault="00F13D75" w:rsidP="00F13D75">
      <w:pPr>
        <w:pStyle w:val="BodyText"/>
        <w:kinsoku w:val="0"/>
        <w:overflowPunct w:val="0"/>
        <w:spacing w:before="100" w:beforeAutospacing="1"/>
        <w:ind w:left="120" w:right="118"/>
        <w:rPr>
          <w:w w:val="105"/>
        </w:rPr>
        <w:sectPr w:rsidR="00F13D75">
          <w:type w:val="continuous"/>
          <w:pgSz w:w="12240" w:h="15840"/>
          <w:pgMar w:top="1500" w:right="1320" w:bottom="280" w:left="1320" w:header="720" w:footer="720" w:gutter="0"/>
          <w:cols w:space="720" w:equalWidth="0">
            <w:col w:w="9600"/>
          </w:cols>
          <w:noEndnote/>
        </w:sectPr>
      </w:pPr>
    </w:p>
    <w:p w14:paraId="23B4C968" w14:textId="77777777" w:rsidR="00F13D75" w:rsidRDefault="00F13D75" w:rsidP="00F13D75">
      <w:pPr>
        <w:pStyle w:val="BodyText"/>
        <w:kinsoku w:val="0"/>
        <w:overflowPunct w:val="0"/>
        <w:spacing w:before="100" w:beforeAutospacing="1"/>
        <w:ind w:left="119" w:right="118"/>
        <w:rPr>
          <w:rFonts w:ascii="Arial" w:hAnsi="Arial" w:cs="Arial"/>
          <w:w w:val="105"/>
          <w:sz w:val="24"/>
          <w:szCs w:val="24"/>
        </w:rPr>
      </w:pPr>
      <w:r w:rsidRPr="000B2788">
        <w:rPr>
          <w:rFonts w:ascii="Arial" w:hAnsi="Arial" w:cs="Arial"/>
          <w:w w:val="104"/>
          <w:sz w:val="24"/>
          <w:szCs w:val="24"/>
        </w:rPr>
        <w:t>where</w:t>
      </w:r>
      <w:r w:rsidRPr="000B2788">
        <w:rPr>
          <w:rFonts w:ascii="Arial" w:hAnsi="Arial" w:cs="Arial"/>
          <w:sz w:val="24"/>
          <w:szCs w:val="24"/>
        </w:rPr>
        <w:t xml:space="preserve"> </w:t>
      </w:r>
      <w:r w:rsidRPr="000B2788">
        <w:rPr>
          <w:rFonts w:ascii="Arial" w:hAnsi="Arial" w:cs="Arial"/>
          <w:spacing w:val="-19"/>
          <w:sz w:val="24"/>
          <w:szCs w:val="24"/>
        </w:rPr>
        <w:t xml:space="preserve"> </w:t>
      </w:r>
      <w:r w:rsidRPr="000B2788">
        <w:rPr>
          <w:rFonts w:ascii="Arial" w:hAnsi="Arial" w:cs="Arial"/>
          <w:i/>
          <w:iCs/>
          <w:w w:val="86"/>
          <w:sz w:val="24"/>
          <w:szCs w:val="24"/>
        </w:rPr>
        <w:t>s</w:t>
      </w:r>
      <w:r w:rsidRPr="000B2788">
        <w:rPr>
          <w:rFonts w:ascii="Arial" w:hAnsi="Arial" w:cs="Arial"/>
          <w:w w:val="83"/>
          <w:sz w:val="24"/>
          <w:szCs w:val="24"/>
          <w:vertAlign w:val="superscript"/>
        </w:rPr>
        <w:t>2</w:t>
      </w:r>
      <w:r w:rsidRPr="000B2788">
        <w:rPr>
          <w:rFonts w:ascii="Arial" w:hAnsi="Arial" w:cs="Arial"/>
          <w:spacing w:val="20"/>
          <w:sz w:val="24"/>
          <w:szCs w:val="24"/>
        </w:rPr>
        <w:t xml:space="preserve"> </w:t>
      </w:r>
      <w:r w:rsidRPr="000B2788">
        <w:rPr>
          <w:rFonts w:ascii="Arial" w:hAnsi="Arial" w:cs="Arial"/>
          <w:sz w:val="24"/>
          <w:szCs w:val="24"/>
        </w:rPr>
        <w:t>is</w:t>
      </w:r>
      <w:r w:rsidRPr="000B2788">
        <w:rPr>
          <w:rFonts w:ascii="Arial" w:hAnsi="Arial" w:cs="Arial"/>
          <w:spacing w:val="-19"/>
          <w:sz w:val="24"/>
          <w:szCs w:val="24"/>
        </w:rPr>
        <w:t xml:space="preserve"> </w:t>
      </w:r>
      <w:r w:rsidRPr="000B2788">
        <w:rPr>
          <w:rFonts w:ascii="Arial" w:hAnsi="Arial" w:cs="Arial"/>
          <w:w w:val="120"/>
          <w:sz w:val="24"/>
          <w:szCs w:val="24"/>
        </w:rPr>
        <w:t>t</w:t>
      </w:r>
      <w:r w:rsidRPr="000B2788">
        <w:rPr>
          <w:rFonts w:ascii="Arial" w:hAnsi="Arial" w:cs="Arial"/>
          <w:spacing w:val="-1"/>
          <w:w w:val="120"/>
          <w:sz w:val="24"/>
          <w:szCs w:val="24"/>
        </w:rPr>
        <w:t>h</w:t>
      </w:r>
      <w:r w:rsidRPr="000B2788">
        <w:rPr>
          <w:rFonts w:ascii="Arial" w:hAnsi="Arial" w:cs="Arial"/>
          <w:w w:val="99"/>
          <w:sz w:val="24"/>
          <w:szCs w:val="24"/>
        </w:rPr>
        <w:t>e</w:t>
      </w:r>
      <w:r w:rsidRPr="000B2788">
        <w:rPr>
          <w:rFonts w:ascii="Arial" w:hAnsi="Arial" w:cs="Arial"/>
          <w:spacing w:val="-19"/>
          <w:sz w:val="24"/>
          <w:szCs w:val="24"/>
        </w:rPr>
        <w:t xml:space="preserve"> </w:t>
      </w:r>
      <w:r w:rsidRPr="000B2788">
        <w:rPr>
          <w:rFonts w:ascii="Arial" w:hAnsi="Arial" w:cs="Arial"/>
          <w:w w:val="105"/>
          <w:sz w:val="24"/>
          <w:szCs w:val="24"/>
        </w:rPr>
        <w:t>sample</w:t>
      </w:r>
      <w:r w:rsidRPr="000B2788">
        <w:rPr>
          <w:rFonts w:ascii="Arial" w:hAnsi="Arial" w:cs="Arial"/>
          <w:spacing w:val="-19"/>
          <w:sz w:val="24"/>
          <w:szCs w:val="24"/>
        </w:rPr>
        <w:t xml:space="preserve"> </w:t>
      </w:r>
      <w:r w:rsidRPr="000B2788">
        <w:rPr>
          <w:rFonts w:ascii="Arial" w:hAnsi="Arial" w:cs="Arial"/>
          <w:spacing w:val="-11"/>
          <w:w w:val="105"/>
          <w:sz w:val="24"/>
          <w:szCs w:val="24"/>
        </w:rPr>
        <w:t>v</w:t>
      </w:r>
      <w:r w:rsidRPr="000B2788">
        <w:rPr>
          <w:rFonts w:ascii="Arial" w:hAnsi="Arial" w:cs="Arial"/>
          <w:w w:val="107"/>
          <w:sz w:val="24"/>
          <w:szCs w:val="24"/>
        </w:rPr>
        <w:t>ariance.</w:t>
      </w:r>
      <w:r w:rsidRPr="000B2788">
        <w:rPr>
          <w:rFonts w:ascii="Arial" w:hAnsi="Arial" w:cs="Arial"/>
          <w:sz w:val="24"/>
          <w:szCs w:val="24"/>
        </w:rPr>
        <w:t xml:space="preserve"> </w:t>
      </w:r>
      <w:r w:rsidRPr="000B2788">
        <w:rPr>
          <w:rFonts w:ascii="Arial" w:hAnsi="Arial" w:cs="Arial"/>
          <w:w w:val="110"/>
          <w:sz w:val="24"/>
          <w:szCs w:val="24"/>
        </w:rPr>
        <w:t>The</w:t>
      </w:r>
      <w:r w:rsidRPr="000B2788">
        <w:rPr>
          <w:rFonts w:ascii="Arial" w:hAnsi="Arial" w:cs="Arial"/>
          <w:spacing w:val="-19"/>
          <w:sz w:val="24"/>
          <w:szCs w:val="24"/>
        </w:rPr>
        <w:t xml:space="preserve"> </w:t>
      </w:r>
      <w:r w:rsidRPr="000B2788">
        <w:rPr>
          <w:rFonts w:ascii="Arial" w:hAnsi="Arial" w:cs="Arial"/>
          <w:w w:val="106"/>
          <w:sz w:val="24"/>
          <w:szCs w:val="24"/>
        </w:rPr>
        <w:t>bias</w:t>
      </w:r>
      <w:r w:rsidRPr="000B2788">
        <w:rPr>
          <w:rFonts w:ascii="Arial" w:hAnsi="Arial" w:cs="Arial"/>
          <w:spacing w:val="-19"/>
          <w:sz w:val="24"/>
          <w:szCs w:val="24"/>
        </w:rPr>
        <w:t xml:space="preserve"> </w:t>
      </w:r>
      <w:r w:rsidRPr="000B2788">
        <w:rPr>
          <w:rFonts w:ascii="Arial" w:hAnsi="Arial" w:cs="Arial"/>
          <w:w w:val="106"/>
          <w:sz w:val="24"/>
          <w:szCs w:val="24"/>
        </w:rPr>
        <w:t>in</w:t>
      </w:r>
      <w:r w:rsidRPr="000B2788">
        <w:rPr>
          <w:rFonts w:ascii="Arial" w:hAnsi="Arial" w:cs="Arial"/>
          <w:spacing w:val="-19"/>
          <w:sz w:val="24"/>
          <w:szCs w:val="24"/>
        </w:rPr>
        <w:t xml:space="preserve"> </w:t>
      </w:r>
      <w:r w:rsidRPr="000B2788">
        <w:rPr>
          <w:rFonts w:ascii="Arial" w:hAnsi="Arial" w:cs="Arial"/>
          <w:w w:val="110"/>
          <w:sz w:val="24"/>
          <w:szCs w:val="24"/>
        </w:rPr>
        <w:t>estimator</w:t>
      </w:r>
      <w:r w:rsidRPr="000B2788">
        <w:rPr>
          <w:rFonts w:ascii="Arial" w:hAnsi="Arial" w:cs="Arial"/>
          <w:sz w:val="24"/>
          <w:szCs w:val="24"/>
        </w:rPr>
        <w:t xml:space="preserve"> </w:t>
      </w:r>
      <w:r w:rsidRPr="000B2788">
        <w:rPr>
          <w:rFonts w:ascii="Arial" w:hAnsi="Arial" w:cs="Arial"/>
          <w:spacing w:val="-18"/>
          <w:sz w:val="24"/>
          <w:szCs w:val="24"/>
        </w:rPr>
        <w:t xml:space="preserve"> </w:t>
      </w:r>
      <w:r w:rsidRPr="000B2788">
        <w:rPr>
          <w:rFonts w:ascii="Arial" w:hAnsi="Arial" w:cs="Arial"/>
          <w:i/>
          <w:iCs/>
          <w:spacing w:val="-99"/>
          <w:w w:val="86"/>
          <w:sz w:val="24"/>
          <w:szCs w:val="24"/>
        </w:rPr>
        <w:t>k</w:t>
      </w:r>
      <w:r w:rsidRPr="000B2788">
        <w:rPr>
          <w:rFonts w:ascii="Arial" w:hAnsi="Arial" w:cs="Arial"/>
          <w:w w:val="149"/>
          <w:position w:val="5"/>
          <w:sz w:val="24"/>
          <w:szCs w:val="24"/>
        </w:rPr>
        <w:t>ˆ</w:t>
      </w:r>
      <w:r w:rsidRPr="000B2788">
        <w:rPr>
          <w:rFonts w:ascii="Arial" w:hAnsi="Arial" w:cs="Arial"/>
          <w:position w:val="5"/>
          <w:sz w:val="24"/>
          <w:szCs w:val="24"/>
        </w:rPr>
        <w:t xml:space="preserve"> </w:t>
      </w:r>
      <w:r w:rsidRPr="000B2788">
        <w:rPr>
          <w:rFonts w:ascii="Arial" w:hAnsi="Arial" w:cs="Arial"/>
          <w:spacing w:val="-14"/>
          <w:position w:val="5"/>
          <w:sz w:val="24"/>
          <w:szCs w:val="24"/>
        </w:rPr>
        <w:t xml:space="preserve"> </w:t>
      </w:r>
      <w:r w:rsidRPr="000B2788">
        <w:rPr>
          <w:rFonts w:ascii="Arial" w:hAnsi="Arial" w:cs="Arial"/>
          <w:w w:val="107"/>
          <w:sz w:val="24"/>
          <w:szCs w:val="24"/>
        </w:rPr>
        <w:t>can</w:t>
      </w:r>
      <w:r w:rsidRPr="000B2788">
        <w:rPr>
          <w:rFonts w:ascii="Arial" w:hAnsi="Arial" w:cs="Arial"/>
          <w:spacing w:val="-19"/>
          <w:sz w:val="24"/>
          <w:szCs w:val="24"/>
        </w:rPr>
        <w:t xml:space="preserve"> </w:t>
      </w:r>
      <w:r w:rsidRPr="000B2788">
        <w:rPr>
          <w:rFonts w:ascii="Arial" w:hAnsi="Arial" w:cs="Arial"/>
          <w:spacing w:val="5"/>
          <w:w w:val="110"/>
          <w:sz w:val="24"/>
          <w:szCs w:val="24"/>
        </w:rPr>
        <w:t>b</w:t>
      </w:r>
      <w:r w:rsidRPr="000B2788">
        <w:rPr>
          <w:rFonts w:ascii="Arial" w:hAnsi="Arial" w:cs="Arial"/>
          <w:w w:val="99"/>
          <w:sz w:val="24"/>
          <w:szCs w:val="24"/>
        </w:rPr>
        <w:t>e</w:t>
      </w:r>
      <w:r w:rsidRPr="000B2788">
        <w:rPr>
          <w:rFonts w:ascii="Arial" w:hAnsi="Arial" w:cs="Arial"/>
          <w:spacing w:val="-19"/>
          <w:sz w:val="24"/>
          <w:szCs w:val="24"/>
        </w:rPr>
        <w:t xml:space="preserve"> </w:t>
      </w:r>
      <w:r w:rsidRPr="000B2788">
        <w:rPr>
          <w:rFonts w:ascii="Arial" w:hAnsi="Arial" w:cs="Arial"/>
          <w:w w:val="106"/>
          <w:sz w:val="24"/>
          <w:szCs w:val="24"/>
        </w:rPr>
        <w:t>reduced</w:t>
      </w:r>
      <w:r w:rsidRPr="000B2788">
        <w:rPr>
          <w:rFonts w:ascii="Arial" w:hAnsi="Arial" w:cs="Arial"/>
          <w:spacing w:val="-19"/>
          <w:sz w:val="24"/>
          <w:szCs w:val="24"/>
        </w:rPr>
        <w:t xml:space="preserve"> </w:t>
      </w:r>
      <w:r w:rsidRPr="000B2788">
        <w:rPr>
          <w:rFonts w:ascii="Arial" w:hAnsi="Arial" w:cs="Arial"/>
          <w:w w:val="104"/>
          <w:sz w:val="24"/>
          <w:szCs w:val="24"/>
        </w:rPr>
        <w:t>when</w:t>
      </w:r>
      <w:r w:rsidRPr="000B2788">
        <w:rPr>
          <w:rFonts w:ascii="Arial" w:hAnsi="Arial" w:cs="Arial"/>
          <w:spacing w:val="-19"/>
          <w:sz w:val="24"/>
          <w:szCs w:val="24"/>
        </w:rPr>
        <w:t xml:space="preserve"> </w:t>
      </w:r>
      <w:r w:rsidRPr="000B2788">
        <w:rPr>
          <w:rFonts w:ascii="Arial" w:hAnsi="Arial" w:cs="Arial"/>
          <w:w w:val="107"/>
          <w:sz w:val="24"/>
          <w:szCs w:val="24"/>
        </w:rPr>
        <w:t>calculating</w:t>
      </w:r>
      <w:r w:rsidRPr="000B2788">
        <w:rPr>
          <w:rFonts w:ascii="Arial" w:hAnsi="Arial" w:cs="Arial"/>
          <w:spacing w:val="-19"/>
          <w:sz w:val="24"/>
          <w:szCs w:val="24"/>
        </w:rPr>
        <w:t xml:space="preserve"> </w:t>
      </w:r>
      <w:r w:rsidRPr="000B2788">
        <w:rPr>
          <w:rFonts w:ascii="Arial" w:hAnsi="Arial" w:cs="Arial"/>
          <w:w w:val="113"/>
          <w:sz w:val="24"/>
          <w:szCs w:val="24"/>
        </w:rPr>
        <w:t>the</w:t>
      </w:r>
      <w:r w:rsidRPr="000B2788">
        <w:rPr>
          <w:rFonts w:ascii="Arial" w:hAnsi="Arial" w:cs="Arial"/>
          <w:spacing w:val="-19"/>
          <w:sz w:val="24"/>
          <w:szCs w:val="24"/>
        </w:rPr>
        <w:t xml:space="preserve"> </w:t>
      </w:r>
      <w:r w:rsidRPr="000B2788">
        <w:rPr>
          <w:rFonts w:ascii="Arial" w:hAnsi="Arial" w:cs="Arial"/>
          <w:w w:val="110"/>
          <w:sz w:val="24"/>
          <w:szCs w:val="24"/>
        </w:rPr>
        <w:t xml:space="preserve">estimator </w:t>
      </w:r>
      <w:r w:rsidRPr="000B2788">
        <w:rPr>
          <w:rFonts w:ascii="Arial" w:hAnsi="Arial" w:cs="Arial"/>
          <w:w w:val="105"/>
          <w:sz w:val="24"/>
          <w:szCs w:val="24"/>
        </w:rPr>
        <w:t xml:space="preserve">of </w:t>
      </w:r>
      <w:r w:rsidRPr="000B2788">
        <w:rPr>
          <w:rFonts w:ascii="Arial" w:hAnsi="Arial" w:cs="Arial"/>
          <w:i/>
          <w:iCs/>
          <w:w w:val="105"/>
          <w:sz w:val="24"/>
          <w:szCs w:val="24"/>
        </w:rPr>
        <w:t>c</w:t>
      </w:r>
      <w:r>
        <w:rPr>
          <w:rFonts w:ascii="Arial" w:hAnsi="Arial" w:cs="Arial"/>
          <w:iCs/>
          <w:w w:val="105"/>
          <w:sz w:val="24"/>
          <w:szCs w:val="24"/>
        </w:rPr>
        <w:t>Ξ1/k</w:t>
      </w:r>
      <w:r w:rsidRPr="000B2788">
        <w:rPr>
          <w:rFonts w:ascii="Arial" w:hAnsi="Arial" w:cs="Arial"/>
          <w:w w:val="105"/>
          <w:sz w:val="24"/>
          <w:szCs w:val="24"/>
        </w:rPr>
        <w:t xml:space="preserve">. Here </w:t>
      </w:r>
      <w:r>
        <w:rPr>
          <w:rFonts w:ascii="Arial" w:hAnsi="Arial" w:cs="Arial"/>
          <w:w w:val="105"/>
          <w:sz w:val="24"/>
          <w:szCs w:val="24"/>
        </w:rPr>
        <w:t xml:space="preserve">we use </w:t>
      </w:r>
      <w:r w:rsidRPr="000B2788">
        <w:rPr>
          <w:rFonts w:ascii="Arial" w:hAnsi="Arial" w:cs="Arial"/>
          <w:w w:val="105"/>
          <w:sz w:val="24"/>
          <w:szCs w:val="24"/>
        </w:rPr>
        <w:t xml:space="preserve">Newton-Raphson maximization to </w:t>
      </w:r>
      <w:r w:rsidRPr="000B2788">
        <w:rPr>
          <w:rFonts w:ascii="Arial" w:hAnsi="Arial" w:cs="Arial"/>
          <w:w w:val="105"/>
          <w:sz w:val="24"/>
          <w:szCs w:val="24"/>
        </w:rPr>
        <w:lastRenderedPageBreak/>
        <w:t xml:space="preserve">find estimators for </w:t>
      </w:r>
      <w:r w:rsidRPr="000B2788">
        <w:rPr>
          <w:rFonts w:ascii="Arial" w:hAnsi="Arial" w:cs="Arial"/>
          <w:i/>
          <w:iCs/>
          <w:w w:val="105"/>
          <w:sz w:val="24"/>
          <w:szCs w:val="24"/>
        </w:rPr>
        <w:t xml:space="preserve">c </w:t>
      </w:r>
      <w:r w:rsidRPr="000B2788">
        <w:rPr>
          <w:rFonts w:ascii="Arial" w:hAnsi="Arial" w:cs="Arial"/>
          <w:w w:val="105"/>
          <w:sz w:val="24"/>
          <w:szCs w:val="24"/>
        </w:rPr>
        <w:t>under</w:t>
      </w:r>
      <w:r w:rsidRPr="000B2788">
        <w:rPr>
          <w:rFonts w:ascii="Arial" w:hAnsi="Arial" w:cs="Arial"/>
          <w:spacing w:val="15"/>
          <w:w w:val="105"/>
          <w:sz w:val="24"/>
          <w:szCs w:val="24"/>
        </w:rPr>
        <w:t xml:space="preserve"> </w:t>
      </w:r>
      <w:r w:rsidRPr="000B2788">
        <w:rPr>
          <w:rFonts w:ascii="Arial" w:hAnsi="Arial" w:cs="Arial"/>
          <w:w w:val="105"/>
          <w:sz w:val="24"/>
          <w:szCs w:val="24"/>
        </w:rPr>
        <w:t>Pseudo-Likelihood</w:t>
      </w:r>
      <w:r w:rsidRPr="000B2788">
        <w:rPr>
          <w:rFonts w:ascii="Arial" w:hAnsi="Arial" w:cs="Arial"/>
          <w:spacing w:val="15"/>
          <w:w w:val="105"/>
          <w:sz w:val="24"/>
          <w:szCs w:val="24"/>
        </w:rPr>
        <w:t xml:space="preserve"> </w:t>
      </w:r>
      <w:r w:rsidRPr="000B2788">
        <w:rPr>
          <w:rFonts w:ascii="Arial" w:hAnsi="Arial" w:cs="Arial"/>
          <w:w w:val="105"/>
          <w:sz w:val="24"/>
          <w:szCs w:val="24"/>
        </w:rPr>
        <w:t>(PL)</w:t>
      </w:r>
      <w:r w:rsidRPr="000B2788">
        <w:rPr>
          <w:rFonts w:ascii="Arial" w:hAnsi="Arial" w:cs="Arial"/>
          <w:spacing w:val="15"/>
          <w:w w:val="105"/>
          <w:sz w:val="24"/>
          <w:szCs w:val="24"/>
        </w:rPr>
        <w:t xml:space="preserve"> </w:t>
      </w:r>
      <w:r w:rsidRPr="000B2788">
        <w:rPr>
          <w:rFonts w:ascii="Arial" w:hAnsi="Arial" w:cs="Arial"/>
          <w:w w:val="105"/>
          <w:sz w:val="24"/>
          <w:szCs w:val="24"/>
        </w:rPr>
        <w:t>and</w:t>
      </w:r>
      <w:r w:rsidRPr="000B2788">
        <w:rPr>
          <w:rFonts w:ascii="Arial" w:hAnsi="Arial" w:cs="Arial"/>
          <w:spacing w:val="15"/>
          <w:w w:val="105"/>
          <w:sz w:val="24"/>
          <w:szCs w:val="24"/>
        </w:rPr>
        <w:t xml:space="preserve"> </w:t>
      </w:r>
      <w:r w:rsidRPr="000B2788">
        <w:rPr>
          <w:rFonts w:ascii="Arial" w:hAnsi="Arial" w:cs="Arial"/>
          <w:w w:val="105"/>
          <w:sz w:val="24"/>
          <w:szCs w:val="24"/>
        </w:rPr>
        <w:t>Conditional</w:t>
      </w:r>
      <w:r w:rsidRPr="000B2788">
        <w:rPr>
          <w:rFonts w:ascii="Arial" w:hAnsi="Arial" w:cs="Arial"/>
          <w:spacing w:val="15"/>
          <w:w w:val="105"/>
          <w:sz w:val="24"/>
          <w:szCs w:val="24"/>
        </w:rPr>
        <w:t xml:space="preserve"> </w:t>
      </w:r>
      <w:r w:rsidRPr="000B2788">
        <w:rPr>
          <w:rFonts w:ascii="Arial" w:hAnsi="Arial" w:cs="Arial"/>
          <w:w w:val="105"/>
          <w:sz w:val="24"/>
          <w:szCs w:val="24"/>
        </w:rPr>
        <w:t>Likelihood</w:t>
      </w:r>
      <w:r w:rsidRPr="000B2788">
        <w:rPr>
          <w:rFonts w:ascii="Arial" w:hAnsi="Arial" w:cs="Arial"/>
          <w:spacing w:val="15"/>
          <w:w w:val="105"/>
          <w:sz w:val="24"/>
          <w:szCs w:val="24"/>
        </w:rPr>
        <w:t xml:space="preserve"> </w:t>
      </w:r>
      <w:r w:rsidRPr="000B2788">
        <w:rPr>
          <w:rFonts w:ascii="Arial" w:hAnsi="Arial" w:cs="Arial"/>
          <w:w w:val="105"/>
          <w:sz w:val="24"/>
          <w:szCs w:val="24"/>
        </w:rPr>
        <w:t>(CL).</w:t>
      </w:r>
      <w:r>
        <w:rPr>
          <w:rFonts w:ascii="Arial" w:hAnsi="Arial" w:cs="Arial"/>
          <w:w w:val="105"/>
          <w:sz w:val="24"/>
          <w:szCs w:val="24"/>
        </w:rPr>
        <w:t xml:space="preserve"> </w:t>
      </w:r>
    </w:p>
    <w:p w14:paraId="699F6422" w14:textId="77777777" w:rsidR="00F13D75" w:rsidRDefault="00F13D75" w:rsidP="00A102FA">
      <w:pPr>
        <w:pStyle w:val="BodyText"/>
        <w:kinsoku w:val="0"/>
        <w:overflowPunct w:val="0"/>
        <w:spacing w:before="100" w:beforeAutospacing="1"/>
        <w:ind w:left="119" w:right="118"/>
        <w:rPr>
          <w:rFonts w:ascii="Arial" w:hAnsi="Arial" w:cs="Arial"/>
          <w:w w:val="108"/>
          <w:sz w:val="24"/>
          <w:szCs w:val="24"/>
        </w:rPr>
      </w:pPr>
    </w:p>
    <w:p w14:paraId="22D165E3" w14:textId="77777777" w:rsidR="00F13D75" w:rsidRDefault="00F13D75" w:rsidP="00A102FA">
      <w:pPr>
        <w:pStyle w:val="BodyText"/>
        <w:kinsoku w:val="0"/>
        <w:overflowPunct w:val="0"/>
        <w:spacing w:before="100" w:beforeAutospacing="1"/>
        <w:ind w:left="119" w:right="118"/>
        <w:rPr>
          <w:rFonts w:ascii="Arial" w:hAnsi="Arial" w:cs="Arial"/>
          <w:w w:val="108"/>
          <w:sz w:val="24"/>
          <w:szCs w:val="24"/>
        </w:rPr>
      </w:pPr>
      <w:r w:rsidRPr="000B2788">
        <w:rPr>
          <w:noProof/>
          <w:w w:val="105"/>
        </w:rPr>
        <w:drawing>
          <wp:anchor distT="0" distB="0" distL="114300" distR="114300" simplePos="0" relativeHeight="251661312" behindDoc="0" locked="0" layoutInCell="1" allowOverlap="1" wp14:anchorId="30FB62B4" wp14:editId="7E198DA1">
            <wp:simplePos x="0" y="0"/>
            <wp:positionH relativeFrom="margin">
              <wp:align>center</wp:align>
            </wp:positionH>
            <wp:positionV relativeFrom="paragraph">
              <wp:posOffset>5080</wp:posOffset>
            </wp:positionV>
            <wp:extent cx="1752600" cy="5905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2600" cy="590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4E1630" w14:textId="77777777" w:rsidR="00197EB7" w:rsidRDefault="00197EB7" w:rsidP="00A102FA">
      <w:pPr>
        <w:rPr>
          <w:rFonts w:ascii="Arial" w:hAnsi="Arial" w:cs="Arial"/>
          <w:w w:val="108"/>
          <w:sz w:val="24"/>
          <w:szCs w:val="24"/>
        </w:rPr>
      </w:pPr>
    </w:p>
    <w:p w14:paraId="1FE332C5" w14:textId="77777777" w:rsidR="00197EB7" w:rsidRDefault="00197EB7" w:rsidP="00A102FA">
      <w:pPr>
        <w:rPr>
          <w:rFonts w:ascii="Arial" w:hAnsi="Arial" w:cs="Arial"/>
          <w:w w:val="108"/>
          <w:sz w:val="24"/>
          <w:szCs w:val="24"/>
        </w:rPr>
      </w:pPr>
    </w:p>
    <w:p w14:paraId="549E36C5" w14:textId="77777777" w:rsidR="00197EB7" w:rsidRDefault="00197EB7" w:rsidP="00A102FA">
      <w:pPr>
        <w:rPr>
          <w:rFonts w:ascii="Arial" w:hAnsi="Arial" w:cs="Arial"/>
          <w:w w:val="108"/>
          <w:sz w:val="24"/>
          <w:szCs w:val="24"/>
        </w:rPr>
      </w:pPr>
    </w:p>
    <w:p w14:paraId="4DB3D94E" w14:textId="77777777" w:rsidR="00197EB7" w:rsidRDefault="00197EB7" w:rsidP="00A102FA">
      <w:pPr>
        <w:rPr>
          <w:rFonts w:ascii="Arial" w:hAnsi="Arial" w:cs="Arial"/>
          <w:w w:val="108"/>
          <w:sz w:val="24"/>
          <w:szCs w:val="24"/>
        </w:rPr>
      </w:pPr>
    </w:p>
    <w:p w14:paraId="0667CB37" w14:textId="77777777" w:rsidR="005B18A0" w:rsidRDefault="00F13D75" w:rsidP="00A102FA">
      <w:pPr>
        <w:rPr>
          <w:rFonts w:ascii="Arial" w:hAnsi="Arial" w:cs="Arial"/>
          <w:w w:val="108"/>
          <w:sz w:val="24"/>
          <w:szCs w:val="24"/>
        </w:rPr>
      </w:pPr>
      <w:r w:rsidRPr="00A102FA">
        <w:rPr>
          <w:rFonts w:ascii="Arial" w:hAnsi="Arial" w:cs="Arial"/>
          <w:w w:val="108"/>
          <w:sz w:val="24"/>
          <w:szCs w:val="24"/>
        </w:rPr>
        <w:t xml:space="preserve">We calculated the variance-to-mean ratio of the data set following Lloyd-Smith et. al. (2005). This ratio is </w:t>
      </w:r>
      <w:r w:rsidR="000430EA">
        <w:rPr>
          <w:rFonts w:ascii="Arial" w:hAnsi="Arial" w:cs="Arial"/>
          <w:w w:val="108"/>
          <w:sz w:val="24"/>
          <w:szCs w:val="24"/>
        </w:rPr>
        <w:t>a</w:t>
      </w:r>
      <w:r w:rsidRPr="00A102FA">
        <w:rPr>
          <w:rFonts w:ascii="Arial" w:hAnsi="Arial" w:cs="Arial"/>
          <w:w w:val="108"/>
          <w:sz w:val="24"/>
          <w:szCs w:val="24"/>
        </w:rPr>
        <w:t xml:space="preserve"> good informer of dispersion from the Poisson distribution and is reported alongside the parameter k. </w:t>
      </w:r>
      <w:r w:rsidR="000430EA">
        <w:rPr>
          <w:rFonts w:ascii="Arial" w:hAnsi="Arial" w:cs="Arial"/>
          <w:w w:val="108"/>
          <w:sz w:val="24"/>
          <w:szCs w:val="24"/>
        </w:rPr>
        <w:t>W</w:t>
      </w:r>
      <w:r w:rsidRPr="00A102FA">
        <w:rPr>
          <w:rFonts w:ascii="Arial" w:hAnsi="Arial" w:cs="Arial"/>
          <w:w w:val="108"/>
          <w:sz w:val="24"/>
          <w:szCs w:val="24"/>
        </w:rPr>
        <w:t>e calculated chi-square statistics for both the Poisson and negative binomial distributions.</w:t>
      </w:r>
    </w:p>
    <w:p w14:paraId="291CDE5A" w14:textId="77777777" w:rsidR="005B18A0" w:rsidRDefault="005B18A0" w:rsidP="00A102FA">
      <w:pPr>
        <w:rPr>
          <w:rFonts w:ascii="Arial" w:hAnsi="Arial" w:cs="Arial"/>
          <w:w w:val="108"/>
          <w:sz w:val="24"/>
          <w:szCs w:val="24"/>
        </w:rPr>
      </w:pPr>
    </w:p>
    <w:p w14:paraId="6C140CE8" w14:textId="77777777" w:rsidR="00B50F54" w:rsidRDefault="00B50F54" w:rsidP="00A102FA">
      <w:pPr>
        <w:rPr>
          <w:rFonts w:ascii="Arial" w:hAnsi="Arial" w:cs="Arial"/>
          <w:b/>
          <w:bCs/>
          <w:w w:val="108"/>
          <w:sz w:val="24"/>
          <w:szCs w:val="24"/>
        </w:rPr>
      </w:pPr>
    </w:p>
    <w:p w14:paraId="2E1FB2E6" w14:textId="72F79257" w:rsidR="00B50F54" w:rsidRDefault="00B50F54" w:rsidP="00A102FA">
      <w:pPr>
        <w:rPr>
          <w:rFonts w:ascii="Arial" w:hAnsi="Arial" w:cs="Arial"/>
          <w:b/>
          <w:bCs/>
          <w:w w:val="108"/>
          <w:sz w:val="24"/>
          <w:szCs w:val="24"/>
        </w:rPr>
      </w:pPr>
      <w:r>
        <w:rPr>
          <w:rFonts w:ascii="Arial" w:hAnsi="Arial" w:cs="Arial"/>
          <w:b/>
          <w:bCs/>
          <w:w w:val="108"/>
          <w:sz w:val="24"/>
          <w:szCs w:val="24"/>
        </w:rPr>
        <w:t>Code for estimating k</w:t>
      </w:r>
    </w:p>
    <w:p w14:paraId="1EB5FB75" w14:textId="467C880D" w:rsidR="00B50F54" w:rsidRPr="00F02737" w:rsidRDefault="00B50F54" w:rsidP="00A102FA">
      <w:pPr>
        <w:rPr>
          <w:rFonts w:ascii="Arial" w:hAnsi="Arial" w:cs="Arial"/>
          <w:w w:val="108"/>
          <w:sz w:val="24"/>
          <w:szCs w:val="24"/>
        </w:rPr>
      </w:pPr>
    </w:p>
    <w:p w14:paraId="0FC66E34" w14:textId="1CD6496B" w:rsidR="00F02737" w:rsidRPr="00F02737" w:rsidRDefault="00D85FDB" w:rsidP="00F02737">
      <w:pPr>
        <w:rPr>
          <w:rFonts w:ascii="Arial" w:hAnsi="Arial" w:cs="Arial"/>
          <w:w w:val="108"/>
          <w:sz w:val="24"/>
          <w:szCs w:val="24"/>
        </w:rPr>
      </w:pPr>
      <w:r>
        <w:rPr>
          <w:rFonts w:ascii="Arial" w:hAnsi="Arial" w:cs="Arial"/>
          <w:w w:val="108"/>
          <w:sz w:val="24"/>
          <w:szCs w:val="24"/>
        </w:rPr>
        <w:t xml:space="preserve">The </w:t>
      </w:r>
      <w:r w:rsidR="00F02737" w:rsidRPr="00F02737">
        <w:rPr>
          <w:rFonts w:ascii="Arial" w:hAnsi="Arial" w:cs="Arial"/>
          <w:w w:val="108"/>
          <w:sz w:val="24"/>
          <w:szCs w:val="24"/>
        </w:rPr>
        <w:t>Script to Analyze Clustering of Secondary Cases</w:t>
      </w:r>
      <w:r>
        <w:rPr>
          <w:rFonts w:ascii="Arial" w:hAnsi="Arial" w:cs="Arial"/>
          <w:w w:val="108"/>
          <w:sz w:val="24"/>
          <w:szCs w:val="24"/>
        </w:rPr>
        <w:t xml:space="preserve"> using NB</w:t>
      </w:r>
      <w:r w:rsidR="00300BD7">
        <w:rPr>
          <w:rFonts w:ascii="Arial" w:hAnsi="Arial" w:cs="Arial"/>
          <w:w w:val="108"/>
          <w:sz w:val="24"/>
          <w:szCs w:val="24"/>
        </w:rPr>
        <w:t xml:space="preserve"> and the </w:t>
      </w:r>
      <w:r w:rsidR="00300BD7" w:rsidRPr="000B2788">
        <w:rPr>
          <w:rFonts w:ascii="Arial" w:hAnsi="Arial" w:cs="Arial"/>
          <w:w w:val="105"/>
          <w:sz w:val="24"/>
          <w:szCs w:val="24"/>
        </w:rPr>
        <w:t>Newton-Raphson maximization</w:t>
      </w:r>
      <w:r w:rsidR="00300BD7">
        <w:rPr>
          <w:rFonts w:ascii="Arial" w:hAnsi="Arial" w:cs="Arial"/>
          <w:w w:val="105"/>
          <w:sz w:val="24"/>
          <w:szCs w:val="24"/>
        </w:rPr>
        <w:t xml:space="preserve"> method </w:t>
      </w:r>
      <w:r>
        <w:rPr>
          <w:rFonts w:ascii="Arial" w:hAnsi="Arial" w:cs="Arial"/>
          <w:w w:val="108"/>
          <w:sz w:val="24"/>
          <w:szCs w:val="24"/>
        </w:rPr>
        <w:t>can be found in DispersionAnalysis_</w:t>
      </w:r>
      <w:proofErr w:type="gramStart"/>
      <w:r>
        <w:rPr>
          <w:rFonts w:ascii="Arial" w:hAnsi="Arial" w:cs="Arial"/>
          <w:w w:val="108"/>
          <w:sz w:val="24"/>
          <w:szCs w:val="24"/>
        </w:rPr>
        <w:t>script.R</w:t>
      </w:r>
      <w:proofErr w:type="gramEnd"/>
    </w:p>
    <w:p w14:paraId="5AB9F92D" w14:textId="77777777" w:rsidR="00B50F54" w:rsidRDefault="00B50F54" w:rsidP="00A102FA">
      <w:pPr>
        <w:rPr>
          <w:rFonts w:ascii="Arial" w:hAnsi="Arial" w:cs="Arial"/>
          <w:b/>
          <w:bCs/>
          <w:w w:val="108"/>
          <w:sz w:val="24"/>
          <w:szCs w:val="24"/>
        </w:rPr>
      </w:pPr>
    </w:p>
    <w:p w14:paraId="68D66EF2" w14:textId="77777777" w:rsidR="00B50F54" w:rsidRDefault="00B50F54" w:rsidP="00A102FA">
      <w:pPr>
        <w:rPr>
          <w:rFonts w:ascii="Arial" w:hAnsi="Arial" w:cs="Arial"/>
          <w:b/>
          <w:bCs/>
          <w:w w:val="108"/>
          <w:sz w:val="24"/>
          <w:szCs w:val="24"/>
        </w:rPr>
      </w:pPr>
    </w:p>
    <w:p w14:paraId="563E80C4" w14:textId="111EE225" w:rsidR="00F13D75" w:rsidRPr="00DA7158" w:rsidRDefault="00DA7158" w:rsidP="00A102FA">
      <w:pPr>
        <w:rPr>
          <w:rFonts w:ascii="Arial" w:hAnsi="Arial" w:cs="Arial"/>
          <w:b/>
          <w:bCs/>
          <w:w w:val="108"/>
          <w:sz w:val="24"/>
          <w:szCs w:val="24"/>
        </w:rPr>
      </w:pPr>
      <w:r w:rsidRPr="00DA7158">
        <w:rPr>
          <w:rFonts w:ascii="Arial" w:hAnsi="Arial" w:cs="Arial"/>
          <w:b/>
          <w:bCs/>
          <w:w w:val="108"/>
          <w:sz w:val="24"/>
          <w:szCs w:val="24"/>
        </w:rPr>
        <w:t>Estimating Pareto fractions</w:t>
      </w:r>
    </w:p>
    <w:p w14:paraId="09D275A7" w14:textId="5412E9E7" w:rsidR="00DA7158" w:rsidRDefault="00DA7158" w:rsidP="00DA7158">
      <w:pPr>
        <w:pStyle w:val="BodyText"/>
        <w:kinsoku w:val="0"/>
        <w:overflowPunct w:val="0"/>
        <w:spacing w:before="100" w:beforeAutospacing="1"/>
        <w:ind w:right="118"/>
        <w:rPr>
          <w:rFonts w:ascii="Arial" w:hAnsi="Arial" w:cs="Arial"/>
          <w:w w:val="108"/>
          <w:sz w:val="24"/>
          <w:szCs w:val="24"/>
        </w:rPr>
      </w:pPr>
      <w:r>
        <w:rPr>
          <w:rFonts w:ascii="Arial" w:hAnsi="Arial" w:cs="Arial"/>
          <w:w w:val="108"/>
          <w:sz w:val="24"/>
          <w:szCs w:val="24"/>
        </w:rPr>
        <w:t xml:space="preserve">The following R </w:t>
      </w:r>
      <w:r w:rsidR="00B515A2">
        <w:rPr>
          <w:rFonts w:ascii="Arial" w:hAnsi="Arial" w:cs="Arial"/>
          <w:w w:val="108"/>
          <w:sz w:val="24"/>
          <w:szCs w:val="24"/>
        </w:rPr>
        <w:t>function</w:t>
      </w:r>
      <w:r>
        <w:rPr>
          <w:rFonts w:ascii="Arial" w:hAnsi="Arial" w:cs="Arial"/>
          <w:w w:val="108"/>
          <w:sz w:val="24"/>
          <w:szCs w:val="24"/>
        </w:rPr>
        <w:t xml:space="preserve"> </w:t>
      </w:r>
      <w:r w:rsidR="003D5196">
        <w:rPr>
          <w:rFonts w:ascii="Arial" w:hAnsi="Arial" w:cs="Arial"/>
          <w:w w:val="108"/>
          <w:sz w:val="24"/>
          <w:szCs w:val="24"/>
        </w:rPr>
        <w:t xml:space="preserve">(adapted from Cooper et al. 2019) </w:t>
      </w:r>
      <w:r>
        <w:rPr>
          <w:rFonts w:ascii="Arial" w:hAnsi="Arial" w:cs="Arial"/>
          <w:w w:val="108"/>
          <w:sz w:val="24"/>
          <w:szCs w:val="24"/>
        </w:rPr>
        <w:t>was used to estimate and plot the Pareto fraction for Z</w:t>
      </w:r>
      <w:r w:rsidRPr="003D5196">
        <w:rPr>
          <w:rFonts w:ascii="Arial" w:hAnsi="Arial" w:cs="Arial"/>
          <w:w w:val="108"/>
          <w:sz w:val="24"/>
          <w:szCs w:val="24"/>
          <w:vertAlign w:val="subscript"/>
        </w:rPr>
        <w:t>AS</w:t>
      </w:r>
      <w:r>
        <w:rPr>
          <w:rFonts w:ascii="Arial" w:hAnsi="Arial" w:cs="Arial"/>
          <w:w w:val="108"/>
          <w:sz w:val="24"/>
          <w:szCs w:val="24"/>
        </w:rPr>
        <w:t xml:space="preserve"> and the distribution of </w:t>
      </w:r>
      <w:r w:rsidRPr="00DA7158">
        <w:rPr>
          <w:rFonts w:ascii="Arial" w:hAnsi="Arial" w:cs="Arial"/>
          <w:i/>
          <w:iCs/>
          <w:w w:val="108"/>
          <w:sz w:val="24"/>
          <w:szCs w:val="24"/>
        </w:rPr>
        <w:t>Ae. aegypti</w:t>
      </w:r>
      <w:r>
        <w:rPr>
          <w:rFonts w:ascii="Arial" w:hAnsi="Arial" w:cs="Arial"/>
          <w:w w:val="108"/>
          <w:sz w:val="24"/>
          <w:szCs w:val="24"/>
        </w:rPr>
        <w:t xml:space="preserve"> per AS. </w:t>
      </w:r>
      <w:r w:rsidR="00D85FDB">
        <w:rPr>
          <w:rFonts w:ascii="Arial" w:hAnsi="Arial" w:cs="Arial"/>
          <w:w w:val="108"/>
          <w:sz w:val="24"/>
          <w:szCs w:val="24"/>
        </w:rPr>
        <w:t xml:space="preserve">The code can be found on the </w:t>
      </w:r>
      <w:proofErr w:type="gramStart"/>
      <w:r w:rsidR="00D85FDB">
        <w:rPr>
          <w:rFonts w:ascii="Arial" w:hAnsi="Arial" w:cs="Arial"/>
          <w:w w:val="108"/>
          <w:sz w:val="24"/>
          <w:szCs w:val="24"/>
        </w:rPr>
        <w:t>Pareto.script.R</w:t>
      </w:r>
      <w:proofErr w:type="gramEnd"/>
    </w:p>
    <w:p w14:paraId="3E3A03F5" w14:textId="77777777" w:rsidR="000C0DDF" w:rsidRDefault="000C0DDF">
      <w:pPr>
        <w:widowControl/>
        <w:autoSpaceDE/>
        <w:autoSpaceDN/>
        <w:adjustRightInd/>
        <w:spacing w:after="160" w:line="259" w:lineRule="auto"/>
        <w:rPr>
          <w:rFonts w:ascii="Arial" w:hAnsi="Arial" w:cs="Arial"/>
          <w:w w:val="110"/>
          <w:sz w:val="24"/>
          <w:szCs w:val="24"/>
        </w:rPr>
      </w:pPr>
    </w:p>
    <w:p w14:paraId="50123A7E" w14:textId="77777777" w:rsidR="000C0DDF" w:rsidRDefault="000C0DDF">
      <w:pPr>
        <w:widowControl/>
        <w:autoSpaceDE/>
        <w:autoSpaceDN/>
        <w:adjustRightInd/>
        <w:spacing w:after="160" w:line="259" w:lineRule="auto"/>
        <w:rPr>
          <w:rFonts w:ascii="Arial" w:hAnsi="Arial" w:cs="Arial"/>
          <w:b/>
          <w:bCs/>
          <w:w w:val="110"/>
          <w:sz w:val="24"/>
          <w:szCs w:val="24"/>
        </w:rPr>
      </w:pPr>
      <w:r w:rsidRPr="000C0DDF">
        <w:rPr>
          <w:rFonts w:ascii="Arial" w:hAnsi="Arial" w:cs="Arial"/>
          <w:b/>
          <w:bCs/>
          <w:w w:val="110"/>
          <w:sz w:val="24"/>
          <w:szCs w:val="24"/>
        </w:rPr>
        <w:t>Estimating factors associated with SSU</w:t>
      </w:r>
    </w:p>
    <w:p w14:paraId="1C956854" w14:textId="453436B5" w:rsidR="00F13D75" w:rsidRPr="000C0DDF" w:rsidRDefault="000C0DDF">
      <w:pPr>
        <w:widowControl/>
        <w:autoSpaceDE/>
        <w:autoSpaceDN/>
        <w:adjustRightInd/>
        <w:spacing w:after="160" w:line="259" w:lineRule="auto"/>
        <w:rPr>
          <w:rFonts w:ascii="Arial" w:hAnsi="Arial" w:cs="Arial"/>
          <w:b/>
          <w:bCs/>
          <w:w w:val="110"/>
          <w:sz w:val="24"/>
          <w:szCs w:val="24"/>
        </w:rPr>
      </w:pPr>
      <w:r>
        <w:rPr>
          <w:rFonts w:ascii="Arial" w:hAnsi="Arial" w:cs="Arial"/>
          <w:w w:val="110"/>
          <w:sz w:val="24"/>
          <w:szCs w:val="24"/>
        </w:rPr>
        <w:t>The script used to apply the GAMM models and plot the association between SSU, Si and No. Aedes can be found on the GAMM_script.R</w:t>
      </w:r>
      <w:r w:rsidR="00F13D75" w:rsidRPr="000C0DDF">
        <w:rPr>
          <w:rFonts w:ascii="Arial" w:hAnsi="Arial" w:cs="Arial"/>
          <w:b/>
          <w:bCs/>
          <w:w w:val="110"/>
          <w:sz w:val="24"/>
          <w:szCs w:val="24"/>
        </w:rPr>
        <w:br w:type="page"/>
      </w:r>
    </w:p>
    <w:p w14:paraId="2AD030CA" w14:textId="77777777" w:rsidR="00F13D75" w:rsidRPr="00C86D00" w:rsidRDefault="00F13D75" w:rsidP="00041B82">
      <w:pPr>
        <w:pStyle w:val="BodyText"/>
        <w:kinsoku w:val="0"/>
        <w:overflowPunct w:val="0"/>
        <w:spacing w:before="100" w:beforeAutospacing="1"/>
        <w:rPr>
          <w:rFonts w:ascii="Arial" w:hAnsi="Arial" w:cs="Arial"/>
          <w:b/>
          <w:w w:val="110"/>
          <w:sz w:val="24"/>
          <w:szCs w:val="24"/>
        </w:rPr>
      </w:pPr>
      <w:r w:rsidRPr="00C86D00">
        <w:rPr>
          <w:rFonts w:ascii="Arial" w:hAnsi="Arial" w:cs="Arial"/>
          <w:b/>
          <w:w w:val="110"/>
          <w:sz w:val="24"/>
          <w:szCs w:val="24"/>
        </w:rPr>
        <w:lastRenderedPageBreak/>
        <w:t>References</w:t>
      </w:r>
    </w:p>
    <w:p w14:paraId="64F91F40" w14:textId="77777777" w:rsidR="0043457E" w:rsidRDefault="0043457E" w:rsidP="0043457E">
      <w:pPr>
        <w:widowControl/>
        <w:rPr>
          <w:rFonts w:ascii="Arial" w:eastAsiaTheme="minorHAnsi" w:hAnsi="Arial" w:cs="Arial"/>
          <w:sz w:val="24"/>
          <w:szCs w:val="24"/>
        </w:rPr>
      </w:pPr>
    </w:p>
    <w:p w14:paraId="1679BD2E" w14:textId="77777777" w:rsidR="0043457E" w:rsidRPr="00455286" w:rsidRDefault="0043457E" w:rsidP="0043457E">
      <w:pPr>
        <w:widowControl/>
        <w:rPr>
          <w:rFonts w:ascii="Arial" w:hAnsi="Arial" w:cs="Arial"/>
          <w:sz w:val="24"/>
          <w:szCs w:val="24"/>
        </w:rPr>
      </w:pPr>
      <w:r w:rsidRPr="0043457E">
        <w:rPr>
          <w:rFonts w:ascii="Arial" w:hAnsi="Arial" w:cs="Arial"/>
          <w:sz w:val="24"/>
          <w:szCs w:val="24"/>
        </w:rPr>
        <w:t xml:space="preserve">Cavany SM et al., </w:t>
      </w:r>
      <w:r w:rsidRPr="00455286">
        <w:rPr>
          <w:rFonts w:ascii="Arial" w:hAnsi="Arial" w:cs="Arial"/>
          <w:sz w:val="24"/>
          <w:szCs w:val="24"/>
        </w:rPr>
        <w:t>Optimizing the deployment of ultra-low volume and targeted indoor residual spraying for dengue outbreak response. PLoS Comput Biol. 2020 16(4):</w:t>
      </w:r>
      <w:r>
        <w:rPr>
          <w:rFonts w:ascii="Arial" w:hAnsi="Arial" w:cs="Arial"/>
          <w:sz w:val="24"/>
          <w:szCs w:val="24"/>
        </w:rPr>
        <w:t xml:space="preserve"> </w:t>
      </w:r>
      <w:r w:rsidRPr="00455286">
        <w:rPr>
          <w:rFonts w:ascii="Arial" w:hAnsi="Arial" w:cs="Arial"/>
          <w:sz w:val="24"/>
          <w:szCs w:val="24"/>
        </w:rPr>
        <w:t>e1007743.</w:t>
      </w:r>
    </w:p>
    <w:p w14:paraId="203B1AA4" w14:textId="77777777" w:rsidR="0043457E" w:rsidRDefault="0043457E" w:rsidP="0043457E">
      <w:pPr>
        <w:widowControl/>
        <w:rPr>
          <w:rFonts w:ascii="Arial" w:eastAsiaTheme="minorHAnsi" w:hAnsi="Arial" w:cs="Arial"/>
          <w:sz w:val="24"/>
          <w:szCs w:val="24"/>
        </w:rPr>
      </w:pPr>
    </w:p>
    <w:p w14:paraId="2746604B" w14:textId="71BB36C9" w:rsidR="00DA7158" w:rsidRDefault="00DA7158" w:rsidP="0043457E">
      <w:pPr>
        <w:widowControl/>
        <w:rPr>
          <w:rFonts w:ascii="Arial" w:eastAsiaTheme="minorHAnsi" w:hAnsi="Arial" w:cs="Arial"/>
          <w:sz w:val="24"/>
          <w:szCs w:val="24"/>
        </w:rPr>
      </w:pPr>
      <w:r w:rsidRPr="00DA7158">
        <w:rPr>
          <w:rFonts w:ascii="Arial" w:eastAsiaTheme="minorHAnsi" w:hAnsi="Arial" w:cs="Arial"/>
          <w:sz w:val="24"/>
          <w:szCs w:val="24"/>
        </w:rPr>
        <w:t>Cooper L, Kang SY, Bisanzio D, Maxwell K, Rodriguez-Barraquer I, Greenhouse B, Drakeley C, Arinaitwe E, G Staedke S, Gething PW, Eckhoff P, Reiner RC Jr, Hay SI, Dorsey G, Kamya MR, Lindsay SW, Grenfell BT, Smith DL. Pareto rules for malaria super-spreaders and super-spreading. Nat Commun. 2019 10(1):</w:t>
      </w:r>
      <w:r>
        <w:rPr>
          <w:rFonts w:ascii="Arial" w:eastAsiaTheme="minorHAnsi" w:hAnsi="Arial" w:cs="Arial"/>
          <w:sz w:val="24"/>
          <w:szCs w:val="24"/>
        </w:rPr>
        <w:t xml:space="preserve"> </w:t>
      </w:r>
      <w:r w:rsidRPr="00DA7158">
        <w:rPr>
          <w:rFonts w:ascii="Arial" w:eastAsiaTheme="minorHAnsi" w:hAnsi="Arial" w:cs="Arial"/>
          <w:sz w:val="24"/>
          <w:szCs w:val="24"/>
        </w:rPr>
        <w:t>3939.</w:t>
      </w:r>
    </w:p>
    <w:p w14:paraId="7823B9AB" w14:textId="77777777" w:rsidR="00DA7158" w:rsidRDefault="00DA7158" w:rsidP="0043457E">
      <w:pPr>
        <w:widowControl/>
        <w:rPr>
          <w:rFonts w:ascii="Arial" w:eastAsiaTheme="minorHAnsi" w:hAnsi="Arial" w:cs="Arial"/>
          <w:sz w:val="24"/>
          <w:szCs w:val="24"/>
        </w:rPr>
      </w:pPr>
    </w:p>
    <w:p w14:paraId="5230B51C" w14:textId="4A512D5F" w:rsidR="0043457E" w:rsidRPr="0043457E" w:rsidRDefault="0043457E" w:rsidP="0043457E">
      <w:pPr>
        <w:widowControl/>
        <w:rPr>
          <w:rFonts w:ascii="Arial" w:eastAsiaTheme="minorHAnsi" w:hAnsi="Arial" w:cs="Arial"/>
          <w:sz w:val="24"/>
          <w:szCs w:val="24"/>
        </w:rPr>
      </w:pPr>
      <w:r w:rsidRPr="00C84249">
        <w:rPr>
          <w:rFonts w:ascii="Arial" w:eastAsiaTheme="minorHAnsi" w:hAnsi="Arial" w:cs="Arial"/>
          <w:sz w:val="24"/>
          <w:szCs w:val="24"/>
        </w:rPr>
        <w:t xml:space="preserve">Durand Velazco, S., et al., </w:t>
      </w:r>
      <w:r w:rsidRPr="00C84249">
        <w:rPr>
          <w:rFonts w:ascii="Arial" w:eastAsiaTheme="minorHAnsi" w:hAnsi="Arial" w:cs="Arial"/>
          <w:i/>
          <w:iCs/>
          <w:sz w:val="24"/>
          <w:szCs w:val="24"/>
        </w:rPr>
        <w:t xml:space="preserve">[Impact of the dengue epidemic due to a new lineage of DENV-2 American/ Asian genotype in the health services demand in hospital "Cesar Garayar Garcia", Iquitos.]. </w:t>
      </w:r>
      <w:r w:rsidRPr="0043457E">
        <w:rPr>
          <w:rFonts w:ascii="Arial" w:eastAsiaTheme="minorHAnsi" w:hAnsi="Arial" w:cs="Arial"/>
          <w:sz w:val="24"/>
          <w:szCs w:val="24"/>
        </w:rPr>
        <w:t xml:space="preserve">Rev Peru Med Exp Salud Publica, 2011. </w:t>
      </w:r>
      <w:r w:rsidRPr="0043457E">
        <w:rPr>
          <w:rFonts w:ascii="Arial" w:eastAsiaTheme="minorHAnsi" w:hAnsi="Arial" w:cs="Arial"/>
          <w:b/>
          <w:bCs/>
          <w:sz w:val="24"/>
          <w:szCs w:val="24"/>
        </w:rPr>
        <w:t>28</w:t>
      </w:r>
      <w:r w:rsidRPr="0043457E">
        <w:rPr>
          <w:rFonts w:ascii="Arial" w:eastAsiaTheme="minorHAnsi" w:hAnsi="Arial" w:cs="Arial"/>
          <w:sz w:val="24"/>
          <w:szCs w:val="24"/>
        </w:rPr>
        <w:t>(1): p. 157-159.</w:t>
      </w:r>
    </w:p>
    <w:p w14:paraId="6AD3960F" w14:textId="77777777" w:rsidR="0043457E" w:rsidRDefault="0043457E" w:rsidP="0043457E">
      <w:pPr>
        <w:widowControl/>
        <w:rPr>
          <w:rFonts w:ascii="Arial" w:eastAsiaTheme="minorHAnsi" w:hAnsi="Arial" w:cs="Arial"/>
          <w:sz w:val="24"/>
          <w:szCs w:val="24"/>
        </w:rPr>
      </w:pPr>
    </w:p>
    <w:p w14:paraId="16F29B98" w14:textId="7FCCB1F2" w:rsidR="0043457E" w:rsidRPr="0043457E" w:rsidRDefault="0043457E" w:rsidP="0043457E">
      <w:pPr>
        <w:widowControl/>
        <w:rPr>
          <w:rFonts w:ascii="Arial" w:eastAsiaTheme="minorHAnsi" w:hAnsi="Arial" w:cs="Arial"/>
          <w:sz w:val="24"/>
          <w:szCs w:val="24"/>
        </w:rPr>
      </w:pPr>
      <w:r w:rsidRPr="00C84249">
        <w:rPr>
          <w:rFonts w:ascii="Arial" w:eastAsiaTheme="minorHAnsi" w:hAnsi="Arial" w:cs="Arial"/>
          <w:sz w:val="24"/>
          <w:szCs w:val="24"/>
        </w:rPr>
        <w:t>Forshey, B.M., et al., Dengue virus serotype 4, northeastern Peru, 2008.</w:t>
      </w:r>
      <w:r w:rsidRPr="00455286">
        <w:rPr>
          <w:rFonts w:ascii="Arial" w:eastAsiaTheme="minorHAnsi" w:hAnsi="Arial" w:cs="Arial"/>
          <w:i/>
          <w:iCs/>
          <w:sz w:val="24"/>
          <w:szCs w:val="24"/>
        </w:rPr>
        <w:t xml:space="preserve"> </w:t>
      </w:r>
      <w:r w:rsidRPr="00455286">
        <w:rPr>
          <w:rFonts w:ascii="Arial" w:eastAsiaTheme="minorHAnsi" w:hAnsi="Arial" w:cs="Arial"/>
          <w:sz w:val="24"/>
          <w:szCs w:val="24"/>
        </w:rPr>
        <w:t xml:space="preserve">Emerg Infect Dis, 2009. </w:t>
      </w:r>
      <w:r w:rsidRPr="0043457E">
        <w:rPr>
          <w:rFonts w:ascii="Arial" w:eastAsiaTheme="minorHAnsi" w:hAnsi="Arial" w:cs="Arial"/>
          <w:b/>
          <w:bCs/>
          <w:sz w:val="24"/>
          <w:szCs w:val="24"/>
        </w:rPr>
        <w:t>15</w:t>
      </w:r>
      <w:r w:rsidRPr="0043457E">
        <w:rPr>
          <w:rFonts w:ascii="Arial" w:eastAsiaTheme="minorHAnsi" w:hAnsi="Arial" w:cs="Arial"/>
          <w:sz w:val="24"/>
          <w:szCs w:val="24"/>
        </w:rPr>
        <w:t>(11): p. 1815-8.</w:t>
      </w:r>
    </w:p>
    <w:p w14:paraId="683D6904" w14:textId="77777777" w:rsidR="0043457E" w:rsidRDefault="0043457E" w:rsidP="0043457E">
      <w:pPr>
        <w:widowControl/>
        <w:rPr>
          <w:rFonts w:ascii="Arial" w:eastAsiaTheme="minorHAnsi" w:hAnsi="Arial" w:cs="Arial"/>
          <w:sz w:val="24"/>
          <w:szCs w:val="24"/>
        </w:rPr>
      </w:pPr>
    </w:p>
    <w:p w14:paraId="35BCDD04" w14:textId="77777777" w:rsidR="0043457E" w:rsidRPr="0043457E" w:rsidRDefault="0043457E" w:rsidP="0043457E">
      <w:pPr>
        <w:pStyle w:val="EndNoteBibliography"/>
        <w:rPr>
          <w:rFonts w:ascii="Arial" w:hAnsi="Arial" w:cs="Arial"/>
          <w:sz w:val="24"/>
        </w:rPr>
      </w:pPr>
      <w:r w:rsidRPr="0043457E">
        <w:rPr>
          <w:rFonts w:ascii="Arial" w:hAnsi="Arial" w:cs="Arial"/>
          <w:sz w:val="24"/>
        </w:rPr>
        <w:t>Forshey B. M.,  et al., Incomplete Protection against Dengue Virus Type 2 Re-infection in Peru. PLoS Negl Trop Dis 10, e0004398 (2016).</w:t>
      </w:r>
    </w:p>
    <w:p w14:paraId="2977B926" w14:textId="77777777" w:rsidR="0043457E" w:rsidRPr="00455286" w:rsidRDefault="0043457E" w:rsidP="0043457E">
      <w:pPr>
        <w:widowControl/>
        <w:rPr>
          <w:rFonts w:ascii="Arial" w:hAnsi="Arial" w:cs="Arial"/>
          <w:sz w:val="24"/>
          <w:szCs w:val="24"/>
        </w:rPr>
      </w:pPr>
    </w:p>
    <w:p w14:paraId="675BA23D" w14:textId="62488234" w:rsidR="0043457E" w:rsidRPr="00455286" w:rsidRDefault="0043457E" w:rsidP="0043457E">
      <w:pPr>
        <w:widowControl/>
        <w:rPr>
          <w:rFonts w:ascii="Arial" w:eastAsiaTheme="minorHAnsi" w:hAnsi="Arial" w:cs="Arial"/>
          <w:sz w:val="24"/>
          <w:szCs w:val="24"/>
        </w:rPr>
      </w:pPr>
      <w:r w:rsidRPr="00C84249">
        <w:rPr>
          <w:rFonts w:ascii="Arial" w:eastAsiaTheme="minorHAnsi" w:hAnsi="Arial" w:cs="Arial"/>
          <w:sz w:val="24"/>
          <w:szCs w:val="24"/>
        </w:rPr>
        <w:t xml:space="preserve">Hayes, C.G., </w:t>
      </w:r>
      <w:r w:rsidRPr="00C84249">
        <w:rPr>
          <w:rFonts w:ascii="Arial" w:eastAsiaTheme="minorHAnsi" w:hAnsi="Arial" w:cs="Arial"/>
          <w:i/>
          <w:iCs/>
          <w:sz w:val="24"/>
          <w:szCs w:val="24"/>
        </w:rPr>
        <w:t>et al.</w:t>
      </w:r>
      <w:r w:rsidRPr="00C84249">
        <w:rPr>
          <w:rFonts w:ascii="Arial" w:eastAsiaTheme="minorHAnsi" w:hAnsi="Arial" w:cs="Arial"/>
          <w:sz w:val="24"/>
          <w:szCs w:val="24"/>
        </w:rPr>
        <w:t>, The epidemiology of dengue virus infection among urban, jungle, and rural populations in the Amazon region of Peru.</w:t>
      </w:r>
      <w:r w:rsidRPr="00455286">
        <w:rPr>
          <w:rFonts w:ascii="Arial" w:eastAsiaTheme="minorHAnsi" w:hAnsi="Arial" w:cs="Arial"/>
          <w:i/>
          <w:iCs/>
          <w:sz w:val="24"/>
          <w:szCs w:val="24"/>
        </w:rPr>
        <w:t xml:space="preserve"> </w:t>
      </w:r>
      <w:r w:rsidRPr="00455286">
        <w:rPr>
          <w:rFonts w:ascii="Arial" w:eastAsiaTheme="minorHAnsi" w:hAnsi="Arial" w:cs="Arial"/>
          <w:sz w:val="24"/>
          <w:szCs w:val="24"/>
        </w:rPr>
        <w:t xml:space="preserve">Am J Trop Med Hyg, 1996. </w:t>
      </w:r>
      <w:r w:rsidRPr="00455286">
        <w:rPr>
          <w:rFonts w:ascii="Arial" w:eastAsiaTheme="minorHAnsi" w:hAnsi="Arial" w:cs="Arial"/>
          <w:b/>
          <w:bCs/>
          <w:sz w:val="24"/>
          <w:szCs w:val="24"/>
        </w:rPr>
        <w:t>55</w:t>
      </w:r>
      <w:r w:rsidRPr="00455286">
        <w:rPr>
          <w:rFonts w:ascii="Arial" w:eastAsiaTheme="minorHAnsi" w:hAnsi="Arial" w:cs="Arial"/>
          <w:sz w:val="24"/>
          <w:szCs w:val="24"/>
        </w:rPr>
        <w:t>(4): p. 459-63.</w:t>
      </w:r>
    </w:p>
    <w:p w14:paraId="0FEC79CC" w14:textId="4855C114" w:rsidR="00F13D75" w:rsidRDefault="00F13D75" w:rsidP="00041B82">
      <w:pPr>
        <w:pStyle w:val="BodyText"/>
        <w:kinsoku w:val="0"/>
        <w:overflowPunct w:val="0"/>
        <w:spacing w:before="100" w:beforeAutospacing="1"/>
        <w:rPr>
          <w:rFonts w:ascii="Arial" w:hAnsi="Arial" w:cs="Arial"/>
          <w:sz w:val="24"/>
          <w:szCs w:val="24"/>
        </w:rPr>
      </w:pPr>
      <w:r w:rsidRPr="00455286">
        <w:rPr>
          <w:rFonts w:ascii="Arial" w:hAnsi="Arial" w:cs="Arial"/>
          <w:sz w:val="24"/>
          <w:szCs w:val="24"/>
        </w:rPr>
        <w:t>Lloyd-Smith</w:t>
      </w:r>
      <w:r w:rsidR="00C84249">
        <w:rPr>
          <w:rFonts w:ascii="Arial" w:hAnsi="Arial" w:cs="Arial"/>
          <w:sz w:val="24"/>
          <w:szCs w:val="24"/>
        </w:rPr>
        <w:t xml:space="preserve"> J </w:t>
      </w:r>
      <w:r w:rsidR="00C84249" w:rsidRPr="00C84249">
        <w:rPr>
          <w:rFonts w:ascii="Arial" w:hAnsi="Arial" w:cs="Arial"/>
          <w:i/>
          <w:iCs/>
          <w:sz w:val="24"/>
          <w:szCs w:val="24"/>
        </w:rPr>
        <w:t>et al</w:t>
      </w:r>
      <w:r w:rsidR="00C84249">
        <w:rPr>
          <w:rFonts w:ascii="Arial" w:hAnsi="Arial" w:cs="Arial"/>
          <w:sz w:val="24"/>
          <w:szCs w:val="24"/>
        </w:rPr>
        <w:t>.</w:t>
      </w:r>
      <w:r w:rsidRPr="00455286">
        <w:rPr>
          <w:rFonts w:ascii="Arial" w:hAnsi="Arial" w:cs="Arial"/>
          <w:sz w:val="24"/>
          <w:szCs w:val="24"/>
        </w:rPr>
        <w:t>, Superspreading and the effect of individual variation on disease emergence. Nature 438, 355-359 (2005).</w:t>
      </w:r>
    </w:p>
    <w:p w14:paraId="1CDCF236" w14:textId="33585D85" w:rsidR="00C63676" w:rsidRPr="00455286" w:rsidRDefault="00C63676" w:rsidP="00E5447D">
      <w:pPr>
        <w:pStyle w:val="BodyText"/>
        <w:kinsoku w:val="0"/>
        <w:overflowPunct w:val="0"/>
        <w:spacing w:before="100" w:beforeAutospacing="1"/>
        <w:rPr>
          <w:rFonts w:ascii="Arial" w:hAnsi="Arial" w:cs="Arial"/>
          <w:sz w:val="24"/>
          <w:szCs w:val="24"/>
        </w:rPr>
      </w:pPr>
      <w:r>
        <w:rPr>
          <w:rFonts w:ascii="Arial" w:hAnsi="Arial" w:cs="Arial"/>
          <w:sz w:val="24"/>
          <w:szCs w:val="24"/>
        </w:rPr>
        <w:t xml:space="preserve">Lloyd-Smith J. </w:t>
      </w:r>
      <w:r w:rsidR="00E5447D" w:rsidRPr="00E5447D">
        <w:rPr>
          <w:rFonts w:ascii="Arial" w:hAnsi="Arial" w:cs="Arial"/>
          <w:sz w:val="24"/>
          <w:szCs w:val="24"/>
        </w:rPr>
        <w:t>Maximum Likelihood Estimation of the Negative</w:t>
      </w:r>
      <w:r w:rsidR="00E5447D">
        <w:rPr>
          <w:rFonts w:ascii="Arial" w:hAnsi="Arial" w:cs="Arial"/>
          <w:sz w:val="24"/>
          <w:szCs w:val="24"/>
        </w:rPr>
        <w:t xml:space="preserve"> </w:t>
      </w:r>
      <w:r w:rsidR="00E5447D" w:rsidRPr="00E5447D">
        <w:rPr>
          <w:rFonts w:ascii="Arial" w:hAnsi="Arial" w:cs="Arial"/>
          <w:sz w:val="24"/>
          <w:szCs w:val="24"/>
        </w:rPr>
        <w:t>Binomial Dispersion Parameter for Highly Overdispersed</w:t>
      </w:r>
      <w:r w:rsidR="00E5447D">
        <w:rPr>
          <w:rFonts w:ascii="Arial" w:hAnsi="Arial" w:cs="Arial"/>
          <w:sz w:val="24"/>
          <w:szCs w:val="24"/>
        </w:rPr>
        <w:t xml:space="preserve"> </w:t>
      </w:r>
      <w:r w:rsidR="00E5447D" w:rsidRPr="00E5447D">
        <w:rPr>
          <w:rFonts w:ascii="Arial" w:hAnsi="Arial" w:cs="Arial"/>
          <w:sz w:val="24"/>
          <w:szCs w:val="24"/>
        </w:rPr>
        <w:t>Data, with Applications to Infectious Diseases</w:t>
      </w:r>
      <w:r w:rsidR="00E5447D">
        <w:rPr>
          <w:rFonts w:ascii="Arial" w:hAnsi="Arial" w:cs="Arial"/>
          <w:sz w:val="24"/>
          <w:szCs w:val="24"/>
        </w:rPr>
        <w:t xml:space="preserve">. </w:t>
      </w:r>
      <w:r w:rsidR="00E5447D" w:rsidRPr="00E5447D">
        <w:rPr>
          <w:rFonts w:ascii="Arial" w:hAnsi="Arial" w:cs="Arial"/>
          <w:sz w:val="24"/>
          <w:szCs w:val="24"/>
        </w:rPr>
        <w:t>PLoS ONE 2(2): e180</w:t>
      </w:r>
      <w:r w:rsidR="00E5447D">
        <w:rPr>
          <w:rFonts w:ascii="Arial" w:hAnsi="Arial" w:cs="Arial"/>
          <w:sz w:val="24"/>
          <w:szCs w:val="24"/>
        </w:rPr>
        <w:t>.</w:t>
      </w:r>
    </w:p>
    <w:p w14:paraId="4CA5C943" w14:textId="77777777" w:rsidR="0043457E" w:rsidRDefault="0043457E" w:rsidP="0043457E">
      <w:pPr>
        <w:widowControl/>
        <w:rPr>
          <w:rFonts w:ascii="Arial" w:eastAsiaTheme="minorHAnsi" w:hAnsi="Arial" w:cs="Arial"/>
          <w:sz w:val="24"/>
          <w:szCs w:val="24"/>
        </w:rPr>
      </w:pPr>
    </w:p>
    <w:p w14:paraId="126C3D29" w14:textId="20E0017D" w:rsidR="0043457E" w:rsidRPr="00455286" w:rsidRDefault="0043457E" w:rsidP="0043457E">
      <w:pPr>
        <w:widowControl/>
        <w:rPr>
          <w:rFonts w:ascii="Arial" w:eastAsiaTheme="minorHAnsi" w:hAnsi="Arial" w:cs="Arial"/>
          <w:i/>
          <w:iCs/>
          <w:sz w:val="24"/>
          <w:szCs w:val="24"/>
        </w:rPr>
      </w:pPr>
      <w:r w:rsidRPr="00C84249">
        <w:rPr>
          <w:rFonts w:ascii="Arial" w:eastAsiaTheme="minorHAnsi" w:hAnsi="Arial" w:cs="Arial"/>
          <w:sz w:val="24"/>
          <w:szCs w:val="24"/>
        </w:rPr>
        <w:t xml:space="preserve">Mamani, E., C., et al., </w:t>
      </w:r>
      <w:r w:rsidRPr="00455286">
        <w:rPr>
          <w:rFonts w:ascii="Arial" w:eastAsiaTheme="minorHAnsi" w:hAnsi="Arial" w:cs="Arial"/>
          <w:i/>
          <w:iCs/>
          <w:sz w:val="24"/>
          <w:szCs w:val="24"/>
        </w:rPr>
        <w:t>[Circulation of a different lineage of dengue virus serotype 2</w:t>
      </w:r>
    </w:p>
    <w:p w14:paraId="5D7306FD" w14:textId="77777777" w:rsidR="0043457E" w:rsidRPr="0043457E" w:rsidRDefault="0043457E" w:rsidP="0043457E">
      <w:pPr>
        <w:widowControl/>
        <w:rPr>
          <w:rFonts w:ascii="Arial" w:eastAsiaTheme="minorHAnsi" w:hAnsi="Arial" w:cs="Arial"/>
          <w:sz w:val="24"/>
          <w:szCs w:val="24"/>
        </w:rPr>
      </w:pPr>
      <w:r w:rsidRPr="00455286">
        <w:rPr>
          <w:rFonts w:ascii="Arial" w:eastAsiaTheme="minorHAnsi" w:hAnsi="Arial" w:cs="Arial"/>
          <w:i/>
          <w:iCs/>
          <w:sz w:val="24"/>
          <w:szCs w:val="24"/>
        </w:rPr>
        <w:t xml:space="preserve">American / Asian genotype in the Peruvian amazon, 2010.]. </w:t>
      </w:r>
      <w:r w:rsidRPr="00455286">
        <w:rPr>
          <w:rFonts w:ascii="Arial" w:eastAsiaTheme="minorHAnsi" w:hAnsi="Arial" w:cs="Arial"/>
          <w:sz w:val="24"/>
          <w:szCs w:val="24"/>
          <w:lang w:val="es-ES"/>
        </w:rPr>
        <w:t xml:space="preserve">Rev Peru Med Exp Salud Publica, 2011. </w:t>
      </w:r>
      <w:r w:rsidRPr="0043457E">
        <w:rPr>
          <w:rFonts w:ascii="Arial" w:eastAsiaTheme="minorHAnsi" w:hAnsi="Arial" w:cs="Arial"/>
          <w:b/>
          <w:bCs/>
          <w:sz w:val="24"/>
          <w:szCs w:val="24"/>
        </w:rPr>
        <w:t>28</w:t>
      </w:r>
      <w:r w:rsidRPr="0043457E">
        <w:rPr>
          <w:rFonts w:ascii="Arial" w:eastAsiaTheme="minorHAnsi" w:hAnsi="Arial" w:cs="Arial"/>
          <w:sz w:val="24"/>
          <w:szCs w:val="24"/>
        </w:rPr>
        <w:t>(1): p. 72-77.</w:t>
      </w:r>
    </w:p>
    <w:p w14:paraId="369AA61C" w14:textId="77777777" w:rsidR="0043457E" w:rsidRDefault="0043457E" w:rsidP="0043457E">
      <w:pPr>
        <w:pStyle w:val="EndNoteBibliography"/>
        <w:rPr>
          <w:rFonts w:ascii="Arial" w:hAnsi="Arial" w:cs="Arial"/>
          <w:sz w:val="24"/>
        </w:rPr>
      </w:pPr>
    </w:p>
    <w:p w14:paraId="6544BEEE" w14:textId="195D97F1" w:rsidR="0043457E" w:rsidRPr="00D42F68" w:rsidRDefault="0043457E" w:rsidP="0043457E">
      <w:pPr>
        <w:pStyle w:val="EndNoteBibliography"/>
        <w:rPr>
          <w:rFonts w:ascii="Arial" w:hAnsi="Arial" w:cs="Arial"/>
          <w:sz w:val="24"/>
        </w:rPr>
      </w:pPr>
      <w:r w:rsidRPr="0043457E">
        <w:rPr>
          <w:rFonts w:ascii="Arial" w:hAnsi="Arial" w:cs="Arial"/>
          <w:sz w:val="24"/>
        </w:rPr>
        <w:t xml:space="preserve">Morrison </w:t>
      </w:r>
      <w:r w:rsidRPr="0043457E">
        <w:rPr>
          <w:rFonts w:ascii="Arial" w:hAnsi="Arial" w:cs="Arial"/>
          <w:iCs/>
          <w:sz w:val="24"/>
        </w:rPr>
        <w:t>A. C.,</w:t>
      </w:r>
      <w:r w:rsidRPr="0043457E">
        <w:rPr>
          <w:rFonts w:ascii="Arial" w:hAnsi="Arial" w:cs="Arial"/>
          <w:sz w:val="24"/>
        </w:rPr>
        <w:t xml:space="preserve"> et al., Epidemiology of dengue virus in Iquitos, Peru 1999 to 2005: interepidemic and epidemic patterns of transmission. </w:t>
      </w:r>
      <w:r w:rsidRPr="00D42F68">
        <w:rPr>
          <w:rFonts w:ascii="Arial" w:hAnsi="Arial" w:cs="Arial"/>
          <w:sz w:val="24"/>
        </w:rPr>
        <w:t>PLoS Negl Trop Dis 4, e670 (2010).</w:t>
      </w:r>
    </w:p>
    <w:p w14:paraId="108F1B44" w14:textId="77777777" w:rsidR="0043457E" w:rsidRPr="00D42F68" w:rsidRDefault="0043457E" w:rsidP="0043457E">
      <w:pPr>
        <w:widowControl/>
        <w:rPr>
          <w:rFonts w:ascii="Arial" w:eastAsiaTheme="minorHAnsi" w:hAnsi="Arial" w:cs="Arial"/>
          <w:sz w:val="24"/>
          <w:szCs w:val="24"/>
        </w:rPr>
      </w:pPr>
    </w:p>
    <w:p w14:paraId="17B033EA" w14:textId="026BE7A5" w:rsidR="0075192C" w:rsidRPr="000C0DDF" w:rsidRDefault="0075192C" w:rsidP="0043457E">
      <w:pPr>
        <w:widowControl/>
        <w:rPr>
          <w:rFonts w:ascii="Arial" w:eastAsiaTheme="minorHAnsi" w:hAnsi="Arial" w:cs="Arial"/>
          <w:sz w:val="24"/>
          <w:szCs w:val="24"/>
          <w:lang w:val="es-MX"/>
        </w:rPr>
      </w:pPr>
      <w:r w:rsidRPr="0075192C">
        <w:rPr>
          <w:rFonts w:ascii="Arial" w:eastAsiaTheme="minorHAnsi" w:hAnsi="Arial" w:cs="Arial"/>
          <w:sz w:val="24"/>
          <w:szCs w:val="24"/>
        </w:rPr>
        <w:t xml:space="preserve">Olkowski S, Forshey BM, Morrison AC, Rocha C, Vilcarromero S, Halsey ES, Kochel TJ, Scott TW, Stoddard ST. Reduced risk of disease during postsecondary dengue virus infections. </w:t>
      </w:r>
      <w:r w:rsidRPr="000C0DDF">
        <w:rPr>
          <w:rFonts w:ascii="Arial" w:eastAsiaTheme="minorHAnsi" w:hAnsi="Arial" w:cs="Arial"/>
          <w:sz w:val="24"/>
          <w:szCs w:val="24"/>
          <w:lang w:val="es-MX"/>
        </w:rPr>
        <w:t xml:space="preserve">J Infect Dis. 2013 Sep;208(6):1026-33. </w:t>
      </w:r>
    </w:p>
    <w:p w14:paraId="4E3789BA" w14:textId="77777777" w:rsidR="0075192C" w:rsidRPr="000C0DDF" w:rsidRDefault="0075192C" w:rsidP="0043457E">
      <w:pPr>
        <w:widowControl/>
        <w:rPr>
          <w:rFonts w:ascii="Arial" w:eastAsiaTheme="minorHAnsi" w:hAnsi="Arial" w:cs="Arial"/>
          <w:sz w:val="24"/>
          <w:szCs w:val="24"/>
          <w:lang w:val="es-MX"/>
        </w:rPr>
      </w:pPr>
    </w:p>
    <w:p w14:paraId="5AC51C02" w14:textId="03B0260B" w:rsidR="0043457E" w:rsidRPr="00455286" w:rsidRDefault="0043457E" w:rsidP="0043457E">
      <w:pPr>
        <w:widowControl/>
        <w:rPr>
          <w:rFonts w:ascii="Arial" w:eastAsiaTheme="minorHAnsi" w:hAnsi="Arial" w:cs="Arial"/>
          <w:sz w:val="24"/>
          <w:szCs w:val="24"/>
        </w:rPr>
      </w:pPr>
      <w:r w:rsidRPr="00455286">
        <w:rPr>
          <w:rFonts w:ascii="Arial" w:eastAsiaTheme="minorHAnsi" w:hAnsi="Arial" w:cs="Arial"/>
          <w:sz w:val="24"/>
          <w:szCs w:val="24"/>
          <w:lang w:val="es-ES"/>
        </w:rPr>
        <w:t xml:space="preserve">Paz-Soldan, V. A. </w:t>
      </w:r>
      <w:r w:rsidRPr="00455286">
        <w:rPr>
          <w:rFonts w:ascii="Arial" w:eastAsiaTheme="minorHAnsi" w:hAnsi="Arial" w:cs="Arial"/>
          <w:i/>
          <w:iCs/>
          <w:sz w:val="24"/>
          <w:szCs w:val="24"/>
          <w:lang w:val="es-ES"/>
        </w:rPr>
        <w:t xml:space="preserve">et al. </w:t>
      </w:r>
      <w:r w:rsidRPr="00455286">
        <w:rPr>
          <w:rFonts w:ascii="Arial" w:eastAsiaTheme="minorHAnsi" w:hAnsi="Arial" w:cs="Arial"/>
          <w:sz w:val="24"/>
          <w:szCs w:val="24"/>
        </w:rPr>
        <w:t xml:space="preserve">Assessing and maximizing the acceptability of global positioning system device use for studying the role of human movement in dengue virus transmission in Iquitos, Peru. </w:t>
      </w:r>
      <w:r w:rsidRPr="00455286">
        <w:rPr>
          <w:rFonts w:ascii="Arial" w:eastAsiaTheme="minorHAnsi" w:hAnsi="Arial" w:cs="Arial"/>
          <w:i/>
          <w:iCs/>
          <w:sz w:val="24"/>
          <w:szCs w:val="24"/>
        </w:rPr>
        <w:t xml:space="preserve">Am J Trop Med Hyg </w:t>
      </w:r>
      <w:r w:rsidRPr="00455286">
        <w:rPr>
          <w:rFonts w:ascii="Arial" w:eastAsiaTheme="minorHAnsi" w:hAnsi="Arial" w:cs="Arial"/>
          <w:b/>
          <w:bCs/>
          <w:sz w:val="24"/>
          <w:szCs w:val="24"/>
        </w:rPr>
        <w:t>82</w:t>
      </w:r>
      <w:r w:rsidRPr="00455286">
        <w:rPr>
          <w:rFonts w:ascii="Arial" w:eastAsiaTheme="minorHAnsi" w:hAnsi="Arial" w:cs="Arial"/>
          <w:sz w:val="24"/>
          <w:szCs w:val="24"/>
        </w:rPr>
        <w:t>, 723-730, (2010)</w:t>
      </w:r>
    </w:p>
    <w:p w14:paraId="3237636A" w14:textId="77777777" w:rsidR="0043457E" w:rsidRDefault="0043457E" w:rsidP="0043457E">
      <w:pPr>
        <w:pStyle w:val="EndNoteBibliography"/>
        <w:rPr>
          <w:rFonts w:ascii="Arial" w:hAnsi="Arial" w:cs="Arial"/>
          <w:sz w:val="24"/>
        </w:rPr>
      </w:pPr>
    </w:p>
    <w:p w14:paraId="1581628A" w14:textId="7257ED4C" w:rsidR="0043457E" w:rsidRPr="0043457E" w:rsidRDefault="0043457E" w:rsidP="0043457E">
      <w:pPr>
        <w:pStyle w:val="EndNoteBibliography"/>
        <w:rPr>
          <w:rFonts w:ascii="Arial" w:hAnsi="Arial" w:cs="Arial"/>
          <w:sz w:val="24"/>
        </w:rPr>
      </w:pPr>
      <w:r w:rsidRPr="0043457E">
        <w:rPr>
          <w:rFonts w:ascii="Arial" w:hAnsi="Arial" w:cs="Arial"/>
          <w:sz w:val="24"/>
        </w:rPr>
        <w:t>Paz-Soldan V., et al., Strengths and weaknesses of Global Positioning System (GPS) data-loggers and semi-structured interviews for capturing fine-scale human mobility: findings from Iquitos, Peru. PLoS Negl Trop Dis 8, e2888 (2014).</w:t>
      </w:r>
    </w:p>
    <w:p w14:paraId="1FAE073A" w14:textId="77777777" w:rsidR="0043457E" w:rsidRPr="0043457E" w:rsidRDefault="0043457E" w:rsidP="0043457E">
      <w:pPr>
        <w:pStyle w:val="EndNoteBibliography"/>
        <w:rPr>
          <w:rFonts w:ascii="Arial" w:hAnsi="Arial" w:cs="Arial"/>
          <w:sz w:val="24"/>
        </w:rPr>
      </w:pPr>
    </w:p>
    <w:p w14:paraId="172EDF03" w14:textId="77777777" w:rsidR="0043457E" w:rsidRPr="00455286" w:rsidRDefault="0043457E" w:rsidP="0043457E">
      <w:pPr>
        <w:widowControl/>
        <w:rPr>
          <w:rFonts w:ascii="Arial" w:hAnsi="Arial" w:cs="Arial"/>
          <w:sz w:val="24"/>
          <w:szCs w:val="24"/>
        </w:rPr>
      </w:pPr>
      <w:r w:rsidRPr="00455286">
        <w:rPr>
          <w:rFonts w:ascii="Arial" w:hAnsi="Arial" w:cs="Arial"/>
          <w:sz w:val="24"/>
          <w:szCs w:val="24"/>
        </w:rPr>
        <w:t xml:space="preserve">Perkins TA, </w:t>
      </w:r>
      <w:r>
        <w:rPr>
          <w:rFonts w:ascii="Arial" w:hAnsi="Arial" w:cs="Arial"/>
          <w:sz w:val="24"/>
          <w:szCs w:val="24"/>
        </w:rPr>
        <w:t xml:space="preserve">et al., </w:t>
      </w:r>
      <w:r w:rsidRPr="00455286">
        <w:rPr>
          <w:rFonts w:ascii="Arial" w:hAnsi="Arial" w:cs="Arial"/>
          <w:sz w:val="24"/>
          <w:szCs w:val="24"/>
        </w:rPr>
        <w:t>Calling in sick: impacts of fever on intra-urban human mobility. Proc Biol Sci. 2016 Jul 13;283(1834):20160390.</w:t>
      </w:r>
    </w:p>
    <w:p w14:paraId="03600F12" w14:textId="77777777" w:rsidR="0043457E" w:rsidRDefault="0043457E" w:rsidP="0043457E">
      <w:pPr>
        <w:widowControl/>
        <w:rPr>
          <w:rFonts w:ascii="Arial" w:eastAsiaTheme="minorHAnsi" w:hAnsi="Arial" w:cs="Arial"/>
          <w:sz w:val="24"/>
          <w:szCs w:val="24"/>
        </w:rPr>
      </w:pPr>
    </w:p>
    <w:p w14:paraId="6A3F9D89" w14:textId="72320112" w:rsidR="0043457E" w:rsidRPr="00455286" w:rsidRDefault="0043457E" w:rsidP="0043457E">
      <w:pPr>
        <w:widowControl/>
        <w:rPr>
          <w:rFonts w:ascii="Arial" w:eastAsiaTheme="minorHAnsi" w:hAnsi="Arial" w:cs="Arial"/>
          <w:sz w:val="24"/>
          <w:szCs w:val="24"/>
        </w:rPr>
      </w:pPr>
      <w:r w:rsidRPr="00455286">
        <w:rPr>
          <w:rFonts w:ascii="Arial" w:eastAsiaTheme="minorHAnsi" w:hAnsi="Arial" w:cs="Arial"/>
          <w:sz w:val="24"/>
          <w:szCs w:val="24"/>
        </w:rPr>
        <w:t xml:space="preserve">Phillips, I., </w:t>
      </w:r>
      <w:r w:rsidRPr="00C84249">
        <w:rPr>
          <w:rFonts w:ascii="Arial" w:eastAsiaTheme="minorHAnsi" w:hAnsi="Arial" w:cs="Arial"/>
          <w:i/>
          <w:iCs/>
          <w:sz w:val="24"/>
          <w:szCs w:val="24"/>
        </w:rPr>
        <w:t>et al.</w:t>
      </w:r>
      <w:r>
        <w:rPr>
          <w:rFonts w:ascii="Arial" w:eastAsiaTheme="minorHAnsi" w:hAnsi="Arial" w:cs="Arial"/>
          <w:i/>
          <w:iCs/>
          <w:sz w:val="24"/>
          <w:szCs w:val="24"/>
        </w:rPr>
        <w:t>,</w:t>
      </w:r>
      <w:r w:rsidRPr="00455286">
        <w:rPr>
          <w:rFonts w:ascii="Arial" w:eastAsiaTheme="minorHAnsi" w:hAnsi="Arial" w:cs="Arial"/>
          <w:sz w:val="24"/>
          <w:szCs w:val="24"/>
        </w:rPr>
        <w:t xml:space="preserve"> </w:t>
      </w:r>
      <w:r w:rsidRPr="00455286">
        <w:rPr>
          <w:rFonts w:ascii="Arial" w:eastAsiaTheme="minorHAnsi" w:hAnsi="Arial" w:cs="Arial"/>
          <w:i/>
          <w:iCs/>
          <w:sz w:val="24"/>
          <w:szCs w:val="24"/>
        </w:rPr>
        <w:t xml:space="preserve">First documented outbreak of dengue in the Peruvian Amazon region. </w:t>
      </w:r>
      <w:r w:rsidRPr="00455286">
        <w:rPr>
          <w:rFonts w:ascii="Arial" w:eastAsiaTheme="minorHAnsi" w:hAnsi="Arial" w:cs="Arial"/>
          <w:sz w:val="24"/>
          <w:szCs w:val="24"/>
        </w:rPr>
        <w:t xml:space="preserve">Bull Pan Am Health Organ, 1992. </w:t>
      </w:r>
      <w:r w:rsidRPr="00455286">
        <w:rPr>
          <w:rFonts w:ascii="Arial" w:eastAsiaTheme="minorHAnsi" w:hAnsi="Arial" w:cs="Arial"/>
          <w:b/>
          <w:bCs/>
          <w:sz w:val="24"/>
          <w:szCs w:val="24"/>
        </w:rPr>
        <w:t>26</w:t>
      </w:r>
      <w:r w:rsidRPr="00455286">
        <w:rPr>
          <w:rFonts w:ascii="Arial" w:eastAsiaTheme="minorHAnsi" w:hAnsi="Arial" w:cs="Arial"/>
          <w:sz w:val="24"/>
          <w:szCs w:val="24"/>
        </w:rPr>
        <w:t>(3): p. 201-7.</w:t>
      </w:r>
    </w:p>
    <w:p w14:paraId="7BAA445A" w14:textId="77777777" w:rsidR="0043457E" w:rsidRDefault="0043457E" w:rsidP="0043457E">
      <w:pPr>
        <w:widowControl/>
        <w:rPr>
          <w:rFonts w:ascii="Arial" w:hAnsi="Arial" w:cs="Arial"/>
          <w:sz w:val="24"/>
          <w:szCs w:val="24"/>
        </w:rPr>
      </w:pPr>
    </w:p>
    <w:p w14:paraId="13D1FC45" w14:textId="79C7A8F9" w:rsidR="0043457E" w:rsidRPr="0043457E" w:rsidRDefault="0043457E" w:rsidP="0043457E">
      <w:pPr>
        <w:widowControl/>
        <w:rPr>
          <w:rFonts w:ascii="Arial" w:hAnsi="Arial" w:cs="Arial"/>
          <w:sz w:val="24"/>
          <w:szCs w:val="24"/>
        </w:rPr>
      </w:pPr>
      <w:r w:rsidRPr="00455286">
        <w:rPr>
          <w:rFonts w:ascii="Arial" w:hAnsi="Arial" w:cs="Arial"/>
          <w:sz w:val="24"/>
          <w:szCs w:val="24"/>
        </w:rPr>
        <w:t>Reiner,</w:t>
      </w:r>
      <w:r w:rsidRPr="0043457E">
        <w:rPr>
          <w:rFonts w:ascii="Arial" w:hAnsi="Arial" w:cs="Arial"/>
          <w:sz w:val="24"/>
          <w:szCs w:val="24"/>
        </w:rPr>
        <w:t xml:space="preserve"> </w:t>
      </w:r>
      <w:r w:rsidRPr="00455286">
        <w:rPr>
          <w:rFonts w:ascii="Arial" w:hAnsi="Arial" w:cs="Arial"/>
          <w:sz w:val="24"/>
          <w:szCs w:val="24"/>
        </w:rPr>
        <w:t>R. C.  Jr.</w:t>
      </w:r>
      <w:r w:rsidRPr="00455286">
        <w:rPr>
          <w:rFonts w:ascii="Arial" w:hAnsi="Arial" w:cs="Arial"/>
          <w:i/>
          <w:sz w:val="24"/>
          <w:szCs w:val="24"/>
        </w:rPr>
        <w:t xml:space="preserve"> et al.</w:t>
      </w:r>
      <w:r w:rsidRPr="00455286">
        <w:rPr>
          <w:rFonts w:ascii="Arial" w:hAnsi="Arial" w:cs="Arial"/>
          <w:sz w:val="24"/>
          <w:szCs w:val="24"/>
        </w:rPr>
        <w:t xml:space="preserve">, Time-varying, serotype-specific force of infection of dengue virus. </w:t>
      </w:r>
      <w:r w:rsidRPr="0043457E">
        <w:rPr>
          <w:rFonts w:ascii="Arial" w:hAnsi="Arial" w:cs="Arial"/>
          <w:i/>
          <w:sz w:val="24"/>
          <w:szCs w:val="24"/>
        </w:rPr>
        <w:t>Proc Natl Acad Sci U S A</w:t>
      </w:r>
      <w:r w:rsidRPr="0043457E">
        <w:rPr>
          <w:rFonts w:ascii="Arial" w:hAnsi="Arial" w:cs="Arial"/>
          <w:sz w:val="24"/>
          <w:szCs w:val="24"/>
        </w:rPr>
        <w:t xml:space="preserve"> </w:t>
      </w:r>
      <w:r w:rsidRPr="0043457E">
        <w:rPr>
          <w:rFonts w:ascii="Arial" w:hAnsi="Arial" w:cs="Arial"/>
          <w:b/>
          <w:sz w:val="24"/>
          <w:szCs w:val="24"/>
        </w:rPr>
        <w:t>111</w:t>
      </w:r>
      <w:r w:rsidRPr="0043457E">
        <w:rPr>
          <w:rFonts w:ascii="Arial" w:hAnsi="Arial" w:cs="Arial"/>
          <w:sz w:val="24"/>
          <w:szCs w:val="24"/>
        </w:rPr>
        <w:t>, E2694-2702 (2014).</w:t>
      </w:r>
    </w:p>
    <w:p w14:paraId="7E09345D" w14:textId="5BEA589F" w:rsidR="00F13D75" w:rsidRPr="00455286" w:rsidRDefault="00F13D75" w:rsidP="00041B82">
      <w:pPr>
        <w:pStyle w:val="BodyText"/>
        <w:kinsoku w:val="0"/>
        <w:overflowPunct w:val="0"/>
        <w:spacing w:before="100" w:beforeAutospacing="1"/>
        <w:rPr>
          <w:rFonts w:ascii="Arial" w:hAnsi="Arial" w:cs="Arial"/>
          <w:sz w:val="24"/>
          <w:szCs w:val="24"/>
        </w:rPr>
      </w:pPr>
      <w:r w:rsidRPr="00455286">
        <w:rPr>
          <w:rFonts w:ascii="Arial" w:hAnsi="Arial" w:cs="Arial"/>
          <w:sz w:val="24"/>
          <w:szCs w:val="24"/>
        </w:rPr>
        <w:t>Saha, K. and Paul, S. (2005), Bias</w:t>
      </w:r>
      <w:r w:rsidRPr="00455286">
        <w:rPr>
          <w:rFonts w:ascii="Cambria Math" w:hAnsi="Cambria Math" w:cs="Cambria Math"/>
          <w:sz w:val="24"/>
          <w:szCs w:val="24"/>
        </w:rPr>
        <w:t>‐</w:t>
      </w:r>
      <w:r w:rsidRPr="00455286">
        <w:rPr>
          <w:rFonts w:ascii="Arial" w:hAnsi="Arial" w:cs="Arial"/>
          <w:sz w:val="24"/>
          <w:szCs w:val="24"/>
        </w:rPr>
        <w:t xml:space="preserve">Corrected Maximum Likelihood Estimator of the Negative Binomial Dispersion Parameter. Biometrics, 61: 179-185. </w:t>
      </w:r>
    </w:p>
    <w:p w14:paraId="422AC8E6" w14:textId="77777777" w:rsidR="00F13D75" w:rsidRPr="00455286" w:rsidRDefault="00F13D75">
      <w:pPr>
        <w:rPr>
          <w:rFonts w:ascii="Arial" w:hAnsi="Arial" w:cs="Arial"/>
          <w:sz w:val="24"/>
          <w:szCs w:val="24"/>
        </w:rPr>
      </w:pPr>
    </w:p>
    <w:p w14:paraId="1EF56E43" w14:textId="77777777" w:rsidR="0043457E" w:rsidRPr="00455286" w:rsidRDefault="0043457E" w:rsidP="0043457E">
      <w:pPr>
        <w:widowControl/>
        <w:rPr>
          <w:rFonts w:ascii="Arial" w:eastAsiaTheme="minorHAnsi" w:hAnsi="Arial" w:cs="Arial"/>
          <w:sz w:val="24"/>
          <w:szCs w:val="24"/>
        </w:rPr>
      </w:pPr>
      <w:r w:rsidRPr="00455286">
        <w:rPr>
          <w:rFonts w:ascii="Arial" w:hAnsi="Arial" w:cs="Arial"/>
          <w:sz w:val="24"/>
          <w:szCs w:val="24"/>
        </w:rPr>
        <w:t xml:space="preserve">Schaber KL, </w:t>
      </w:r>
      <w:r>
        <w:rPr>
          <w:rFonts w:ascii="Arial" w:hAnsi="Arial" w:cs="Arial"/>
          <w:sz w:val="24"/>
          <w:szCs w:val="24"/>
        </w:rPr>
        <w:t xml:space="preserve">et al., </w:t>
      </w:r>
      <w:r w:rsidRPr="00455286">
        <w:rPr>
          <w:rFonts w:ascii="Arial" w:hAnsi="Arial" w:cs="Arial"/>
          <w:sz w:val="24"/>
          <w:szCs w:val="24"/>
        </w:rPr>
        <w:t>Dengue illness impacts daily human mobility patterns in Iquitos, Peru. PLoS Negl Trop Dis. 2019 Sep 23;13(9</w:t>
      </w:r>
      <w:proofErr w:type="gramStart"/>
      <w:r w:rsidRPr="00455286">
        <w:rPr>
          <w:rFonts w:ascii="Arial" w:hAnsi="Arial" w:cs="Arial"/>
          <w:sz w:val="24"/>
          <w:szCs w:val="24"/>
        </w:rPr>
        <w:t>):e</w:t>
      </w:r>
      <w:proofErr w:type="gramEnd"/>
      <w:r w:rsidRPr="00455286">
        <w:rPr>
          <w:rFonts w:ascii="Arial" w:hAnsi="Arial" w:cs="Arial"/>
          <w:sz w:val="24"/>
          <w:szCs w:val="24"/>
        </w:rPr>
        <w:t>0007756.</w:t>
      </w:r>
    </w:p>
    <w:p w14:paraId="32501393" w14:textId="77777777" w:rsidR="00F13D75" w:rsidRPr="00455286" w:rsidRDefault="00F13D75" w:rsidP="00F94F06">
      <w:pPr>
        <w:widowControl/>
        <w:rPr>
          <w:rFonts w:ascii="Arial" w:eastAsiaTheme="minorHAnsi" w:hAnsi="Arial" w:cs="Arial"/>
          <w:sz w:val="24"/>
          <w:szCs w:val="24"/>
        </w:rPr>
      </w:pPr>
    </w:p>
    <w:p w14:paraId="26600F55" w14:textId="211D9E19" w:rsidR="00F13D75" w:rsidRPr="00455286" w:rsidRDefault="00F13D75" w:rsidP="00F94F06">
      <w:pPr>
        <w:widowControl/>
        <w:rPr>
          <w:rFonts w:ascii="Arial" w:hAnsi="Arial" w:cs="Arial"/>
          <w:sz w:val="24"/>
          <w:szCs w:val="24"/>
        </w:rPr>
      </w:pPr>
      <w:r w:rsidRPr="00455286">
        <w:rPr>
          <w:rFonts w:ascii="Arial" w:hAnsi="Arial" w:cs="Arial"/>
          <w:sz w:val="24"/>
          <w:szCs w:val="24"/>
        </w:rPr>
        <w:t xml:space="preserve">Stoddard ST, </w:t>
      </w:r>
      <w:r w:rsidR="0043457E" w:rsidRPr="0043457E">
        <w:rPr>
          <w:rFonts w:ascii="Arial" w:hAnsi="Arial" w:cs="Arial"/>
          <w:i/>
          <w:iCs/>
          <w:sz w:val="24"/>
          <w:szCs w:val="24"/>
        </w:rPr>
        <w:t>et al.,</w:t>
      </w:r>
      <w:r w:rsidR="0043457E">
        <w:rPr>
          <w:rFonts w:ascii="Arial" w:hAnsi="Arial" w:cs="Arial"/>
          <w:sz w:val="24"/>
          <w:szCs w:val="24"/>
        </w:rPr>
        <w:t xml:space="preserve"> </w:t>
      </w:r>
      <w:proofErr w:type="gramStart"/>
      <w:r w:rsidRPr="00455286">
        <w:rPr>
          <w:rFonts w:ascii="Arial" w:hAnsi="Arial" w:cs="Arial"/>
          <w:sz w:val="24"/>
          <w:szCs w:val="24"/>
        </w:rPr>
        <w:t>Long-term</w:t>
      </w:r>
      <w:proofErr w:type="gramEnd"/>
      <w:r w:rsidRPr="00455286">
        <w:rPr>
          <w:rFonts w:ascii="Arial" w:hAnsi="Arial" w:cs="Arial"/>
          <w:sz w:val="24"/>
          <w:szCs w:val="24"/>
        </w:rPr>
        <w:t xml:space="preserve"> and seasonal dynamics of dengue in Iquitos, Peru. PLoS Negl Trop Dis. 2014 Jul 17;8(7</w:t>
      </w:r>
      <w:proofErr w:type="gramStart"/>
      <w:r w:rsidRPr="00455286">
        <w:rPr>
          <w:rFonts w:ascii="Arial" w:hAnsi="Arial" w:cs="Arial"/>
          <w:sz w:val="24"/>
          <w:szCs w:val="24"/>
        </w:rPr>
        <w:t>):e</w:t>
      </w:r>
      <w:proofErr w:type="gramEnd"/>
      <w:r w:rsidRPr="00455286">
        <w:rPr>
          <w:rFonts w:ascii="Arial" w:hAnsi="Arial" w:cs="Arial"/>
          <w:sz w:val="24"/>
          <w:szCs w:val="24"/>
        </w:rPr>
        <w:t>3003.</w:t>
      </w:r>
    </w:p>
    <w:p w14:paraId="4E390453" w14:textId="77777777" w:rsidR="00F13D75" w:rsidRPr="00455286" w:rsidRDefault="00F13D75" w:rsidP="00F94F06">
      <w:pPr>
        <w:widowControl/>
        <w:rPr>
          <w:rFonts w:ascii="Arial" w:hAnsi="Arial" w:cs="Arial"/>
          <w:sz w:val="24"/>
          <w:szCs w:val="24"/>
        </w:rPr>
      </w:pPr>
    </w:p>
    <w:p w14:paraId="7C67B2D3" w14:textId="77777777" w:rsidR="00F13D75" w:rsidRPr="00364DF3" w:rsidRDefault="00F13D75" w:rsidP="00B615F5">
      <w:pPr>
        <w:widowControl/>
        <w:rPr>
          <w:rFonts w:ascii="Arial" w:hAnsi="Arial" w:cs="Arial"/>
          <w:sz w:val="24"/>
          <w:szCs w:val="24"/>
        </w:rPr>
      </w:pPr>
      <w:r w:rsidRPr="00455286">
        <w:rPr>
          <w:rFonts w:ascii="Arial" w:eastAsiaTheme="minorHAnsi" w:hAnsi="Arial" w:cs="Arial"/>
          <w:sz w:val="24"/>
          <w:szCs w:val="24"/>
        </w:rPr>
        <w:t xml:space="preserve">Stoddard, S. T. </w:t>
      </w:r>
      <w:r w:rsidRPr="00455286">
        <w:rPr>
          <w:rFonts w:ascii="Arial" w:eastAsiaTheme="minorHAnsi" w:hAnsi="Arial" w:cs="Arial"/>
          <w:i/>
          <w:iCs/>
          <w:sz w:val="24"/>
          <w:szCs w:val="24"/>
        </w:rPr>
        <w:t xml:space="preserve">et al. </w:t>
      </w:r>
      <w:r w:rsidRPr="00455286">
        <w:rPr>
          <w:rFonts w:ascii="Arial" w:eastAsiaTheme="minorHAnsi" w:hAnsi="Arial" w:cs="Arial"/>
          <w:sz w:val="24"/>
          <w:szCs w:val="24"/>
        </w:rPr>
        <w:t xml:space="preserve">(2013) House-to-house human movement drives dengue virus transmission. </w:t>
      </w:r>
      <w:r w:rsidRPr="00364DF3">
        <w:rPr>
          <w:rFonts w:ascii="Arial" w:eastAsiaTheme="minorHAnsi" w:hAnsi="Arial" w:cs="Arial"/>
          <w:i/>
          <w:iCs/>
          <w:sz w:val="24"/>
          <w:szCs w:val="24"/>
        </w:rPr>
        <w:t xml:space="preserve">Proc Natl Acad Sci U S A </w:t>
      </w:r>
      <w:r w:rsidRPr="00364DF3">
        <w:rPr>
          <w:rFonts w:ascii="Arial" w:eastAsiaTheme="minorHAnsi" w:hAnsi="Arial" w:cs="Arial"/>
          <w:b/>
          <w:bCs/>
          <w:sz w:val="24"/>
          <w:szCs w:val="24"/>
        </w:rPr>
        <w:t>110</w:t>
      </w:r>
      <w:r w:rsidRPr="00364DF3">
        <w:rPr>
          <w:rFonts w:ascii="Arial" w:eastAsiaTheme="minorHAnsi" w:hAnsi="Arial" w:cs="Arial"/>
          <w:sz w:val="24"/>
          <w:szCs w:val="24"/>
        </w:rPr>
        <w:t>, 994-999, PMCid:3549073, PMID:23277539</w:t>
      </w:r>
    </w:p>
    <w:p w14:paraId="31443E37" w14:textId="77777777" w:rsidR="00F13D75" w:rsidRPr="00364DF3" w:rsidRDefault="00F13D75" w:rsidP="00F94F06">
      <w:pPr>
        <w:widowControl/>
        <w:rPr>
          <w:rFonts w:ascii="Arial" w:hAnsi="Arial" w:cs="Arial"/>
          <w:sz w:val="24"/>
          <w:szCs w:val="24"/>
        </w:rPr>
      </w:pPr>
    </w:p>
    <w:p w14:paraId="679B992C" w14:textId="77777777" w:rsidR="0043457E" w:rsidRPr="00455286" w:rsidRDefault="0043457E" w:rsidP="0043457E">
      <w:pPr>
        <w:widowControl/>
        <w:rPr>
          <w:rFonts w:ascii="Arial" w:eastAsiaTheme="minorHAnsi" w:hAnsi="Arial" w:cs="Arial"/>
          <w:sz w:val="24"/>
          <w:szCs w:val="24"/>
        </w:rPr>
      </w:pPr>
      <w:r w:rsidRPr="00455286">
        <w:rPr>
          <w:rFonts w:ascii="Arial" w:eastAsiaTheme="minorHAnsi" w:hAnsi="Arial" w:cs="Arial"/>
          <w:sz w:val="24"/>
          <w:szCs w:val="24"/>
        </w:rPr>
        <w:t>Watts, D.M.,</w:t>
      </w:r>
      <w:r>
        <w:rPr>
          <w:rFonts w:ascii="Arial" w:eastAsiaTheme="minorHAnsi" w:hAnsi="Arial" w:cs="Arial"/>
          <w:sz w:val="24"/>
          <w:szCs w:val="24"/>
        </w:rPr>
        <w:t xml:space="preserve"> </w:t>
      </w:r>
      <w:r w:rsidRPr="00C84249">
        <w:rPr>
          <w:rFonts w:ascii="Arial" w:eastAsiaTheme="minorHAnsi" w:hAnsi="Arial" w:cs="Arial"/>
          <w:i/>
          <w:iCs/>
          <w:sz w:val="24"/>
          <w:szCs w:val="24"/>
        </w:rPr>
        <w:t>et al.</w:t>
      </w:r>
      <w:r>
        <w:rPr>
          <w:rFonts w:ascii="Arial" w:eastAsiaTheme="minorHAnsi" w:hAnsi="Arial" w:cs="Arial"/>
          <w:sz w:val="24"/>
          <w:szCs w:val="24"/>
        </w:rPr>
        <w:t xml:space="preserve"> </w:t>
      </w:r>
      <w:r w:rsidRPr="00C84249">
        <w:rPr>
          <w:rFonts w:ascii="Arial" w:eastAsiaTheme="minorHAnsi" w:hAnsi="Arial" w:cs="Arial"/>
          <w:sz w:val="24"/>
          <w:szCs w:val="24"/>
        </w:rPr>
        <w:t>Failure of secondary infection with American genotype dengue 2 to cause dengue haemorrhagic fever</w:t>
      </w:r>
      <w:r w:rsidRPr="00455286">
        <w:rPr>
          <w:rFonts w:ascii="Arial" w:eastAsiaTheme="minorHAnsi" w:hAnsi="Arial" w:cs="Arial"/>
          <w:i/>
          <w:iCs/>
          <w:sz w:val="24"/>
          <w:szCs w:val="24"/>
        </w:rPr>
        <w:t xml:space="preserve">. </w:t>
      </w:r>
      <w:r w:rsidRPr="00455286">
        <w:rPr>
          <w:rFonts w:ascii="Arial" w:eastAsiaTheme="minorHAnsi" w:hAnsi="Arial" w:cs="Arial"/>
          <w:sz w:val="24"/>
          <w:szCs w:val="24"/>
        </w:rPr>
        <w:t xml:space="preserve">Lancet, 1999. </w:t>
      </w:r>
      <w:r w:rsidRPr="00455286">
        <w:rPr>
          <w:rFonts w:ascii="Arial" w:eastAsiaTheme="minorHAnsi" w:hAnsi="Arial" w:cs="Arial"/>
          <w:b/>
          <w:bCs/>
          <w:sz w:val="24"/>
          <w:szCs w:val="24"/>
        </w:rPr>
        <w:t>354</w:t>
      </w:r>
      <w:r w:rsidRPr="00455286">
        <w:rPr>
          <w:rFonts w:ascii="Arial" w:eastAsiaTheme="minorHAnsi" w:hAnsi="Arial" w:cs="Arial"/>
          <w:sz w:val="24"/>
          <w:szCs w:val="24"/>
        </w:rPr>
        <w:t>(9188): p. 1431-4.</w:t>
      </w:r>
    </w:p>
    <w:p w14:paraId="5750107D" w14:textId="77777777" w:rsidR="0043457E" w:rsidRPr="00455286" w:rsidRDefault="0043457E" w:rsidP="0043457E">
      <w:pPr>
        <w:widowControl/>
        <w:rPr>
          <w:rFonts w:ascii="Arial" w:eastAsiaTheme="minorHAnsi" w:hAnsi="Arial" w:cs="Arial"/>
          <w:sz w:val="24"/>
          <w:szCs w:val="24"/>
        </w:rPr>
      </w:pPr>
    </w:p>
    <w:p w14:paraId="2486038F" w14:textId="77777777" w:rsidR="0043457E" w:rsidRPr="0043457E" w:rsidRDefault="0043457E" w:rsidP="0043457E">
      <w:pPr>
        <w:pStyle w:val="EndNoteBibliography"/>
        <w:rPr>
          <w:rFonts w:ascii="Arial" w:hAnsi="Arial" w:cs="Arial"/>
          <w:sz w:val="24"/>
        </w:rPr>
      </w:pPr>
    </w:p>
    <w:p w14:paraId="3656D0E7" w14:textId="77777777" w:rsidR="00DB03CD" w:rsidRDefault="00DB03CD"/>
    <w:sectPr w:rsidR="00DB03CD" w:rsidSect="00C86D00">
      <w:type w:val="continuous"/>
      <w:pgSz w:w="12240" w:h="15840"/>
      <w:pgMar w:top="1500" w:right="1320" w:bottom="1530" w:left="1320" w:header="720" w:footer="720" w:gutter="0"/>
      <w:cols w:space="720" w:equalWidth="0">
        <w:col w:w="960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1&lt;/Suspended&gt;&lt;/ENInstantFormat&gt;"/>
    <w:docVar w:name="paperpile-doc-id" w:val="H257V517K897P528"/>
    <w:docVar w:name="paperpile-doc-name" w:val="Supplementary Text_V3-TWS.docx"/>
  </w:docVars>
  <w:rsids>
    <w:rsidRoot w:val="00F13D75"/>
    <w:rsid w:val="000253D8"/>
    <w:rsid w:val="000430EA"/>
    <w:rsid w:val="000C0DDF"/>
    <w:rsid w:val="000D1066"/>
    <w:rsid w:val="00160493"/>
    <w:rsid w:val="00197EB7"/>
    <w:rsid w:val="001B3531"/>
    <w:rsid w:val="002A123C"/>
    <w:rsid w:val="00300BD7"/>
    <w:rsid w:val="00356736"/>
    <w:rsid w:val="00364DF3"/>
    <w:rsid w:val="00396971"/>
    <w:rsid w:val="003C1667"/>
    <w:rsid w:val="003C7D7C"/>
    <w:rsid w:val="003D5196"/>
    <w:rsid w:val="0043457E"/>
    <w:rsid w:val="004D7C50"/>
    <w:rsid w:val="005366AA"/>
    <w:rsid w:val="005828E6"/>
    <w:rsid w:val="005B18A0"/>
    <w:rsid w:val="005C1E19"/>
    <w:rsid w:val="005D7C3E"/>
    <w:rsid w:val="006125A3"/>
    <w:rsid w:val="00670310"/>
    <w:rsid w:val="006859C2"/>
    <w:rsid w:val="006A1709"/>
    <w:rsid w:val="007269CC"/>
    <w:rsid w:val="007414F7"/>
    <w:rsid w:val="0075192C"/>
    <w:rsid w:val="00794C07"/>
    <w:rsid w:val="0097761D"/>
    <w:rsid w:val="009B203A"/>
    <w:rsid w:val="009E57A2"/>
    <w:rsid w:val="00B50F54"/>
    <w:rsid w:val="00B515A2"/>
    <w:rsid w:val="00B847F5"/>
    <w:rsid w:val="00C63676"/>
    <w:rsid w:val="00C84249"/>
    <w:rsid w:val="00CB54D0"/>
    <w:rsid w:val="00D42F68"/>
    <w:rsid w:val="00D85FDB"/>
    <w:rsid w:val="00DA7158"/>
    <w:rsid w:val="00DB03CD"/>
    <w:rsid w:val="00DD0C2D"/>
    <w:rsid w:val="00E5148D"/>
    <w:rsid w:val="00E5447D"/>
    <w:rsid w:val="00EF01C9"/>
    <w:rsid w:val="00F02737"/>
    <w:rsid w:val="00F13D75"/>
    <w:rsid w:val="00F556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E9E20"/>
  <w15:chartTrackingRefBased/>
  <w15:docId w15:val="{2C7E351F-5B7E-4166-B810-E9383DED5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13D75"/>
    <w:pPr>
      <w:widowControl w:val="0"/>
      <w:autoSpaceDE w:val="0"/>
      <w:autoSpaceDN w:val="0"/>
      <w:adjustRightInd w:val="0"/>
      <w:spacing w:after="0" w:line="240" w:lineRule="auto"/>
    </w:pPr>
    <w:rPr>
      <w:rFonts w:ascii="Times New Roman" w:eastAsiaTheme="minorEastAsia"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F13D75"/>
    <w:rPr>
      <w:sz w:val="20"/>
      <w:szCs w:val="20"/>
    </w:rPr>
  </w:style>
  <w:style w:type="character" w:customStyle="1" w:styleId="BodyTextChar">
    <w:name w:val="Body Text Char"/>
    <w:basedOn w:val="DefaultParagraphFont"/>
    <w:link w:val="BodyText"/>
    <w:uiPriority w:val="1"/>
    <w:rsid w:val="00F13D75"/>
    <w:rPr>
      <w:rFonts w:ascii="Times New Roman" w:eastAsiaTheme="minorEastAsia" w:hAnsi="Times New Roman" w:cs="Times New Roman"/>
      <w:sz w:val="20"/>
      <w:szCs w:val="20"/>
    </w:rPr>
  </w:style>
  <w:style w:type="character" w:styleId="Hyperlink">
    <w:name w:val="Hyperlink"/>
    <w:uiPriority w:val="99"/>
    <w:semiHidden/>
    <w:unhideWhenUsed/>
    <w:rsid w:val="00F13D75"/>
    <w:rPr>
      <w:color w:val="0000FF"/>
      <w:u w:val="single"/>
    </w:rPr>
  </w:style>
  <w:style w:type="paragraph" w:styleId="NormalWeb">
    <w:name w:val="Normal (Web)"/>
    <w:basedOn w:val="Normal"/>
    <w:uiPriority w:val="99"/>
    <w:semiHidden/>
    <w:unhideWhenUsed/>
    <w:rsid w:val="00F13D75"/>
    <w:pPr>
      <w:widowControl/>
      <w:autoSpaceDE/>
      <w:autoSpaceDN/>
      <w:adjustRightInd/>
      <w:spacing w:before="100" w:beforeAutospacing="1" w:after="100" w:afterAutospacing="1"/>
    </w:pPr>
    <w:rPr>
      <w:rFonts w:eastAsia="Times New Roman"/>
      <w:sz w:val="24"/>
      <w:szCs w:val="24"/>
    </w:rPr>
  </w:style>
  <w:style w:type="character" w:styleId="PlaceholderText">
    <w:name w:val="Placeholder Text"/>
    <w:basedOn w:val="DefaultParagraphFont"/>
    <w:uiPriority w:val="99"/>
    <w:semiHidden/>
    <w:rsid w:val="00F13D75"/>
    <w:rPr>
      <w:color w:val="808080"/>
    </w:rPr>
  </w:style>
  <w:style w:type="character" w:styleId="CommentReference">
    <w:name w:val="annotation reference"/>
    <w:basedOn w:val="DefaultParagraphFont"/>
    <w:uiPriority w:val="99"/>
    <w:semiHidden/>
    <w:unhideWhenUsed/>
    <w:rsid w:val="00F13D75"/>
    <w:rPr>
      <w:sz w:val="16"/>
      <w:szCs w:val="16"/>
    </w:rPr>
  </w:style>
  <w:style w:type="paragraph" w:styleId="CommentText">
    <w:name w:val="annotation text"/>
    <w:basedOn w:val="Normal"/>
    <w:link w:val="CommentTextChar"/>
    <w:uiPriority w:val="99"/>
    <w:semiHidden/>
    <w:unhideWhenUsed/>
    <w:rsid w:val="00F13D75"/>
    <w:rPr>
      <w:sz w:val="20"/>
      <w:szCs w:val="20"/>
    </w:rPr>
  </w:style>
  <w:style w:type="character" w:customStyle="1" w:styleId="CommentTextChar">
    <w:name w:val="Comment Text Char"/>
    <w:basedOn w:val="DefaultParagraphFont"/>
    <w:link w:val="CommentText"/>
    <w:uiPriority w:val="99"/>
    <w:semiHidden/>
    <w:rsid w:val="00F13D75"/>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13D75"/>
    <w:rPr>
      <w:b/>
      <w:bCs/>
    </w:rPr>
  </w:style>
  <w:style w:type="character" w:customStyle="1" w:styleId="CommentSubjectChar">
    <w:name w:val="Comment Subject Char"/>
    <w:basedOn w:val="CommentTextChar"/>
    <w:link w:val="CommentSubject"/>
    <w:uiPriority w:val="99"/>
    <w:semiHidden/>
    <w:rsid w:val="00F13D75"/>
    <w:rPr>
      <w:rFonts w:ascii="Times New Roman" w:eastAsiaTheme="minorEastAsia" w:hAnsi="Times New Roman" w:cs="Times New Roman"/>
      <w:b/>
      <w:bCs/>
      <w:sz w:val="20"/>
      <w:szCs w:val="20"/>
    </w:rPr>
  </w:style>
  <w:style w:type="paragraph" w:styleId="BalloonText">
    <w:name w:val="Balloon Text"/>
    <w:basedOn w:val="Normal"/>
    <w:link w:val="BalloonTextChar"/>
    <w:uiPriority w:val="99"/>
    <w:semiHidden/>
    <w:unhideWhenUsed/>
    <w:rsid w:val="00F13D75"/>
    <w:rPr>
      <w:sz w:val="18"/>
      <w:szCs w:val="18"/>
    </w:rPr>
  </w:style>
  <w:style w:type="character" w:customStyle="1" w:styleId="BalloonTextChar">
    <w:name w:val="Balloon Text Char"/>
    <w:basedOn w:val="DefaultParagraphFont"/>
    <w:link w:val="BalloonText"/>
    <w:uiPriority w:val="99"/>
    <w:semiHidden/>
    <w:rsid w:val="00F13D75"/>
    <w:rPr>
      <w:rFonts w:ascii="Times New Roman" w:eastAsiaTheme="minorEastAsia" w:hAnsi="Times New Roman" w:cs="Times New Roman"/>
      <w:sz w:val="18"/>
      <w:szCs w:val="18"/>
    </w:rPr>
  </w:style>
  <w:style w:type="paragraph" w:customStyle="1" w:styleId="EndNoteBibliographyTitle">
    <w:name w:val="EndNote Bibliography Title"/>
    <w:basedOn w:val="Normal"/>
    <w:link w:val="EndNoteBibliographyTitleChar"/>
    <w:rsid w:val="00F13D75"/>
    <w:pPr>
      <w:jc w:val="center"/>
    </w:pPr>
    <w:rPr>
      <w:noProof/>
      <w:sz w:val="20"/>
      <w:szCs w:val="20"/>
    </w:rPr>
  </w:style>
  <w:style w:type="character" w:customStyle="1" w:styleId="EndNoteBibliographyTitleChar">
    <w:name w:val="EndNote Bibliography Title Char"/>
    <w:basedOn w:val="BodyTextChar"/>
    <w:link w:val="EndNoteBibliographyTitle"/>
    <w:rsid w:val="00F13D75"/>
    <w:rPr>
      <w:rFonts w:ascii="Times New Roman" w:eastAsiaTheme="minorEastAsia" w:hAnsi="Times New Roman" w:cs="Times New Roman"/>
      <w:noProof/>
      <w:sz w:val="20"/>
      <w:szCs w:val="20"/>
    </w:rPr>
  </w:style>
  <w:style w:type="paragraph" w:customStyle="1" w:styleId="EndNoteBibliography">
    <w:name w:val="EndNote Bibliography"/>
    <w:basedOn w:val="Normal"/>
    <w:link w:val="EndNoteBibliographyChar"/>
    <w:rsid w:val="00F13D75"/>
    <w:rPr>
      <w:noProof/>
      <w:sz w:val="20"/>
      <w:szCs w:val="20"/>
    </w:rPr>
  </w:style>
  <w:style w:type="character" w:customStyle="1" w:styleId="EndNoteBibliographyChar">
    <w:name w:val="EndNote Bibliography Char"/>
    <w:basedOn w:val="BodyTextChar"/>
    <w:link w:val="EndNoteBibliography"/>
    <w:rsid w:val="00F13D75"/>
    <w:rPr>
      <w:rFonts w:ascii="Times New Roman" w:eastAsiaTheme="minorEastAsia" w:hAnsi="Times New Roman" w:cs="Times New Roman"/>
      <w:noProof/>
      <w:sz w:val="20"/>
      <w:szCs w:val="20"/>
    </w:rPr>
  </w:style>
  <w:style w:type="paragraph" w:styleId="Revision">
    <w:name w:val="Revision"/>
    <w:hidden/>
    <w:uiPriority w:val="99"/>
    <w:semiHidden/>
    <w:rsid w:val="00EF01C9"/>
    <w:pPr>
      <w:spacing w:after="0" w:line="240" w:lineRule="auto"/>
    </w:pPr>
    <w:rPr>
      <w:rFonts w:ascii="Times New Roman" w:eastAsiaTheme="minorEastAsia"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852779">
      <w:bodyDiv w:val="1"/>
      <w:marLeft w:val="0"/>
      <w:marRight w:val="0"/>
      <w:marTop w:val="0"/>
      <w:marBottom w:val="0"/>
      <w:divBdr>
        <w:top w:val="none" w:sz="0" w:space="0" w:color="auto"/>
        <w:left w:val="none" w:sz="0" w:space="0" w:color="auto"/>
        <w:bottom w:val="none" w:sz="0" w:space="0" w:color="auto"/>
        <w:right w:val="none" w:sz="0" w:space="0" w:color="auto"/>
      </w:divBdr>
      <w:divsChild>
        <w:div w:id="1645188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hyperlink" Target="mailto:gmvazqu@emory.edu"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7</Pages>
  <Words>2277</Words>
  <Characters>12979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Vazquez Prokopec, Gonzalo</dc:creator>
  <cp:keywords/>
  <dc:description/>
  <cp:lastModifiedBy>Vazquez Prokopec, Gonzalo</cp:lastModifiedBy>
  <cp:revision>26</cp:revision>
  <dcterms:created xsi:type="dcterms:W3CDTF">2022-01-04T03:34:00Z</dcterms:created>
  <dcterms:modified xsi:type="dcterms:W3CDTF">2023-01-07T20:28:00Z</dcterms:modified>
</cp:coreProperties>
</file>