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BCE" w:rsidRPr="006C3554" w:rsidRDefault="00A11BCE" w:rsidP="005F0B67">
      <w:pPr>
        <w:ind w:left="-993"/>
        <w:rPr>
          <w:rFonts w:ascii="Calibri" w:hAnsi="Calibri"/>
          <w:color w:val="000000" w:themeColor="text1"/>
          <w:sz w:val="24"/>
          <w:szCs w:val="24"/>
        </w:rPr>
      </w:pPr>
    </w:p>
    <w:tbl>
      <w:tblPr>
        <w:tblW w:w="16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08"/>
        <w:gridCol w:w="963"/>
        <w:gridCol w:w="456"/>
        <w:gridCol w:w="762"/>
        <w:gridCol w:w="797"/>
        <w:gridCol w:w="703"/>
        <w:gridCol w:w="842"/>
        <w:gridCol w:w="678"/>
        <w:gridCol w:w="773"/>
        <w:gridCol w:w="773"/>
        <w:gridCol w:w="722"/>
        <w:gridCol w:w="882"/>
        <w:gridCol w:w="925"/>
        <w:gridCol w:w="1053"/>
        <w:gridCol w:w="687"/>
        <w:gridCol w:w="640"/>
        <w:gridCol w:w="859"/>
        <w:gridCol w:w="773"/>
        <w:gridCol w:w="723"/>
        <w:gridCol w:w="809"/>
        <w:gridCol w:w="657"/>
      </w:tblGrid>
      <w:tr w:rsidR="00A11BCE" w:rsidRPr="006C3554" w:rsidTr="000A0D4D">
        <w:trPr>
          <w:jc w:val="center"/>
        </w:trPr>
        <w:tc>
          <w:tcPr>
            <w:tcW w:w="708" w:type="dxa"/>
            <w:shd w:val="clear" w:color="auto" w:fill="auto"/>
            <w:vAlign w:val="bottom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6" w:type="dxa"/>
            <w:shd w:val="clear" w:color="auto" w:fill="auto"/>
            <w:vAlign w:val="bottom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T2D</w:t>
            </w:r>
          </w:p>
        </w:tc>
        <w:tc>
          <w:tcPr>
            <w:tcW w:w="2223" w:type="dxa"/>
            <w:gridSpan w:val="3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Anthropometric Traits</w:t>
            </w:r>
          </w:p>
        </w:tc>
        <w:tc>
          <w:tcPr>
            <w:tcW w:w="5128" w:type="dxa"/>
            <w:gridSpan w:val="6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Glycemic Traits</w:t>
            </w:r>
          </w:p>
        </w:tc>
        <w:tc>
          <w:tcPr>
            <w:tcW w:w="1327" w:type="dxa"/>
            <w:gridSpan w:val="2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Blood Pressure Traits</w:t>
            </w:r>
          </w:p>
        </w:tc>
        <w:tc>
          <w:tcPr>
            <w:tcW w:w="3164" w:type="dxa"/>
            <w:gridSpan w:val="4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Lipids Traits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Birth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Weight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Locus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SNP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m/ M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Exome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chip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Metabo-chip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2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1]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0A0D4D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BMI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58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Height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59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WHR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60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FG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4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FI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4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HbA1c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61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HOMA-B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2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HOMA-IR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2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Pro-insulin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62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SBP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63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DBP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63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TG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64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HDL-C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64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LDL-C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64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TC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64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A37128">
            <w:pPr>
              <w:spacing w:after="0" w:line="240" w:lineRule="auto"/>
              <w:jc w:val="center"/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BW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[</w:t>
            </w:r>
            <w:r w:rsidR="000A0D4D"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65</w:t>
            </w:r>
            <w:r>
              <w:rPr>
                <w:rFonts w:ascii="Calibri" w:hAnsi="Calibri"/>
                <w:b/>
                <w:noProof/>
                <w:color w:val="000000" w:themeColor="text1"/>
                <w:sz w:val="16"/>
                <w:szCs w:val="16"/>
                <w:vertAlign w:val="superscript"/>
              </w:rPr>
              <w:t>]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eastAsia="Times New Roman" w:hAnsi="Calibri" w:cs="Times New Roman"/>
                <w:i/>
                <w:iCs/>
                <w:color w:val="000000" w:themeColor="text1"/>
                <w:sz w:val="16"/>
                <w:szCs w:val="16"/>
                <w:lang w:val="en-GB"/>
              </w:rPr>
              <w:t>GCKR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rs1260326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T/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2.4x10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1.6×10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9.4×10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0.00034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2.2×10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-41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2.7×10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-22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0.31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0.33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9. 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-7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0.30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0.76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2.3×10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239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0.0017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1.5×10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-7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3.1×10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0.61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rs1919128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G/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8.1x10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0.0035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0.052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0.079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0.0019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0.39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0.61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0.0052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0.073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0.35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7.6×10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-104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0.16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0.0036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3.2×10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0.27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rs3749147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A/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0.00037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0.061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0.0026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0.81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0.87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0.015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0.048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0.12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0.48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1.3×10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-53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0.075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0.045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3.5×10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0.56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rs1395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G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/A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0.026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0.014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0.72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0.010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0.75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0.23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0.66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3.1×10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-38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0.57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0.56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2×10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0.48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eastAsia="Times New Roman" w:hAnsi="Calibri" w:cs="Times New Roman"/>
                <w:i/>
                <w:iCs/>
                <w:color w:val="000000" w:themeColor="text1"/>
                <w:sz w:val="16"/>
                <w:szCs w:val="16"/>
                <w:lang w:val="en-GB"/>
              </w:rPr>
              <w:t>SLC30A8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rs13266634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T/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2.5x10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-18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5×10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-21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0.024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0.051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1.5×10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-35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0.055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3.3×10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2.4×10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0.97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4.9×10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-11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0.44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0.57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0.84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0.023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0.054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0.40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eastAsia="Times New Roman" w:hAnsi="Calibri" w:cs="Times New Roman"/>
                <w:i/>
                <w:iCs/>
                <w:color w:val="000000" w:themeColor="text1"/>
                <w:sz w:val="16"/>
                <w:szCs w:val="16"/>
                <w:lang w:val="en-GB"/>
              </w:rPr>
              <w:t>G6PC2</w:t>
            </w:r>
            <w:r w:rsidRPr="006C3554">
              <w:rPr>
                <w:rFonts w:ascii="Calibri" w:eastAsia="Times New Roman" w:hAnsi="Calibri" w:cs="Times New Roman"/>
                <w:iCs/>
                <w:color w:val="000000" w:themeColor="text1"/>
                <w:sz w:val="16"/>
                <w:szCs w:val="16"/>
                <w:lang w:val="en-GB"/>
              </w:rPr>
              <w:t xml:space="preserve">/ </w:t>
            </w:r>
            <w:r w:rsidRPr="006C3554">
              <w:rPr>
                <w:rFonts w:ascii="Calibri" w:eastAsia="Times New Roman" w:hAnsi="Calibri" w:cs="Times New Roman"/>
                <w:i/>
                <w:iCs/>
                <w:color w:val="000000" w:themeColor="text1"/>
                <w:sz w:val="16"/>
                <w:szCs w:val="16"/>
                <w:lang w:val="en-GB"/>
              </w:rPr>
              <w:t>ABCB11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03074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rs492594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C/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G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 xml:space="preserve"> 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D04331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>
              <w:rPr>
                <w:rFonts w:ascii="Calibri" w:hAnsi="Calibri"/>
                <w:color w:val="000000" w:themeColor="text1"/>
                <w:sz w:val="16"/>
                <w:szCs w:val="16"/>
              </w:rPr>
              <w:t>0.0011</w:t>
            </w:r>
            <w:bookmarkStart w:id="0" w:name="_GoBack"/>
            <w:bookmarkEnd w:id="0"/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0.065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0.75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0.0026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0.96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0.35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0.24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0.078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0.86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0.063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0.78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0.32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0.86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eastAsia="Times New Roman" w:hAnsi="Calibri" w:cs="Times New Roman"/>
                <w:i/>
                <w:iCs/>
                <w:color w:val="000000" w:themeColor="text1"/>
                <w:sz w:val="16"/>
                <w:szCs w:val="16"/>
                <w:lang w:val="en-GB"/>
              </w:rPr>
              <w:t>PCSK1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rs6235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G/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0.0024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0.0013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0.66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0.076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0.024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0.84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7.7×10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0.43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0.51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0.64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0.072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0.085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0.17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rs6234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C/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0.0048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0.0027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0.40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0.078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0.041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0.88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1.7×10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-13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0.58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0.63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0.72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0.078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0.086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0.17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eastAsia="Times New Roman" w:hAnsi="Calibri" w:cs="Times New Roman"/>
                <w:i/>
                <w:iCs/>
                <w:color w:val="000000" w:themeColor="text1"/>
                <w:sz w:val="16"/>
                <w:szCs w:val="16"/>
                <w:lang w:val="en-GB"/>
              </w:rPr>
              <w:t>COBLL1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rs7607980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C/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4.1x10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-11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2.9×10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-7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0.86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2.7×10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0.64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4.6×10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-14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0.026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0.017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0.20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2.4×10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-12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1.8×10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-15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0.29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0.15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eastAsia="Times New Roman" w:hAnsi="Calibri" w:cs="Times New Roman"/>
                <w:i/>
                <w:iCs/>
                <w:color w:val="000000" w:themeColor="text1"/>
                <w:sz w:val="16"/>
                <w:szCs w:val="16"/>
                <w:lang w:val="en-GB"/>
              </w:rPr>
              <w:t>TOP1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rs17265513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C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/T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0.0012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2.5×10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0.41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0.0098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0.34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8.6×10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-8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0.077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0.91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0.49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0.018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0.24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0.011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0.00012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0.00016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T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0.15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eastAsia="Times New Roman" w:hAnsi="Calibri" w:cs="Times New Roman"/>
                <w:i/>
                <w:iCs/>
                <w:color w:val="000000" w:themeColor="text1"/>
                <w:sz w:val="16"/>
                <w:szCs w:val="16"/>
                <w:lang w:val="en-GB"/>
              </w:rPr>
              <w:t>PPARG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rs1801282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G/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1.5x10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1×10</w:t>
            </w:r>
            <w:r w:rsidRPr="006C3554">
              <w:rPr>
                <w:rFonts w:ascii="Calibri" w:hAnsi="Calibri"/>
                <w:color w:val="000000" w:themeColor="text1"/>
                <w:sz w:val="16"/>
                <w:szCs w:val="16"/>
                <w:vertAlign w:val="superscript"/>
              </w:rPr>
              <w:t>-12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0.019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0.37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0.59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0.0056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0.32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0.76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0.00084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0.0077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0.54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C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0.84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0.16</w:t>
            </w:r>
          </w:p>
        </w:tc>
      </w:tr>
      <w:tr w:rsidR="00A11BCE" w:rsidRPr="006C3554" w:rsidTr="000A0D4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eastAsia="Times New Roman" w:hAnsi="Calibri" w:cs="Times New Roman"/>
                <w:i/>
                <w:iCs/>
                <w:color w:val="000000" w:themeColor="text1"/>
                <w:sz w:val="16"/>
                <w:szCs w:val="16"/>
                <w:lang w:val="en-GB"/>
              </w:rPr>
              <w:t>GLP1R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rs10305492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A/</w:t>
            </w:r>
            <w:r w:rsidRPr="006C3554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0.49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0.78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0.077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0.71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0.67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NA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0.54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0.15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A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0.095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0.31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G</w:t>
            </w:r>
          </w:p>
          <w:p w:rsidR="00A11BCE" w:rsidRPr="006C3554" w:rsidRDefault="00A11BCE" w:rsidP="00E4421A">
            <w:pPr>
              <w:spacing w:after="0" w:line="240" w:lineRule="auto"/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C3554">
              <w:rPr>
                <w:rFonts w:ascii="Calibri" w:hAnsi="Calibri"/>
                <w:color w:val="000000" w:themeColor="text1"/>
                <w:sz w:val="16"/>
                <w:szCs w:val="16"/>
              </w:rPr>
              <w:t>0.89</w:t>
            </w:r>
          </w:p>
        </w:tc>
      </w:tr>
    </w:tbl>
    <w:p w:rsidR="00A11BCE" w:rsidRPr="006C3554" w:rsidRDefault="00A11BCE" w:rsidP="00F141D0">
      <w:pPr>
        <w:spacing w:after="0"/>
        <w:ind w:left="-993"/>
        <w:jc w:val="both"/>
        <w:rPr>
          <w:rFonts w:ascii="Calibri" w:hAnsi="Calibri"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Consolas"/>
          <w:noProof/>
          <w:vanish/>
          <w:color w:val="000000" w:themeColor="text1"/>
        </w:rPr>
      </w:pP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ind w:left="-709" w:hanging="425"/>
        <w:jc w:val="both"/>
        <w:rPr>
          <w:rFonts w:cs="Consolas"/>
          <w:noProof/>
          <w:color w:val="000000" w:themeColor="text1"/>
        </w:rPr>
      </w:pPr>
      <w:r w:rsidRPr="000A0D4D">
        <w:rPr>
          <w:rFonts w:cs="Consolas"/>
          <w:noProof/>
          <w:color w:val="000000" w:themeColor="text1"/>
        </w:rPr>
        <w:t>Speliotes EK, Willer CJ, Berndt SI, Monda KL, Thorleifsson G, et al. (2010) Association analyses of 249,796 individuals reveal 18 new loci associated with body mass index. Nat Genet 42: 937-948.</w:t>
      </w: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ind w:left="-709" w:hanging="425"/>
        <w:jc w:val="both"/>
        <w:rPr>
          <w:rFonts w:cs="Consolas"/>
          <w:noProof/>
          <w:color w:val="000000" w:themeColor="text1"/>
        </w:rPr>
      </w:pPr>
      <w:r w:rsidRPr="000A0D4D">
        <w:rPr>
          <w:rFonts w:cs="Consolas"/>
          <w:noProof/>
          <w:color w:val="000000" w:themeColor="text1"/>
        </w:rPr>
        <w:t>Lango Allen H, Estrada K, Lettre G, Berndt SI, Weedon MN, et al. (2010) Hundreds of variants clustered in genomic loci and biological pathways affect human height. Nature 467: 832-838.</w:t>
      </w: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ind w:left="-709" w:hanging="425"/>
        <w:jc w:val="both"/>
        <w:rPr>
          <w:rFonts w:cs="Consolas"/>
          <w:noProof/>
          <w:color w:val="000000" w:themeColor="text1"/>
        </w:rPr>
      </w:pPr>
      <w:r w:rsidRPr="000A0D4D">
        <w:rPr>
          <w:rFonts w:cs="Consolas"/>
          <w:noProof/>
          <w:color w:val="000000" w:themeColor="text1"/>
        </w:rPr>
        <w:t>Heid IM, Jackson AU, Randall JC, Winkler TW, Qi L, et al. (2010) Meta-analysis identifies 13 new loci associated with waist-hip ratio and reveals sexual dimorphism in the genetic basis of fat distribution. Nat Genet 42: 949-960.</w:t>
      </w: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ind w:left="-709" w:hanging="425"/>
        <w:jc w:val="both"/>
        <w:rPr>
          <w:rFonts w:cs="Consolas"/>
          <w:noProof/>
          <w:color w:val="000000" w:themeColor="text1"/>
        </w:rPr>
      </w:pPr>
      <w:r w:rsidRPr="000A0D4D">
        <w:rPr>
          <w:rFonts w:cs="Consolas"/>
          <w:noProof/>
          <w:color w:val="000000" w:themeColor="text1"/>
        </w:rPr>
        <w:t>Soranzo N, Sanna S, Wheeler E, Gieger C, Radke D, et al. (2010) Common variants at 10 genomic loci influence hemoglobin A₁(C) levels via glycemic and nonglycemic pathways. Diabetes 59: 3229-3239.</w:t>
      </w: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ind w:left="-709" w:hanging="425"/>
        <w:jc w:val="both"/>
        <w:rPr>
          <w:rFonts w:cs="Consolas"/>
          <w:noProof/>
          <w:color w:val="000000" w:themeColor="text1"/>
        </w:rPr>
      </w:pPr>
      <w:r w:rsidRPr="000A0D4D">
        <w:rPr>
          <w:rFonts w:cs="Consolas"/>
          <w:noProof/>
          <w:color w:val="000000" w:themeColor="text1"/>
        </w:rPr>
        <w:lastRenderedPageBreak/>
        <w:t>Strawbridge RJ, Dupuis J, Prokopenko I, Barker A, Ahlqvist E, et al. (2011) Genome-wide association identifies nine common variants associated with fasting proinsulin levels and provides new insights into the pathophysiology of type 2 diabetes. Diabetes 60: 2624-2634.</w:t>
      </w: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ind w:left="-709" w:hanging="425"/>
        <w:jc w:val="both"/>
        <w:rPr>
          <w:rFonts w:cs="Consolas"/>
          <w:noProof/>
          <w:color w:val="000000" w:themeColor="text1"/>
        </w:rPr>
      </w:pPr>
      <w:r w:rsidRPr="000A0D4D">
        <w:rPr>
          <w:rFonts w:cs="Consolas"/>
          <w:noProof/>
          <w:color w:val="000000" w:themeColor="text1"/>
        </w:rPr>
        <w:t>Ehret GB, Munroe PB, Rice KM, Bochud M, Johnson AD, et al. (2011) Genetic variants in novel pathways influence blood pressure and cardiovascular disease risk. Nature 478: 103-109.</w:t>
      </w: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ind w:left="-709" w:hanging="425"/>
        <w:jc w:val="both"/>
        <w:rPr>
          <w:rFonts w:cs="Consolas"/>
          <w:noProof/>
          <w:color w:val="000000" w:themeColor="text1"/>
        </w:rPr>
      </w:pPr>
      <w:r w:rsidRPr="000A0D4D">
        <w:rPr>
          <w:rFonts w:cs="Consolas"/>
          <w:noProof/>
          <w:color w:val="000000" w:themeColor="text1"/>
        </w:rPr>
        <w:t>Willer CJ, Schmidt EM, Sengupta S, Peloso GM, Gustafsson S, et al. (2013) Discovery and refinement of loci associated with lipid levels. Nat Genet 45: 1274-1283.</w:t>
      </w:r>
    </w:p>
    <w:p w:rsidR="000A0D4D" w:rsidRPr="000A0D4D" w:rsidRDefault="000A0D4D" w:rsidP="000A0D4D">
      <w:pPr>
        <w:pStyle w:val="ListParagraph"/>
        <w:numPr>
          <w:ilvl w:val="0"/>
          <w:numId w:val="2"/>
        </w:numPr>
        <w:spacing w:line="240" w:lineRule="auto"/>
        <w:ind w:left="-709" w:hanging="425"/>
        <w:jc w:val="both"/>
        <w:rPr>
          <w:rFonts w:cs="Consolas"/>
          <w:noProof/>
          <w:color w:val="000000" w:themeColor="text1"/>
        </w:rPr>
      </w:pPr>
      <w:r w:rsidRPr="000A0D4D">
        <w:rPr>
          <w:rFonts w:cs="Consolas"/>
          <w:noProof/>
          <w:color w:val="000000" w:themeColor="text1"/>
        </w:rPr>
        <w:t>Horikoshi M, Yaghootkar H, Mook-Kanamori DO, Sovio U, Taal HR, et al. (2013) New loci associated with birth weight identify genetic links between intrauterine growth and adult height and metabolism. Nat Genet 45: 76-82.</w:t>
      </w:r>
    </w:p>
    <w:p w:rsidR="00142164" w:rsidRDefault="00142164"/>
    <w:sectPr w:rsidR="00142164" w:rsidSect="00A11BC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24C56"/>
    <w:multiLevelType w:val="hybridMultilevel"/>
    <w:tmpl w:val="A148B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B92780"/>
    <w:multiLevelType w:val="hybridMultilevel"/>
    <w:tmpl w:val="325677A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A11BCE"/>
    <w:rsid w:val="000A0D4D"/>
    <w:rsid w:val="00142164"/>
    <w:rsid w:val="00A11BCE"/>
    <w:rsid w:val="00D0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24BAC6-8F5A-44C1-BAED-28771DFF5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BC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1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A11BCE"/>
    <w:pPr>
      <w:spacing w:after="0" w:line="276" w:lineRule="auto"/>
    </w:pPr>
    <w:rPr>
      <w:rFonts w:ascii="Arial" w:eastAsia="Arial" w:hAnsi="Arial" w:cs="Arial"/>
      <w:color w:val="000000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A11BCE"/>
    <w:pPr>
      <w:tabs>
        <w:tab w:val="center" w:pos="4513"/>
        <w:tab w:val="right" w:pos="9026"/>
      </w:tabs>
      <w:spacing w:after="0" w:line="240" w:lineRule="auto"/>
    </w:pPr>
    <w:rPr>
      <w:rFonts w:ascii="Arial" w:eastAsia="Arial" w:hAnsi="Arial" w:cs="Arial"/>
      <w:color w:val="000000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A11BCE"/>
    <w:rPr>
      <w:rFonts w:ascii="Arial" w:eastAsia="Arial" w:hAnsi="Arial" w:cs="Arial"/>
      <w:color w:val="000000"/>
      <w:lang w:val="en-US" w:eastAsia="en-GB"/>
    </w:rPr>
  </w:style>
  <w:style w:type="paragraph" w:styleId="NormalWeb">
    <w:name w:val="Normal (Web)"/>
    <w:basedOn w:val="Normal"/>
    <w:uiPriority w:val="99"/>
    <w:semiHidden/>
    <w:unhideWhenUsed/>
    <w:rsid w:val="00A11BC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1BCE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1BCE"/>
    <w:rPr>
      <w:rFonts w:ascii="Arial" w:eastAsia="Arial" w:hAnsi="Arial" w:cs="Arial"/>
      <w:color w:val="000000"/>
      <w:sz w:val="20"/>
      <w:szCs w:val="20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11BCE"/>
    <w:rPr>
      <w:vertAlign w:val="superscript"/>
    </w:rPr>
  </w:style>
  <w:style w:type="paragraph" w:customStyle="1" w:styleId="Default">
    <w:name w:val="Default"/>
    <w:rsid w:val="00A11BC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11B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BCE"/>
    <w:rPr>
      <w:lang w:val="en-US"/>
    </w:rPr>
  </w:style>
  <w:style w:type="character" w:styleId="Emphasis">
    <w:name w:val="Emphasis"/>
    <w:basedOn w:val="DefaultParagraphFont"/>
    <w:uiPriority w:val="20"/>
    <w:qFormat/>
    <w:rsid w:val="00A11BC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BCE"/>
    <w:rPr>
      <w:rFonts w:ascii="Tahoma" w:hAnsi="Tahoma" w:cs="Tahoma"/>
      <w:sz w:val="16"/>
      <w:szCs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A11BCE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11BCE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A11BCE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A11BCE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CE"/>
    <w:rPr>
      <w:rFonts w:ascii="Arial" w:eastAsia="Arial" w:hAnsi="Arial" w:cs="Arial"/>
      <w:color w:val="000000"/>
      <w:sz w:val="20"/>
      <w:szCs w:val="20"/>
      <w:lang w:val="en-US" w:eastAsia="en-GB"/>
    </w:rPr>
  </w:style>
  <w:style w:type="character" w:styleId="CommentReference">
    <w:name w:val="annotation reference"/>
    <w:uiPriority w:val="99"/>
    <w:semiHidden/>
    <w:unhideWhenUsed/>
    <w:rsid w:val="00A11BCE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A11BCE"/>
  </w:style>
  <w:style w:type="paragraph" w:styleId="ListParagraph">
    <w:name w:val="List Paragraph"/>
    <w:basedOn w:val="Normal"/>
    <w:uiPriority w:val="34"/>
    <w:qFormat/>
    <w:rsid w:val="000A0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Anubha Mahajan</dc:creator>
  <cp:keywords/>
  <dc:description/>
  <cp:lastModifiedBy>Anubha Mahajan</cp:lastModifiedBy>
  <cp:revision>3</cp:revision>
  <dcterms:created xsi:type="dcterms:W3CDTF">2014-11-01T13:23:00Z</dcterms:created>
  <dcterms:modified xsi:type="dcterms:W3CDTF">2014-11-01T14:45:00Z</dcterms:modified>
</cp:coreProperties>
</file>