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2D76E" w14:textId="13939A78" w:rsidR="00904624" w:rsidRPr="00DF75A4" w:rsidRDefault="00904624" w:rsidP="00904624">
      <w:pPr>
        <w:spacing w:line="480" w:lineRule="auto"/>
        <w:rPr>
          <w:rFonts w:ascii="Arial" w:eastAsiaTheme="minorEastAsia" w:hAnsi="Arial" w:cs="Arial"/>
          <w:sz w:val="24"/>
          <w:szCs w:val="24"/>
        </w:rPr>
      </w:pPr>
      <w:r w:rsidRPr="00DF75A4">
        <w:rPr>
          <w:rFonts w:ascii="Arial" w:eastAsiaTheme="minorEastAsia" w:hAnsi="Arial" w:cs="Arial"/>
          <w:sz w:val="24"/>
          <w:szCs w:val="24"/>
        </w:rPr>
        <w:t xml:space="preserve">Supplementary Fig 1. Time course of visual acuity (VA), </w:t>
      </w:r>
      <w:r w:rsidRPr="00DF75A4">
        <w:rPr>
          <w:rFonts w:ascii="Arial" w:hAnsi="Arial" w:cs="Arial"/>
          <w:kern w:val="0"/>
          <w:sz w:val="24"/>
          <w:szCs w:val="24"/>
        </w:rPr>
        <w:t xml:space="preserve">central foveal thickness (CFT), and </w:t>
      </w:r>
      <w:proofErr w:type="spellStart"/>
      <w:r w:rsidRPr="00DF75A4">
        <w:rPr>
          <w:rFonts w:ascii="Arial" w:hAnsi="Arial" w:cs="Arial"/>
          <w:kern w:val="0"/>
          <w:sz w:val="24"/>
          <w:szCs w:val="24"/>
        </w:rPr>
        <w:t>subfoveal</w:t>
      </w:r>
      <w:proofErr w:type="spellEnd"/>
      <w:r w:rsidRPr="00DF75A4">
        <w:rPr>
          <w:rFonts w:ascii="Arial" w:hAnsi="Arial" w:cs="Arial"/>
          <w:kern w:val="0"/>
          <w:sz w:val="24"/>
          <w:szCs w:val="24"/>
        </w:rPr>
        <w:t xml:space="preserve"> choroidal thickness (SFCT) s</w:t>
      </w:r>
      <w:r>
        <w:rPr>
          <w:rFonts w:ascii="Arial" w:hAnsi="Arial" w:cs="Arial"/>
          <w:kern w:val="0"/>
          <w:sz w:val="24"/>
          <w:szCs w:val="24"/>
        </w:rPr>
        <w:t xml:space="preserve"> by racial and ethnic subgroups.</w:t>
      </w:r>
      <w:r w:rsidRPr="00DF75A4"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68CF7D63" w14:textId="77777777" w:rsidR="00904624" w:rsidRDefault="00904624" w:rsidP="00904624">
      <w:pPr>
        <w:spacing w:line="480" w:lineRule="auto"/>
        <w:rPr>
          <w:rFonts w:ascii="Arial" w:eastAsia="MinionPro-Regular" w:hAnsi="Arial" w:cs="Arial"/>
          <w:kern w:val="0"/>
          <w:sz w:val="24"/>
          <w:szCs w:val="24"/>
        </w:rPr>
      </w:pPr>
      <w:r w:rsidRPr="00DF75A4">
        <w:rPr>
          <w:rFonts w:ascii="Arial" w:eastAsia="MinionPro-Regular" w:hAnsi="Arial" w:cs="Arial"/>
          <w:kern w:val="0"/>
          <w:sz w:val="24"/>
          <w:szCs w:val="24"/>
        </w:rPr>
        <w:t xml:space="preserve">Vertical bars represent mean </w:t>
      </w:r>
      <w:r w:rsidRPr="00DF75A4">
        <w:rPr>
          <w:rFonts w:ascii="Arial" w:eastAsia="EuclidSymbol" w:hAnsi="Arial" w:cs="Arial"/>
          <w:kern w:val="0"/>
          <w:sz w:val="24"/>
          <w:szCs w:val="24"/>
        </w:rPr>
        <w:t xml:space="preserve">± </w:t>
      </w:r>
      <w:r w:rsidRPr="00DF75A4">
        <w:rPr>
          <w:rFonts w:ascii="Arial" w:eastAsia="MinionPro-Regular" w:hAnsi="Arial" w:cs="Arial"/>
          <w:kern w:val="0"/>
          <w:sz w:val="24"/>
          <w:szCs w:val="24"/>
        </w:rPr>
        <w:t>standard error.</w:t>
      </w:r>
    </w:p>
    <w:p w14:paraId="21FCC0B1" w14:textId="77777777" w:rsidR="00D81A76" w:rsidRDefault="00000000"/>
    <w:sectPr w:rsidR="00D81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Yu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uclid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2B"/>
    <w:rsid w:val="001646F5"/>
    <w:rsid w:val="0078582B"/>
    <w:rsid w:val="00904624"/>
    <w:rsid w:val="0090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410CD"/>
  <w15:chartTrackingRefBased/>
  <w15:docId w15:val="{585231F7-54F1-4114-9700-BB40F8EE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62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福山尚</dc:creator>
  <cp:keywords/>
  <dc:description/>
  <cp:lastModifiedBy>福山尚</cp:lastModifiedBy>
  <cp:revision>2</cp:revision>
  <dcterms:created xsi:type="dcterms:W3CDTF">2022-08-06T22:45:00Z</dcterms:created>
  <dcterms:modified xsi:type="dcterms:W3CDTF">2022-08-06T22:46:00Z</dcterms:modified>
</cp:coreProperties>
</file>