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DFB" w14:textId="77777777" w:rsidR="001E11AC" w:rsidRPr="00224954" w:rsidRDefault="001E11AC" w:rsidP="001E11AC">
      <w:pPr>
        <w:pStyle w:val="a8"/>
        <w:spacing w:line="480" w:lineRule="auto"/>
        <w:rPr>
          <w:rFonts w:ascii="Arial" w:hAnsi="Arial" w:cs="Arial"/>
          <w:sz w:val="24"/>
          <w:szCs w:val="24"/>
        </w:rPr>
      </w:pPr>
      <w:r w:rsidRPr="00224954">
        <w:rPr>
          <w:rFonts w:ascii="Arial" w:hAnsi="Arial" w:cs="Arial"/>
          <w:sz w:val="24"/>
          <w:szCs w:val="24"/>
        </w:rPr>
        <w:t xml:space="preserve">Supplementary Table 3. </w:t>
      </w:r>
      <w:r w:rsidRPr="00224954">
        <w:rPr>
          <w:rFonts w:ascii="Arial" w:eastAsia="ＭＳ Ｐゴシック" w:hAnsi="Arial" w:cs="Arial"/>
          <w:kern w:val="0"/>
          <w:sz w:val="24"/>
          <w:szCs w:val="24"/>
        </w:rPr>
        <w:t>The baseline clinical</w:t>
      </w:r>
      <w:r>
        <w:rPr>
          <w:rFonts w:ascii="Arial" w:eastAsia="ＭＳ Ｐゴシック" w:hAnsi="Arial" w:cs="Arial"/>
          <w:kern w:val="0"/>
          <w:sz w:val="24"/>
          <w:szCs w:val="24"/>
        </w:rPr>
        <w:t xml:space="preserve"> ocular</w:t>
      </w:r>
      <w:r w:rsidRPr="00224954">
        <w:rPr>
          <w:rFonts w:ascii="Arial" w:eastAsia="ＭＳ Ｐゴシック" w:hAnsi="Arial" w:cs="Arial"/>
          <w:kern w:val="0"/>
          <w:sz w:val="24"/>
          <w:szCs w:val="24"/>
        </w:rPr>
        <w:t xml:space="preserve"> </w:t>
      </w:r>
      <w:r w:rsidRPr="00224954">
        <w:rPr>
          <w:rFonts w:ascii="Arial" w:hAnsi="Arial" w:cs="Arial"/>
          <w:sz w:val="24"/>
          <w:szCs w:val="24"/>
        </w:rPr>
        <w:t>characteristics</w:t>
      </w:r>
      <w:r w:rsidRPr="00224954">
        <w:rPr>
          <w:rFonts w:ascii="Arial" w:eastAsia="ＭＳ Ｐゴシック" w:hAnsi="Arial" w:cs="Arial"/>
          <w:kern w:val="0"/>
          <w:sz w:val="24"/>
          <w:szCs w:val="24"/>
        </w:rPr>
        <w:t xml:space="preserve"> among Black, White, and Japanese.</w:t>
      </w:r>
    </w:p>
    <w:tbl>
      <w:tblPr>
        <w:tblpPr w:leftFromText="142" w:rightFromText="142" w:vertAnchor="page" w:horzAnchor="margin" w:tblpY="1591"/>
        <w:tblW w:w="5128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55"/>
        <w:gridCol w:w="2388"/>
        <w:gridCol w:w="2388"/>
        <w:gridCol w:w="2388"/>
        <w:gridCol w:w="2388"/>
        <w:gridCol w:w="2385"/>
      </w:tblGrid>
      <w:tr w:rsidR="001E11AC" w:rsidRPr="002133F6" w14:paraId="628A3D14" w14:textId="77777777" w:rsidTr="00211422">
        <w:trPr>
          <w:trHeight w:val="338"/>
        </w:trPr>
        <w:tc>
          <w:tcPr>
            <w:tcW w:w="12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137BDB" w14:textId="77777777" w:rsidR="001E11AC" w:rsidRPr="002133F6" w:rsidRDefault="001E11AC" w:rsidP="00211422">
            <w:pPr>
              <w:rPr>
                <w:rFonts w:ascii="Arial" w:eastAsia="ＭＳ Ｐゴシック" w:hAnsi="Arial" w:cs="Arial"/>
                <w:b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835C32" w14:textId="77777777" w:rsidR="001E11AC" w:rsidRPr="002133F6" w:rsidRDefault="001E11AC" w:rsidP="00211422">
            <w:pPr>
              <w:widowControl/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Total</w:t>
            </w:r>
            <w:r w:rsidRPr="002133F6">
              <w:rPr>
                <w:rFonts w:ascii="Arial" w:eastAsia="游ゴシック" w:hAnsi="Arial" w:cs="Arial" w:hint="eastAsia"/>
                <w:color w:val="auto"/>
                <w:kern w:val="0"/>
                <w:sz w:val="22"/>
                <w:szCs w:val="22"/>
                <w:lang w:eastAsia="ja-JP"/>
              </w:rPr>
              <w:t xml:space="preserve"> </w:t>
            </w: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(n=119)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74C99F" w14:textId="77777777" w:rsidR="001E11AC" w:rsidRPr="002133F6" w:rsidRDefault="001E11AC" w:rsidP="00211422">
            <w:pPr>
              <w:widowControl/>
              <w:jc w:val="center"/>
              <w:rPr>
                <w:rFonts w:ascii="Arial" w:eastAsiaTheme="minorEastAsia" w:hAnsi="Arial" w:cs="Arial"/>
                <w:color w:val="auto"/>
                <w:kern w:val="0"/>
                <w:sz w:val="22"/>
                <w:szCs w:val="22"/>
                <w:lang w:eastAsia="ja-JP"/>
              </w:rPr>
            </w:pPr>
            <w:r w:rsidRPr="002133F6">
              <w:rPr>
                <w:rFonts w:ascii="Arial" w:eastAsiaTheme="minorEastAsia" w:hAnsi="Arial" w:cs="Arial"/>
                <w:color w:val="auto"/>
                <w:kern w:val="0"/>
                <w:sz w:val="22"/>
                <w:szCs w:val="22"/>
                <w:lang w:eastAsia="ja-JP"/>
              </w:rPr>
              <w:t>Black</w:t>
            </w:r>
            <w:r w:rsidRPr="002133F6">
              <w:rPr>
                <w:rFonts w:ascii="Arial" w:eastAsiaTheme="minorEastAsia" w:hAnsi="Arial" w:cs="Arial" w:hint="eastAsia"/>
                <w:color w:val="auto"/>
                <w:kern w:val="0"/>
                <w:sz w:val="22"/>
                <w:szCs w:val="22"/>
                <w:lang w:eastAsia="ja-JP"/>
              </w:rPr>
              <w:t xml:space="preserve"> </w:t>
            </w: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(n = 18)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67C256" w14:textId="77777777" w:rsidR="001E11AC" w:rsidRPr="002133F6" w:rsidRDefault="001E11AC" w:rsidP="00211422">
            <w:pPr>
              <w:widowControl/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lang w:eastAsia="ja-JP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lang w:eastAsia="ja-JP"/>
              </w:rPr>
              <w:t>White</w:t>
            </w:r>
            <w:r w:rsidRPr="002133F6">
              <w:rPr>
                <w:rFonts w:ascii="Arial" w:eastAsia="游ゴシック" w:hAnsi="Arial" w:cs="Arial" w:hint="eastAsia"/>
                <w:color w:val="auto"/>
                <w:kern w:val="0"/>
                <w:sz w:val="22"/>
                <w:szCs w:val="22"/>
                <w:lang w:eastAsia="ja-JP"/>
              </w:rPr>
              <w:t xml:space="preserve"> </w:t>
            </w: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(n = 21)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973488" w14:textId="77777777" w:rsidR="001E11AC" w:rsidRPr="002133F6" w:rsidRDefault="001E11AC" w:rsidP="00211422">
            <w:pPr>
              <w:jc w:val="center"/>
              <w:rPr>
                <w:rFonts w:ascii="Arial" w:eastAsiaTheme="minorEastAsia" w:hAnsi="Arial" w:cs="Arial"/>
                <w:color w:val="auto"/>
                <w:kern w:val="0"/>
                <w:sz w:val="22"/>
                <w:szCs w:val="22"/>
                <w:lang w:eastAsia="ja-JP"/>
              </w:rPr>
            </w:pPr>
            <w:r w:rsidRPr="002133F6">
              <w:rPr>
                <w:rFonts w:ascii="Arial" w:eastAsiaTheme="minorEastAsia" w:hAnsi="Arial" w:cs="Arial"/>
                <w:color w:val="auto"/>
                <w:kern w:val="0"/>
                <w:sz w:val="22"/>
                <w:szCs w:val="22"/>
                <w:lang w:eastAsia="ja-JP"/>
              </w:rPr>
              <w:t>Japanese</w:t>
            </w:r>
            <w:r w:rsidRPr="002133F6">
              <w:rPr>
                <w:rFonts w:ascii="Arial" w:eastAsiaTheme="minorEastAsia" w:hAnsi="Arial" w:cs="Arial" w:hint="eastAsia"/>
                <w:color w:val="auto"/>
                <w:kern w:val="0"/>
                <w:sz w:val="22"/>
                <w:szCs w:val="22"/>
                <w:lang w:eastAsia="ja-JP"/>
              </w:rPr>
              <w:t xml:space="preserve"> </w:t>
            </w:r>
            <w:r w:rsidRPr="002133F6"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  <w:t>(n = 80)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C736B2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  <w:t>P</w:t>
            </w:r>
          </w:p>
        </w:tc>
      </w:tr>
      <w:tr w:rsidR="001E11AC" w:rsidRPr="002133F6" w14:paraId="2CBF6123" w14:textId="77777777" w:rsidTr="00211422">
        <w:trPr>
          <w:trHeight w:val="338"/>
        </w:trPr>
        <w:tc>
          <w:tcPr>
            <w:tcW w:w="12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56101D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Eyes (Right) (%)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B51F4C" w14:textId="77777777" w:rsidR="001E11AC" w:rsidRPr="002133F6" w:rsidRDefault="001E11AC" w:rsidP="00211422">
            <w:pPr>
              <w:widowControl/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47 (39.5%)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7E7CB5" w14:textId="77777777" w:rsidR="001E11AC" w:rsidRPr="002133F6" w:rsidRDefault="001E11AC" w:rsidP="00211422">
            <w:pPr>
              <w:widowControl/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8 (44.4%)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82D3EB" w14:textId="77777777" w:rsidR="001E11AC" w:rsidRPr="002133F6" w:rsidRDefault="001E11AC" w:rsidP="00211422">
            <w:pPr>
              <w:widowControl/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11 (52.4%)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089FA2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28 (35.0%)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E0EBB6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kern w:val="0"/>
                <w:sz w:val="22"/>
                <w:szCs w:val="22"/>
              </w:rPr>
              <w:t>0.32</w:t>
            </w:r>
            <w:r w:rsidRPr="002133F6">
              <w:rPr>
                <w:rFonts w:ascii="Arial" w:hAnsi="Arial" w:cs="Arial"/>
                <w:color w:val="auto"/>
                <w:kern w:val="0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75997741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44FE4226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Location of polypoidal lesion </w:t>
            </w:r>
          </w:p>
        </w:tc>
        <w:tc>
          <w:tcPr>
            <w:tcW w:w="756" w:type="pct"/>
            <w:vAlign w:val="center"/>
          </w:tcPr>
          <w:p w14:paraId="693C92C1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53D6E5FB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7641AF4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50EE934E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  <w:hideMark/>
          </w:tcPr>
          <w:p w14:paraId="6B96070D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0.08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6F0049E7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1B80EA6F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 Macular (%)</w:t>
            </w:r>
          </w:p>
        </w:tc>
        <w:tc>
          <w:tcPr>
            <w:tcW w:w="756" w:type="pct"/>
            <w:vAlign w:val="center"/>
            <w:hideMark/>
          </w:tcPr>
          <w:p w14:paraId="3BAE5481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86 (72.3%)</w:t>
            </w:r>
          </w:p>
        </w:tc>
        <w:tc>
          <w:tcPr>
            <w:tcW w:w="756" w:type="pct"/>
            <w:vAlign w:val="center"/>
            <w:hideMark/>
          </w:tcPr>
          <w:p w14:paraId="29ECAAD6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10 (55.6%)</w:t>
            </w:r>
          </w:p>
        </w:tc>
        <w:tc>
          <w:tcPr>
            <w:tcW w:w="756" w:type="pct"/>
            <w:vAlign w:val="center"/>
            <w:hideMark/>
          </w:tcPr>
          <w:p w14:paraId="7762A2A3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18 (85.7%)</w:t>
            </w:r>
          </w:p>
        </w:tc>
        <w:tc>
          <w:tcPr>
            <w:tcW w:w="756" w:type="pct"/>
            <w:vAlign w:val="center"/>
            <w:hideMark/>
          </w:tcPr>
          <w:p w14:paraId="1E0651AF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58 (72.5%)</w:t>
            </w:r>
          </w:p>
        </w:tc>
        <w:tc>
          <w:tcPr>
            <w:tcW w:w="755" w:type="pct"/>
            <w:vAlign w:val="center"/>
          </w:tcPr>
          <w:p w14:paraId="737873D3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7C40C3A2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7920249E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 Peripapillary (%)</w:t>
            </w:r>
          </w:p>
        </w:tc>
        <w:tc>
          <w:tcPr>
            <w:tcW w:w="756" w:type="pct"/>
            <w:vAlign w:val="center"/>
            <w:hideMark/>
          </w:tcPr>
          <w:p w14:paraId="6129AB6C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22 (18.5%)</w:t>
            </w:r>
          </w:p>
        </w:tc>
        <w:tc>
          <w:tcPr>
            <w:tcW w:w="756" w:type="pct"/>
            <w:vAlign w:val="center"/>
            <w:hideMark/>
          </w:tcPr>
          <w:p w14:paraId="16A228F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7 (38.9%)</w:t>
            </w:r>
          </w:p>
        </w:tc>
        <w:tc>
          <w:tcPr>
            <w:tcW w:w="756" w:type="pct"/>
            <w:vAlign w:val="center"/>
            <w:hideMark/>
          </w:tcPr>
          <w:p w14:paraId="660AB105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3 (14.3%)</w:t>
            </w:r>
          </w:p>
        </w:tc>
        <w:tc>
          <w:tcPr>
            <w:tcW w:w="756" w:type="pct"/>
            <w:vAlign w:val="center"/>
            <w:hideMark/>
          </w:tcPr>
          <w:p w14:paraId="4336017B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12 (15.0%)</w:t>
            </w:r>
          </w:p>
        </w:tc>
        <w:tc>
          <w:tcPr>
            <w:tcW w:w="755" w:type="pct"/>
            <w:vAlign w:val="center"/>
          </w:tcPr>
          <w:p w14:paraId="09E39E68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05C82CB9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5B9E2578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 Other (%)</w:t>
            </w:r>
          </w:p>
        </w:tc>
        <w:tc>
          <w:tcPr>
            <w:tcW w:w="756" w:type="pct"/>
            <w:vAlign w:val="center"/>
            <w:hideMark/>
          </w:tcPr>
          <w:p w14:paraId="5D10641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11 (9.2%)</w:t>
            </w:r>
          </w:p>
        </w:tc>
        <w:tc>
          <w:tcPr>
            <w:tcW w:w="756" w:type="pct"/>
            <w:vAlign w:val="center"/>
            <w:hideMark/>
          </w:tcPr>
          <w:p w14:paraId="58DD2EC8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 (5.6%)</w:t>
            </w:r>
          </w:p>
        </w:tc>
        <w:tc>
          <w:tcPr>
            <w:tcW w:w="756" w:type="pct"/>
            <w:vAlign w:val="center"/>
            <w:hideMark/>
          </w:tcPr>
          <w:p w14:paraId="385899BB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0 (0%)</w:t>
            </w:r>
          </w:p>
        </w:tc>
        <w:tc>
          <w:tcPr>
            <w:tcW w:w="756" w:type="pct"/>
            <w:vAlign w:val="center"/>
            <w:hideMark/>
          </w:tcPr>
          <w:p w14:paraId="3A0E6410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10 (12.5%)</w:t>
            </w:r>
          </w:p>
        </w:tc>
        <w:tc>
          <w:tcPr>
            <w:tcW w:w="755" w:type="pct"/>
            <w:vAlign w:val="center"/>
          </w:tcPr>
          <w:p w14:paraId="55219E71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0F0DCB58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6B685640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VA</w:t>
            </w:r>
          </w:p>
        </w:tc>
        <w:tc>
          <w:tcPr>
            <w:tcW w:w="756" w:type="pct"/>
            <w:vAlign w:val="center"/>
            <w:hideMark/>
          </w:tcPr>
          <w:p w14:paraId="1CC1B310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0.395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± 0.434</w:t>
            </w:r>
          </w:p>
        </w:tc>
        <w:tc>
          <w:tcPr>
            <w:tcW w:w="756" w:type="pct"/>
            <w:vAlign w:val="center"/>
            <w:hideMark/>
          </w:tcPr>
          <w:p w14:paraId="4DFF302C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0.793</w:t>
            </w: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± 0.705</w:t>
            </w:r>
          </w:p>
        </w:tc>
        <w:tc>
          <w:tcPr>
            <w:tcW w:w="756" w:type="pct"/>
            <w:vAlign w:val="center"/>
            <w:hideMark/>
          </w:tcPr>
          <w:p w14:paraId="51E7ED23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0.366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 xml:space="preserve">± </w:t>
            </w: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0.244</w:t>
            </w:r>
          </w:p>
        </w:tc>
        <w:tc>
          <w:tcPr>
            <w:tcW w:w="756" w:type="pct"/>
            <w:vAlign w:val="center"/>
            <w:hideMark/>
          </w:tcPr>
          <w:p w14:paraId="498139CC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 xml:space="preserve">0.312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 xml:space="preserve">± </w:t>
            </w: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0.340</w:t>
            </w:r>
          </w:p>
        </w:tc>
        <w:tc>
          <w:tcPr>
            <w:tcW w:w="755" w:type="pct"/>
            <w:vAlign w:val="center"/>
            <w:hideMark/>
          </w:tcPr>
          <w:p w14:paraId="7D931807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0.008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b</w:t>
            </w:r>
          </w:p>
        </w:tc>
      </w:tr>
      <w:tr w:rsidR="001E11AC" w:rsidRPr="002133F6" w14:paraId="14C07377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1F3E99C1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Hard exudates (%)</w:t>
            </w:r>
          </w:p>
        </w:tc>
        <w:tc>
          <w:tcPr>
            <w:tcW w:w="756" w:type="pct"/>
            <w:vAlign w:val="center"/>
            <w:hideMark/>
          </w:tcPr>
          <w:p w14:paraId="3F9D5017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40 (33.6%)</w:t>
            </w:r>
          </w:p>
        </w:tc>
        <w:tc>
          <w:tcPr>
            <w:tcW w:w="756" w:type="pct"/>
            <w:vAlign w:val="center"/>
            <w:hideMark/>
          </w:tcPr>
          <w:p w14:paraId="11164711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10 (55.6%)</w:t>
            </w:r>
          </w:p>
        </w:tc>
        <w:tc>
          <w:tcPr>
            <w:tcW w:w="756" w:type="pct"/>
            <w:vAlign w:val="center"/>
            <w:hideMark/>
          </w:tcPr>
          <w:p w14:paraId="1EB1204F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3 (14.3%)</w:t>
            </w:r>
          </w:p>
        </w:tc>
        <w:tc>
          <w:tcPr>
            <w:tcW w:w="756" w:type="pct"/>
            <w:vAlign w:val="center"/>
            <w:hideMark/>
          </w:tcPr>
          <w:p w14:paraId="0C3134F8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27 (33.8%)</w:t>
            </w:r>
          </w:p>
        </w:tc>
        <w:tc>
          <w:tcPr>
            <w:tcW w:w="755" w:type="pct"/>
            <w:vAlign w:val="center"/>
            <w:hideMark/>
          </w:tcPr>
          <w:p w14:paraId="56C9BF65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0.03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757CA91B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361A53AE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Soft drusen (%)</w:t>
            </w:r>
          </w:p>
        </w:tc>
        <w:tc>
          <w:tcPr>
            <w:tcW w:w="756" w:type="pct"/>
            <w:vAlign w:val="center"/>
            <w:hideMark/>
          </w:tcPr>
          <w:p w14:paraId="2B08FD93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41 (34.5%)</w:t>
            </w:r>
          </w:p>
        </w:tc>
        <w:tc>
          <w:tcPr>
            <w:tcW w:w="756" w:type="pct"/>
            <w:vAlign w:val="center"/>
            <w:hideMark/>
          </w:tcPr>
          <w:p w14:paraId="12F4AF32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6 (33.3%)</w:t>
            </w:r>
          </w:p>
        </w:tc>
        <w:tc>
          <w:tcPr>
            <w:tcW w:w="756" w:type="pct"/>
            <w:vAlign w:val="center"/>
            <w:hideMark/>
          </w:tcPr>
          <w:p w14:paraId="4FF1CCE2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15 (71.4%)</w:t>
            </w:r>
          </w:p>
        </w:tc>
        <w:tc>
          <w:tcPr>
            <w:tcW w:w="756" w:type="pct"/>
            <w:vAlign w:val="center"/>
            <w:hideMark/>
          </w:tcPr>
          <w:p w14:paraId="0A4DCB07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20 (25.0%)</w:t>
            </w:r>
          </w:p>
        </w:tc>
        <w:tc>
          <w:tcPr>
            <w:tcW w:w="755" w:type="pct"/>
            <w:vAlign w:val="center"/>
            <w:hideMark/>
          </w:tcPr>
          <w:p w14:paraId="6572859C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0.005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424B1FAF" w14:textId="77777777" w:rsidTr="00211422">
        <w:trPr>
          <w:trHeight w:val="289"/>
        </w:trPr>
        <w:tc>
          <w:tcPr>
            <w:tcW w:w="1221" w:type="pct"/>
            <w:vAlign w:val="center"/>
          </w:tcPr>
          <w:p w14:paraId="4A705F2D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proofErr w:type="spellStart"/>
            <w:r w:rsidRPr="007620B8">
              <w:rPr>
                <w:rFonts w:ascii="Arial" w:eastAsia="游ゴシック" w:hAnsi="Arial" w:cs="Arial"/>
                <w:sz w:val="24"/>
                <w:szCs w:val="24"/>
              </w:rPr>
              <w:t>Pachydrusen</w:t>
            </w:r>
            <w:proofErr w:type="spellEnd"/>
            <w:r w:rsidRPr="007620B8">
              <w:rPr>
                <w:rFonts w:ascii="Arial" w:eastAsia="游ゴシック" w:hAnsi="Arial" w:cs="Arial"/>
                <w:sz w:val="24"/>
                <w:szCs w:val="24"/>
              </w:rPr>
              <w:t xml:space="preserve"> (%)</w:t>
            </w:r>
          </w:p>
        </w:tc>
        <w:tc>
          <w:tcPr>
            <w:tcW w:w="756" w:type="pct"/>
            <w:vAlign w:val="center"/>
          </w:tcPr>
          <w:p w14:paraId="5400309E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2655ED20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4976A24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673CDD87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14:paraId="250B6C6C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495FA456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570B5C1B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Subretinal hemorrhage (%)</w:t>
            </w:r>
          </w:p>
        </w:tc>
        <w:tc>
          <w:tcPr>
            <w:tcW w:w="756" w:type="pct"/>
            <w:vAlign w:val="center"/>
            <w:hideMark/>
          </w:tcPr>
          <w:p w14:paraId="69D96859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5</w:t>
            </w: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  <w:lang w:eastAsia="ja-JP"/>
              </w:rPr>
              <w:t>2</w:t>
            </w: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 (43.7%)</w:t>
            </w:r>
          </w:p>
        </w:tc>
        <w:tc>
          <w:tcPr>
            <w:tcW w:w="756" w:type="pct"/>
            <w:vAlign w:val="center"/>
            <w:hideMark/>
          </w:tcPr>
          <w:p w14:paraId="548517C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13 (72.0%)</w:t>
            </w:r>
          </w:p>
        </w:tc>
        <w:tc>
          <w:tcPr>
            <w:tcW w:w="756" w:type="pct"/>
            <w:vAlign w:val="center"/>
            <w:hideMark/>
          </w:tcPr>
          <w:p w14:paraId="10EE8B15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7 (33.3%)</w:t>
            </w:r>
          </w:p>
        </w:tc>
        <w:tc>
          <w:tcPr>
            <w:tcW w:w="756" w:type="pct"/>
            <w:vAlign w:val="center"/>
            <w:hideMark/>
          </w:tcPr>
          <w:p w14:paraId="2A5A7148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32 (40.0%)</w:t>
            </w:r>
          </w:p>
        </w:tc>
        <w:tc>
          <w:tcPr>
            <w:tcW w:w="755" w:type="pct"/>
            <w:vAlign w:val="center"/>
            <w:hideMark/>
          </w:tcPr>
          <w:p w14:paraId="6AB8AA06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0.03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781198F7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75305041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Intra retinal fluid (%)</w:t>
            </w:r>
          </w:p>
        </w:tc>
        <w:tc>
          <w:tcPr>
            <w:tcW w:w="756" w:type="pct"/>
            <w:vAlign w:val="center"/>
            <w:hideMark/>
          </w:tcPr>
          <w:p w14:paraId="5983C5B9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27 (22.7%)</w:t>
            </w:r>
          </w:p>
        </w:tc>
        <w:tc>
          <w:tcPr>
            <w:tcW w:w="756" w:type="pct"/>
            <w:vAlign w:val="center"/>
            <w:hideMark/>
          </w:tcPr>
          <w:p w14:paraId="2F452AA4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5 (27.8%)</w:t>
            </w:r>
          </w:p>
        </w:tc>
        <w:tc>
          <w:tcPr>
            <w:tcW w:w="756" w:type="pct"/>
            <w:vAlign w:val="center"/>
            <w:hideMark/>
          </w:tcPr>
          <w:p w14:paraId="0B81A6A7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10 (47.6%)</w:t>
            </w:r>
          </w:p>
        </w:tc>
        <w:tc>
          <w:tcPr>
            <w:tcW w:w="756" w:type="pct"/>
            <w:vAlign w:val="center"/>
            <w:hideMark/>
          </w:tcPr>
          <w:p w14:paraId="07E31CAE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12 (15.0%)</w:t>
            </w:r>
          </w:p>
        </w:tc>
        <w:tc>
          <w:tcPr>
            <w:tcW w:w="755" w:type="pct"/>
            <w:vAlign w:val="center"/>
            <w:hideMark/>
          </w:tcPr>
          <w:p w14:paraId="2ECFE1AE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0.006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7933A6E4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562623E1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highlight w:val="yellow"/>
              </w:rPr>
            </w:pPr>
            <w:proofErr w:type="spellStart"/>
            <w:r w:rsidRPr="007620B8">
              <w:rPr>
                <w:rFonts w:ascii="Arial" w:eastAsia="游ゴシック" w:hAnsi="Arial" w:cs="Arial"/>
                <w:sz w:val="22"/>
                <w:szCs w:val="22"/>
              </w:rPr>
              <w:t>Pachyvessels</w:t>
            </w:r>
            <w:proofErr w:type="spellEnd"/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(%)</w:t>
            </w:r>
          </w:p>
        </w:tc>
        <w:tc>
          <w:tcPr>
            <w:tcW w:w="756" w:type="pct"/>
            <w:vAlign w:val="center"/>
            <w:hideMark/>
          </w:tcPr>
          <w:p w14:paraId="103B5B2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67 (54.5%)</w:t>
            </w:r>
          </w:p>
        </w:tc>
        <w:tc>
          <w:tcPr>
            <w:tcW w:w="756" w:type="pct"/>
            <w:vAlign w:val="center"/>
            <w:hideMark/>
          </w:tcPr>
          <w:p w14:paraId="5025075D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11 (61.1%)</w:t>
            </w:r>
          </w:p>
        </w:tc>
        <w:tc>
          <w:tcPr>
            <w:tcW w:w="756" w:type="pct"/>
            <w:vAlign w:val="center"/>
            <w:hideMark/>
          </w:tcPr>
          <w:p w14:paraId="379861F6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6 (28.6%)</w:t>
            </w:r>
          </w:p>
        </w:tc>
        <w:tc>
          <w:tcPr>
            <w:tcW w:w="756" w:type="pct"/>
            <w:vAlign w:val="center"/>
            <w:hideMark/>
          </w:tcPr>
          <w:p w14:paraId="6BF2F8C6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50 (62.5%)</w:t>
            </w:r>
          </w:p>
        </w:tc>
        <w:tc>
          <w:tcPr>
            <w:tcW w:w="755" w:type="pct"/>
            <w:vAlign w:val="center"/>
            <w:hideMark/>
          </w:tcPr>
          <w:p w14:paraId="633EBF09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0.02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a</w:t>
            </w:r>
          </w:p>
        </w:tc>
      </w:tr>
      <w:tr w:rsidR="001E11AC" w:rsidRPr="002133F6" w14:paraId="6D4B4020" w14:textId="77777777" w:rsidTr="00211422">
        <w:trPr>
          <w:trHeight w:val="289"/>
        </w:trPr>
        <w:tc>
          <w:tcPr>
            <w:tcW w:w="1221" w:type="pct"/>
            <w:vAlign w:val="center"/>
          </w:tcPr>
          <w:p w14:paraId="4D9664E0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4"/>
                <w:szCs w:val="24"/>
              </w:rPr>
              <w:t>Double-layer sign</w:t>
            </w:r>
          </w:p>
        </w:tc>
        <w:tc>
          <w:tcPr>
            <w:tcW w:w="756" w:type="pct"/>
            <w:vAlign w:val="center"/>
          </w:tcPr>
          <w:p w14:paraId="1DA8BC85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6D54F74E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6FA065FE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7775A872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14:paraId="77CC2242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6802C37A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7AE7F918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highlight w:val="yellow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CFT (</w:t>
            </w: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756" w:type="pct"/>
            <w:vAlign w:val="center"/>
            <w:hideMark/>
          </w:tcPr>
          <w:p w14:paraId="304BF618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341 (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145)</w:t>
            </w:r>
          </w:p>
        </w:tc>
        <w:tc>
          <w:tcPr>
            <w:tcW w:w="756" w:type="pct"/>
            <w:vAlign w:val="center"/>
            <w:hideMark/>
          </w:tcPr>
          <w:p w14:paraId="6D2CD19B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372 (207)</w:t>
            </w:r>
          </w:p>
        </w:tc>
        <w:tc>
          <w:tcPr>
            <w:tcW w:w="756" w:type="pct"/>
            <w:vAlign w:val="center"/>
            <w:hideMark/>
          </w:tcPr>
          <w:p w14:paraId="6B720DCF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302 (161)</w:t>
            </w:r>
          </w:p>
        </w:tc>
        <w:tc>
          <w:tcPr>
            <w:tcW w:w="756" w:type="pct"/>
            <w:vAlign w:val="center"/>
            <w:hideMark/>
          </w:tcPr>
          <w:p w14:paraId="1188AAA0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 xml:space="preserve">336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(27)</w:t>
            </w:r>
          </w:p>
        </w:tc>
        <w:tc>
          <w:tcPr>
            <w:tcW w:w="755" w:type="pct"/>
            <w:vAlign w:val="center"/>
            <w:hideMark/>
          </w:tcPr>
          <w:p w14:paraId="4306694F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0.32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b</w:t>
            </w:r>
          </w:p>
        </w:tc>
      </w:tr>
      <w:tr w:rsidR="001E11AC" w:rsidRPr="002133F6" w14:paraId="53DC510A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4D121FF9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highlight w:val="yellow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SFCT (</w:t>
            </w: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756" w:type="pct"/>
            <w:vAlign w:val="center"/>
            <w:hideMark/>
          </w:tcPr>
          <w:p w14:paraId="4B616893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 xml:space="preserve">247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(100)</w:t>
            </w:r>
          </w:p>
        </w:tc>
        <w:tc>
          <w:tcPr>
            <w:tcW w:w="756" w:type="pct"/>
            <w:vAlign w:val="center"/>
            <w:hideMark/>
          </w:tcPr>
          <w:p w14:paraId="72F5B66D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 xml:space="preserve">275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(62)</w:t>
            </w:r>
          </w:p>
        </w:tc>
        <w:tc>
          <w:tcPr>
            <w:tcW w:w="756" w:type="pct"/>
            <w:vAlign w:val="center"/>
            <w:hideMark/>
          </w:tcPr>
          <w:p w14:paraId="57646A6F" w14:textId="77777777" w:rsidR="001E11AC" w:rsidRPr="002133F6" w:rsidRDefault="001E11AC" w:rsidP="00211422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 xml:space="preserve">211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(71)</w:t>
            </w:r>
          </w:p>
        </w:tc>
        <w:tc>
          <w:tcPr>
            <w:tcW w:w="756" w:type="pct"/>
            <w:vAlign w:val="center"/>
            <w:hideMark/>
          </w:tcPr>
          <w:p w14:paraId="42540176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 xml:space="preserve">247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(115)</w:t>
            </w:r>
          </w:p>
        </w:tc>
        <w:tc>
          <w:tcPr>
            <w:tcW w:w="755" w:type="pct"/>
            <w:vAlign w:val="center"/>
            <w:hideMark/>
          </w:tcPr>
          <w:p w14:paraId="2BC8DD3E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0.11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b</w:t>
            </w:r>
          </w:p>
        </w:tc>
      </w:tr>
      <w:tr w:rsidR="001E11AC" w:rsidRPr="002133F6" w14:paraId="652ECC46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461DCB58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Fellow eye </w:t>
            </w:r>
          </w:p>
        </w:tc>
        <w:tc>
          <w:tcPr>
            <w:tcW w:w="756" w:type="pct"/>
            <w:vAlign w:val="center"/>
          </w:tcPr>
          <w:p w14:paraId="000EB93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4FE499C5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0FEC0126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6" w:type="pct"/>
            <w:vAlign w:val="center"/>
          </w:tcPr>
          <w:p w14:paraId="6BF4C31A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14:paraId="27EDB468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2807E06F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4F5F991B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 </w:t>
            </w:r>
            <w:proofErr w:type="spellStart"/>
            <w:r w:rsidRPr="007620B8">
              <w:rPr>
                <w:rFonts w:ascii="Arial" w:eastAsia="游ゴシック" w:hAnsi="Arial" w:cs="Arial"/>
                <w:sz w:val="22"/>
                <w:szCs w:val="22"/>
              </w:rPr>
              <w:t>Pachychoroid</w:t>
            </w:r>
            <w:proofErr w:type="spellEnd"/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disease (%)</w:t>
            </w:r>
          </w:p>
        </w:tc>
        <w:tc>
          <w:tcPr>
            <w:tcW w:w="756" w:type="pct"/>
            <w:vAlign w:val="center"/>
            <w:hideMark/>
          </w:tcPr>
          <w:p w14:paraId="21818E6E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26 (21.8%)</w:t>
            </w:r>
          </w:p>
        </w:tc>
        <w:tc>
          <w:tcPr>
            <w:tcW w:w="756" w:type="pct"/>
            <w:vAlign w:val="center"/>
            <w:hideMark/>
          </w:tcPr>
          <w:p w14:paraId="0241E1D7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4 (22.2%)</w:t>
            </w:r>
          </w:p>
        </w:tc>
        <w:tc>
          <w:tcPr>
            <w:tcW w:w="756" w:type="pct"/>
            <w:vAlign w:val="center"/>
            <w:hideMark/>
          </w:tcPr>
          <w:p w14:paraId="34819A59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4 (19.0%)</w:t>
            </w:r>
          </w:p>
        </w:tc>
        <w:tc>
          <w:tcPr>
            <w:tcW w:w="756" w:type="pct"/>
            <w:vAlign w:val="center"/>
            <w:hideMark/>
          </w:tcPr>
          <w:p w14:paraId="6B0B065F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18 (22.5%)</w:t>
            </w:r>
          </w:p>
        </w:tc>
        <w:tc>
          <w:tcPr>
            <w:tcW w:w="755" w:type="pct"/>
            <w:vAlign w:val="center"/>
          </w:tcPr>
          <w:p w14:paraId="21006AA4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49BF7D4E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5139C768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 AMD (%)</w:t>
            </w:r>
          </w:p>
        </w:tc>
        <w:tc>
          <w:tcPr>
            <w:tcW w:w="756" w:type="pct"/>
            <w:vAlign w:val="center"/>
            <w:hideMark/>
          </w:tcPr>
          <w:p w14:paraId="30A3CCC1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15 (12.6%)</w:t>
            </w:r>
          </w:p>
        </w:tc>
        <w:tc>
          <w:tcPr>
            <w:tcW w:w="756" w:type="pct"/>
            <w:vAlign w:val="center"/>
            <w:hideMark/>
          </w:tcPr>
          <w:p w14:paraId="16F2D824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1 (5.6%)</w:t>
            </w:r>
          </w:p>
        </w:tc>
        <w:tc>
          <w:tcPr>
            <w:tcW w:w="756" w:type="pct"/>
            <w:vAlign w:val="center"/>
            <w:hideMark/>
          </w:tcPr>
          <w:p w14:paraId="7D5A9040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6 (28.6%)</w:t>
            </w:r>
          </w:p>
        </w:tc>
        <w:tc>
          <w:tcPr>
            <w:tcW w:w="756" w:type="pct"/>
            <w:vAlign w:val="center"/>
            <w:hideMark/>
          </w:tcPr>
          <w:p w14:paraId="165CE9C7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  <w:t>8 (10.0%)</w:t>
            </w:r>
          </w:p>
        </w:tc>
        <w:tc>
          <w:tcPr>
            <w:tcW w:w="755" w:type="pct"/>
            <w:vAlign w:val="center"/>
          </w:tcPr>
          <w:p w14:paraId="05813AF5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</w:p>
        </w:tc>
      </w:tr>
      <w:tr w:rsidR="001E11AC" w:rsidRPr="002133F6" w14:paraId="283EA686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5236EAEF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CFT (Fellow eye) (</w:t>
            </w: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756" w:type="pct"/>
            <w:vAlign w:val="center"/>
            <w:hideMark/>
          </w:tcPr>
          <w:p w14:paraId="1FDFA53F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lang w:eastAsia="ja-JP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>200 (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52)</w:t>
            </w:r>
          </w:p>
        </w:tc>
        <w:tc>
          <w:tcPr>
            <w:tcW w:w="756" w:type="pct"/>
            <w:vAlign w:val="center"/>
            <w:hideMark/>
          </w:tcPr>
          <w:p w14:paraId="61D3343B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198 (57)</w:t>
            </w:r>
          </w:p>
        </w:tc>
        <w:tc>
          <w:tcPr>
            <w:tcW w:w="756" w:type="pct"/>
            <w:vAlign w:val="center"/>
            <w:hideMark/>
          </w:tcPr>
          <w:p w14:paraId="7E87AD2C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203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(50)</w:t>
            </w:r>
          </w:p>
        </w:tc>
        <w:tc>
          <w:tcPr>
            <w:tcW w:w="756" w:type="pct"/>
            <w:vAlign w:val="center"/>
            <w:hideMark/>
          </w:tcPr>
          <w:p w14:paraId="360B66D9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 xml:space="preserve">200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(57)</w:t>
            </w:r>
          </w:p>
        </w:tc>
        <w:tc>
          <w:tcPr>
            <w:tcW w:w="755" w:type="pct"/>
            <w:vAlign w:val="center"/>
            <w:hideMark/>
          </w:tcPr>
          <w:p w14:paraId="6E756207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0.93</w:t>
            </w:r>
          </w:p>
        </w:tc>
      </w:tr>
      <w:tr w:rsidR="001E11AC" w:rsidRPr="002133F6" w14:paraId="11D9C54F" w14:textId="77777777" w:rsidTr="00211422">
        <w:trPr>
          <w:trHeight w:val="289"/>
        </w:trPr>
        <w:tc>
          <w:tcPr>
            <w:tcW w:w="1221" w:type="pct"/>
            <w:vAlign w:val="center"/>
            <w:hideMark/>
          </w:tcPr>
          <w:p w14:paraId="06871F73" w14:textId="77777777" w:rsidR="001E11AC" w:rsidRPr="002133F6" w:rsidRDefault="001E11AC" w:rsidP="00211422">
            <w:pPr>
              <w:widowControl/>
              <w:jc w:val="left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SFCT (Fellow eye) (</w:t>
            </w: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756" w:type="pct"/>
            <w:vAlign w:val="center"/>
            <w:hideMark/>
          </w:tcPr>
          <w:p w14:paraId="08CE3E2C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lang w:eastAsia="ja-JP"/>
              </w:rPr>
            </w:pPr>
            <w:r w:rsidRPr="002133F6"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  <w:lang w:eastAsia="ja-JP"/>
              </w:rPr>
              <w:t>223</w:t>
            </w: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(86)</w:t>
            </w:r>
          </w:p>
        </w:tc>
        <w:tc>
          <w:tcPr>
            <w:tcW w:w="756" w:type="pct"/>
            <w:vAlign w:val="center"/>
            <w:hideMark/>
          </w:tcPr>
          <w:p w14:paraId="6B33C4B8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sz w:val="22"/>
                <w:szCs w:val="22"/>
              </w:rPr>
            </w:pP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213 (65)</w:t>
            </w:r>
          </w:p>
        </w:tc>
        <w:tc>
          <w:tcPr>
            <w:tcW w:w="756" w:type="pct"/>
            <w:vAlign w:val="center"/>
            <w:hideMark/>
          </w:tcPr>
          <w:p w14:paraId="3C0EC386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游ゴシック" w:hAnsi="Arial" w:cs="Arial"/>
                <w:color w:val="auto"/>
                <w:sz w:val="22"/>
                <w:szCs w:val="22"/>
              </w:rPr>
              <w:t xml:space="preserve">183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(70)</w:t>
            </w:r>
          </w:p>
        </w:tc>
        <w:tc>
          <w:tcPr>
            <w:tcW w:w="756" w:type="pct"/>
            <w:vAlign w:val="center"/>
            <w:hideMark/>
          </w:tcPr>
          <w:p w14:paraId="1D6FCF1D" w14:textId="77777777" w:rsidR="001E11AC" w:rsidRPr="002133F6" w:rsidRDefault="001E11AC" w:rsidP="00211422">
            <w:pPr>
              <w:jc w:val="center"/>
              <w:rPr>
                <w:rFonts w:ascii="Arial" w:eastAsia="游ゴシック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 xml:space="preserve">237 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</w:rPr>
              <w:t>(91)</w:t>
            </w:r>
          </w:p>
        </w:tc>
        <w:tc>
          <w:tcPr>
            <w:tcW w:w="755" w:type="pct"/>
            <w:vAlign w:val="center"/>
            <w:hideMark/>
          </w:tcPr>
          <w:p w14:paraId="6569406F" w14:textId="77777777" w:rsidR="001E11AC" w:rsidRPr="002133F6" w:rsidRDefault="001E11AC" w:rsidP="00211422">
            <w:pPr>
              <w:jc w:val="center"/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</w:pPr>
            <w:r w:rsidRPr="002133F6">
              <w:rPr>
                <w:rFonts w:ascii="Arial" w:eastAsia="STIXGeneral-Regular" w:hAnsi="Arial" w:cs="Arial"/>
                <w:color w:val="auto"/>
                <w:kern w:val="0"/>
                <w:sz w:val="22"/>
                <w:szCs w:val="22"/>
              </w:rPr>
              <w:t>0.05</w:t>
            </w:r>
            <w:r w:rsidRPr="002133F6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 xml:space="preserve"> b</w:t>
            </w:r>
          </w:p>
        </w:tc>
      </w:tr>
    </w:tbl>
    <w:p w14:paraId="6A731926" w14:textId="77777777" w:rsidR="001E11AC" w:rsidRPr="00DF75A4" w:rsidRDefault="001E11AC" w:rsidP="001E11AC">
      <w:pPr>
        <w:spacing w:line="480" w:lineRule="auto"/>
        <w:jc w:val="left"/>
        <w:rPr>
          <w:rFonts w:ascii="Arial" w:eastAsia="MinionPro-Regular" w:hAnsi="Arial" w:cs="Arial"/>
          <w:kern w:val="0"/>
          <w:sz w:val="24"/>
          <w:szCs w:val="24"/>
        </w:rPr>
      </w:pPr>
      <w:r w:rsidRPr="00DF75A4">
        <w:rPr>
          <w:rFonts w:ascii="Arial" w:hAnsi="Arial" w:cs="Arial"/>
          <w:sz w:val="24"/>
          <w:szCs w:val="24"/>
          <w:vertAlign w:val="superscript"/>
        </w:rPr>
        <w:t>a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>Kruskal-</w:t>
      </w:r>
      <w:proofErr w:type="gramStart"/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>Wallis</w:t>
      </w:r>
      <w:proofErr w:type="gramEnd"/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 xml:space="preserve"> test</w:t>
      </w:r>
      <w:r w:rsidRPr="00DF75A4">
        <w:rPr>
          <w:rFonts w:ascii="Arial" w:hAnsi="Arial" w:cs="Arial"/>
          <w:sz w:val="24"/>
          <w:szCs w:val="24"/>
        </w:rPr>
        <w:t xml:space="preserve"> and </w:t>
      </w:r>
      <w:r w:rsidRPr="00DF75A4">
        <w:rPr>
          <w:rFonts w:ascii="Arial" w:hAnsi="Arial" w:cs="Arial"/>
          <w:sz w:val="24"/>
          <w:szCs w:val="24"/>
          <w:vertAlign w:val="superscript"/>
        </w:rPr>
        <w:t>b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F75A4">
        <w:rPr>
          <w:rFonts w:ascii="Arial" w:hAnsi="Arial" w:cs="Arial"/>
          <w:kern w:val="0"/>
          <w:sz w:val="24"/>
          <w:szCs w:val="24"/>
        </w:rPr>
        <w:t>Fisher’s exact test</w:t>
      </w:r>
      <w:r w:rsidRPr="00DF75A4">
        <w:rPr>
          <w:rFonts w:ascii="Arial" w:hAnsi="Arial" w:cs="Arial"/>
          <w:sz w:val="24"/>
          <w:szCs w:val="24"/>
        </w:rPr>
        <w:t xml:space="preserve"> were used to calculate p values. </w:t>
      </w:r>
      <w:r w:rsidRPr="00DF75A4">
        <w:rPr>
          <w:rFonts w:ascii="Arial" w:eastAsia="STIXGeneral-Regular" w:hAnsi="Arial" w:cs="Arial"/>
          <w:kern w:val="0"/>
          <w:sz w:val="24"/>
          <w:szCs w:val="24"/>
        </w:rPr>
        <w:t>*</w:t>
      </w:r>
      <w:r w:rsidRPr="00DF75A4">
        <w:rPr>
          <w:rFonts w:ascii="Arial" w:eastAsia="MinionPro-Regular" w:hAnsi="Arial" w:cs="Arial"/>
          <w:kern w:val="0"/>
          <w:sz w:val="24"/>
          <w:szCs w:val="24"/>
        </w:rPr>
        <w:t xml:space="preserve">Significant at P </w:t>
      </w:r>
      <w:r w:rsidRPr="00DF75A4">
        <w:rPr>
          <w:rFonts w:ascii="Arial" w:eastAsia="EuclidSymbol" w:hAnsi="Arial" w:cs="Arial"/>
          <w:kern w:val="0"/>
          <w:sz w:val="24"/>
          <w:szCs w:val="24"/>
        </w:rPr>
        <w:t xml:space="preserve">&lt; </w:t>
      </w:r>
      <w:r w:rsidRPr="00DF75A4">
        <w:rPr>
          <w:rFonts w:ascii="Arial" w:eastAsia="MinionPro-Regular" w:hAnsi="Arial" w:cs="Arial"/>
          <w:kern w:val="0"/>
          <w:sz w:val="24"/>
          <w:szCs w:val="24"/>
        </w:rPr>
        <w:t>0.05.</w:t>
      </w:r>
    </w:p>
    <w:p w14:paraId="5C98C283" w14:textId="77777777" w:rsidR="001E11AC" w:rsidRPr="0024236D" w:rsidRDefault="001E11AC" w:rsidP="001E11AC">
      <w:r w:rsidRPr="000025CD">
        <w:rPr>
          <w:rFonts w:ascii="Arial" w:hAnsi="Arial" w:cs="Arial"/>
          <w:color w:val="auto"/>
          <w:sz w:val="24"/>
          <w:szCs w:val="24"/>
        </w:rPr>
        <w:t>Abbreviations: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965A67">
        <w:rPr>
          <w:rStyle w:val="a7"/>
          <w:rFonts w:ascii="Arial" w:hAnsi="Arial" w:cs="Arial"/>
          <w:i w:val="0"/>
          <w:iCs w:val="0"/>
          <w:sz w:val="22"/>
        </w:rPr>
        <w:t>VA, visual acuity</w:t>
      </w:r>
      <w:r w:rsidRPr="007620B8">
        <w:rPr>
          <w:rStyle w:val="a7"/>
          <w:rFonts w:ascii="Arial" w:hAnsi="Arial" w:cs="Arial"/>
          <w:sz w:val="22"/>
        </w:rPr>
        <w:t xml:space="preserve">; </w:t>
      </w:r>
      <w:r w:rsidRPr="007620B8">
        <w:rPr>
          <w:rFonts w:ascii="Arial" w:hAnsi="Arial" w:cs="Arial"/>
          <w:sz w:val="22"/>
        </w:rPr>
        <w:t xml:space="preserve">CFT, central foveal thickness; SFCT, </w:t>
      </w:r>
      <w:proofErr w:type="spellStart"/>
      <w:r w:rsidRPr="007620B8">
        <w:rPr>
          <w:rFonts w:ascii="Arial" w:hAnsi="Arial" w:cs="Arial"/>
          <w:sz w:val="22"/>
        </w:rPr>
        <w:t>subfoveal</w:t>
      </w:r>
      <w:proofErr w:type="spellEnd"/>
      <w:r w:rsidRPr="007620B8">
        <w:rPr>
          <w:rFonts w:ascii="Arial" w:hAnsi="Arial" w:cs="Arial"/>
          <w:sz w:val="22"/>
        </w:rPr>
        <w:t xml:space="preserve"> choroidal thickness; AMD, age-related macular degeneration.</w:t>
      </w:r>
    </w:p>
    <w:p w14:paraId="5A2F5645" w14:textId="2447738A" w:rsidR="00390358" w:rsidRPr="001E11AC" w:rsidRDefault="00390358" w:rsidP="001E11AC"/>
    <w:sectPr w:rsidR="00390358" w:rsidRPr="001E11AC" w:rsidSect="00321A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F030C" w14:textId="77777777" w:rsidR="00EB0AF7" w:rsidRDefault="00EB0AF7" w:rsidP="00AF76C6">
      <w:r>
        <w:separator/>
      </w:r>
    </w:p>
  </w:endnote>
  <w:endnote w:type="continuationSeparator" w:id="0">
    <w:p w14:paraId="52351F24" w14:textId="77777777" w:rsidR="00EB0AF7" w:rsidRDefault="00EB0AF7" w:rsidP="00AF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TIXGeneral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EuclidSymbol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4733" w14:textId="77777777" w:rsidR="00EB0AF7" w:rsidRDefault="00EB0AF7" w:rsidP="00AF76C6">
      <w:r>
        <w:separator/>
      </w:r>
    </w:p>
  </w:footnote>
  <w:footnote w:type="continuationSeparator" w:id="0">
    <w:p w14:paraId="2333944F" w14:textId="77777777" w:rsidR="00EB0AF7" w:rsidRDefault="00EB0AF7" w:rsidP="00AF7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yMDG3MLQ0N7E0MDJT0lEKTi0uzszPAykwNKoFAON3u00tAAAA"/>
  </w:docVars>
  <w:rsids>
    <w:rsidRoot w:val="000C51E4"/>
    <w:rsid w:val="000767DD"/>
    <w:rsid w:val="000C51E4"/>
    <w:rsid w:val="00130815"/>
    <w:rsid w:val="001308A6"/>
    <w:rsid w:val="001E11AC"/>
    <w:rsid w:val="00224954"/>
    <w:rsid w:val="0024236D"/>
    <w:rsid w:val="00321AA7"/>
    <w:rsid w:val="00340ADF"/>
    <w:rsid w:val="00381987"/>
    <w:rsid w:val="00390358"/>
    <w:rsid w:val="004741FF"/>
    <w:rsid w:val="004C7CE7"/>
    <w:rsid w:val="00581F23"/>
    <w:rsid w:val="00681A00"/>
    <w:rsid w:val="00694526"/>
    <w:rsid w:val="0072366D"/>
    <w:rsid w:val="00743C4F"/>
    <w:rsid w:val="00767B98"/>
    <w:rsid w:val="00933342"/>
    <w:rsid w:val="009A0324"/>
    <w:rsid w:val="009F310F"/>
    <w:rsid w:val="00A41BE4"/>
    <w:rsid w:val="00AF76C6"/>
    <w:rsid w:val="00B37F2D"/>
    <w:rsid w:val="00BF6987"/>
    <w:rsid w:val="00C15BC4"/>
    <w:rsid w:val="00C20C65"/>
    <w:rsid w:val="00CC2697"/>
    <w:rsid w:val="00E96E93"/>
    <w:rsid w:val="00EB0AF7"/>
    <w:rsid w:val="00EF15A1"/>
    <w:rsid w:val="00F0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C3BAD"/>
  <w15:chartTrackingRefBased/>
  <w15:docId w15:val="{14E6A2CD-DE0E-4D8E-ACCC-3FF3DDA3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C6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Century" w:eastAsia="Century" w:hAnsi="Century" w:cs="Century"/>
      <w:color w:val="000000"/>
      <w:szCs w:val="21"/>
      <w:u w:color="000000"/>
      <w:bdr w:val="nil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F7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4">
    <w:name w:val="ヘッダー (文字)"/>
    <w:basedOn w:val="a0"/>
    <w:link w:val="a3"/>
    <w:uiPriority w:val="99"/>
    <w:rsid w:val="00AF76C6"/>
  </w:style>
  <w:style w:type="paragraph" w:styleId="a5">
    <w:name w:val="footer"/>
    <w:basedOn w:val="a"/>
    <w:link w:val="a6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6">
    <w:name w:val="フッター (文字)"/>
    <w:basedOn w:val="a0"/>
    <w:link w:val="a5"/>
    <w:uiPriority w:val="99"/>
    <w:rsid w:val="00AF76C6"/>
  </w:style>
  <w:style w:type="character" w:customStyle="1" w:styleId="10">
    <w:name w:val="見出し 1 (文字)"/>
    <w:basedOn w:val="a0"/>
    <w:link w:val="1"/>
    <w:uiPriority w:val="9"/>
    <w:rsid w:val="00AF76C6"/>
    <w:rPr>
      <w:rFonts w:asciiTheme="majorHAnsi" w:eastAsiaTheme="majorEastAsia" w:hAnsiTheme="majorHAnsi" w:cstheme="majorBidi"/>
      <w:color w:val="000000"/>
      <w:sz w:val="24"/>
      <w:szCs w:val="24"/>
      <w:u w:color="000000"/>
      <w:bdr w:val="nil"/>
      <w:lang w:eastAsia="en-US"/>
    </w:rPr>
  </w:style>
  <w:style w:type="character" w:styleId="a7">
    <w:name w:val="Emphasis"/>
    <w:basedOn w:val="a0"/>
    <w:uiPriority w:val="20"/>
    <w:qFormat/>
    <w:rsid w:val="00AF76C6"/>
    <w:rPr>
      <w:i/>
      <w:iCs/>
    </w:rPr>
  </w:style>
  <w:style w:type="paragraph" w:styleId="a8">
    <w:name w:val="No Spacing"/>
    <w:uiPriority w:val="1"/>
    <w:qFormat/>
    <w:rsid w:val="0024236D"/>
    <w:pPr>
      <w:widowControl w:val="0"/>
      <w:jc w:val="both"/>
    </w:pPr>
    <w:rPr>
      <w:rFonts w:ascii="Century" w:eastAsia="ＭＳ 明朝" w:hAnsi="Century" w:cs="Times New Roman"/>
    </w:rPr>
  </w:style>
  <w:style w:type="character" w:styleId="a9">
    <w:name w:val="annotation reference"/>
    <w:basedOn w:val="a0"/>
    <w:uiPriority w:val="99"/>
    <w:semiHidden/>
    <w:unhideWhenUsed/>
    <w:rsid w:val="0024236D"/>
    <w:rPr>
      <w:sz w:val="18"/>
      <w:szCs w:val="18"/>
    </w:rPr>
  </w:style>
  <w:style w:type="table" w:styleId="aa">
    <w:name w:val="Table Grid"/>
    <w:basedOn w:val="a1"/>
    <w:uiPriority w:val="39"/>
    <w:rsid w:val="0024236D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</dc:creator>
  <cp:keywords/>
  <dc:description/>
  <cp:lastModifiedBy>福山尚</cp:lastModifiedBy>
  <cp:revision>9</cp:revision>
  <dcterms:created xsi:type="dcterms:W3CDTF">2023-02-12T22:17:00Z</dcterms:created>
  <dcterms:modified xsi:type="dcterms:W3CDTF">2023-02-22T20:57:00Z</dcterms:modified>
</cp:coreProperties>
</file>