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E5828" w14:textId="0E61F453" w:rsidR="00573A25" w:rsidRPr="00BD7D28" w:rsidRDefault="000930F6" w:rsidP="00573A25">
      <w:pPr>
        <w:pStyle w:val="BodyText"/>
        <w:rPr>
          <w:rFonts w:eastAsiaTheme="minorHAnsi"/>
          <w:b/>
          <w:bCs/>
        </w:rPr>
      </w:pPr>
      <w:r w:rsidRPr="00BD7D28">
        <w:rPr>
          <w:rFonts w:eastAsiaTheme="minorHAnsi"/>
          <w:b/>
          <w:bCs/>
        </w:rPr>
        <w:t>Additional file 1</w:t>
      </w:r>
    </w:p>
    <w:p w14:paraId="2EA8AF7A" w14:textId="77777777" w:rsidR="00573A25" w:rsidRPr="00BD7D28" w:rsidRDefault="00573A25" w:rsidP="00573A25">
      <w:pPr>
        <w:pStyle w:val="BodyText"/>
        <w:rPr>
          <w:rFonts w:eastAsiaTheme="minorHAnsi"/>
          <w:b/>
          <w:bCs/>
          <w:sz w:val="22"/>
        </w:rPr>
      </w:pPr>
    </w:p>
    <w:p w14:paraId="1860B6F6" w14:textId="77777777" w:rsidR="00573A25" w:rsidRPr="00BD7D28" w:rsidRDefault="00573A25" w:rsidP="00573A25">
      <w:pPr>
        <w:rPr>
          <w:rFonts w:ascii="Arial" w:hAnsi="Arial" w:cs="Arial"/>
          <w:b/>
          <w:bCs/>
        </w:rPr>
      </w:pPr>
      <w:r w:rsidRPr="00BD7D28">
        <w:rPr>
          <w:rFonts w:ascii="Arial" w:hAnsi="Arial" w:cs="Arial"/>
          <w:b/>
        </w:rPr>
        <w:t>Expert consensus on the management of systemic sclerosis-associated interstitial lung disease</w:t>
      </w:r>
    </w:p>
    <w:p w14:paraId="5157B476" w14:textId="77777777" w:rsidR="00573A25" w:rsidRPr="00BD7D28" w:rsidRDefault="00573A25" w:rsidP="00573A25">
      <w:pPr>
        <w:rPr>
          <w:rFonts w:ascii="Arial" w:hAnsi="Arial" w:cs="Arial"/>
          <w:sz w:val="22"/>
        </w:rPr>
      </w:pPr>
      <w:r w:rsidRPr="00BD7D28">
        <w:rPr>
          <w:rFonts w:ascii="Arial" w:hAnsi="Arial" w:cs="Arial"/>
          <w:sz w:val="22"/>
        </w:rPr>
        <w:t xml:space="preserve">Franck F. Rahaghi, Vivien M. Hsu, Robert J. Kaner, Maureen D. Mayes, Ivan O. Rosas, Rajan Saggar, Richard M. Silver, Virginia D. Steen, Mary E. Strek, Elana J. Bernstein, Nitin Bhatt, </w:t>
      </w:r>
    </w:p>
    <w:p w14:paraId="2CB2FC71" w14:textId="77777777" w:rsidR="00573A25" w:rsidRPr="00BD7D28" w:rsidRDefault="00573A25" w:rsidP="00573A25">
      <w:pPr>
        <w:rPr>
          <w:rFonts w:ascii="Arial" w:hAnsi="Arial" w:cs="Arial"/>
          <w:sz w:val="22"/>
        </w:rPr>
      </w:pPr>
      <w:r w:rsidRPr="00BD7D28">
        <w:rPr>
          <w:rFonts w:ascii="Arial" w:hAnsi="Arial" w:cs="Arial"/>
          <w:sz w:val="22"/>
        </w:rPr>
        <w:t xml:space="preserve">Flavia V. Castelino, Lorinda Chung, Robyn T. </w:t>
      </w:r>
      <w:proofErr w:type="spellStart"/>
      <w:r w:rsidRPr="00BD7D28">
        <w:rPr>
          <w:rFonts w:ascii="Arial" w:hAnsi="Arial" w:cs="Arial"/>
          <w:sz w:val="22"/>
        </w:rPr>
        <w:t>Domsic</w:t>
      </w:r>
      <w:proofErr w:type="spellEnd"/>
      <w:r w:rsidRPr="00BD7D28">
        <w:rPr>
          <w:rFonts w:ascii="Arial" w:hAnsi="Arial" w:cs="Arial"/>
          <w:sz w:val="22"/>
        </w:rPr>
        <w:t xml:space="preserve">, Kevin R. Flaherty, Nishant Gupta, </w:t>
      </w:r>
    </w:p>
    <w:p w14:paraId="698B5244" w14:textId="19348613" w:rsidR="000930F6" w:rsidRPr="00BD7D28" w:rsidRDefault="00573A25" w:rsidP="00573A25">
      <w:pPr>
        <w:rPr>
          <w:rFonts w:ascii="Arial" w:hAnsi="Arial" w:cs="Arial"/>
          <w:sz w:val="22"/>
        </w:rPr>
      </w:pPr>
      <w:r w:rsidRPr="00BD7D28">
        <w:rPr>
          <w:rFonts w:ascii="Arial" w:hAnsi="Arial" w:cs="Arial"/>
          <w:sz w:val="22"/>
        </w:rPr>
        <w:t xml:space="preserve">Bashar </w:t>
      </w:r>
      <w:proofErr w:type="spellStart"/>
      <w:r w:rsidRPr="00BD7D28">
        <w:rPr>
          <w:rFonts w:ascii="Arial" w:hAnsi="Arial" w:cs="Arial"/>
          <w:sz w:val="22"/>
        </w:rPr>
        <w:t>Kahaleh</w:t>
      </w:r>
      <w:proofErr w:type="spellEnd"/>
      <w:r w:rsidRPr="00BD7D28">
        <w:rPr>
          <w:rFonts w:ascii="Arial" w:hAnsi="Arial" w:cs="Arial"/>
          <w:sz w:val="22"/>
        </w:rPr>
        <w:t xml:space="preserve">, Fernando J. Martinez, Lee E. Morrow, Teng </w:t>
      </w:r>
      <w:proofErr w:type="spellStart"/>
      <w:r w:rsidRPr="00BD7D28">
        <w:rPr>
          <w:rFonts w:ascii="Arial" w:hAnsi="Arial" w:cs="Arial"/>
          <w:sz w:val="22"/>
        </w:rPr>
        <w:t>Moua</w:t>
      </w:r>
      <w:proofErr w:type="spellEnd"/>
      <w:r w:rsidRPr="00BD7D28">
        <w:rPr>
          <w:rFonts w:ascii="Arial" w:hAnsi="Arial" w:cs="Arial"/>
          <w:sz w:val="22"/>
        </w:rPr>
        <w:t>, Nina Patel, Oksana A. Shlobin, Brian D. Southern, Elizabeth R. Volkmann, Dinesh Khanna</w:t>
      </w:r>
    </w:p>
    <w:p w14:paraId="0F0843D3" w14:textId="77777777" w:rsidR="000930F6" w:rsidRPr="00BD7D28" w:rsidRDefault="000930F6">
      <w:pPr>
        <w:spacing w:after="160" w:line="259" w:lineRule="auto"/>
        <w:rPr>
          <w:rFonts w:ascii="Arial" w:hAnsi="Arial" w:cs="Arial"/>
          <w:sz w:val="22"/>
        </w:rPr>
      </w:pPr>
      <w:r w:rsidRPr="00BD7D28">
        <w:rPr>
          <w:rFonts w:ascii="Arial" w:hAnsi="Arial" w:cs="Arial"/>
          <w:sz w:val="22"/>
        </w:rPr>
        <w:br w:type="page"/>
      </w:r>
    </w:p>
    <w:p w14:paraId="48620DB7" w14:textId="579650E0" w:rsidR="00573A25" w:rsidRPr="00BD7D28" w:rsidRDefault="00573A25" w:rsidP="00573A25">
      <w:pPr>
        <w:rPr>
          <w:rFonts w:ascii="Arial" w:hAnsi="Arial" w:cs="Arial"/>
          <w:b/>
          <w:bCs/>
          <w:sz w:val="22"/>
        </w:rPr>
      </w:pPr>
      <w:r w:rsidRPr="00BD7D28">
        <w:rPr>
          <w:rFonts w:ascii="Arial" w:hAnsi="Arial" w:cs="Arial"/>
          <w:b/>
          <w:bCs/>
          <w:sz w:val="22"/>
        </w:rPr>
        <w:t xml:space="preserve">Table </w:t>
      </w:r>
      <w:r w:rsidR="00D70CCC">
        <w:rPr>
          <w:rFonts w:ascii="Arial" w:hAnsi="Arial" w:cs="Arial"/>
          <w:b/>
          <w:bCs/>
          <w:sz w:val="22"/>
        </w:rPr>
        <w:t>S</w:t>
      </w:r>
      <w:r w:rsidRPr="00BD7D28">
        <w:rPr>
          <w:rFonts w:ascii="Arial" w:hAnsi="Arial" w:cs="Arial"/>
          <w:b/>
          <w:bCs/>
          <w:sz w:val="22"/>
        </w:rPr>
        <w:t>1. SSc-ILD Delphi Questionnaire 3 results</w:t>
      </w:r>
    </w:p>
    <w:p w14:paraId="74B50CF4" w14:textId="4FD7F69F" w:rsidR="00573A25" w:rsidRPr="00BD7D28" w:rsidRDefault="00573A25" w:rsidP="00573A25">
      <w:pPr>
        <w:rPr>
          <w:rFonts w:ascii="Arial" w:hAnsi="Arial" w:cs="Arial"/>
          <w:sz w:val="22"/>
        </w:rPr>
      </w:pPr>
      <w:r w:rsidRPr="00BD7D28">
        <w:rPr>
          <w:rFonts w:ascii="Arial" w:hAnsi="Arial" w:cs="Arial"/>
          <w:sz w:val="22"/>
        </w:rPr>
        <w:t xml:space="preserve">This table contains the questions from Questionnaire 3, the mean and </w:t>
      </w:r>
      <w:r w:rsidR="000930F6" w:rsidRPr="00BD7D28">
        <w:rPr>
          <w:rFonts w:ascii="Arial" w:hAnsi="Arial" w:cs="Arial"/>
          <w:sz w:val="22"/>
        </w:rPr>
        <w:t>SD</w:t>
      </w:r>
      <w:r w:rsidRPr="00BD7D28">
        <w:rPr>
          <w:rFonts w:ascii="Arial" w:hAnsi="Arial" w:cs="Arial"/>
          <w:sz w:val="22"/>
        </w:rPr>
        <w:t xml:space="preserve"> of the Likert scale results, and whether consensus was reached or not reached.</w:t>
      </w:r>
    </w:p>
    <w:tbl>
      <w:tblPr>
        <w:tblW w:w="95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395"/>
        <w:gridCol w:w="1260"/>
        <w:gridCol w:w="1384"/>
        <w:gridCol w:w="1506"/>
      </w:tblGrid>
      <w:tr w:rsidR="00BD7D28" w:rsidRPr="00BD7D28" w14:paraId="28DC1CE5" w14:textId="77777777" w:rsidTr="00573A25">
        <w:trPr>
          <w:trHeight w:val="288"/>
        </w:trPr>
        <w:tc>
          <w:tcPr>
            <w:tcW w:w="5395" w:type="dxa"/>
            <w:shd w:val="clear" w:color="000000" w:fill="D9D9D9"/>
            <w:vAlign w:val="center"/>
            <w:hideMark/>
          </w:tcPr>
          <w:p w14:paraId="60BEE6EC" w14:textId="77777777" w:rsidR="00573A25" w:rsidRPr="00BD7D28" w:rsidRDefault="00573A25" w:rsidP="00573A25">
            <w:pPr>
              <w:spacing w:line="240" w:lineRule="auto"/>
              <w:rPr>
                <w:rFonts w:ascii="Arial" w:eastAsia="Times New Roman" w:hAnsi="Arial" w:cs="Arial"/>
                <w:b/>
                <w:bCs/>
                <w:sz w:val="22"/>
              </w:rPr>
            </w:pPr>
            <w:r w:rsidRPr="00BD7D28">
              <w:rPr>
                <w:rFonts w:ascii="Arial" w:eastAsia="Times New Roman" w:hAnsi="Arial" w:cs="Arial"/>
                <w:b/>
                <w:bCs/>
                <w:sz w:val="22"/>
              </w:rPr>
              <w:t>Statements</w:t>
            </w:r>
          </w:p>
        </w:tc>
        <w:tc>
          <w:tcPr>
            <w:tcW w:w="1260" w:type="dxa"/>
            <w:shd w:val="clear" w:color="000000" w:fill="D9D9D9"/>
            <w:noWrap/>
            <w:vAlign w:val="center"/>
            <w:hideMark/>
          </w:tcPr>
          <w:p w14:paraId="16ADD65C" w14:textId="77777777" w:rsidR="00573A25" w:rsidRPr="00BD7D28" w:rsidRDefault="00573A25" w:rsidP="00573A25">
            <w:pPr>
              <w:spacing w:line="240" w:lineRule="auto"/>
              <w:jc w:val="center"/>
              <w:rPr>
                <w:rFonts w:ascii="Arial" w:eastAsia="Times New Roman" w:hAnsi="Arial" w:cs="Arial"/>
                <w:b/>
                <w:bCs/>
                <w:sz w:val="22"/>
              </w:rPr>
            </w:pPr>
            <w:r w:rsidRPr="00BD7D28">
              <w:rPr>
                <w:rFonts w:ascii="Arial" w:eastAsia="Times New Roman" w:hAnsi="Arial" w:cs="Arial"/>
                <w:b/>
                <w:bCs/>
                <w:sz w:val="22"/>
              </w:rPr>
              <w:t>Mean</w:t>
            </w:r>
          </w:p>
        </w:tc>
        <w:tc>
          <w:tcPr>
            <w:tcW w:w="1384" w:type="dxa"/>
            <w:shd w:val="clear" w:color="000000" w:fill="D9D9D9"/>
            <w:noWrap/>
            <w:vAlign w:val="center"/>
            <w:hideMark/>
          </w:tcPr>
          <w:p w14:paraId="26054D1B" w14:textId="78E9BF71" w:rsidR="00573A25" w:rsidRPr="00BD7D28" w:rsidRDefault="000930F6" w:rsidP="00573A25">
            <w:pPr>
              <w:spacing w:line="240" w:lineRule="auto"/>
              <w:jc w:val="center"/>
              <w:rPr>
                <w:rFonts w:ascii="Arial" w:eastAsia="Times New Roman" w:hAnsi="Arial" w:cs="Arial"/>
                <w:b/>
                <w:bCs/>
                <w:sz w:val="22"/>
              </w:rPr>
            </w:pPr>
            <w:r w:rsidRPr="00BD7D28">
              <w:rPr>
                <w:rFonts w:ascii="Arial" w:eastAsia="Times New Roman" w:hAnsi="Arial" w:cs="Arial"/>
                <w:b/>
                <w:bCs/>
                <w:sz w:val="22"/>
              </w:rPr>
              <w:t>SD</w:t>
            </w:r>
          </w:p>
        </w:tc>
        <w:tc>
          <w:tcPr>
            <w:tcW w:w="1506" w:type="dxa"/>
            <w:shd w:val="clear" w:color="000000" w:fill="D9D9D9"/>
            <w:noWrap/>
            <w:vAlign w:val="center"/>
            <w:hideMark/>
          </w:tcPr>
          <w:p w14:paraId="346BDBCD" w14:textId="77777777" w:rsidR="00573A25" w:rsidRPr="00BD7D28" w:rsidRDefault="00573A25" w:rsidP="00573A25">
            <w:pPr>
              <w:spacing w:line="240" w:lineRule="auto"/>
              <w:jc w:val="center"/>
              <w:rPr>
                <w:rFonts w:ascii="Arial" w:eastAsia="Times New Roman" w:hAnsi="Arial" w:cs="Arial"/>
                <w:b/>
                <w:bCs/>
                <w:sz w:val="22"/>
              </w:rPr>
            </w:pPr>
            <w:r w:rsidRPr="00BD7D28">
              <w:rPr>
                <w:rFonts w:ascii="Arial" w:eastAsia="Times New Roman" w:hAnsi="Arial" w:cs="Arial"/>
                <w:b/>
                <w:bCs/>
                <w:sz w:val="22"/>
              </w:rPr>
              <w:t>Consensus</w:t>
            </w:r>
          </w:p>
        </w:tc>
      </w:tr>
      <w:tr w:rsidR="00BD7D28" w:rsidRPr="00BD7D28" w14:paraId="6FB85D22" w14:textId="77777777" w:rsidTr="00573A25">
        <w:trPr>
          <w:trHeight w:val="288"/>
        </w:trPr>
        <w:tc>
          <w:tcPr>
            <w:tcW w:w="9545" w:type="dxa"/>
            <w:gridSpan w:val="4"/>
            <w:shd w:val="clear" w:color="auto" w:fill="auto"/>
            <w:vAlign w:val="center"/>
            <w:hideMark/>
          </w:tcPr>
          <w:p w14:paraId="1F4D335E" w14:textId="77777777" w:rsidR="00573A25" w:rsidRPr="00BD7D28" w:rsidRDefault="00573A25" w:rsidP="00573A25">
            <w:pPr>
              <w:spacing w:line="240" w:lineRule="auto"/>
              <w:jc w:val="center"/>
              <w:rPr>
                <w:rFonts w:ascii="Arial" w:eastAsia="Times New Roman" w:hAnsi="Arial" w:cs="Arial"/>
                <w:b/>
                <w:bCs/>
                <w:sz w:val="22"/>
              </w:rPr>
            </w:pPr>
            <w:r w:rsidRPr="00BD7D28">
              <w:rPr>
                <w:rFonts w:ascii="Arial" w:eastAsia="Times New Roman" w:hAnsi="Arial" w:cs="Arial"/>
                <w:b/>
                <w:bCs/>
                <w:sz w:val="22"/>
              </w:rPr>
              <w:t>How do you screen for SSc-ILD?</w:t>
            </w:r>
          </w:p>
        </w:tc>
      </w:tr>
      <w:tr w:rsidR="00BD7D28" w:rsidRPr="00BD7D28" w14:paraId="58610E50" w14:textId="77777777" w:rsidTr="00573A25">
        <w:trPr>
          <w:trHeight w:val="288"/>
        </w:trPr>
        <w:tc>
          <w:tcPr>
            <w:tcW w:w="9545" w:type="dxa"/>
            <w:gridSpan w:val="4"/>
            <w:shd w:val="clear" w:color="auto" w:fill="auto"/>
            <w:vAlign w:val="center"/>
            <w:hideMark/>
          </w:tcPr>
          <w:p w14:paraId="0ED9E634" w14:textId="77777777" w:rsidR="00573A25" w:rsidRPr="00BD7D28" w:rsidRDefault="00573A25" w:rsidP="00573A25">
            <w:pPr>
              <w:spacing w:line="240" w:lineRule="auto"/>
              <w:rPr>
                <w:rFonts w:ascii="Arial" w:eastAsia="Times New Roman" w:hAnsi="Arial" w:cs="Arial"/>
                <w:b/>
                <w:bCs/>
                <w:sz w:val="22"/>
              </w:rPr>
            </w:pPr>
            <w:r w:rsidRPr="00BD7D28">
              <w:rPr>
                <w:rFonts w:ascii="Arial" w:eastAsia="Times New Roman" w:hAnsi="Arial" w:cs="Arial"/>
                <w:b/>
                <w:bCs/>
                <w:sz w:val="22"/>
              </w:rPr>
              <w:t>Which of the following would you likely perform to screen the general scleroderma population for ILD?</w:t>
            </w:r>
          </w:p>
        </w:tc>
      </w:tr>
      <w:tr w:rsidR="00BD7D28" w:rsidRPr="00BD7D28" w14:paraId="14903B99" w14:textId="77777777" w:rsidTr="00573A25">
        <w:trPr>
          <w:trHeight w:val="288"/>
        </w:trPr>
        <w:tc>
          <w:tcPr>
            <w:tcW w:w="5395" w:type="dxa"/>
            <w:shd w:val="clear" w:color="auto" w:fill="auto"/>
            <w:vAlign w:val="center"/>
            <w:hideMark/>
          </w:tcPr>
          <w:p w14:paraId="1E6F0076"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Spirometry with DL</w:t>
            </w:r>
            <w:r w:rsidRPr="00BD7D28">
              <w:rPr>
                <w:rFonts w:ascii="Arial" w:eastAsia="Times New Roman" w:hAnsi="Arial" w:cs="Arial"/>
                <w:sz w:val="22"/>
                <w:vertAlign w:val="subscript"/>
              </w:rPr>
              <w:t>CO</w:t>
            </w:r>
          </w:p>
        </w:tc>
        <w:tc>
          <w:tcPr>
            <w:tcW w:w="1260" w:type="dxa"/>
            <w:shd w:val="clear" w:color="auto" w:fill="auto"/>
            <w:noWrap/>
            <w:vAlign w:val="center"/>
            <w:hideMark/>
          </w:tcPr>
          <w:p w14:paraId="237169D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4.36</w:t>
            </w:r>
          </w:p>
        </w:tc>
        <w:tc>
          <w:tcPr>
            <w:tcW w:w="1384" w:type="dxa"/>
            <w:shd w:val="clear" w:color="auto" w:fill="auto"/>
            <w:noWrap/>
            <w:vAlign w:val="center"/>
            <w:hideMark/>
          </w:tcPr>
          <w:p w14:paraId="50F60EB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1.04</w:t>
            </w:r>
          </w:p>
        </w:tc>
        <w:tc>
          <w:tcPr>
            <w:tcW w:w="1506" w:type="dxa"/>
            <w:shd w:val="clear" w:color="auto" w:fill="auto"/>
            <w:noWrap/>
            <w:vAlign w:val="center"/>
            <w:hideMark/>
          </w:tcPr>
          <w:p w14:paraId="0A9F190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1CC27556" w14:textId="77777777" w:rsidTr="00573A25">
        <w:trPr>
          <w:trHeight w:val="288"/>
        </w:trPr>
        <w:tc>
          <w:tcPr>
            <w:tcW w:w="5395" w:type="dxa"/>
            <w:shd w:val="clear" w:color="auto" w:fill="auto"/>
            <w:vAlign w:val="center"/>
            <w:hideMark/>
          </w:tcPr>
          <w:p w14:paraId="7C4B2170"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Full PFT</w:t>
            </w:r>
          </w:p>
        </w:tc>
        <w:tc>
          <w:tcPr>
            <w:tcW w:w="1260" w:type="dxa"/>
            <w:shd w:val="clear" w:color="auto" w:fill="auto"/>
            <w:noWrap/>
            <w:vAlign w:val="center"/>
            <w:hideMark/>
          </w:tcPr>
          <w:p w14:paraId="694EC31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4.16</w:t>
            </w:r>
          </w:p>
        </w:tc>
        <w:tc>
          <w:tcPr>
            <w:tcW w:w="1384" w:type="dxa"/>
            <w:shd w:val="clear" w:color="auto" w:fill="auto"/>
            <w:noWrap/>
            <w:vAlign w:val="center"/>
            <w:hideMark/>
          </w:tcPr>
          <w:p w14:paraId="0DA0327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1.70</w:t>
            </w:r>
          </w:p>
        </w:tc>
        <w:tc>
          <w:tcPr>
            <w:tcW w:w="1506" w:type="dxa"/>
            <w:shd w:val="clear" w:color="auto" w:fill="auto"/>
            <w:noWrap/>
            <w:vAlign w:val="center"/>
            <w:hideMark/>
          </w:tcPr>
          <w:p w14:paraId="55BBB2A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06CA2609" w14:textId="77777777" w:rsidTr="00573A25">
        <w:trPr>
          <w:trHeight w:val="288"/>
        </w:trPr>
        <w:tc>
          <w:tcPr>
            <w:tcW w:w="5395" w:type="dxa"/>
            <w:shd w:val="clear" w:color="auto" w:fill="auto"/>
            <w:vAlign w:val="center"/>
            <w:hideMark/>
          </w:tcPr>
          <w:p w14:paraId="6B1C1997"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Chest x-ray</w:t>
            </w:r>
          </w:p>
        </w:tc>
        <w:tc>
          <w:tcPr>
            <w:tcW w:w="1260" w:type="dxa"/>
            <w:shd w:val="clear" w:color="auto" w:fill="auto"/>
            <w:noWrap/>
            <w:vAlign w:val="center"/>
            <w:hideMark/>
          </w:tcPr>
          <w:p w14:paraId="300E9C4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0.40</w:t>
            </w:r>
          </w:p>
        </w:tc>
        <w:tc>
          <w:tcPr>
            <w:tcW w:w="1384" w:type="dxa"/>
            <w:shd w:val="clear" w:color="auto" w:fill="auto"/>
            <w:noWrap/>
            <w:vAlign w:val="center"/>
            <w:hideMark/>
          </w:tcPr>
          <w:p w14:paraId="3B8E5BA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3.23</w:t>
            </w:r>
          </w:p>
        </w:tc>
        <w:tc>
          <w:tcPr>
            <w:tcW w:w="1506" w:type="dxa"/>
            <w:shd w:val="clear" w:color="auto" w:fill="auto"/>
            <w:noWrap/>
            <w:vAlign w:val="center"/>
            <w:hideMark/>
          </w:tcPr>
          <w:p w14:paraId="5F60272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3B5F8E12" w14:textId="77777777" w:rsidTr="00573A25">
        <w:trPr>
          <w:trHeight w:val="288"/>
        </w:trPr>
        <w:tc>
          <w:tcPr>
            <w:tcW w:w="5395" w:type="dxa"/>
            <w:shd w:val="clear" w:color="auto" w:fill="auto"/>
            <w:vAlign w:val="center"/>
            <w:hideMark/>
          </w:tcPr>
          <w:p w14:paraId="1421E337"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HRCT</w:t>
            </w:r>
          </w:p>
        </w:tc>
        <w:tc>
          <w:tcPr>
            <w:tcW w:w="1260" w:type="dxa"/>
            <w:shd w:val="clear" w:color="auto" w:fill="auto"/>
            <w:noWrap/>
            <w:vAlign w:val="center"/>
            <w:hideMark/>
          </w:tcPr>
          <w:p w14:paraId="73167471"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4.08</w:t>
            </w:r>
          </w:p>
        </w:tc>
        <w:tc>
          <w:tcPr>
            <w:tcW w:w="1384" w:type="dxa"/>
            <w:shd w:val="clear" w:color="auto" w:fill="auto"/>
            <w:noWrap/>
            <w:vAlign w:val="center"/>
            <w:hideMark/>
          </w:tcPr>
          <w:p w14:paraId="3F7E0D7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1.63</w:t>
            </w:r>
          </w:p>
        </w:tc>
        <w:tc>
          <w:tcPr>
            <w:tcW w:w="1506" w:type="dxa"/>
            <w:shd w:val="clear" w:color="auto" w:fill="auto"/>
            <w:noWrap/>
            <w:vAlign w:val="center"/>
            <w:hideMark/>
          </w:tcPr>
          <w:p w14:paraId="61D8206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632B4DF7" w14:textId="77777777" w:rsidTr="00573A25">
        <w:trPr>
          <w:trHeight w:val="288"/>
        </w:trPr>
        <w:tc>
          <w:tcPr>
            <w:tcW w:w="5395" w:type="dxa"/>
            <w:shd w:val="clear" w:color="auto" w:fill="auto"/>
            <w:vAlign w:val="center"/>
            <w:hideMark/>
          </w:tcPr>
          <w:p w14:paraId="5BDA1809"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Biomarker tests</w:t>
            </w:r>
          </w:p>
        </w:tc>
        <w:tc>
          <w:tcPr>
            <w:tcW w:w="1260" w:type="dxa"/>
            <w:shd w:val="clear" w:color="auto" w:fill="auto"/>
            <w:noWrap/>
            <w:vAlign w:val="center"/>
            <w:hideMark/>
          </w:tcPr>
          <w:p w14:paraId="58D906C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−0.32</w:t>
            </w:r>
          </w:p>
        </w:tc>
        <w:tc>
          <w:tcPr>
            <w:tcW w:w="1384" w:type="dxa"/>
            <w:shd w:val="clear" w:color="auto" w:fill="auto"/>
            <w:noWrap/>
            <w:vAlign w:val="center"/>
            <w:hideMark/>
          </w:tcPr>
          <w:p w14:paraId="18E5132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2.70</w:t>
            </w:r>
          </w:p>
        </w:tc>
        <w:tc>
          <w:tcPr>
            <w:tcW w:w="1506" w:type="dxa"/>
            <w:shd w:val="clear" w:color="auto" w:fill="auto"/>
            <w:noWrap/>
            <w:vAlign w:val="center"/>
            <w:hideMark/>
          </w:tcPr>
          <w:p w14:paraId="271B738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13797C83" w14:textId="77777777" w:rsidTr="00573A25">
        <w:trPr>
          <w:trHeight w:val="288"/>
        </w:trPr>
        <w:tc>
          <w:tcPr>
            <w:tcW w:w="5395" w:type="dxa"/>
            <w:shd w:val="clear" w:color="auto" w:fill="auto"/>
            <w:vAlign w:val="center"/>
            <w:hideMark/>
          </w:tcPr>
          <w:p w14:paraId="0F5AF3B8"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Manometry data</w:t>
            </w:r>
          </w:p>
        </w:tc>
        <w:tc>
          <w:tcPr>
            <w:tcW w:w="1260" w:type="dxa"/>
            <w:shd w:val="clear" w:color="auto" w:fill="auto"/>
            <w:noWrap/>
            <w:vAlign w:val="center"/>
            <w:hideMark/>
          </w:tcPr>
          <w:p w14:paraId="2F449E6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−1.92</w:t>
            </w:r>
          </w:p>
        </w:tc>
        <w:tc>
          <w:tcPr>
            <w:tcW w:w="1384" w:type="dxa"/>
            <w:shd w:val="clear" w:color="auto" w:fill="auto"/>
            <w:noWrap/>
            <w:vAlign w:val="center"/>
            <w:hideMark/>
          </w:tcPr>
          <w:p w14:paraId="767DB6F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2.14</w:t>
            </w:r>
          </w:p>
        </w:tc>
        <w:tc>
          <w:tcPr>
            <w:tcW w:w="1506" w:type="dxa"/>
            <w:shd w:val="clear" w:color="auto" w:fill="auto"/>
            <w:noWrap/>
            <w:vAlign w:val="center"/>
            <w:hideMark/>
          </w:tcPr>
          <w:p w14:paraId="4FE15B5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0A09C1CF" w14:textId="77777777" w:rsidTr="00573A25">
        <w:trPr>
          <w:trHeight w:val="288"/>
        </w:trPr>
        <w:tc>
          <w:tcPr>
            <w:tcW w:w="5395" w:type="dxa"/>
            <w:shd w:val="clear" w:color="auto" w:fill="auto"/>
            <w:vAlign w:val="center"/>
            <w:hideMark/>
          </w:tcPr>
          <w:p w14:paraId="36AA5CA5"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Autoantibody testing</w:t>
            </w:r>
          </w:p>
        </w:tc>
        <w:tc>
          <w:tcPr>
            <w:tcW w:w="1260" w:type="dxa"/>
            <w:shd w:val="clear" w:color="auto" w:fill="auto"/>
            <w:noWrap/>
            <w:vAlign w:val="center"/>
            <w:hideMark/>
          </w:tcPr>
          <w:p w14:paraId="40B1027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2.96</w:t>
            </w:r>
          </w:p>
        </w:tc>
        <w:tc>
          <w:tcPr>
            <w:tcW w:w="1384" w:type="dxa"/>
            <w:shd w:val="clear" w:color="auto" w:fill="auto"/>
            <w:noWrap/>
            <w:vAlign w:val="center"/>
            <w:hideMark/>
          </w:tcPr>
          <w:p w14:paraId="61B8E8A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1.79</w:t>
            </w:r>
          </w:p>
        </w:tc>
        <w:tc>
          <w:tcPr>
            <w:tcW w:w="1506" w:type="dxa"/>
            <w:shd w:val="clear" w:color="auto" w:fill="auto"/>
            <w:noWrap/>
            <w:vAlign w:val="center"/>
            <w:hideMark/>
          </w:tcPr>
          <w:p w14:paraId="0DC2ECF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06C4B1EE" w14:textId="77777777" w:rsidTr="00573A25">
        <w:trPr>
          <w:trHeight w:val="288"/>
        </w:trPr>
        <w:tc>
          <w:tcPr>
            <w:tcW w:w="5395" w:type="dxa"/>
            <w:shd w:val="clear" w:color="auto" w:fill="auto"/>
            <w:vAlign w:val="center"/>
            <w:hideMark/>
          </w:tcPr>
          <w:p w14:paraId="335CE244"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Echocardiogram</w:t>
            </w:r>
          </w:p>
        </w:tc>
        <w:tc>
          <w:tcPr>
            <w:tcW w:w="1260" w:type="dxa"/>
            <w:shd w:val="clear" w:color="auto" w:fill="auto"/>
            <w:noWrap/>
            <w:vAlign w:val="center"/>
            <w:hideMark/>
          </w:tcPr>
          <w:p w14:paraId="0D6109C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0.32</w:t>
            </w:r>
          </w:p>
        </w:tc>
        <w:tc>
          <w:tcPr>
            <w:tcW w:w="1384" w:type="dxa"/>
            <w:shd w:val="clear" w:color="auto" w:fill="auto"/>
            <w:noWrap/>
            <w:vAlign w:val="center"/>
            <w:hideMark/>
          </w:tcPr>
          <w:p w14:paraId="5EC1885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3.29</w:t>
            </w:r>
          </w:p>
        </w:tc>
        <w:tc>
          <w:tcPr>
            <w:tcW w:w="1506" w:type="dxa"/>
            <w:shd w:val="clear" w:color="auto" w:fill="auto"/>
            <w:noWrap/>
            <w:vAlign w:val="center"/>
            <w:hideMark/>
          </w:tcPr>
          <w:p w14:paraId="4198320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5EBE9204" w14:textId="77777777" w:rsidTr="00573A25">
        <w:trPr>
          <w:trHeight w:val="288"/>
        </w:trPr>
        <w:tc>
          <w:tcPr>
            <w:tcW w:w="5395" w:type="dxa"/>
            <w:shd w:val="clear" w:color="auto" w:fill="auto"/>
            <w:vAlign w:val="center"/>
            <w:hideMark/>
          </w:tcPr>
          <w:p w14:paraId="42EABA72"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Doppler</w:t>
            </w:r>
          </w:p>
        </w:tc>
        <w:tc>
          <w:tcPr>
            <w:tcW w:w="1260" w:type="dxa"/>
            <w:shd w:val="clear" w:color="auto" w:fill="auto"/>
            <w:noWrap/>
            <w:vAlign w:val="center"/>
            <w:hideMark/>
          </w:tcPr>
          <w:p w14:paraId="41FF901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−0.68</w:t>
            </w:r>
          </w:p>
        </w:tc>
        <w:tc>
          <w:tcPr>
            <w:tcW w:w="1384" w:type="dxa"/>
            <w:shd w:val="clear" w:color="auto" w:fill="auto"/>
            <w:noWrap/>
            <w:vAlign w:val="center"/>
            <w:hideMark/>
          </w:tcPr>
          <w:p w14:paraId="044792A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3.09</w:t>
            </w:r>
          </w:p>
        </w:tc>
        <w:tc>
          <w:tcPr>
            <w:tcW w:w="1506" w:type="dxa"/>
            <w:shd w:val="clear" w:color="auto" w:fill="auto"/>
            <w:noWrap/>
            <w:vAlign w:val="center"/>
            <w:hideMark/>
          </w:tcPr>
          <w:p w14:paraId="48D2EC4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2B3F8225" w14:textId="77777777" w:rsidTr="00573A25">
        <w:trPr>
          <w:trHeight w:val="288"/>
        </w:trPr>
        <w:tc>
          <w:tcPr>
            <w:tcW w:w="5395" w:type="dxa"/>
            <w:shd w:val="clear" w:color="auto" w:fill="auto"/>
            <w:vAlign w:val="center"/>
            <w:hideMark/>
          </w:tcPr>
          <w:p w14:paraId="4FF48ED3"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6MWD</w:t>
            </w:r>
          </w:p>
        </w:tc>
        <w:tc>
          <w:tcPr>
            <w:tcW w:w="1260" w:type="dxa"/>
            <w:shd w:val="clear" w:color="auto" w:fill="auto"/>
            <w:noWrap/>
            <w:vAlign w:val="center"/>
            <w:hideMark/>
          </w:tcPr>
          <w:p w14:paraId="741819A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2.04</w:t>
            </w:r>
          </w:p>
        </w:tc>
        <w:tc>
          <w:tcPr>
            <w:tcW w:w="1384" w:type="dxa"/>
            <w:shd w:val="clear" w:color="auto" w:fill="auto"/>
            <w:noWrap/>
            <w:vAlign w:val="center"/>
            <w:hideMark/>
          </w:tcPr>
          <w:p w14:paraId="5B9D162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2.54</w:t>
            </w:r>
          </w:p>
        </w:tc>
        <w:tc>
          <w:tcPr>
            <w:tcW w:w="1506" w:type="dxa"/>
            <w:shd w:val="clear" w:color="auto" w:fill="auto"/>
            <w:noWrap/>
            <w:vAlign w:val="center"/>
            <w:hideMark/>
          </w:tcPr>
          <w:p w14:paraId="3468959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325ABD33" w14:textId="77777777" w:rsidTr="00573A25">
        <w:trPr>
          <w:trHeight w:val="288"/>
        </w:trPr>
        <w:tc>
          <w:tcPr>
            <w:tcW w:w="5395" w:type="dxa"/>
            <w:shd w:val="clear" w:color="auto" w:fill="auto"/>
            <w:vAlign w:val="center"/>
            <w:hideMark/>
          </w:tcPr>
          <w:p w14:paraId="3E709970"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Chest auscultation</w:t>
            </w:r>
          </w:p>
        </w:tc>
        <w:tc>
          <w:tcPr>
            <w:tcW w:w="1260" w:type="dxa"/>
            <w:shd w:val="clear" w:color="auto" w:fill="auto"/>
            <w:noWrap/>
            <w:vAlign w:val="center"/>
            <w:hideMark/>
          </w:tcPr>
          <w:p w14:paraId="00BB28E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4.32</w:t>
            </w:r>
          </w:p>
        </w:tc>
        <w:tc>
          <w:tcPr>
            <w:tcW w:w="1384" w:type="dxa"/>
            <w:shd w:val="clear" w:color="auto" w:fill="auto"/>
            <w:noWrap/>
            <w:vAlign w:val="center"/>
            <w:hideMark/>
          </w:tcPr>
          <w:p w14:paraId="271D80E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1.18</w:t>
            </w:r>
          </w:p>
        </w:tc>
        <w:tc>
          <w:tcPr>
            <w:tcW w:w="1506" w:type="dxa"/>
            <w:shd w:val="clear" w:color="auto" w:fill="auto"/>
            <w:noWrap/>
            <w:vAlign w:val="center"/>
            <w:hideMark/>
          </w:tcPr>
          <w:p w14:paraId="31E82831"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058B0873" w14:textId="77777777" w:rsidTr="00573A25">
        <w:trPr>
          <w:trHeight w:val="288"/>
        </w:trPr>
        <w:tc>
          <w:tcPr>
            <w:tcW w:w="9545" w:type="dxa"/>
            <w:gridSpan w:val="4"/>
            <w:shd w:val="clear" w:color="auto" w:fill="auto"/>
            <w:vAlign w:val="center"/>
            <w:hideMark/>
          </w:tcPr>
          <w:p w14:paraId="5E19241B" w14:textId="77777777" w:rsidR="00573A25" w:rsidRPr="00BD7D28" w:rsidRDefault="00573A25" w:rsidP="00573A25">
            <w:pPr>
              <w:spacing w:line="240" w:lineRule="auto"/>
              <w:rPr>
                <w:rFonts w:ascii="Arial" w:eastAsia="Times New Roman" w:hAnsi="Arial" w:cs="Arial"/>
                <w:b/>
                <w:bCs/>
                <w:sz w:val="22"/>
              </w:rPr>
            </w:pPr>
            <w:r w:rsidRPr="00BD7D28">
              <w:rPr>
                <w:rFonts w:ascii="Arial" w:eastAsia="Times New Roman" w:hAnsi="Arial" w:cs="Arial"/>
                <w:b/>
                <w:bCs/>
                <w:sz w:val="22"/>
              </w:rPr>
              <w:t>Which patients do you screen for SSc-ILD?</w:t>
            </w:r>
          </w:p>
        </w:tc>
      </w:tr>
      <w:tr w:rsidR="00BD7D28" w:rsidRPr="00BD7D28" w14:paraId="41640564" w14:textId="77777777" w:rsidTr="00573A25">
        <w:trPr>
          <w:trHeight w:val="288"/>
        </w:trPr>
        <w:tc>
          <w:tcPr>
            <w:tcW w:w="5395" w:type="dxa"/>
            <w:shd w:val="clear" w:color="auto" w:fill="auto"/>
            <w:vAlign w:val="center"/>
            <w:hideMark/>
          </w:tcPr>
          <w:p w14:paraId="41CFDD79"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All scleroderma patients</w:t>
            </w:r>
          </w:p>
        </w:tc>
        <w:tc>
          <w:tcPr>
            <w:tcW w:w="1260" w:type="dxa"/>
            <w:shd w:val="clear" w:color="auto" w:fill="auto"/>
            <w:noWrap/>
            <w:vAlign w:val="center"/>
            <w:hideMark/>
          </w:tcPr>
          <w:p w14:paraId="5E703F8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3.72</w:t>
            </w:r>
          </w:p>
        </w:tc>
        <w:tc>
          <w:tcPr>
            <w:tcW w:w="1384" w:type="dxa"/>
            <w:shd w:val="clear" w:color="auto" w:fill="auto"/>
            <w:noWrap/>
            <w:vAlign w:val="center"/>
            <w:hideMark/>
          </w:tcPr>
          <w:p w14:paraId="1342E0D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2.19</w:t>
            </w:r>
          </w:p>
        </w:tc>
        <w:tc>
          <w:tcPr>
            <w:tcW w:w="1506" w:type="dxa"/>
            <w:shd w:val="clear" w:color="auto" w:fill="auto"/>
            <w:noWrap/>
            <w:vAlign w:val="center"/>
            <w:hideMark/>
          </w:tcPr>
          <w:p w14:paraId="07B838B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02375E57" w14:textId="77777777" w:rsidTr="00573A25">
        <w:trPr>
          <w:trHeight w:val="288"/>
        </w:trPr>
        <w:tc>
          <w:tcPr>
            <w:tcW w:w="5395" w:type="dxa"/>
            <w:shd w:val="clear" w:color="auto" w:fill="auto"/>
            <w:vAlign w:val="center"/>
            <w:hideMark/>
          </w:tcPr>
          <w:p w14:paraId="352FA96A"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Patients with symptoms</w:t>
            </w:r>
          </w:p>
        </w:tc>
        <w:tc>
          <w:tcPr>
            <w:tcW w:w="1260" w:type="dxa"/>
            <w:shd w:val="clear" w:color="auto" w:fill="auto"/>
            <w:noWrap/>
            <w:vAlign w:val="center"/>
            <w:hideMark/>
          </w:tcPr>
          <w:p w14:paraId="00832A6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4.92</w:t>
            </w:r>
          </w:p>
        </w:tc>
        <w:tc>
          <w:tcPr>
            <w:tcW w:w="1384" w:type="dxa"/>
            <w:shd w:val="clear" w:color="auto" w:fill="auto"/>
            <w:noWrap/>
            <w:vAlign w:val="center"/>
            <w:hideMark/>
          </w:tcPr>
          <w:p w14:paraId="42FEF55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0.28</w:t>
            </w:r>
          </w:p>
        </w:tc>
        <w:tc>
          <w:tcPr>
            <w:tcW w:w="1506" w:type="dxa"/>
            <w:shd w:val="clear" w:color="auto" w:fill="auto"/>
            <w:noWrap/>
            <w:vAlign w:val="center"/>
            <w:hideMark/>
          </w:tcPr>
          <w:p w14:paraId="4A177D8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4B0E6C0E" w14:textId="77777777" w:rsidTr="00573A25">
        <w:trPr>
          <w:trHeight w:val="288"/>
        </w:trPr>
        <w:tc>
          <w:tcPr>
            <w:tcW w:w="5395" w:type="dxa"/>
            <w:shd w:val="clear" w:color="auto" w:fill="auto"/>
            <w:vAlign w:val="center"/>
            <w:hideMark/>
          </w:tcPr>
          <w:p w14:paraId="212AEF39" w14:textId="5F270B12"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High-risk patients (e</w:t>
            </w:r>
            <w:r w:rsidR="000930F6" w:rsidRPr="00BD7D28">
              <w:rPr>
                <w:rFonts w:ascii="Arial" w:eastAsia="Times New Roman" w:hAnsi="Arial" w:cs="Arial"/>
                <w:sz w:val="22"/>
              </w:rPr>
              <w:t>.g.</w:t>
            </w:r>
            <w:r w:rsidRPr="00BD7D28">
              <w:rPr>
                <w:rFonts w:ascii="Arial" w:eastAsia="Times New Roman" w:hAnsi="Arial" w:cs="Arial"/>
                <w:sz w:val="22"/>
              </w:rPr>
              <w:t xml:space="preserve">: dcSSc, +Scl-70 antibodies, African American ethnicity, and/or a high </w:t>
            </w:r>
            <w:proofErr w:type="spellStart"/>
            <w:r w:rsidR="00442FE3" w:rsidRPr="00BD7D28">
              <w:rPr>
                <w:rFonts w:ascii="Arial" w:eastAsia="Times New Roman" w:hAnsi="Arial" w:cs="Arial"/>
                <w:sz w:val="22"/>
              </w:rPr>
              <w:t>mRSS</w:t>
            </w:r>
            <w:proofErr w:type="spellEnd"/>
            <w:r w:rsidRPr="00BD7D28">
              <w:rPr>
                <w:rFonts w:ascii="Arial" w:eastAsia="Times New Roman" w:hAnsi="Arial" w:cs="Arial"/>
                <w:sz w:val="22"/>
              </w:rPr>
              <w:t>)</w:t>
            </w:r>
          </w:p>
        </w:tc>
        <w:tc>
          <w:tcPr>
            <w:tcW w:w="1260" w:type="dxa"/>
            <w:shd w:val="clear" w:color="auto" w:fill="auto"/>
            <w:noWrap/>
            <w:vAlign w:val="center"/>
            <w:hideMark/>
          </w:tcPr>
          <w:p w14:paraId="0728195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4.96</w:t>
            </w:r>
          </w:p>
        </w:tc>
        <w:tc>
          <w:tcPr>
            <w:tcW w:w="1384" w:type="dxa"/>
            <w:shd w:val="clear" w:color="auto" w:fill="auto"/>
            <w:noWrap/>
            <w:vAlign w:val="center"/>
            <w:hideMark/>
          </w:tcPr>
          <w:p w14:paraId="286172A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0.20</w:t>
            </w:r>
          </w:p>
        </w:tc>
        <w:tc>
          <w:tcPr>
            <w:tcW w:w="1506" w:type="dxa"/>
            <w:shd w:val="clear" w:color="auto" w:fill="auto"/>
            <w:noWrap/>
            <w:vAlign w:val="center"/>
            <w:hideMark/>
          </w:tcPr>
          <w:p w14:paraId="3D784C2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4D712499" w14:textId="77777777" w:rsidTr="00573A25">
        <w:trPr>
          <w:trHeight w:val="288"/>
        </w:trPr>
        <w:tc>
          <w:tcPr>
            <w:tcW w:w="9545" w:type="dxa"/>
            <w:gridSpan w:val="4"/>
            <w:shd w:val="clear" w:color="auto" w:fill="auto"/>
            <w:vAlign w:val="center"/>
            <w:hideMark/>
          </w:tcPr>
          <w:p w14:paraId="0354208B" w14:textId="77777777" w:rsidR="00573A25" w:rsidRPr="00BD7D28" w:rsidRDefault="00573A25" w:rsidP="00573A25">
            <w:pPr>
              <w:spacing w:line="240" w:lineRule="auto"/>
              <w:jc w:val="center"/>
              <w:rPr>
                <w:rFonts w:ascii="Arial" w:eastAsia="Times New Roman" w:hAnsi="Arial" w:cs="Arial"/>
                <w:b/>
                <w:bCs/>
                <w:sz w:val="22"/>
              </w:rPr>
            </w:pPr>
            <w:r w:rsidRPr="00BD7D28">
              <w:rPr>
                <w:rFonts w:ascii="Arial" w:eastAsia="Times New Roman" w:hAnsi="Arial" w:cs="Arial"/>
                <w:b/>
                <w:bCs/>
                <w:sz w:val="22"/>
              </w:rPr>
              <w:t>Who do you treat?</w:t>
            </w:r>
          </w:p>
        </w:tc>
      </w:tr>
      <w:tr w:rsidR="00BD7D28" w:rsidRPr="00BD7D28" w14:paraId="7B963E4C" w14:textId="77777777" w:rsidTr="00573A25">
        <w:trPr>
          <w:trHeight w:val="288"/>
        </w:trPr>
        <w:tc>
          <w:tcPr>
            <w:tcW w:w="9545" w:type="dxa"/>
            <w:gridSpan w:val="4"/>
            <w:shd w:val="clear" w:color="auto" w:fill="auto"/>
            <w:noWrap/>
            <w:vAlign w:val="center"/>
            <w:hideMark/>
          </w:tcPr>
          <w:p w14:paraId="0895F2F4" w14:textId="77777777" w:rsidR="00573A25" w:rsidRPr="00BD7D28" w:rsidRDefault="00573A25" w:rsidP="00573A25">
            <w:pPr>
              <w:spacing w:line="240" w:lineRule="auto"/>
              <w:rPr>
                <w:rFonts w:ascii="Arial" w:eastAsia="Times New Roman" w:hAnsi="Arial" w:cs="Arial"/>
                <w:b/>
                <w:bCs/>
                <w:sz w:val="22"/>
              </w:rPr>
            </w:pPr>
            <w:r w:rsidRPr="00BD7D28">
              <w:rPr>
                <w:rFonts w:ascii="Arial" w:eastAsia="Times New Roman" w:hAnsi="Arial" w:cs="Arial"/>
                <w:b/>
                <w:bCs/>
                <w:sz w:val="22"/>
              </w:rPr>
              <w:t>When deciding whether to treat patients for ILD do you consider:</w:t>
            </w:r>
          </w:p>
        </w:tc>
      </w:tr>
      <w:tr w:rsidR="00BD7D28" w:rsidRPr="00BD7D28" w14:paraId="2487C2FA" w14:textId="77777777" w:rsidTr="00573A25">
        <w:trPr>
          <w:trHeight w:val="288"/>
        </w:trPr>
        <w:tc>
          <w:tcPr>
            <w:tcW w:w="5395" w:type="dxa"/>
            <w:shd w:val="clear" w:color="auto" w:fill="auto"/>
            <w:vAlign w:val="center"/>
            <w:hideMark/>
          </w:tcPr>
          <w:p w14:paraId="4DE0EAA3"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Extent of ILD or fibrosis on HRCT</w:t>
            </w:r>
          </w:p>
        </w:tc>
        <w:tc>
          <w:tcPr>
            <w:tcW w:w="1260" w:type="dxa"/>
            <w:shd w:val="clear" w:color="auto" w:fill="auto"/>
            <w:noWrap/>
            <w:vAlign w:val="center"/>
            <w:hideMark/>
          </w:tcPr>
          <w:p w14:paraId="489640F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4.56</w:t>
            </w:r>
          </w:p>
        </w:tc>
        <w:tc>
          <w:tcPr>
            <w:tcW w:w="1384" w:type="dxa"/>
            <w:shd w:val="clear" w:color="auto" w:fill="auto"/>
            <w:noWrap/>
            <w:vAlign w:val="center"/>
            <w:hideMark/>
          </w:tcPr>
          <w:p w14:paraId="4746FDB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1.08</w:t>
            </w:r>
          </w:p>
        </w:tc>
        <w:tc>
          <w:tcPr>
            <w:tcW w:w="1506" w:type="dxa"/>
            <w:shd w:val="clear" w:color="auto" w:fill="auto"/>
            <w:noWrap/>
            <w:vAlign w:val="center"/>
            <w:hideMark/>
          </w:tcPr>
          <w:p w14:paraId="098092A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32DF9411" w14:textId="77777777" w:rsidTr="00573A25">
        <w:trPr>
          <w:trHeight w:val="288"/>
        </w:trPr>
        <w:tc>
          <w:tcPr>
            <w:tcW w:w="5395" w:type="dxa"/>
            <w:shd w:val="clear" w:color="auto" w:fill="auto"/>
            <w:vAlign w:val="center"/>
            <w:hideMark/>
          </w:tcPr>
          <w:p w14:paraId="074FB948"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Autoantibody status</w:t>
            </w:r>
          </w:p>
        </w:tc>
        <w:tc>
          <w:tcPr>
            <w:tcW w:w="1260" w:type="dxa"/>
            <w:shd w:val="clear" w:color="auto" w:fill="auto"/>
            <w:noWrap/>
            <w:vAlign w:val="center"/>
            <w:hideMark/>
          </w:tcPr>
          <w:p w14:paraId="1883A51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2.44</w:t>
            </w:r>
          </w:p>
        </w:tc>
        <w:tc>
          <w:tcPr>
            <w:tcW w:w="1384" w:type="dxa"/>
            <w:shd w:val="clear" w:color="auto" w:fill="auto"/>
            <w:noWrap/>
            <w:vAlign w:val="center"/>
            <w:hideMark/>
          </w:tcPr>
          <w:p w14:paraId="0D6079E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1.50</w:t>
            </w:r>
          </w:p>
        </w:tc>
        <w:tc>
          <w:tcPr>
            <w:tcW w:w="1506" w:type="dxa"/>
            <w:shd w:val="clear" w:color="auto" w:fill="auto"/>
            <w:noWrap/>
            <w:vAlign w:val="center"/>
            <w:hideMark/>
          </w:tcPr>
          <w:p w14:paraId="493289D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763A52F9" w14:textId="77777777" w:rsidTr="00573A25">
        <w:trPr>
          <w:trHeight w:val="288"/>
        </w:trPr>
        <w:tc>
          <w:tcPr>
            <w:tcW w:w="5395" w:type="dxa"/>
            <w:shd w:val="clear" w:color="auto" w:fill="auto"/>
            <w:vAlign w:val="center"/>
            <w:hideMark/>
          </w:tcPr>
          <w:p w14:paraId="46400D2B"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Baseline PFT values</w:t>
            </w:r>
          </w:p>
        </w:tc>
        <w:tc>
          <w:tcPr>
            <w:tcW w:w="1260" w:type="dxa"/>
            <w:shd w:val="clear" w:color="auto" w:fill="auto"/>
            <w:noWrap/>
            <w:vAlign w:val="center"/>
            <w:hideMark/>
          </w:tcPr>
          <w:p w14:paraId="2245FEE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4.08</w:t>
            </w:r>
          </w:p>
        </w:tc>
        <w:tc>
          <w:tcPr>
            <w:tcW w:w="1384" w:type="dxa"/>
            <w:shd w:val="clear" w:color="auto" w:fill="auto"/>
            <w:noWrap/>
            <w:vAlign w:val="center"/>
            <w:hideMark/>
          </w:tcPr>
          <w:p w14:paraId="72513E1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0.95</w:t>
            </w:r>
          </w:p>
        </w:tc>
        <w:tc>
          <w:tcPr>
            <w:tcW w:w="1506" w:type="dxa"/>
            <w:shd w:val="clear" w:color="auto" w:fill="auto"/>
            <w:noWrap/>
            <w:vAlign w:val="center"/>
            <w:hideMark/>
          </w:tcPr>
          <w:p w14:paraId="31C88F9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2B01AFEA" w14:textId="77777777" w:rsidTr="00573A25">
        <w:trPr>
          <w:trHeight w:val="288"/>
        </w:trPr>
        <w:tc>
          <w:tcPr>
            <w:tcW w:w="5395" w:type="dxa"/>
            <w:shd w:val="clear" w:color="auto" w:fill="auto"/>
            <w:vAlign w:val="center"/>
            <w:hideMark/>
          </w:tcPr>
          <w:p w14:paraId="368E0B9A"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Clinically meaningful change in PFT values</w:t>
            </w:r>
          </w:p>
        </w:tc>
        <w:tc>
          <w:tcPr>
            <w:tcW w:w="1260" w:type="dxa"/>
            <w:shd w:val="clear" w:color="auto" w:fill="auto"/>
            <w:noWrap/>
            <w:vAlign w:val="center"/>
            <w:hideMark/>
          </w:tcPr>
          <w:p w14:paraId="025FD13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4.76</w:t>
            </w:r>
          </w:p>
        </w:tc>
        <w:tc>
          <w:tcPr>
            <w:tcW w:w="1384" w:type="dxa"/>
            <w:shd w:val="clear" w:color="auto" w:fill="auto"/>
            <w:noWrap/>
            <w:vAlign w:val="center"/>
            <w:hideMark/>
          </w:tcPr>
          <w:p w14:paraId="30E9DC4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0.52</w:t>
            </w:r>
          </w:p>
        </w:tc>
        <w:tc>
          <w:tcPr>
            <w:tcW w:w="1506" w:type="dxa"/>
            <w:shd w:val="clear" w:color="auto" w:fill="auto"/>
            <w:noWrap/>
            <w:vAlign w:val="center"/>
            <w:hideMark/>
          </w:tcPr>
          <w:p w14:paraId="16B4A3E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40679767" w14:textId="77777777" w:rsidTr="00573A25">
        <w:trPr>
          <w:trHeight w:val="288"/>
        </w:trPr>
        <w:tc>
          <w:tcPr>
            <w:tcW w:w="5395" w:type="dxa"/>
            <w:shd w:val="clear" w:color="auto" w:fill="auto"/>
            <w:vAlign w:val="center"/>
            <w:hideMark/>
          </w:tcPr>
          <w:p w14:paraId="7AC65E4C"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Duration and degree of dyspnea</w:t>
            </w:r>
          </w:p>
        </w:tc>
        <w:tc>
          <w:tcPr>
            <w:tcW w:w="1260" w:type="dxa"/>
            <w:shd w:val="clear" w:color="auto" w:fill="auto"/>
            <w:noWrap/>
            <w:vAlign w:val="center"/>
            <w:hideMark/>
          </w:tcPr>
          <w:p w14:paraId="271C95F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3.76</w:t>
            </w:r>
          </w:p>
        </w:tc>
        <w:tc>
          <w:tcPr>
            <w:tcW w:w="1384" w:type="dxa"/>
            <w:shd w:val="clear" w:color="auto" w:fill="auto"/>
            <w:noWrap/>
            <w:vAlign w:val="center"/>
            <w:hideMark/>
          </w:tcPr>
          <w:p w14:paraId="0EB16D5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1.36</w:t>
            </w:r>
          </w:p>
        </w:tc>
        <w:tc>
          <w:tcPr>
            <w:tcW w:w="1506" w:type="dxa"/>
            <w:shd w:val="clear" w:color="auto" w:fill="auto"/>
            <w:noWrap/>
            <w:vAlign w:val="center"/>
            <w:hideMark/>
          </w:tcPr>
          <w:p w14:paraId="47BD335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6A6E0868" w14:textId="77777777" w:rsidTr="00573A25">
        <w:trPr>
          <w:trHeight w:val="288"/>
        </w:trPr>
        <w:tc>
          <w:tcPr>
            <w:tcW w:w="5395" w:type="dxa"/>
            <w:shd w:val="clear" w:color="auto" w:fill="auto"/>
            <w:vAlign w:val="center"/>
            <w:hideMark/>
          </w:tcPr>
          <w:p w14:paraId="61281B7D"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Length of disease</w:t>
            </w:r>
          </w:p>
        </w:tc>
        <w:tc>
          <w:tcPr>
            <w:tcW w:w="1260" w:type="dxa"/>
            <w:shd w:val="clear" w:color="auto" w:fill="auto"/>
            <w:noWrap/>
            <w:vAlign w:val="center"/>
            <w:hideMark/>
          </w:tcPr>
          <w:p w14:paraId="5AB378C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2.36</w:t>
            </w:r>
          </w:p>
        </w:tc>
        <w:tc>
          <w:tcPr>
            <w:tcW w:w="1384" w:type="dxa"/>
            <w:shd w:val="clear" w:color="auto" w:fill="auto"/>
            <w:noWrap/>
            <w:vAlign w:val="center"/>
            <w:hideMark/>
          </w:tcPr>
          <w:p w14:paraId="322D597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1.38</w:t>
            </w:r>
          </w:p>
        </w:tc>
        <w:tc>
          <w:tcPr>
            <w:tcW w:w="1506" w:type="dxa"/>
            <w:shd w:val="clear" w:color="auto" w:fill="auto"/>
            <w:noWrap/>
            <w:vAlign w:val="center"/>
            <w:hideMark/>
          </w:tcPr>
          <w:p w14:paraId="10CED92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0323A527" w14:textId="77777777" w:rsidTr="00573A25">
        <w:trPr>
          <w:trHeight w:val="288"/>
        </w:trPr>
        <w:tc>
          <w:tcPr>
            <w:tcW w:w="5395" w:type="dxa"/>
            <w:shd w:val="clear" w:color="auto" w:fill="auto"/>
            <w:vAlign w:val="center"/>
            <w:hideMark/>
          </w:tcPr>
          <w:p w14:paraId="1A456A0E"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Potential contribution of reflux</w:t>
            </w:r>
          </w:p>
        </w:tc>
        <w:tc>
          <w:tcPr>
            <w:tcW w:w="1260" w:type="dxa"/>
            <w:shd w:val="clear" w:color="auto" w:fill="auto"/>
            <w:noWrap/>
            <w:vAlign w:val="center"/>
            <w:hideMark/>
          </w:tcPr>
          <w:p w14:paraId="7402609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2.52</w:t>
            </w:r>
          </w:p>
        </w:tc>
        <w:tc>
          <w:tcPr>
            <w:tcW w:w="1384" w:type="dxa"/>
            <w:shd w:val="clear" w:color="auto" w:fill="auto"/>
            <w:noWrap/>
            <w:vAlign w:val="center"/>
            <w:hideMark/>
          </w:tcPr>
          <w:p w14:paraId="1A417CD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1.58</w:t>
            </w:r>
          </w:p>
        </w:tc>
        <w:tc>
          <w:tcPr>
            <w:tcW w:w="1506" w:type="dxa"/>
            <w:shd w:val="clear" w:color="auto" w:fill="auto"/>
            <w:noWrap/>
            <w:vAlign w:val="center"/>
            <w:hideMark/>
          </w:tcPr>
          <w:p w14:paraId="5D5E3BA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31094D90" w14:textId="77777777" w:rsidTr="00573A25">
        <w:trPr>
          <w:trHeight w:val="288"/>
        </w:trPr>
        <w:tc>
          <w:tcPr>
            <w:tcW w:w="5395" w:type="dxa"/>
            <w:shd w:val="clear" w:color="auto" w:fill="auto"/>
            <w:vAlign w:val="center"/>
            <w:hideMark/>
          </w:tcPr>
          <w:p w14:paraId="09838C15"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Patient age</w:t>
            </w:r>
          </w:p>
        </w:tc>
        <w:tc>
          <w:tcPr>
            <w:tcW w:w="1260" w:type="dxa"/>
            <w:shd w:val="clear" w:color="auto" w:fill="auto"/>
            <w:noWrap/>
            <w:vAlign w:val="center"/>
            <w:hideMark/>
          </w:tcPr>
          <w:p w14:paraId="16A1BCF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1.28</w:t>
            </w:r>
          </w:p>
        </w:tc>
        <w:tc>
          <w:tcPr>
            <w:tcW w:w="1384" w:type="dxa"/>
            <w:shd w:val="clear" w:color="auto" w:fill="auto"/>
            <w:noWrap/>
            <w:vAlign w:val="center"/>
            <w:hideMark/>
          </w:tcPr>
          <w:p w14:paraId="55DB87E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2.46</w:t>
            </w:r>
          </w:p>
        </w:tc>
        <w:tc>
          <w:tcPr>
            <w:tcW w:w="1506" w:type="dxa"/>
            <w:shd w:val="clear" w:color="auto" w:fill="auto"/>
            <w:noWrap/>
            <w:vAlign w:val="center"/>
            <w:hideMark/>
          </w:tcPr>
          <w:p w14:paraId="61F938E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09A39386" w14:textId="77777777" w:rsidTr="00573A25">
        <w:trPr>
          <w:trHeight w:val="288"/>
        </w:trPr>
        <w:tc>
          <w:tcPr>
            <w:tcW w:w="5395" w:type="dxa"/>
            <w:shd w:val="clear" w:color="auto" w:fill="auto"/>
            <w:vAlign w:val="center"/>
            <w:hideMark/>
          </w:tcPr>
          <w:p w14:paraId="4CF15E03"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Comorbidities</w:t>
            </w:r>
          </w:p>
        </w:tc>
        <w:tc>
          <w:tcPr>
            <w:tcW w:w="1260" w:type="dxa"/>
            <w:shd w:val="clear" w:color="auto" w:fill="auto"/>
            <w:noWrap/>
            <w:vAlign w:val="center"/>
            <w:hideMark/>
          </w:tcPr>
          <w:p w14:paraId="62B0649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2.40</w:t>
            </w:r>
          </w:p>
        </w:tc>
        <w:tc>
          <w:tcPr>
            <w:tcW w:w="1384" w:type="dxa"/>
            <w:shd w:val="clear" w:color="auto" w:fill="auto"/>
            <w:noWrap/>
            <w:vAlign w:val="center"/>
            <w:hideMark/>
          </w:tcPr>
          <w:p w14:paraId="2410DED6" w14:textId="7C893A9C"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1.5</w:t>
            </w:r>
            <w:r w:rsidR="00E012C7" w:rsidRPr="00BD7D28">
              <w:rPr>
                <w:rFonts w:ascii="Arial" w:eastAsia="Times New Roman" w:hAnsi="Arial" w:cs="Arial"/>
                <w:sz w:val="22"/>
              </w:rPr>
              <w:t>6</w:t>
            </w:r>
          </w:p>
        </w:tc>
        <w:tc>
          <w:tcPr>
            <w:tcW w:w="1506" w:type="dxa"/>
            <w:shd w:val="clear" w:color="auto" w:fill="auto"/>
            <w:noWrap/>
            <w:vAlign w:val="center"/>
            <w:hideMark/>
          </w:tcPr>
          <w:p w14:paraId="36417EA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796A68B7" w14:textId="77777777" w:rsidTr="00573A25">
        <w:trPr>
          <w:trHeight w:val="288"/>
        </w:trPr>
        <w:tc>
          <w:tcPr>
            <w:tcW w:w="5395" w:type="dxa"/>
            <w:shd w:val="clear" w:color="auto" w:fill="auto"/>
            <w:vAlign w:val="center"/>
            <w:hideMark/>
          </w:tcPr>
          <w:p w14:paraId="635F3586"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Presence of pulmonary hypertension</w:t>
            </w:r>
          </w:p>
        </w:tc>
        <w:tc>
          <w:tcPr>
            <w:tcW w:w="1260" w:type="dxa"/>
            <w:shd w:val="clear" w:color="auto" w:fill="auto"/>
            <w:noWrap/>
            <w:vAlign w:val="center"/>
            <w:hideMark/>
          </w:tcPr>
          <w:p w14:paraId="5695383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3.08</w:t>
            </w:r>
          </w:p>
        </w:tc>
        <w:tc>
          <w:tcPr>
            <w:tcW w:w="1384" w:type="dxa"/>
            <w:shd w:val="clear" w:color="auto" w:fill="auto"/>
            <w:noWrap/>
            <w:vAlign w:val="center"/>
            <w:hideMark/>
          </w:tcPr>
          <w:p w14:paraId="359A43F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1.63</w:t>
            </w:r>
          </w:p>
        </w:tc>
        <w:tc>
          <w:tcPr>
            <w:tcW w:w="1506" w:type="dxa"/>
            <w:shd w:val="clear" w:color="auto" w:fill="auto"/>
            <w:noWrap/>
            <w:vAlign w:val="center"/>
            <w:hideMark/>
          </w:tcPr>
          <w:p w14:paraId="7A2F089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741AF05A" w14:textId="77777777" w:rsidTr="00573A25">
        <w:trPr>
          <w:trHeight w:val="288"/>
        </w:trPr>
        <w:tc>
          <w:tcPr>
            <w:tcW w:w="9545" w:type="dxa"/>
            <w:gridSpan w:val="4"/>
            <w:shd w:val="clear" w:color="auto" w:fill="auto"/>
            <w:vAlign w:val="center"/>
            <w:hideMark/>
          </w:tcPr>
          <w:p w14:paraId="02403416" w14:textId="671345BF" w:rsidR="00573A25" w:rsidRPr="00BD7D28" w:rsidRDefault="00573A25" w:rsidP="00573A25">
            <w:pPr>
              <w:spacing w:line="240" w:lineRule="auto"/>
              <w:rPr>
                <w:rFonts w:ascii="Arial" w:eastAsia="Times New Roman" w:hAnsi="Arial" w:cs="Arial"/>
                <w:b/>
                <w:bCs/>
                <w:sz w:val="22"/>
              </w:rPr>
            </w:pPr>
            <w:r w:rsidRPr="00BD7D28">
              <w:rPr>
                <w:rFonts w:ascii="Arial" w:eastAsia="Times New Roman" w:hAnsi="Arial" w:cs="Arial"/>
                <w:b/>
                <w:bCs/>
                <w:sz w:val="22"/>
              </w:rPr>
              <w:t xml:space="preserve">Based on HRCT, do you treat patients </w:t>
            </w:r>
            <w:r w:rsidR="00FC4B5E" w:rsidRPr="00BD7D28">
              <w:rPr>
                <w:rFonts w:ascii="Arial" w:eastAsia="Times New Roman" w:hAnsi="Arial" w:cs="Arial"/>
                <w:b/>
                <w:bCs/>
                <w:sz w:val="22"/>
              </w:rPr>
              <w:t xml:space="preserve">who </w:t>
            </w:r>
            <w:r w:rsidRPr="00BD7D28">
              <w:rPr>
                <w:rFonts w:ascii="Arial" w:eastAsia="Times New Roman" w:hAnsi="Arial" w:cs="Arial"/>
                <w:b/>
                <w:bCs/>
                <w:sz w:val="22"/>
              </w:rPr>
              <w:t>have:</w:t>
            </w:r>
          </w:p>
        </w:tc>
      </w:tr>
      <w:tr w:rsidR="00BD7D28" w:rsidRPr="00BD7D28" w14:paraId="49621D88" w14:textId="77777777" w:rsidTr="00573A25">
        <w:trPr>
          <w:trHeight w:val="288"/>
        </w:trPr>
        <w:tc>
          <w:tcPr>
            <w:tcW w:w="5395" w:type="dxa"/>
            <w:shd w:val="clear" w:color="auto" w:fill="auto"/>
            <w:vAlign w:val="center"/>
            <w:hideMark/>
          </w:tcPr>
          <w:p w14:paraId="4883AE06"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Worsening HRCT with symptoms or declining PFTs</w:t>
            </w:r>
          </w:p>
        </w:tc>
        <w:tc>
          <w:tcPr>
            <w:tcW w:w="1260" w:type="dxa"/>
            <w:shd w:val="clear" w:color="auto" w:fill="auto"/>
            <w:noWrap/>
            <w:vAlign w:val="center"/>
            <w:hideMark/>
          </w:tcPr>
          <w:p w14:paraId="7EB7FA5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4.84</w:t>
            </w:r>
          </w:p>
        </w:tc>
        <w:tc>
          <w:tcPr>
            <w:tcW w:w="1384" w:type="dxa"/>
            <w:shd w:val="clear" w:color="auto" w:fill="auto"/>
            <w:noWrap/>
            <w:vAlign w:val="center"/>
            <w:hideMark/>
          </w:tcPr>
          <w:p w14:paraId="730CA7F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0.37</w:t>
            </w:r>
          </w:p>
        </w:tc>
        <w:tc>
          <w:tcPr>
            <w:tcW w:w="1506" w:type="dxa"/>
            <w:shd w:val="clear" w:color="auto" w:fill="auto"/>
            <w:noWrap/>
            <w:vAlign w:val="center"/>
            <w:hideMark/>
          </w:tcPr>
          <w:p w14:paraId="4795657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478008C0" w14:textId="77777777" w:rsidTr="00573A25">
        <w:trPr>
          <w:trHeight w:val="288"/>
        </w:trPr>
        <w:tc>
          <w:tcPr>
            <w:tcW w:w="5395" w:type="dxa"/>
            <w:shd w:val="clear" w:color="auto" w:fill="auto"/>
            <w:vAlign w:val="center"/>
            <w:hideMark/>
          </w:tcPr>
          <w:p w14:paraId="5413D70D"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&gt;20% involvement on HRCT with normal PFTs</w:t>
            </w:r>
          </w:p>
        </w:tc>
        <w:tc>
          <w:tcPr>
            <w:tcW w:w="1260" w:type="dxa"/>
            <w:shd w:val="clear" w:color="auto" w:fill="auto"/>
            <w:noWrap/>
            <w:vAlign w:val="center"/>
            <w:hideMark/>
          </w:tcPr>
          <w:p w14:paraId="182DF61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3.04</w:t>
            </w:r>
          </w:p>
        </w:tc>
        <w:tc>
          <w:tcPr>
            <w:tcW w:w="1384" w:type="dxa"/>
            <w:shd w:val="clear" w:color="auto" w:fill="auto"/>
            <w:noWrap/>
            <w:vAlign w:val="center"/>
            <w:hideMark/>
          </w:tcPr>
          <w:p w14:paraId="3646F7E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1.57</w:t>
            </w:r>
          </w:p>
        </w:tc>
        <w:tc>
          <w:tcPr>
            <w:tcW w:w="1506" w:type="dxa"/>
            <w:shd w:val="clear" w:color="auto" w:fill="auto"/>
            <w:noWrap/>
            <w:vAlign w:val="center"/>
            <w:hideMark/>
          </w:tcPr>
          <w:p w14:paraId="5BA0EBB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45C10AC4" w14:textId="77777777" w:rsidTr="00573A25">
        <w:trPr>
          <w:trHeight w:val="288"/>
        </w:trPr>
        <w:tc>
          <w:tcPr>
            <w:tcW w:w="5395" w:type="dxa"/>
            <w:shd w:val="clear" w:color="auto" w:fill="auto"/>
            <w:vAlign w:val="center"/>
            <w:hideMark/>
          </w:tcPr>
          <w:p w14:paraId="15DC80D9"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&gt;20% involvement on HRCT with abnormal PFTs</w:t>
            </w:r>
          </w:p>
        </w:tc>
        <w:tc>
          <w:tcPr>
            <w:tcW w:w="1260" w:type="dxa"/>
            <w:shd w:val="clear" w:color="auto" w:fill="auto"/>
            <w:noWrap/>
            <w:vAlign w:val="center"/>
            <w:hideMark/>
          </w:tcPr>
          <w:p w14:paraId="4747C92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4.48</w:t>
            </w:r>
          </w:p>
        </w:tc>
        <w:tc>
          <w:tcPr>
            <w:tcW w:w="1384" w:type="dxa"/>
            <w:shd w:val="clear" w:color="auto" w:fill="auto"/>
            <w:noWrap/>
            <w:vAlign w:val="center"/>
            <w:hideMark/>
          </w:tcPr>
          <w:p w14:paraId="27FD434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0.82</w:t>
            </w:r>
          </w:p>
        </w:tc>
        <w:tc>
          <w:tcPr>
            <w:tcW w:w="1506" w:type="dxa"/>
            <w:shd w:val="clear" w:color="auto" w:fill="auto"/>
            <w:noWrap/>
            <w:vAlign w:val="center"/>
            <w:hideMark/>
          </w:tcPr>
          <w:p w14:paraId="3A0AA74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53CB0E5C" w14:textId="77777777" w:rsidTr="00573A25">
        <w:trPr>
          <w:trHeight w:val="288"/>
        </w:trPr>
        <w:tc>
          <w:tcPr>
            <w:tcW w:w="5395" w:type="dxa"/>
            <w:shd w:val="clear" w:color="auto" w:fill="auto"/>
            <w:vAlign w:val="center"/>
            <w:hideMark/>
          </w:tcPr>
          <w:p w14:paraId="19C6DA38"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&gt;10% involvement on HRCT with abnormal PFTs</w:t>
            </w:r>
          </w:p>
        </w:tc>
        <w:tc>
          <w:tcPr>
            <w:tcW w:w="1260" w:type="dxa"/>
            <w:shd w:val="clear" w:color="auto" w:fill="auto"/>
            <w:noWrap/>
            <w:vAlign w:val="center"/>
            <w:hideMark/>
          </w:tcPr>
          <w:p w14:paraId="7CAE681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3.52</w:t>
            </w:r>
          </w:p>
        </w:tc>
        <w:tc>
          <w:tcPr>
            <w:tcW w:w="1384" w:type="dxa"/>
            <w:shd w:val="clear" w:color="auto" w:fill="auto"/>
            <w:noWrap/>
            <w:vAlign w:val="center"/>
            <w:hideMark/>
          </w:tcPr>
          <w:p w14:paraId="49DC1AB7" w14:textId="5E826712"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w:t>
            </w:r>
            <w:r w:rsidR="00E012C7" w:rsidRPr="00BD7D28">
              <w:rPr>
                <w:rFonts w:ascii="Arial" w:eastAsia="Times New Roman" w:hAnsi="Arial" w:cs="Arial"/>
                <w:sz w:val="22"/>
              </w:rPr>
              <w:t>30</w:t>
            </w:r>
          </w:p>
        </w:tc>
        <w:tc>
          <w:tcPr>
            <w:tcW w:w="1506" w:type="dxa"/>
            <w:shd w:val="clear" w:color="auto" w:fill="auto"/>
            <w:noWrap/>
            <w:vAlign w:val="center"/>
            <w:hideMark/>
          </w:tcPr>
          <w:p w14:paraId="1BF9A8B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66B68846" w14:textId="77777777" w:rsidTr="00573A25">
        <w:trPr>
          <w:trHeight w:val="288"/>
        </w:trPr>
        <w:tc>
          <w:tcPr>
            <w:tcW w:w="5395" w:type="dxa"/>
            <w:shd w:val="clear" w:color="auto" w:fill="auto"/>
            <w:vAlign w:val="center"/>
            <w:hideMark/>
          </w:tcPr>
          <w:p w14:paraId="2FF2C600"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High-risk patients (early diffuse disease) with evidence of mild ILD (&lt;10%) and abnormal PFTs</w:t>
            </w:r>
          </w:p>
        </w:tc>
        <w:tc>
          <w:tcPr>
            <w:tcW w:w="1260" w:type="dxa"/>
            <w:shd w:val="clear" w:color="auto" w:fill="auto"/>
            <w:noWrap/>
            <w:vAlign w:val="center"/>
            <w:hideMark/>
          </w:tcPr>
          <w:p w14:paraId="0FA2BB0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4.08</w:t>
            </w:r>
          </w:p>
        </w:tc>
        <w:tc>
          <w:tcPr>
            <w:tcW w:w="1384" w:type="dxa"/>
            <w:shd w:val="clear" w:color="auto" w:fill="auto"/>
            <w:noWrap/>
            <w:vAlign w:val="center"/>
            <w:hideMark/>
          </w:tcPr>
          <w:p w14:paraId="70EDCAE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1.12</w:t>
            </w:r>
          </w:p>
        </w:tc>
        <w:tc>
          <w:tcPr>
            <w:tcW w:w="1506" w:type="dxa"/>
            <w:shd w:val="clear" w:color="auto" w:fill="auto"/>
            <w:noWrap/>
            <w:vAlign w:val="center"/>
            <w:hideMark/>
          </w:tcPr>
          <w:p w14:paraId="6D8D746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7026B864" w14:textId="77777777" w:rsidTr="00573A25">
        <w:trPr>
          <w:trHeight w:val="288"/>
        </w:trPr>
        <w:tc>
          <w:tcPr>
            <w:tcW w:w="5395" w:type="dxa"/>
            <w:shd w:val="clear" w:color="auto" w:fill="auto"/>
            <w:vAlign w:val="center"/>
            <w:hideMark/>
          </w:tcPr>
          <w:p w14:paraId="0396D9F2"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High-risk patients (early diffuse disease) with evidence of mild ILD (&lt;10%)</w:t>
            </w:r>
          </w:p>
        </w:tc>
        <w:tc>
          <w:tcPr>
            <w:tcW w:w="1260" w:type="dxa"/>
            <w:shd w:val="clear" w:color="auto" w:fill="auto"/>
            <w:noWrap/>
            <w:vAlign w:val="center"/>
            <w:hideMark/>
          </w:tcPr>
          <w:p w14:paraId="4D33DDB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3.24</w:t>
            </w:r>
          </w:p>
        </w:tc>
        <w:tc>
          <w:tcPr>
            <w:tcW w:w="1384" w:type="dxa"/>
            <w:shd w:val="clear" w:color="auto" w:fill="auto"/>
            <w:noWrap/>
            <w:vAlign w:val="center"/>
            <w:hideMark/>
          </w:tcPr>
          <w:p w14:paraId="59CCEC2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1.51</w:t>
            </w:r>
          </w:p>
        </w:tc>
        <w:tc>
          <w:tcPr>
            <w:tcW w:w="1506" w:type="dxa"/>
            <w:shd w:val="clear" w:color="auto" w:fill="auto"/>
            <w:noWrap/>
            <w:vAlign w:val="center"/>
            <w:hideMark/>
          </w:tcPr>
          <w:p w14:paraId="258B682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04A7FD20" w14:textId="77777777" w:rsidTr="00573A25">
        <w:trPr>
          <w:trHeight w:val="288"/>
        </w:trPr>
        <w:tc>
          <w:tcPr>
            <w:tcW w:w="9545" w:type="dxa"/>
            <w:gridSpan w:val="4"/>
            <w:shd w:val="clear" w:color="auto" w:fill="auto"/>
            <w:vAlign w:val="center"/>
            <w:hideMark/>
          </w:tcPr>
          <w:p w14:paraId="187CBE94" w14:textId="265E277E" w:rsidR="00573A25" w:rsidRPr="00BD7D28" w:rsidRDefault="00573A25" w:rsidP="00573A25">
            <w:pPr>
              <w:spacing w:line="240" w:lineRule="auto"/>
              <w:rPr>
                <w:rFonts w:ascii="Arial" w:eastAsia="Times New Roman" w:hAnsi="Arial" w:cs="Arial"/>
                <w:b/>
                <w:bCs/>
                <w:sz w:val="22"/>
              </w:rPr>
            </w:pPr>
            <w:r w:rsidRPr="00BD7D28">
              <w:rPr>
                <w:rFonts w:ascii="Arial" w:eastAsia="Times New Roman" w:hAnsi="Arial" w:cs="Arial"/>
                <w:b/>
                <w:bCs/>
                <w:sz w:val="22"/>
              </w:rPr>
              <w:t xml:space="preserve">Based on FVC and symptom status (assume all patients have ILD on HRCT), do you treat patients </w:t>
            </w:r>
            <w:r w:rsidR="00FC4B5E" w:rsidRPr="00BD7D28">
              <w:rPr>
                <w:rFonts w:ascii="Arial" w:eastAsia="Times New Roman" w:hAnsi="Arial" w:cs="Arial"/>
                <w:b/>
                <w:bCs/>
                <w:sz w:val="22"/>
              </w:rPr>
              <w:t xml:space="preserve">who </w:t>
            </w:r>
            <w:r w:rsidRPr="00BD7D28">
              <w:rPr>
                <w:rFonts w:ascii="Arial" w:eastAsia="Times New Roman" w:hAnsi="Arial" w:cs="Arial"/>
                <w:b/>
                <w:bCs/>
                <w:sz w:val="22"/>
              </w:rPr>
              <w:t>have:</w:t>
            </w:r>
          </w:p>
        </w:tc>
      </w:tr>
      <w:tr w:rsidR="00BD7D28" w:rsidRPr="00BD7D28" w14:paraId="7966E215" w14:textId="77777777" w:rsidTr="00573A25">
        <w:trPr>
          <w:trHeight w:val="288"/>
        </w:trPr>
        <w:tc>
          <w:tcPr>
            <w:tcW w:w="5395" w:type="dxa"/>
            <w:shd w:val="clear" w:color="auto" w:fill="auto"/>
            <w:vAlign w:val="center"/>
            <w:hideMark/>
          </w:tcPr>
          <w:p w14:paraId="3BA6616F"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FVC &gt;80% with ILD on HRCT in a high-risk patient (early diffuse disease, Topo+)</w:t>
            </w:r>
          </w:p>
        </w:tc>
        <w:tc>
          <w:tcPr>
            <w:tcW w:w="1260" w:type="dxa"/>
            <w:shd w:val="clear" w:color="auto" w:fill="auto"/>
            <w:noWrap/>
            <w:vAlign w:val="center"/>
            <w:hideMark/>
          </w:tcPr>
          <w:p w14:paraId="78F4AAA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3.72</w:t>
            </w:r>
          </w:p>
        </w:tc>
        <w:tc>
          <w:tcPr>
            <w:tcW w:w="1384" w:type="dxa"/>
            <w:shd w:val="clear" w:color="auto" w:fill="auto"/>
            <w:noWrap/>
            <w:vAlign w:val="center"/>
            <w:hideMark/>
          </w:tcPr>
          <w:p w14:paraId="5D42AB0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1.51</w:t>
            </w:r>
          </w:p>
        </w:tc>
        <w:tc>
          <w:tcPr>
            <w:tcW w:w="1506" w:type="dxa"/>
            <w:shd w:val="clear" w:color="auto" w:fill="auto"/>
            <w:noWrap/>
            <w:vAlign w:val="center"/>
            <w:hideMark/>
          </w:tcPr>
          <w:p w14:paraId="61A7B20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6CF53D27" w14:textId="77777777" w:rsidTr="00573A25">
        <w:trPr>
          <w:trHeight w:val="288"/>
        </w:trPr>
        <w:tc>
          <w:tcPr>
            <w:tcW w:w="5395" w:type="dxa"/>
            <w:shd w:val="clear" w:color="auto" w:fill="auto"/>
            <w:vAlign w:val="center"/>
            <w:hideMark/>
          </w:tcPr>
          <w:p w14:paraId="7AFC2A66"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FVC &gt;80% with ILD on HRCT in a low-risk patient (early limited disease, centromere+)</w:t>
            </w:r>
          </w:p>
        </w:tc>
        <w:tc>
          <w:tcPr>
            <w:tcW w:w="1260" w:type="dxa"/>
            <w:shd w:val="clear" w:color="auto" w:fill="auto"/>
            <w:noWrap/>
            <w:vAlign w:val="center"/>
            <w:hideMark/>
          </w:tcPr>
          <w:p w14:paraId="36F3851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0.72</w:t>
            </w:r>
          </w:p>
        </w:tc>
        <w:tc>
          <w:tcPr>
            <w:tcW w:w="1384" w:type="dxa"/>
            <w:shd w:val="clear" w:color="auto" w:fill="auto"/>
            <w:noWrap/>
            <w:vAlign w:val="center"/>
            <w:hideMark/>
          </w:tcPr>
          <w:p w14:paraId="37467F5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1.93</w:t>
            </w:r>
          </w:p>
        </w:tc>
        <w:tc>
          <w:tcPr>
            <w:tcW w:w="1506" w:type="dxa"/>
            <w:shd w:val="clear" w:color="auto" w:fill="auto"/>
            <w:noWrap/>
            <w:vAlign w:val="center"/>
            <w:hideMark/>
          </w:tcPr>
          <w:p w14:paraId="268F928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668DBAD6" w14:textId="77777777" w:rsidTr="00573A25">
        <w:trPr>
          <w:trHeight w:val="288"/>
        </w:trPr>
        <w:tc>
          <w:tcPr>
            <w:tcW w:w="5395" w:type="dxa"/>
            <w:shd w:val="clear" w:color="000000" w:fill="FFFFFF"/>
            <w:vAlign w:val="center"/>
            <w:hideMark/>
          </w:tcPr>
          <w:p w14:paraId="1737E187"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FVC &lt;80% with any degree of ILD on HRCT</w:t>
            </w:r>
          </w:p>
        </w:tc>
        <w:tc>
          <w:tcPr>
            <w:tcW w:w="1260" w:type="dxa"/>
            <w:shd w:val="clear" w:color="auto" w:fill="auto"/>
            <w:noWrap/>
            <w:vAlign w:val="center"/>
            <w:hideMark/>
          </w:tcPr>
          <w:p w14:paraId="55D3C24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2.68</w:t>
            </w:r>
          </w:p>
        </w:tc>
        <w:tc>
          <w:tcPr>
            <w:tcW w:w="1384" w:type="dxa"/>
            <w:shd w:val="clear" w:color="auto" w:fill="auto"/>
            <w:noWrap/>
            <w:vAlign w:val="center"/>
            <w:hideMark/>
          </w:tcPr>
          <w:p w14:paraId="37D1B7A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1.80</w:t>
            </w:r>
          </w:p>
        </w:tc>
        <w:tc>
          <w:tcPr>
            <w:tcW w:w="1506" w:type="dxa"/>
            <w:shd w:val="clear" w:color="auto" w:fill="auto"/>
            <w:noWrap/>
            <w:vAlign w:val="center"/>
            <w:hideMark/>
          </w:tcPr>
          <w:p w14:paraId="03802811"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2B6FBD9C" w14:textId="77777777" w:rsidTr="00573A25">
        <w:trPr>
          <w:trHeight w:val="288"/>
        </w:trPr>
        <w:tc>
          <w:tcPr>
            <w:tcW w:w="5395" w:type="dxa"/>
            <w:shd w:val="clear" w:color="000000" w:fill="FFFFFF"/>
            <w:vAlign w:val="center"/>
            <w:hideMark/>
          </w:tcPr>
          <w:p w14:paraId="66459974"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FVC &gt;80% and dyspnea</w:t>
            </w:r>
          </w:p>
        </w:tc>
        <w:tc>
          <w:tcPr>
            <w:tcW w:w="1260" w:type="dxa"/>
            <w:shd w:val="clear" w:color="auto" w:fill="auto"/>
            <w:noWrap/>
            <w:vAlign w:val="center"/>
            <w:hideMark/>
          </w:tcPr>
          <w:p w14:paraId="171CDEB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2.36</w:t>
            </w:r>
          </w:p>
        </w:tc>
        <w:tc>
          <w:tcPr>
            <w:tcW w:w="1384" w:type="dxa"/>
            <w:shd w:val="clear" w:color="auto" w:fill="auto"/>
            <w:noWrap/>
            <w:vAlign w:val="center"/>
            <w:hideMark/>
          </w:tcPr>
          <w:p w14:paraId="4998073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1.68</w:t>
            </w:r>
          </w:p>
        </w:tc>
        <w:tc>
          <w:tcPr>
            <w:tcW w:w="1506" w:type="dxa"/>
            <w:shd w:val="clear" w:color="auto" w:fill="auto"/>
            <w:noWrap/>
            <w:vAlign w:val="center"/>
            <w:hideMark/>
          </w:tcPr>
          <w:p w14:paraId="6858A2F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2C72890C" w14:textId="77777777" w:rsidTr="00573A25">
        <w:trPr>
          <w:trHeight w:val="288"/>
        </w:trPr>
        <w:tc>
          <w:tcPr>
            <w:tcW w:w="5395" w:type="dxa"/>
            <w:shd w:val="clear" w:color="000000" w:fill="FFFFFF"/>
            <w:vAlign w:val="center"/>
            <w:hideMark/>
          </w:tcPr>
          <w:p w14:paraId="78C9DD24"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FVC &lt;80% and dyspnea</w:t>
            </w:r>
          </w:p>
        </w:tc>
        <w:tc>
          <w:tcPr>
            <w:tcW w:w="1260" w:type="dxa"/>
            <w:shd w:val="clear" w:color="auto" w:fill="auto"/>
            <w:noWrap/>
            <w:vAlign w:val="center"/>
            <w:hideMark/>
          </w:tcPr>
          <w:p w14:paraId="7335954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3.44</w:t>
            </w:r>
          </w:p>
        </w:tc>
        <w:tc>
          <w:tcPr>
            <w:tcW w:w="1384" w:type="dxa"/>
            <w:shd w:val="clear" w:color="auto" w:fill="auto"/>
            <w:noWrap/>
            <w:vAlign w:val="center"/>
            <w:hideMark/>
          </w:tcPr>
          <w:p w14:paraId="69ABBD1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1.50</w:t>
            </w:r>
          </w:p>
        </w:tc>
        <w:tc>
          <w:tcPr>
            <w:tcW w:w="1506" w:type="dxa"/>
            <w:shd w:val="clear" w:color="auto" w:fill="auto"/>
            <w:noWrap/>
            <w:vAlign w:val="center"/>
            <w:hideMark/>
          </w:tcPr>
          <w:p w14:paraId="7C8243D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79D2BC4E" w14:textId="77777777" w:rsidTr="00573A25">
        <w:trPr>
          <w:trHeight w:val="288"/>
        </w:trPr>
        <w:tc>
          <w:tcPr>
            <w:tcW w:w="5395" w:type="dxa"/>
            <w:shd w:val="clear" w:color="000000" w:fill="FFFFFF"/>
            <w:vAlign w:val="center"/>
            <w:hideMark/>
          </w:tcPr>
          <w:p w14:paraId="41004C54"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FVC &lt;70% and dyspnea</w:t>
            </w:r>
          </w:p>
        </w:tc>
        <w:tc>
          <w:tcPr>
            <w:tcW w:w="1260" w:type="dxa"/>
            <w:shd w:val="clear" w:color="000000" w:fill="FFFFFF"/>
            <w:noWrap/>
            <w:vAlign w:val="center"/>
            <w:hideMark/>
          </w:tcPr>
          <w:p w14:paraId="437D0A7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4.12</w:t>
            </w:r>
          </w:p>
        </w:tc>
        <w:tc>
          <w:tcPr>
            <w:tcW w:w="1384" w:type="dxa"/>
            <w:shd w:val="clear" w:color="000000" w:fill="FFFFFF"/>
            <w:noWrap/>
            <w:vAlign w:val="center"/>
            <w:hideMark/>
          </w:tcPr>
          <w:p w14:paraId="2F07F3F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1.24</w:t>
            </w:r>
          </w:p>
        </w:tc>
        <w:tc>
          <w:tcPr>
            <w:tcW w:w="1506" w:type="dxa"/>
            <w:shd w:val="clear" w:color="auto" w:fill="auto"/>
            <w:noWrap/>
            <w:vAlign w:val="center"/>
            <w:hideMark/>
          </w:tcPr>
          <w:p w14:paraId="5F27180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5845811D" w14:textId="77777777" w:rsidTr="00573A25">
        <w:trPr>
          <w:trHeight w:val="288"/>
        </w:trPr>
        <w:tc>
          <w:tcPr>
            <w:tcW w:w="5395" w:type="dxa"/>
            <w:shd w:val="clear" w:color="auto" w:fill="auto"/>
            <w:vAlign w:val="center"/>
            <w:hideMark/>
          </w:tcPr>
          <w:p w14:paraId="248EF9C5"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Decline in FVC by greater than measurement error (5–7%)</w:t>
            </w:r>
          </w:p>
        </w:tc>
        <w:tc>
          <w:tcPr>
            <w:tcW w:w="1260" w:type="dxa"/>
            <w:shd w:val="clear" w:color="000000" w:fill="FFFFFF"/>
            <w:noWrap/>
            <w:vAlign w:val="center"/>
            <w:hideMark/>
          </w:tcPr>
          <w:p w14:paraId="1C10B0B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4.16</w:t>
            </w:r>
          </w:p>
        </w:tc>
        <w:tc>
          <w:tcPr>
            <w:tcW w:w="1384" w:type="dxa"/>
            <w:shd w:val="clear" w:color="000000" w:fill="FFFFFF"/>
            <w:noWrap/>
            <w:vAlign w:val="center"/>
            <w:hideMark/>
          </w:tcPr>
          <w:p w14:paraId="4759290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0.90</w:t>
            </w:r>
          </w:p>
        </w:tc>
        <w:tc>
          <w:tcPr>
            <w:tcW w:w="1506" w:type="dxa"/>
            <w:shd w:val="clear" w:color="auto" w:fill="auto"/>
            <w:noWrap/>
            <w:vAlign w:val="center"/>
            <w:hideMark/>
          </w:tcPr>
          <w:p w14:paraId="4287369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47D1A5FF" w14:textId="77777777" w:rsidTr="00573A25">
        <w:trPr>
          <w:trHeight w:val="288"/>
        </w:trPr>
        <w:tc>
          <w:tcPr>
            <w:tcW w:w="5395" w:type="dxa"/>
            <w:shd w:val="clear" w:color="auto" w:fill="auto"/>
            <w:vAlign w:val="center"/>
            <w:hideMark/>
          </w:tcPr>
          <w:p w14:paraId="7D771BF5" w14:textId="483BDEE5"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 xml:space="preserve">Decline in FVC by &gt;10% in </w:t>
            </w:r>
            <w:r w:rsidR="00FC4B5E" w:rsidRPr="00BD7D28">
              <w:rPr>
                <w:rFonts w:ascii="Arial" w:eastAsia="Times New Roman" w:hAnsi="Arial" w:cs="Arial"/>
                <w:sz w:val="22"/>
              </w:rPr>
              <w:t xml:space="preserve">1 </w:t>
            </w:r>
            <w:r w:rsidRPr="00BD7D28">
              <w:rPr>
                <w:rFonts w:ascii="Arial" w:eastAsia="Times New Roman" w:hAnsi="Arial" w:cs="Arial"/>
                <w:sz w:val="22"/>
              </w:rPr>
              <w:t>year</w:t>
            </w:r>
          </w:p>
        </w:tc>
        <w:tc>
          <w:tcPr>
            <w:tcW w:w="1260" w:type="dxa"/>
            <w:shd w:val="clear" w:color="000000" w:fill="FFFFFF"/>
            <w:noWrap/>
            <w:vAlign w:val="center"/>
            <w:hideMark/>
          </w:tcPr>
          <w:p w14:paraId="5D7891D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4.48</w:t>
            </w:r>
          </w:p>
        </w:tc>
        <w:tc>
          <w:tcPr>
            <w:tcW w:w="1384" w:type="dxa"/>
            <w:shd w:val="clear" w:color="000000" w:fill="FFFFFF"/>
            <w:noWrap/>
            <w:vAlign w:val="center"/>
            <w:hideMark/>
          </w:tcPr>
          <w:p w14:paraId="757EFD0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0.87</w:t>
            </w:r>
          </w:p>
        </w:tc>
        <w:tc>
          <w:tcPr>
            <w:tcW w:w="1506" w:type="dxa"/>
            <w:shd w:val="clear" w:color="auto" w:fill="auto"/>
            <w:noWrap/>
            <w:vAlign w:val="center"/>
            <w:hideMark/>
          </w:tcPr>
          <w:p w14:paraId="23BDEA4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62ABE614" w14:textId="77777777" w:rsidTr="00573A25">
        <w:trPr>
          <w:trHeight w:val="288"/>
        </w:trPr>
        <w:tc>
          <w:tcPr>
            <w:tcW w:w="5395" w:type="dxa"/>
            <w:shd w:val="clear" w:color="auto" w:fill="auto"/>
            <w:vAlign w:val="center"/>
            <w:hideMark/>
          </w:tcPr>
          <w:p w14:paraId="50D9F94F"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Regardless of FVC once other causes of dyspnea are excluded</w:t>
            </w:r>
          </w:p>
        </w:tc>
        <w:tc>
          <w:tcPr>
            <w:tcW w:w="1260" w:type="dxa"/>
            <w:shd w:val="clear" w:color="000000" w:fill="FFFFFF"/>
            <w:noWrap/>
            <w:vAlign w:val="center"/>
            <w:hideMark/>
          </w:tcPr>
          <w:p w14:paraId="553E251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2.20</w:t>
            </w:r>
          </w:p>
        </w:tc>
        <w:tc>
          <w:tcPr>
            <w:tcW w:w="1384" w:type="dxa"/>
            <w:shd w:val="clear" w:color="000000" w:fill="FFFFFF"/>
            <w:noWrap/>
            <w:vAlign w:val="center"/>
            <w:hideMark/>
          </w:tcPr>
          <w:p w14:paraId="4C21B19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1.85</w:t>
            </w:r>
          </w:p>
        </w:tc>
        <w:tc>
          <w:tcPr>
            <w:tcW w:w="1506" w:type="dxa"/>
            <w:shd w:val="clear" w:color="auto" w:fill="auto"/>
            <w:noWrap/>
            <w:vAlign w:val="center"/>
            <w:hideMark/>
          </w:tcPr>
          <w:p w14:paraId="43A66CE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46DC7C53" w14:textId="77777777" w:rsidTr="00573A25">
        <w:trPr>
          <w:trHeight w:val="288"/>
        </w:trPr>
        <w:tc>
          <w:tcPr>
            <w:tcW w:w="9545" w:type="dxa"/>
            <w:gridSpan w:val="4"/>
            <w:shd w:val="clear" w:color="auto" w:fill="auto"/>
            <w:vAlign w:val="center"/>
            <w:hideMark/>
          </w:tcPr>
          <w:p w14:paraId="77A66E25" w14:textId="77777777" w:rsidR="00573A25" w:rsidRPr="00BD7D28" w:rsidRDefault="00573A25" w:rsidP="00573A25">
            <w:pPr>
              <w:spacing w:line="240" w:lineRule="auto"/>
              <w:rPr>
                <w:rFonts w:ascii="Arial" w:eastAsia="Times New Roman" w:hAnsi="Arial" w:cs="Arial"/>
                <w:b/>
                <w:bCs/>
                <w:sz w:val="22"/>
              </w:rPr>
            </w:pPr>
            <w:r w:rsidRPr="00BD7D28">
              <w:rPr>
                <w:rFonts w:ascii="Arial" w:eastAsia="Times New Roman" w:hAnsi="Arial" w:cs="Arial"/>
                <w:b/>
                <w:bCs/>
                <w:sz w:val="22"/>
              </w:rPr>
              <w:t>In deciding to initiate treatment for SSc-ILD, how important are other parameters besides HRCT and PFTs?</w:t>
            </w:r>
          </w:p>
        </w:tc>
      </w:tr>
      <w:tr w:rsidR="00BD7D28" w:rsidRPr="00BD7D28" w14:paraId="557E9866" w14:textId="77777777" w:rsidTr="00573A25">
        <w:trPr>
          <w:trHeight w:val="288"/>
        </w:trPr>
        <w:tc>
          <w:tcPr>
            <w:tcW w:w="5395" w:type="dxa"/>
            <w:shd w:val="clear" w:color="auto" w:fill="auto"/>
            <w:vAlign w:val="center"/>
            <w:hideMark/>
          </w:tcPr>
          <w:p w14:paraId="139A51CC"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6MWD</w:t>
            </w:r>
          </w:p>
        </w:tc>
        <w:tc>
          <w:tcPr>
            <w:tcW w:w="1260" w:type="dxa"/>
            <w:shd w:val="clear" w:color="auto" w:fill="auto"/>
            <w:noWrap/>
            <w:vAlign w:val="center"/>
            <w:hideMark/>
          </w:tcPr>
          <w:p w14:paraId="2240CA31"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2.00</w:t>
            </w:r>
          </w:p>
        </w:tc>
        <w:tc>
          <w:tcPr>
            <w:tcW w:w="1384" w:type="dxa"/>
            <w:shd w:val="clear" w:color="auto" w:fill="auto"/>
            <w:noWrap/>
            <w:vAlign w:val="center"/>
            <w:hideMark/>
          </w:tcPr>
          <w:p w14:paraId="2A996D6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1.83</w:t>
            </w:r>
          </w:p>
        </w:tc>
        <w:tc>
          <w:tcPr>
            <w:tcW w:w="1506" w:type="dxa"/>
            <w:shd w:val="clear" w:color="auto" w:fill="auto"/>
            <w:noWrap/>
            <w:vAlign w:val="center"/>
            <w:hideMark/>
          </w:tcPr>
          <w:p w14:paraId="5B07CE3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3824D0F8" w14:textId="77777777" w:rsidTr="00573A25">
        <w:trPr>
          <w:trHeight w:val="288"/>
        </w:trPr>
        <w:tc>
          <w:tcPr>
            <w:tcW w:w="5395" w:type="dxa"/>
            <w:shd w:val="clear" w:color="auto" w:fill="auto"/>
            <w:vAlign w:val="center"/>
            <w:hideMark/>
          </w:tcPr>
          <w:p w14:paraId="74A97664" w14:textId="0A2332EE"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 xml:space="preserve">Exertional desaturation on </w:t>
            </w:r>
            <w:r w:rsidR="00FC4B5E" w:rsidRPr="00BD7D28">
              <w:rPr>
                <w:rFonts w:ascii="Arial" w:eastAsia="Times New Roman" w:hAnsi="Arial" w:cs="Arial"/>
                <w:sz w:val="22"/>
              </w:rPr>
              <w:t>SpO</w:t>
            </w:r>
            <w:r w:rsidR="00FC4B5E" w:rsidRPr="00BD7D28">
              <w:rPr>
                <w:rFonts w:ascii="Arial" w:eastAsia="Times New Roman" w:hAnsi="Arial" w:cs="Arial"/>
                <w:sz w:val="22"/>
                <w:vertAlign w:val="subscript"/>
              </w:rPr>
              <w:t>2</w:t>
            </w:r>
          </w:p>
        </w:tc>
        <w:tc>
          <w:tcPr>
            <w:tcW w:w="1260" w:type="dxa"/>
            <w:shd w:val="clear" w:color="auto" w:fill="auto"/>
            <w:noWrap/>
            <w:vAlign w:val="center"/>
            <w:hideMark/>
          </w:tcPr>
          <w:p w14:paraId="242FC56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3.28</w:t>
            </w:r>
          </w:p>
        </w:tc>
        <w:tc>
          <w:tcPr>
            <w:tcW w:w="1384" w:type="dxa"/>
            <w:shd w:val="clear" w:color="auto" w:fill="auto"/>
            <w:noWrap/>
            <w:vAlign w:val="center"/>
            <w:hideMark/>
          </w:tcPr>
          <w:p w14:paraId="57B4C99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1.54</w:t>
            </w:r>
          </w:p>
        </w:tc>
        <w:tc>
          <w:tcPr>
            <w:tcW w:w="1506" w:type="dxa"/>
            <w:shd w:val="clear" w:color="auto" w:fill="auto"/>
            <w:noWrap/>
            <w:vAlign w:val="center"/>
            <w:hideMark/>
          </w:tcPr>
          <w:p w14:paraId="4DA7C45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64CEE7C8" w14:textId="77777777" w:rsidTr="00573A25">
        <w:trPr>
          <w:trHeight w:val="288"/>
        </w:trPr>
        <w:tc>
          <w:tcPr>
            <w:tcW w:w="5395" w:type="dxa"/>
            <w:shd w:val="clear" w:color="auto" w:fill="auto"/>
            <w:vAlign w:val="center"/>
            <w:hideMark/>
          </w:tcPr>
          <w:p w14:paraId="777181DF"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Echocardiogram</w:t>
            </w:r>
          </w:p>
        </w:tc>
        <w:tc>
          <w:tcPr>
            <w:tcW w:w="1260" w:type="dxa"/>
            <w:shd w:val="clear" w:color="auto" w:fill="auto"/>
            <w:noWrap/>
            <w:vAlign w:val="center"/>
            <w:hideMark/>
          </w:tcPr>
          <w:p w14:paraId="589048A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1.68</w:t>
            </w:r>
          </w:p>
        </w:tc>
        <w:tc>
          <w:tcPr>
            <w:tcW w:w="1384" w:type="dxa"/>
            <w:shd w:val="clear" w:color="auto" w:fill="auto"/>
            <w:noWrap/>
            <w:vAlign w:val="center"/>
            <w:hideMark/>
          </w:tcPr>
          <w:p w14:paraId="324076F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2.58</w:t>
            </w:r>
          </w:p>
        </w:tc>
        <w:tc>
          <w:tcPr>
            <w:tcW w:w="1506" w:type="dxa"/>
            <w:shd w:val="clear" w:color="auto" w:fill="auto"/>
            <w:noWrap/>
            <w:vAlign w:val="center"/>
            <w:hideMark/>
          </w:tcPr>
          <w:p w14:paraId="6E20364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62405206" w14:textId="77777777" w:rsidTr="00573A25">
        <w:trPr>
          <w:trHeight w:val="288"/>
        </w:trPr>
        <w:tc>
          <w:tcPr>
            <w:tcW w:w="5395" w:type="dxa"/>
            <w:shd w:val="clear" w:color="auto" w:fill="auto"/>
            <w:vAlign w:val="center"/>
            <w:hideMark/>
          </w:tcPr>
          <w:p w14:paraId="709EC117"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Cough consistent with ILD</w:t>
            </w:r>
          </w:p>
        </w:tc>
        <w:tc>
          <w:tcPr>
            <w:tcW w:w="1260" w:type="dxa"/>
            <w:shd w:val="clear" w:color="auto" w:fill="auto"/>
            <w:noWrap/>
            <w:vAlign w:val="center"/>
            <w:hideMark/>
          </w:tcPr>
          <w:p w14:paraId="15627C9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1.52</w:t>
            </w:r>
          </w:p>
        </w:tc>
        <w:tc>
          <w:tcPr>
            <w:tcW w:w="1384" w:type="dxa"/>
            <w:shd w:val="clear" w:color="auto" w:fill="auto"/>
            <w:noWrap/>
            <w:vAlign w:val="center"/>
            <w:hideMark/>
          </w:tcPr>
          <w:p w14:paraId="7E52F37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1.53</w:t>
            </w:r>
          </w:p>
        </w:tc>
        <w:tc>
          <w:tcPr>
            <w:tcW w:w="1506" w:type="dxa"/>
            <w:shd w:val="clear" w:color="auto" w:fill="auto"/>
            <w:noWrap/>
            <w:vAlign w:val="center"/>
            <w:hideMark/>
          </w:tcPr>
          <w:p w14:paraId="4F53F08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56FB7A2A" w14:textId="77777777" w:rsidTr="00573A25">
        <w:trPr>
          <w:trHeight w:val="288"/>
        </w:trPr>
        <w:tc>
          <w:tcPr>
            <w:tcW w:w="5395" w:type="dxa"/>
            <w:shd w:val="clear" w:color="auto" w:fill="auto"/>
            <w:vAlign w:val="center"/>
            <w:hideMark/>
          </w:tcPr>
          <w:p w14:paraId="5897933C"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Presence of active cutaneous disease</w:t>
            </w:r>
          </w:p>
        </w:tc>
        <w:tc>
          <w:tcPr>
            <w:tcW w:w="1260" w:type="dxa"/>
            <w:shd w:val="clear" w:color="auto" w:fill="auto"/>
            <w:noWrap/>
            <w:vAlign w:val="center"/>
            <w:hideMark/>
          </w:tcPr>
          <w:p w14:paraId="49F8439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1.88</w:t>
            </w:r>
          </w:p>
        </w:tc>
        <w:tc>
          <w:tcPr>
            <w:tcW w:w="1384" w:type="dxa"/>
            <w:shd w:val="clear" w:color="auto" w:fill="auto"/>
            <w:noWrap/>
            <w:vAlign w:val="center"/>
            <w:hideMark/>
          </w:tcPr>
          <w:p w14:paraId="54457C5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1.94</w:t>
            </w:r>
          </w:p>
        </w:tc>
        <w:tc>
          <w:tcPr>
            <w:tcW w:w="1506" w:type="dxa"/>
            <w:shd w:val="clear" w:color="auto" w:fill="auto"/>
            <w:noWrap/>
            <w:vAlign w:val="center"/>
            <w:hideMark/>
          </w:tcPr>
          <w:p w14:paraId="08C05EA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33A1EF98" w14:textId="77777777" w:rsidTr="00573A25">
        <w:trPr>
          <w:trHeight w:val="288"/>
        </w:trPr>
        <w:tc>
          <w:tcPr>
            <w:tcW w:w="5395" w:type="dxa"/>
            <w:shd w:val="clear" w:color="auto" w:fill="auto"/>
            <w:vAlign w:val="center"/>
            <w:hideMark/>
          </w:tcPr>
          <w:p w14:paraId="088A8D21"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Presence of reflux</w:t>
            </w:r>
          </w:p>
        </w:tc>
        <w:tc>
          <w:tcPr>
            <w:tcW w:w="1260" w:type="dxa"/>
            <w:shd w:val="clear" w:color="auto" w:fill="auto"/>
            <w:noWrap/>
            <w:vAlign w:val="center"/>
            <w:hideMark/>
          </w:tcPr>
          <w:p w14:paraId="4654E5B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1.00</w:t>
            </w:r>
          </w:p>
        </w:tc>
        <w:tc>
          <w:tcPr>
            <w:tcW w:w="1384" w:type="dxa"/>
            <w:shd w:val="clear" w:color="auto" w:fill="auto"/>
            <w:noWrap/>
            <w:vAlign w:val="center"/>
            <w:hideMark/>
          </w:tcPr>
          <w:p w14:paraId="41FE205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1.96</w:t>
            </w:r>
          </w:p>
        </w:tc>
        <w:tc>
          <w:tcPr>
            <w:tcW w:w="1506" w:type="dxa"/>
            <w:shd w:val="clear" w:color="auto" w:fill="auto"/>
            <w:noWrap/>
            <w:vAlign w:val="center"/>
            <w:hideMark/>
          </w:tcPr>
          <w:p w14:paraId="4D2C32B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40B127A7" w14:textId="77777777" w:rsidTr="00573A25">
        <w:trPr>
          <w:trHeight w:val="288"/>
        </w:trPr>
        <w:tc>
          <w:tcPr>
            <w:tcW w:w="5395" w:type="dxa"/>
            <w:shd w:val="clear" w:color="auto" w:fill="auto"/>
            <w:vAlign w:val="center"/>
            <w:hideMark/>
          </w:tcPr>
          <w:p w14:paraId="667169A4"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Scl-70 antibody status</w:t>
            </w:r>
          </w:p>
        </w:tc>
        <w:tc>
          <w:tcPr>
            <w:tcW w:w="1260" w:type="dxa"/>
            <w:shd w:val="clear" w:color="auto" w:fill="auto"/>
            <w:noWrap/>
            <w:vAlign w:val="center"/>
            <w:hideMark/>
          </w:tcPr>
          <w:p w14:paraId="27EEA71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2.04</w:t>
            </w:r>
          </w:p>
        </w:tc>
        <w:tc>
          <w:tcPr>
            <w:tcW w:w="1384" w:type="dxa"/>
            <w:shd w:val="clear" w:color="auto" w:fill="auto"/>
            <w:noWrap/>
            <w:vAlign w:val="center"/>
            <w:hideMark/>
          </w:tcPr>
          <w:p w14:paraId="098D40D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1.72</w:t>
            </w:r>
          </w:p>
        </w:tc>
        <w:tc>
          <w:tcPr>
            <w:tcW w:w="1506" w:type="dxa"/>
            <w:shd w:val="clear" w:color="auto" w:fill="auto"/>
            <w:noWrap/>
            <w:vAlign w:val="center"/>
            <w:hideMark/>
          </w:tcPr>
          <w:p w14:paraId="0AFDABB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76F9E1EA" w14:textId="77777777" w:rsidTr="00573A25">
        <w:trPr>
          <w:trHeight w:val="288"/>
        </w:trPr>
        <w:tc>
          <w:tcPr>
            <w:tcW w:w="5395" w:type="dxa"/>
            <w:shd w:val="clear" w:color="auto" w:fill="auto"/>
            <w:vAlign w:val="center"/>
            <w:hideMark/>
          </w:tcPr>
          <w:p w14:paraId="674B16E5"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Elevated BNP</w:t>
            </w:r>
          </w:p>
        </w:tc>
        <w:tc>
          <w:tcPr>
            <w:tcW w:w="1260" w:type="dxa"/>
            <w:shd w:val="clear" w:color="auto" w:fill="auto"/>
            <w:noWrap/>
            <w:vAlign w:val="center"/>
            <w:hideMark/>
          </w:tcPr>
          <w:p w14:paraId="46BA383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0.08</w:t>
            </w:r>
          </w:p>
        </w:tc>
        <w:tc>
          <w:tcPr>
            <w:tcW w:w="1384" w:type="dxa"/>
            <w:shd w:val="clear" w:color="auto" w:fill="auto"/>
            <w:noWrap/>
            <w:vAlign w:val="center"/>
            <w:hideMark/>
          </w:tcPr>
          <w:p w14:paraId="710C6F5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2.14</w:t>
            </w:r>
          </w:p>
        </w:tc>
        <w:tc>
          <w:tcPr>
            <w:tcW w:w="1506" w:type="dxa"/>
            <w:shd w:val="clear" w:color="auto" w:fill="auto"/>
            <w:noWrap/>
            <w:vAlign w:val="center"/>
            <w:hideMark/>
          </w:tcPr>
          <w:p w14:paraId="0517A3F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7E0E95B5" w14:textId="77777777" w:rsidTr="00573A25">
        <w:trPr>
          <w:trHeight w:val="288"/>
        </w:trPr>
        <w:tc>
          <w:tcPr>
            <w:tcW w:w="5395" w:type="dxa"/>
            <w:shd w:val="clear" w:color="auto" w:fill="auto"/>
            <w:vAlign w:val="center"/>
            <w:hideMark/>
          </w:tcPr>
          <w:p w14:paraId="6B5CCE22"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Evidence of Velcro crackles on lung examination</w:t>
            </w:r>
          </w:p>
        </w:tc>
        <w:tc>
          <w:tcPr>
            <w:tcW w:w="1260" w:type="dxa"/>
            <w:shd w:val="clear" w:color="auto" w:fill="auto"/>
            <w:noWrap/>
            <w:vAlign w:val="center"/>
            <w:hideMark/>
          </w:tcPr>
          <w:p w14:paraId="625CDF91"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2.08</w:t>
            </w:r>
          </w:p>
        </w:tc>
        <w:tc>
          <w:tcPr>
            <w:tcW w:w="1384" w:type="dxa"/>
            <w:shd w:val="clear" w:color="auto" w:fill="auto"/>
            <w:noWrap/>
            <w:vAlign w:val="center"/>
            <w:hideMark/>
          </w:tcPr>
          <w:p w14:paraId="1FF9A93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1.91</w:t>
            </w:r>
          </w:p>
        </w:tc>
        <w:tc>
          <w:tcPr>
            <w:tcW w:w="1506" w:type="dxa"/>
            <w:shd w:val="clear" w:color="auto" w:fill="auto"/>
            <w:noWrap/>
            <w:vAlign w:val="center"/>
            <w:hideMark/>
          </w:tcPr>
          <w:p w14:paraId="47DCD61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55D5A88C" w14:textId="77777777" w:rsidTr="00573A25">
        <w:trPr>
          <w:trHeight w:val="288"/>
        </w:trPr>
        <w:tc>
          <w:tcPr>
            <w:tcW w:w="9545" w:type="dxa"/>
            <w:gridSpan w:val="4"/>
            <w:shd w:val="clear" w:color="auto" w:fill="auto"/>
            <w:vAlign w:val="center"/>
            <w:hideMark/>
          </w:tcPr>
          <w:p w14:paraId="10924109" w14:textId="77777777" w:rsidR="00573A25" w:rsidRPr="00BD7D28" w:rsidRDefault="00573A25" w:rsidP="00573A25">
            <w:pPr>
              <w:spacing w:line="240" w:lineRule="auto"/>
              <w:rPr>
                <w:rFonts w:ascii="Arial" w:eastAsia="Times New Roman" w:hAnsi="Arial" w:cs="Arial"/>
                <w:b/>
                <w:bCs/>
                <w:sz w:val="22"/>
              </w:rPr>
            </w:pPr>
            <w:r w:rsidRPr="00BD7D28">
              <w:rPr>
                <w:rFonts w:ascii="Arial" w:eastAsia="Times New Roman" w:hAnsi="Arial" w:cs="Arial"/>
                <w:b/>
                <w:bCs/>
                <w:sz w:val="22"/>
              </w:rPr>
              <w:t>To determine the phenotype of patients that are likely to respond to treatment, which strategy or strategies are you likely to employ?</w:t>
            </w:r>
          </w:p>
        </w:tc>
      </w:tr>
      <w:tr w:rsidR="00BD7D28" w:rsidRPr="00BD7D28" w14:paraId="16FADC6A" w14:textId="77777777" w:rsidTr="00573A25">
        <w:trPr>
          <w:trHeight w:val="288"/>
        </w:trPr>
        <w:tc>
          <w:tcPr>
            <w:tcW w:w="5395" w:type="dxa"/>
            <w:shd w:val="clear" w:color="auto" w:fill="auto"/>
            <w:vAlign w:val="center"/>
            <w:hideMark/>
          </w:tcPr>
          <w:p w14:paraId="00AFD822"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Autoantibody status</w:t>
            </w:r>
          </w:p>
        </w:tc>
        <w:tc>
          <w:tcPr>
            <w:tcW w:w="1260" w:type="dxa"/>
            <w:shd w:val="clear" w:color="auto" w:fill="auto"/>
            <w:noWrap/>
            <w:vAlign w:val="center"/>
            <w:hideMark/>
          </w:tcPr>
          <w:p w14:paraId="7503389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2.24</w:t>
            </w:r>
          </w:p>
        </w:tc>
        <w:tc>
          <w:tcPr>
            <w:tcW w:w="1384" w:type="dxa"/>
            <w:shd w:val="clear" w:color="auto" w:fill="auto"/>
            <w:noWrap/>
            <w:vAlign w:val="center"/>
            <w:hideMark/>
          </w:tcPr>
          <w:p w14:paraId="179EC11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1.94</w:t>
            </w:r>
          </w:p>
        </w:tc>
        <w:tc>
          <w:tcPr>
            <w:tcW w:w="1506" w:type="dxa"/>
            <w:shd w:val="clear" w:color="auto" w:fill="auto"/>
            <w:noWrap/>
            <w:vAlign w:val="center"/>
            <w:hideMark/>
          </w:tcPr>
          <w:p w14:paraId="4062524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4B143EDD" w14:textId="77777777" w:rsidTr="00573A25">
        <w:trPr>
          <w:trHeight w:val="288"/>
        </w:trPr>
        <w:tc>
          <w:tcPr>
            <w:tcW w:w="5395" w:type="dxa"/>
            <w:shd w:val="clear" w:color="auto" w:fill="auto"/>
            <w:vAlign w:val="center"/>
            <w:hideMark/>
          </w:tcPr>
          <w:p w14:paraId="30E67C97"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Cutaneous disease status</w:t>
            </w:r>
          </w:p>
        </w:tc>
        <w:tc>
          <w:tcPr>
            <w:tcW w:w="1260" w:type="dxa"/>
            <w:shd w:val="clear" w:color="auto" w:fill="auto"/>
            <w:noWrap/>
            <w:vAlign w:val="center"/>
            <w:hideMark/>
          </w:tcPr>
          <w:p w14:paraId="15467B8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2.28</w:t>
            </w:r>
          </w:p>
        </w:tc>
        <w:tc>
          <w:tcPr>
            <w:tcW w:w="1384" w:type="dxa"/>
            <w:shd w:val="clear" w:color="auto" w:fill="auto"/>
            <w:noWrap/>
            <w:vAlign w:val="center"/>
            <w:hideMark/>
          </w:tcPr>
          <w:p w14:paraId="4BFDDF9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1.88</w:t>
            </w:r>
          </w:p>
        </w:tc>
        <w:tc>
          <w:tcPr>
            <w:tcW w:w="1506" w:type="dxa"/>
            <w:shd w:val="clear" w:color="auto" w:fill="auto"/>
            <w:noWrap/>
            <w:vAlign w:val="center"/>
            <w:hideMark/>
          </w:tcPr>
          <w:p w14:paraId="657816E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04DBEA7F" w14:textId="77777777" w:rsidTr="00573A25">
        <w:trPr>
          <w:trHeight w:val="288"/>
        </w:trPr>
        <w:tc>
          <w:tcPr>
            <w:tcW w:w="5395" w:type="dxa"/>
            <w:shd w:val="clear" w:color="auto" w:fill="auto"/>
            <w:vAlign w:val="center"/>
            <w:hideMark/>
          </w:tcPr>
          <w:p w14:paraId="62BC8A09"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Findings or changes on HRCT</w:t>
            </w:r>
          </w:p>
        </w:tc>
        <w:tc>
          <w:tcPr>
            <w:tcW w:w="1260" w:type="dxa"/>
            <w:shd w:val="clear" w:color="auto" w:fill="auto"/>
            <w:noWrap/>
            <w:vAlign w:val="center"/>
            <w:hideMark/>
          </w:tcPr>
          <w:p w14:paraId="76086EB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3.84</w:t>
            </w:r>
          </w:p>
        </w:tc>
        <w:tc>
          <w:tcPr>
            <w:tcW w:w="1384" w:type="dxa"/>
            <w:shd w:val="clear" w:color="auto" w:fill="auto"/>
            <w:noWrap/>
            <w:vAlign w:val="center"/>
            <w:hideMark/>
          </w:tcPr>
          <w:p w14:paraId="3C8CF89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1.31</w:t>
            </w:r>
          </w:p>
        </w:tc>
        <w:tc>
          <w:tcPr>
            <w:tcW w:w="1506" w:type="dxa"/>
            <w:shd w:val="clear" w:color="auto" w:fill="auto"/>
            <w:noWrap/>
            <w:vAlign w:val="center"/>
            <w:hideMark/>
          </w:tcPr>
          <w:p w14:paraId="072A827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37F1C9D6" w14:textId="77777777" w:rsidTr="00573A25">
        <w:trPr>
          <w:trHeight w:val="288"/>
        </w:trPr>
        <w:tc>
          <w:tcPr>
            <w:tcW w:w="5395" w:type="dxa"/>
            <w:shd w:val="clear" w:color="auto" w:fill="auto"/>
            <w:vAlign w:val="center"/>
            <w:hideMark/>
          </w:tcPr>
          <w:p w14:paraId="03BFC6C2"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Findings or changes on PFTs</w:t>
            </w:r>
          </w:p>
        </w:tc>
        <w:tc>
          <w:tcPr>
            <w:tcW w:w="1260" w:type="dxa"/>
            <w:shd w:val="clear" w:color="auto" w:fill="auto"/>
            <w:noWrap/>
            <w:vAlign w:val="center"/>
            <w:hideMark/>
          </w:tcPr>
          <w:p w14:paraId="6F38B1E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3.68</w:t>
            </w:r>
          </w:p>
        </w:tc>
        <w:tc>
          <w:tcPr>
            <w:tcW w:w="1384" w:type="dxa"/>
            <w:shd w:val="clear" w:color="auto" w:fill="auto"/>
            <w:noWrap/>
            <w:vAlign w:val="center"/>
            <w:hideMark/>
          </w:tcPr>
          <w:p w14:paraId="6D0ECCC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1.35</w:t>
            </w:r>
          </w:p>
        </w:tc>
        <w:tc>
          <w:tcPr>
            <w:tcW w:w="1506" w:type="dxa"/>
            <w:shd w:val="clear" w:color="auto" w:fill="auto"/>
            <w:noWrap/>
            <w:vAlign w:val="center"/>
            <w:hideMark/>
          </w:tcPr>
          <w:p w14:paraId="6BD3D07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0CAD6EC5" w14:textId="77777777" w:rsidTr="00573A25">
        <w:trPr>
          <w:trHeight w:val="288"/>
        </w:trPr>
        <w:tc>
          <w:tcPr>
            <w:tcW w:w="5395" w:type="dxa"/>
            <w:shd w:val="clear" w:color="auto" w:fill="auto"/>
            <w:vAlign w:val="center"/>
            <w:hideMark/>
          </w:tcPr>
          <w:p w14:paraId="51D8F7C6"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Duration of symptoms</w:t>
            </w:r>
          </w:p>
        </w:tc>
        <w:tc>
          <w:tcPr>
            <w:tcW w:w="1260" w:type="dxa"/>
            <w:shd w:val="clear" w:color="auto" w:fill="auto"/>
            <w:noWrap/>
            <w:vAlign w:val="center"/>
            <w:hideMark/>
          </w:tcPr>
          <w:p w14:paraId="0BA6496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2.72</w:t>
            </w:r>
          </w:p>
        </w:tc>
        <w:tc>
          <w:tcPr>
            <w:tcW w:w="1384" w:type="dxa"/>
            <w:shd w:val="clear" w:color="auto" w:fill="auto"/>
            <w:noWrap/>
            <w:vAlign w:val="center"/>
            <w:hideMark/>
          </w:tcPr>
          <w:p w14:paraId="055A285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1.54</w:t>
            </w:r>
          </w:p>
        </w:tc>
        <w:tc>
          <w:tcPr>
            <w:tcW w:w="1506" w:type="dxa"/>
            <w:shd w:val="clear" w:color="auto" w:fill="auto"/>
            <w:noWrap/>
            <w:vAlign w:val="center"/>
            <w:hideMark/>
          </w:tcPr>
          <w:p w14:paraId="6ECB69F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3CA59E38" w14:textId="77777777" w:rsidTr="00573A25">
        <w:trPr>
          <w:trHeight w:val="288"/>
        </w:trPr>
        <w:tc>
          <w:tcPr>
            <w:tcW w:w="5395" w:type="dxa"/>
            <w:shd w:val="clear" w:color="auto" w:fill="auto"/>
            <w:vAlign w:val="center"/>
            <w:hideMark/>
          </w:tcPr>
          <w:p w14:paraId="747F3209"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Lung biopsy specimen demonstrating cellular/non-fibrotic NSIP</w:t>
            </w:r>
          </w:p>
        </w:tc>
        <w:tc>
          <w:tcPr>
            <w:tcW w:w="1260" w:type="dxa"/>
            <w:shd w:val="clear" w:color="auto" w:fill="auto"/>
            <w:noWrap/>
            <w:vAlign w:val="center"/>
            <w:hideMark/>
          </w:tcPr>
          <w:p w14:paraId="4EAF857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1.64</w:t>
            </w:r>
          </w:p>
        </w:tc>
        <w:tc>
          <w:tcPr>
            <w:tcW w:w="1384" w:type="dxa"/>
            <w:shd w:val="clear" w:color="auto" w:fill="auto"/>
            <w:noWrap/>
            <w:vAlign w:val="center"/>
            <w:hideMark/>
          </w:tcPr>
          <w:p w14:paraId="3EA1274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2.75</w:t>
            </w:r>
          </w:p>
        </w:tc>
        <w:tc>
          <w:tcPr>
            <w:tcW w:w="1506" w:type="dxa"/>
            <w:shd w:val="clear" w:color="auto" w:fill="auto"/>
            <w:noWrap/>
            <w:vAlign w:val="center"/>
            <w:hideMark/>
          </w:tcPr>
          <w:p w14:paraId="476D06A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055721EA" w14:textId="77777777" w:rsidTr="00573A25">
        <w:trPr>
          <w:trHeight w:val="288"/>
        </w:trPr>
        <w:tc>
          <w:tcPr>
            <w:tcW w:w="5395" w:type="dxa"/>
            <w:shd w:val="clear" w:color="auto" w:fill="auto"/>
            <w:vAlign w:val="center"/>
            <w:hideMark/>
          </w:tcPr>
          <w:p w14:paraId="38B3AADA"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Lung biopsy specimen demonstrating UIP</w:t>
            </w:r>
          </w:p>
        </w:tc>
        <w:tc>
          <w:tcPr>
            <w:tcW w:w="1260" w:type="dxa"/>
            <w:shd w:val="clear" w:color="auto" w:fill="auto"/>
            <w:noWrap/>
            <w:vAlign w:val="center"/>
            <w:hideMark/>
          </w:tcPr>
          <w:p w14:paraId="5FAE453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0.64</w:t>
            </w:r>
          </w:p>
        </w:tc>
        <w:tc>
          <w:tcPr>
            <w:tcW w:w="1384" w:type="dxa"/>
            <w:shd w:val="clear" w:color="auto" w:fill="auto"/>
            <w:noWrap/>
            <w:vAlign w:val="center"/>
            <w:hideMark/>
          </w:tcPr>
          <w:p w14:paraId="3BA2F90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2.58</w:t>
            </w:r>
          </w:p>
        </w:tc>
        <w:tc>
          <w:tcPr>
            <w:tcW w:w="1506" w:type="dxa"/>
            <w:shd w:val="clear" w:color="auto" w:fill="auto"/>
            <w:noWrap/>
            <w:vAlign w:val="center"/>
            <w:hideMark/>
          </w:tcPr>
          <w:p w14:paraId="76390A9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038D51B9" w14:textId="77777777" w:rsidTr="00573A25">
        <w:trPr>
          <w:trHeight w:val="288"/>
        </w:trPr>
        <w:tc>
          <w:tcPr>
            <w:tcW w:w="5395" w:type="dxa"/>
            <w:shd w:val="clear" w:color="auto" w:fill="auto"/>
            <w:vAlign w:val="center"/>
            <w:hideMark/>
          </w:tcPr>
          <w:p w14:paraId="7ABCBB30"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Concomitant pulmonary vascular disease</w:t>
            </w:r>
          </w:p>
        </w:tc>
        <w:tc>
          <w:tcPr>
            <w:tcW w:w="1260" w:type="dxa"/>
            <w:shd w:val="clear" w:color="auto" w:fill="auto"/>
            <w:noWrap/>
            <w:vAlign w:val="center"/>
            <w:hideMark/>
          </w:tcPr>
          <w:p w14:paraId="35660E9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1.20</w:t>
            </w:r>
          </w:p>
        </w:tc>
        <w:tc>
          <w:tcPr>
            <w:tcW w:w="1384" w:type="dxa"/>
            <w:shd w:val="clear" w:color="auto" w:fill="auto"/>
            <w:noWrap/>
            <w:vAlign w:val="center"/>
            <w:hideMark/>
          </w:tcPr>
          <w:p w14:paraId="274A449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2.35</w:t>
            </w:r>
          </w:p>
        </w:tc>
        <w:tc>
          <w:tcPr>
            <w:tcW w:w="1506" w:type="dxa"/>
            <w:shd w:val="clear" w:color="auto" w:fill="auto"/>
            <w:noWrap/>
            <w:vAlign w:val="center"/>
            <w:hideMark/>
          </w:tcPr>
          <w:p w14:paraId="673551B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0A7EB023" w14:textId="77777777" w:rsidTr="00573A25">
        <w:trPr>
          <w:trHeight w:val="288"/>
        </w:trPr>
        <w:tc>
          <w:tcPr>
            <w:tcW w:w="5395" w:type="dxa"/>
            <w:shd w:val="clear" w:color="auto" w:fill="auto"/>
            <w:vAlign w:val="center"/>
            <w:hideMark/>
          </w:tcPr>
          <w:p w14:paraId="5F84D110"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I don’t believe we have enough reliable information at this point to determine the phenotype of patients likely to respond to treatment</w:t>
            </w:r>
          </w:p>
        </w:tc>
        <w:tc>
          <w:tcPr>
            <w:tcW w:w="1260" w:type="dxa"/>
            <w:shd w:val="clear" w:color="auto" w:fill="auto"/>
            <w:noWrap/>
            <w:vAlign w:val="center"/>
            <w:hideMark/>
          </w:tcPr>
          <w:p w14:paraId="05554F1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1.48</w:t>
            </w:r>
          </w:p>
        </w:tc>
        <w:tc>
          <w:tcPr>
            <w:tcW w:w="1384" w:type="dxa"/>
            <w:shd w:val="clear" w:color="auto" w:fill="auto"/>
            <w:noWrap/>
            <w:vAlign w:val="center"/>
            <w:hideMark/>
          </w:tcPr>
          <w:p w14:paraId="34C918D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2.55</w:t>
            </w:r>
          </w:p>
        </w:tc>
        <w:tc>
          <w:tcPr>
            <w:tcW w:w="1506" w:type="dxa"/>
            <w:shd w:val="clear" w:color="auto" w:fill="auto"/>
            <w:noWrap/>
            <w:vAlign w:val="center"/>
            <w:hideMark/>
          </w:tcPr>
          <w:p w14:paraId="21CB2CB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32432893" w14:textId="77777777" w:rsidTr="00573A25">
        <w:trPr>
          <w:trHeight w:val="288"/>
        </w:trPr>
        <w:tc>
          <w:tcPr>
            <w:tcW w:w="9545" w:type="dxa"/>
            <w:gridSpan w:val="4"/>
            <w:shd w:val="clear" w:color="auto" w:fill="auto"/>
            <w:vAlign w:val="center"/>
            <w:hideMark/>
          </w:tcPr>
          <w:p w14:paraId="3937F1C7" w14:textId="77777777" w:rsidR="00573A25" w:rsidRPr="00BD7D28" w:rsidRDefault="00573A25" w:rsidP="00573A25">
            <w:pPr>
              <w:spacing w:line="240" w:lineRule="auto"/>
              <w:rPr>
                <w:rFonts w:ascii="Arial" w:eastAsia="Times New Roman" w:hAnsi="Arial" w:cs="Arial"/>
                <w:b/>
                <w:bCs/>
                <w:sz w:val="22"/>
              </w:rPr>
            </w:pPr>
            <w:r w:rsidRPr="00BD7D28">
              <w:rPr>
                <w:rFonts w:ascii="Arial" w:eastAsia="Times New Roman" w:hAnsi="Arial" w:cs="Arial"/>
                <w:b/>
                <w:bCs/>
                <w:sz w:val="22"/>
              </w:rPr>
              <w:t>The following patients should NOT be treated for SSc-ILD:</w:t>
            </w:r>
          </w:p>
        </w:tc>
      </w:tr>
      <w:tr w:rsidR="00BD7D28" w:rsidRPr="00BD7D28" w14:paraId="3A610F29" w14:textId="77777777" w:rsidTr="00573A25">
        <w:trPr>
          <w:trHeight w:val="288"/>
        </w:trPr>
        <w:tc>
          <w:tcPr>
            <w:tcW w:w="5395" w:type="dxa"/>
            <w:shd w:val="clear" w:color="auto" w:fill="auto"/>
            <w:vAlign w:val="center"/>
            <w:hideMark/>
          </w:tcPr>
          <w:p w14:paraId="55785B9A"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Preserved PFTs with mild ILD on HRCT</w:t>
            </w:r>
          </w:p>
        </w:tc>
        <w:tc>
          <w:tcPr>
            <w:tcW w:w="1260" w:type="dxa"/>
            <w:shd w:val="clear" w:color="auto" w:fill="auto"/>
            <w:noWrap/>
            <w:vAlign w:val="center"/>
            <w:hideMark/>
          </w:tcPr>
          <w:p w14:paraId="055F18B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1.68</w:t>
            </w:r>
          </w:p>
        </w:tc>
        <w:tc>
          <w:tcPr>
            <w:tcW w:w="1384" w:type="dxa"/>
            <w:shd w:val="clear" w:color="auto" w:fill="auto"/>
            <w:noWrap/>
            <w:vAlign w:val="center"/>
            <w:hideMark/>
          </w:tcPr>
          <w:p w14:paraId="2C44AC7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2.08</w:t>
            </w:r>
          </w:p>
        </w:tc>
        <w:tc>
          <w:tcPr>
            <w:tcW w:w="1506" w:type="dxa"/>
            <w:shd w:val="clear" w:color="auto" w:fill="auto"/>
            <w:noWrap/>
            <w:vAlign w:val="center"/>
            <w:hideMark/>
          </w:tcPr>
          <w:p w14:paraId="6198B4E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2C52E92B" w14:textId="77777777" w:rsidTr="00573A25">
        <w:trPr>
          <w:trHeight w:val="288"/>
        </w:trPr>
        <w:tc>
          <w:tcPr>
            <w:tcW w:w="5395" w:type="dxa"/>
            <w:shd w:val="clear" w:color="auto" w:fill="auto"/>
            <w:vAlign w:val="center"/>
            <w:hideMark/>
          </w:tcPr>
          <w:p w14:paraId="388F5A6E"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Patients with history of chronic lung infections, including MAI and aspergillus</w:t>
            </w:r>
          </w:p>
        </w:tc>
        <w:tc>
          <w:tcPr>
            <w:tcW w:w="1260" w:type="dxa"/>
            <w:shd w:val="clear" w:color="auto" w:fill="auto"/>
            <w:noWrap/>
            <w:vAlign w:val="center"/>
            <w:hideMark/>
          </w:tcPr>
          <w:p w14:paraId="6E8D133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2.16</w:t>
            </w:r>
          </w:p>
        </w:tc>
        <w:tc>
          <w:tcPr>
            <w:tcW w:w="1384" w:type="dxa"/>
            <w:shd w:val="clear" w:color="auto" w:fill="auto"/>
            <w:noWrap/>
            <w:vAlign w:val="center"/>
            <w:hideMark/>
          </w:tcPr>
          <w:p w14:paraId="3526017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2.27</w:t>
            </w:r>
          </w:p>
        </w:tc>
        <w:tc>
          <w:tcPr>
            <w:tcW w:w="1506" w:type="dxa"/>
            <w:shd w:val="clear" w:color="auto" w:fill="auto"/>
            <w:noWrap/>
            <w:vAlign w:val="center"/>
            <w:hideMark/>
          </w:tcPr>
          <w:p w14:paraId="0E13E55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69E895ED" w14:textId="77777777" w:rsidTr="00573A25">
        <w:trPr>
          <w:trHeight w:val="288"/>
        </w:trPr>
        <w:tc>
          <w:tcPr>
            <w:tcW w:w="5395" w:type="dxa"/>
            <w:shd w:val="clear" w:color="auto" w:fill="auto"/>
            <w:vAlign w:val="center"/>
            <w:hideMark/>
          </w:tcPr>
          <w:p w14:paraId="03C7DBEF" w14:textId="1886D371"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Patients with longstanding disease (close to 10 years) with stable PFTs and no progression of ILD over last few years</w:t>
            </w:r>
          </w:p>
        </w:tc>
        <w:tc>
          <w:tcPr>
            <w:tcW w:w="1260" w:type="dxa"/>
            <w:shd w:val="clear" w:color="auto" w:fill="auto"/>
            <w:noWrap/>
            <w:vAlign w:val="center"/>
            <w:hideMark/>
          </w:tcPr>
          <w:p w14:paraId="254D13F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3.52</w:t>
            </w:r>
          </w:p>
        </w:tc>
        <w:tc>
          <w:tcPr>
            <w:tcW w:w="1384" w:type="dxa"/>
            <w:shd w:val="clear" w:color="auto" w:fill="auto"/>
            <w:noWrap/>
            <w:vAlign w:val="center"/>
            <w:hideMark/>
          </w:tcPr>
          <w:p w14:paraId="1904217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1.81</w:t>
            </w:r>
          </w:p>
        </w:tc>
        <w:tc>
          <w:tcPr>
            <w:tcW w:w="1506" w:type="dxa"/>
            <w:shd w:val="clear" w:color="auto" w:fill="auto"/>
            <w:noWrap/>
            <w:vAlign w:val="center"/>
            <w:hideMark/>
          </w:tcPr>
          <w:p w14:paraId="4E85465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4FD5F408" w14:textId="77777777" w:rsidTr="00573A25">
        <w:trPr>
          <w:trHeight w:val="288"/>
        </w:trPr>
        <w:tc>
          <w:tcPr>
            <w:tcW w:w="5395" w:type="dxa"/>
            <w:shd w:val="clear" w:color="auto" w:fill="auto"/>
            <w:vAlign w:val="center"/>
            <w:hideMark/>
          </w:tcPr>
          <w:p w14:paraId="1ACC9DE2"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Centromere+ patients</w:t>
            </w:r>
          </w:p>
        </w:tc>
        <w:tc>
          <w:tcPr>
            <w:tcW w:w="1260" w:type="dxa"/>
            <w:shd w:val="clear" w:color="auto" w:fill="auto"/>
            <w:noWrap/>
            <w:vAlign w:val="center"/>
            <w:hideMark/>
          </w:tcPr>
          <w:p w14:paraId="36D1B97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−0.12</w:t>
            </w:r>
          </w:p>
        </w:tc>
        <w:tc>
          <w:tcPr>
            <w:tcW w:w="1384" w:type="dxa"/>
            <w:shd w:val="clear" w:color="auto" w:fill="auto"/>
            <w:noWrap/>
            <w:vAlign w:val="center"/>
            <w:hideMark/>
          </w:tcPr>
          <w:p w14:paraId="26C43C2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2.52</w:t>
            </w:r>
          </w:p>
        </w:tc>
        <w:tc>
          <w:tcPr>
            <w:tcW w:w="1506" w:type="dxa"/>
            <w:shd w:val="clear" w:color="auto" w:fill="auto"/>
            <w:noWrap/>
            <w:vAlign w:val="center"/>
            <w:hideMark/>
          </w:tcPr>
          <w:p w14:paraId="51449A0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213FB036" w14:textId="77777777" w:rsidTr="00573A25">
        <w:trPr>
          <w:trHeight w:val="288"/>
        </w:trPr>
        <w:tc>
          <w:tcPr>
            <w:tcW w:w="5395" w:type="dxa"/>
            <w:shd w:val="clear" w:color="auto" w:fill="auto"/>
            <w:vAlign w:val="center"/>
            <w:hideMark/>
          </w:tcPr>
          <w:p w14:paraId="5DFFA98D"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Stable PFTs over 1 year</w:t>
            </w:r>
          </w:p>
        </w:tc>
        <w:tc>
          <w:tcPr>
            <w:tcW w:w="1260" w:type="dxa"/>
            <w:shd w:val="clear" w:color="auto" w:fill="auto"/>
            <w:noWrap/>
            <w:vAlign w:val="center"/>
            <w:hideMark/>
          </w:tcPr>
          <w:p w14:paraId="34186D7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1.32</w:t>
            </w:r>
          </w:p>
        </w:tc>
        <w:tc>
          <w:tcPr>
            <w:tcW w:w="1384" w:type="dxa"/>
            <w:shd w:val="clear" w:color="auto" w:fill="auto"/>
            <w:noWrap/>
            <w:vAlign w:val="center"/>
            <w:hideMark/>
          </w:tcPr>
          <w:p w14:paraId="282CA05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2.14</w:t>
            </w:r>
          </w:p>
        </w:tc>
        <w:tc>
          <w:tcPr>
            <w:tcW w:w="1506" w:type="dxa"/>
            <w:shd w:val="clear" w:color="auto" w:fill="auto"/>
            <w:noWrap/>
            <w:vAlign w:val="center"/>
            <w:hideMark/>
          </w:tcPr>
          <w:p w14:paraId="530FD3D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20F15C4D" w14:textId="77777777" w:rsidTr="00573A25">
        <w:trPr>
          <w:trHeight w:val="288"/>
        </w:trPr>
        <w:tc>
          <w:tcPr>
            <w:tcW w:w="5395" w:type="dxa"/>
            <w:shd w:val="clear" w:color="auto" w:fill="auto"/>
            <w:vAlign w:val="center"/>
            <w:hideMark/>
          </w:tcPr>
          <w:p w14:paraId="2357C2D0"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Advanced/end-stage lung disease</w:t>
            </w:r>
          </w:p>
        </w:tc>
        <w:tc>
          <w:tcPr>
            <w:tcW w:w="1260" w:type="dxa"/>
            <w:shd w:val="clear" w:color="auto" w:fill="auto"/>
            <w:noWrap/>
            <w:vAlign w:val="center"/>
            <w:hideMark/>
          </w:tcPr>
          <w:p w14:paraId="78D96C11"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1.84</w:t>
            </w:r>
          </w:p>
        </w:tc>
        <w:tc>
          <w:tcPr>
            <w:tcW w:w="1384" w:type="dxa"/>
            <w:shd w:val="clear" w:color="auto" w:fill="auto"/>
            <w:noWrap/>
            <w:vAlign w:val="center"/>
            <w:hideMark/>
          </w:tcPr>
          <w:p w14:paraId="4813C57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2.61</w:t>
            </w:r>
          </w:p>
        </w:tc>
        <w:tc>
          <w:tcPr>
            <w:tcW w:w="1506" w:type="dxa"/>
            <w:shd w:val="clear" w:color="auto" w:fill="auto"/>
            <w:noWrap/>
            <w:vAlign w:val="center"/>
            <w:hideMark/>
          </w:tcPr>
          <w:p w14:paraId="398AE7F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2882345D" w14:textId="77777777" w:rsidTr="00573A25">
        <w:trPr>
          <w:trHeight w:val="288"/>
        </w:trPr>
        <w:tc>
          <w:tcPr>
            <w:tcW w:w="5395" w:type="dxa"/>
            <w:shd w:val="clear" w:color="auto" w:fill="auto"/>
            <w:vAlign w:val="center"/>
            <w:hideMark/>
          </w:tcPr>
          <w:p w14:paraId="666EB596"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Patients with UIP pattern on HRCT</w:t>
            </w:r>
          </w:p>
        </w:tc>
        <w:tc>
          <w:tcPr>
            <w:tcW w:w="1260" w:type="dxa"/>
            <w:shd w:val="clear" w:color="auto" w:fill="auto"/>
            <w:noWrap/>
            <w:vAlign w:val="center"/>
            <w:hideMark/>
          </w:tcPr>
          <w:p w14:paraId="40391D8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−0.92</w:t>
            </w:r>
          </w:p>
        </w:tc>
        <w:tc>
          <w:tcPr>
            <w:tcW w:w="1384" w:type="dxa"/>
            <w:shd w:val="clear" w:color="auto" w:fill="auto"/>
            <w:noWrap/>
            <w:vAlign w:val="center"/>
            <w:hideMark/>
          </w:tcPr>
          <w:p w14:paraId="6A2D8174" w14:textId="2ACFAA88"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2.5</w:t>
            </w:r>
            <w:r w:rsidR="00E012C7" w:rsidRPr="00BD7D28">
              <w:rPr>
                <w:rFonts w:ascii="Arial" w:eastAsia="Times New Roman" w:hAnsi="Arial" w:cs="Arial"/>
                <w:sz w:val="22"/>
              </w:rPr>
              <w:t>7</w:t>
            </w:r>
          </w:p>
        </w:tc>
        <w:tc>
          <w:tcPr>
            <w:tcW w:w="1506" w:type="dxa"/>
            <w:shd w:val="clear" w:color="auto" w:fill="auto"/>
            <w:noWrap/>
            <w:vAlign w:val="center"/>
            <w:hideMark/>
          </w:tcPr>
          <w:p w14:paraId="6ECC23B1"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17AC965E" w14:textId="77777777" w:rsidTr="00573A25">
        <w:trPr>
          <w:trHeight w:val="288"/>
        </w:trPr>
        <w:tc>
          <w:tcPr>
            <w:tcW w:w="5395" w:type="dxa"/>
            <w:shd w:val="clear" w:color="auto" w:fill="auto"/>
            <w:vAlign w:val="center"/>
            <w:hideMark/>
          </w:tcPr>
          <w:p w14:paraId="261F9F64"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Patients who are older</w:t>
            </w:r>
          </w:p>
        </w:tc>
        <w:tc>
          <w:tcPr>
            <w:tcW w:w="1260" w:type="dxa"/>
            <w:shd w:val="clear" w:color="auto" w:fill="auto"/>
            <w:noWrap/>
            <w:vAlign w:val="center"/>
            <w:hideMark/>
          </w:tcPr>
          <w:p w14:paraId="26327D5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−0.96</w:t>
            </w:r>
          </w:p>
        </w:tc>
        <w:tc>
          <w:tcPr>
            <w:tcW w:w="1384" w:type="dxa"/>
            <w:shd w:val="clear" w:color="auto" w:fill="auto"/>
            <w:noWrap/>
            <w:vAlign w:val="center"/>
            <w:hideMark/>
          </w:tcPr>
          <w:p w14:paraId="7A00684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2.35</w:t>
            </w:r>
          </w:p>
        </w:tc>
        <w:tc>
          <w:tcPr>
            <w:tcW w:w="1506" w:type="dxa"/>
            <w:shd w:val="clear" w:color="auto" w:fill="auto"/>
            <w:noWrap/>
            <w:vAlign w:val="center"/>
            <w:hideMark/>
          </w:tcPr>
          <w:p w14:paraId="7CAD193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62D8B6A7" w14:textId="77777777" w:rsidTr="00573A25">
        <w:trPr>
          <w:trHeight w:val="288"/>
        </w:trPr>
        <w:tc>
          <w:tcPr>
            <w:tcW w:w="5395" w:type="dxa"/>
            <w:shd w:val="clear" w:color="auto" w:fill="auto"/>
            <w:vAlign w:val="center"/>
            <w:hideMark/>
          </w:tcPr>
          <w:p w14:paraId="531149B9"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Patients with significant comorbidities</w:t>
            </w:r>
          </w:p>
        </w:tc>
        <w:tc>
          <w:tcPr>
            <w:tcW w:w="1260" w:type="dxa"/>
            <w:shd w:val="clear" w:color="auto" w:fill="auto"/>
            <w:noWrap/>
            <w:vAlign w:val="center"/>
            <w:hideMark/>
          </w:tcPr>
          <w:p w14:paraId="5946132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0.32</w:t>
            </w:r>
          </w:p>
        </w:tc>
        <w:tc>
          <w:tcPr>
            <w:tcW w:w="1384" w:type="dxa"/>
            <w:shd w:val="clear" w:color="auto" w:fill="auto"/>
            <w:noWrap/>
            <w:vAlign w:val="center"/>
            <w:hideMark/>
          </w:tcPr>
          <w:p w14:paraId="705A7E6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1.99</w:t>
            </w:r>
          </w:p>
        </w:tc>
        <w:tc>
          <w:tcPr>
            <w:tcW w:w="1506" w:type="dxa"/>
            <w:shd w:val="clear" w:color="auto" w:fill="auto"/>
            <w:noWrap/>
            <w:vAlign w:val="center"/>
            <w:hideMark/>
          </w:tcPr>
          <w:p w14:paraId="5AB1676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57FFAB1C" w14:textId="77777777" w:rsidTr="00573A25">
        <w:trPr>
          <w:trHeight w:val="288"/>
        </w:trPr>
        <w:tc>
          <w:tcPr>
            <w:tcW w:w="5395" w:type="dxa"/>
            <w:shd w:val="clear" w:color="auto" w:fill="auto"/>
            <w:vAlign w:val="center"/>
            <w:hideMark/>
          </w:tcPr>
          <w:p w14:paraId="2EE41583"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Patients with significant recurrent clinical aspiration</w:t>
            </w:r>
          </w:p>
        </w:tc>
        <w:tc>
          <w:tcPr>
            <w:tcW w:w="1260" w:type="dxa"/>
            <w:shd w:val="clear" w:color="auto" w:fill="auto"/>
            <w:noWrap/>
            <w:vAlign w:val="center"/>
            <w:hideMark/>
          </w:tcPr>
          <w:p w14:paraId="7F1A0B31"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0.28</w:t>
            </w:r>
          </w:p>
        </w:tc>
        <w:tc>
          <w:tcPr>
            <w:tcW w:w="1384" w:type="dxa"/>
            <w:shd w:val="clear" w:color="auto" w:fill="auto"/>
            <w:noWrap/>
            <w:vAlign w:val="center"/>
            <w:hideMark/>
          </w:tcPr>
          <w:p w14:paraId="252C5761"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2.07</w:t>
            </w:r>
          </w:p>
        </w:tc>
        <w:tc>
          <w:tcPr>
            <w:tcW w:w="1506" w:type="dxa"/>
            <w:shd w:val="clear" w:color="auto" w:fill="auto"/>
            <w:noWrap/>
            <w:vAlign w:val="center"/>
            <w:hideMark/>
          </w:tcPr>
          <w:p w14:paraId="3120F26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363B001B" w14:textId="77777777" w:rsidTr="00573A25">
        <w:trPr>
          <w:trHeight w:val="288"/>
        </w:trPr>
        <w:tc>
          <w:tcPr>
            <w:tcW w:w="5395" w:type="dxa"/>
            <w:shd w:val="clear" w:color="auto" w:fill="auto"/>
            <w:vAlign w:val="center"/>
            <w:hideMark/>
          </w:tcPr>
          <w:p w14:paraId="065447A3"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Patients with pulmonary arterial hypertension</w:t>
            </w:r>
          </w:p>
        </w:tc>
        <w:tc>
          <w:tcPr>
            <w:tcW w:w="1260" w:type="dxa"/>
            <w:shd w:val="clear" w:color="auto" w:fill="auto"/>
            <w:noWrap/>
            <w:vAlign w:val="center"/>
            <w:hideMark/>
          </w:tcPr>
          <w:p w14:paraId="6A4CF25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−1.44</w:t>
            </w:r>
          </w:p>
        </w:tc>
        <w:tc>
          <w:tcPr>
            <w:tcW w:w="1384" w:type="dxa"/>
            <w:shd w:val="clear" w:color="auto" w:fill="auto"/>
            <w:noWrap/>
            <w:vAlign w:val="center"/>
            <w:hideMark/>
          </w:tcPr>
          <w:p w14:paraId="24FA8B7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2.22</w:t>
            </w:r>
          </w:p>
        </w:tc>
        <w:tc>
          <w:tcPr>
            <w:tcW w:w="1506" w:type="dxa"/>
            <w:shd w:val="clear" w:color="auto" w:fill="auto"/>
            <w:noWrap/>
            <w:vAlign w:val="center"/>
            <w:hideMark/>
          </w:tcPr>
          <w:p w14:paraId="3AC5181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071D3AC0" w14:textId="77777777" w:rsidTr="00573A25">
        <w:trPr>
          <w:trHeight w:val="288"/>
        </w:trPr>
        <w:tc>
          <w:tcPr>
            <w:tcW w:w="5395" w:type="dxa"/>
            <w:shd w:val="clear" w:color="auto" w:fill="auto"/>
            <w:vAlign w:val="center"/>
            <w:hideMark/>
          </w:tcPr>
          <w:p w14:paraId="107FD10C"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Patients with advanced liver or renal disease who are at risk for more complications related to medical therapies</w:t>
            </w:r>
          </w:p>
        </w:tc>
        <w:tc>
          <w:tcPr>
            <w:tcW w:w="1260" w:type="dxa"/>
            <w:shd w:val="clear" w:color="auto" w:fill="auto"/>
            <w:noWrap/>
            <w:vAlign w:val="center"/>
            <w:hideMark/>
          </w:tcPr>
          <w:p w14:paraId="1283668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1.36</w:t>
            </w:r>
          </w:p>
        </w:tc>
        <w:tc>
          <w:tcPr>
            <w:tcW w:w="1384" w:type="dxa"/>
            <w:shd w:val="clear" w:color="auto" w:fill="auto"/>
            <w:noWrap/>
            <w:vAlign w:val="center"/>
            <w:hideMark/>
          </w:tcPr>
          <w:p w14:paraId="5601AA4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2.66</w:t>
            </w:r>
          </w:p>
        </w:tc>
        <w:tc>
          <w:tcPr>
            <w:tcW w:w="1506" w:type="dxa"/>
            <w:shd w:val="clear" w:color="auto" w:fill="auto"/>
            <w:noWrap/>
            <w:vAlign w:val="center"/>
            <w:hideMark/>
          </w:tcPr>
          <w:p w14:paraId="18EE401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12DAEAFC" w14:textId="77777777" w:rsidTr="00573A25">
        <w:trPr>
          <w:trHeight w:val="288"/>
        </w:trPr>
        <w:tc>
          <w:tcPr>
            <w:tcW w:w="9545" w:type="dxa"/>
            <w:gridSpan w:val="4"/>
            <w:shd w:val="clear" w:color="auto" w:fill="auto"/>
            <w:vAlign w:val="center"/>
            <w:hideMark/>
          </w:tcPr>
          <w:p w14:paraId="0763986B" w14:textId="77777777" w:rsidR="00573A25" w:rsidRPr="00BD7D28" w:rsidRDefault="00573A25" w:rsidP="00573A25">
            <w:pPr>
              <w:spacing w:line="240" w:lineRule="auto"/>
              <w:rPr>
                <w:rFonts w:ascii="Arial" w:eastAsia="Times New Roman" w:hAnsi="Arial" w:cs="Arial"/>
                <w:b/>
                <w:bCs/>
                <w:sz w:val="22"/>
              </w:rPr>
            </w:pPr>
            <w:r w:rsidRPr="00BD7D28">
              <w:rPr>
                <w:rFonts w:ascii="Arial" w:eastAsia="Times New Roman" w:hAnsi="Arial" w:cs="Arial"/>
                <w:b/>
                <w:bCs/>
                <w:sz w:val="22"/>
              </w:rPr>
              <w:t>Regarding consideration of autoantibodies in deciding whether to treat patients for SSc-ILD at initial presentation:</w:t>
            </w:r>
          </w:p>
        </w:tc>
      </w:tr>
      <w:tr w:rsidR="00BD7D28" w:rsidRPr="00BD7D28" w14:paraId="7113BBF6" w14:textId="77777777" w:rsidTr="00573A25">
        <w:trPr>
          <w:trHeight w:val="288"/>
        </w:trPr>
        <w:tc>
          <w:tcPr>
            <w:tcW w:w="5395" w:type="dxa"/>
            <w:shd w:val="clear" w:color="auto" w:fill="auto"/>
            <w:vAlign w:val="center"/>
            <w:hideMark/>
          </w:tcPr>
          <w:p w14:paraId="73757C2B"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I do not consider autoantibodies in deciding whether to treat patients for SSc-ILD</w:t>
            </w:r>
          </w:p>
        </w:tc>
        <w:tc>
          <w:tcPr>
            <w:tcW w:w="1260" w:type="dxa"/>
            <w:shd w:val="clear" w:color="auto" w:fill="auto"/>
            <w:noWrap/>
            <w:vAlign w:val="center"/>
            <w:hideMark/>
          </w:tcPr>
          <w:p w14:paraId="7D29676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−0.48</w:t>
            </w:r>
          </w:p>
        </w:tc>
        <w:tc>
          <w:tcPr>
            <w:tcW w:w="1384" w:type="dxa"/>
            <w:shd w:val="clear" w:color="auto" w:fill="auto"/>
            <w:noWrap/>
            <w:vAlign w:val="center"/>
            <w:hideMark/>
          </w:tcPr>
          <w:p w14:paraId="38715FF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2.60</w:t>
            </w:r>
          </w:p>
        </w:tc>
        <w:tc>
          <w:tcPr>
            <w:tcW w:w="1506" w:type="dxa"/>
            <w:shd w:val="clear" w:color="auto" w:fill="auto"/>
            <w:noWrap/>
            <w:vAlign w:val="center"/>
            <w:hideMark/>
          </w:tcPr>
          <w:p w14:paraId="707C714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09CA47AC" w14:textId="77777777" w:rsidTr="00573A25">
        <w:trPr>
          <w:trHeight w:val="288"/>
        </w:trPr>
        <w:tc>
          <w:tcPr>
            <w:tcW w:w="5395" w:type="dxa"/>
            <w:shd w:val="clear" w:color="auto" w:fill="auto"/>
            <w:vAlign w:val="center"/>
            <w:hideMark/>
          </w:tcPr>
          <w:p w14:paraId="1D1ECBAC"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I consider the presence of anti-Scl-70 and anti-nucleolar pattern on ANA in deciding to treat patients for SSc-ILD</w:t>
            </w:r>
          </w:p>
        </w:tc>
        <w:tc>
          <w:tcPr>
            <w:tcW w:w="1260" w:type="dxa"/>
            <w:shd w:val="clear" w:color="auto" w:fill="auto"/>
            <w:noWrap/>
            <w:vAlign w:val="center"/>
            <w:hideMark/>
          </w:tcPr>
          <w:p w14:paraId="4178505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1.64</w:t>
            </w:r>
          </w:p>
        </w:tc>
        <w:tc>
          <w:tcPr>
            <w:tcW w:w="1384" w:type="dxa"/>
            <w:shd w:val="clear" w:color="auto" w:fill="auto"/>
            <w:noWrap/>
            <w:vAlign w:val="center"/>
            <w:hideMark/>
          </w:tcPr>
          <w:p w14:paraId="3FAEDEB1"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1.96</w:t>
            </w:r>
          </w:p>
        </w:tc>
        <w:tc>
          <w:tcPr>
            <w:tcW w:w="1506" w:type="dxa"/>
            <w:shd w:val="clear" w:color="auto" w:fill="auto"/>
            <w:noWrap/>
            <w:vAlign w:val="center"/>
            <w:hideMark/>
          </w:tcPr>
          <w:p w14:paraId="32A1F1E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5374380F" w14:textId="77777777" w:rsidTr="00573A25">
        <w:trPr>
          <w:trHeight w:val="288"/>
        </w:trPr>
        <w:tc>
          <w:tcPr>
            <w:tcW w:w="5395" w:type="dxa"/>
            <w:shd w:val="clear" w:color="auto" w:fill="auto"/>
            <w:vAlign w:val="center"/>
            <w:hideMark/>
          </w:tcPr>
          <w:p w14:paraId="302C44A9"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I consider presence of RNA polymerase III antibodies in deciding to treat patients for SSc-ILD at initial presentation</w:t>
            </w:r>
          </w:p>
        </w:tc>
        <w:tc>
          <w:tcPr>
            <w:tcW w:w="1260" w:type="dxa"/>
            <w:shd w:val="clear" w:color="auto" w:fill="auto"/>
            <w:noWrap/>
            <w:vAlign w:val="center"/>
            <w:hideMark/>
          </w:tcPr>
          <w:p w14:paraId="2D52E38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1.52</w:t>
            </w:r>
          </w:p>
        </w:tc>
        <w:tc>
          <w:tcPr>
            <w:tcW w:w="1384" w:type="dxa"/>
            <w:shd w:val="clear" w:color="auto" w:fill="auto"/>
            <w:noWrap/>
            <w:vAlign w:val="center"/>
            <w:hideMark/>
          </w:tcPr>
          <w:p w14:paraId="5FF0A87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2.02</w:t>
            </w:r>
          </w:p>
        </w:tc>
        <w:tc>
          <w:tcPr>
            <w:tcW w:w="1506" w:type="dxa"/>
            <w:shd w:val="clear" w:color="auto" w:fill="auto"/>
            <w:noWrap/>
            <w:vAlign w:val="center"/>
            <w:hideMark/>
          </w:tcPr>
          <w:p w14:paraId="2E7B839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6250DEE4" w14:textId="77777777" w:rsidTr="00573A25">
        <w:trPr>
          <w:trHeight w:val="288"/>
        </w:trPr>
        <w:tc>
          <w:tcPr>
            <w:tcW w:w="5395" w:type="dxa"/>
            <w:shd w:val="clear" w:color="auto" w:fill="auto"/>
            <w:vAlign w:val="center"/>
            <w:hideMark/>
          </w:tcPr>
          <w:p w14:paraId="2C97691F" w14:textId="7FD11E86"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Patients with other antibodies</w:t>
            </w:r>
            <w:r w:rsidR="00E02BA8" w:rsidRPr="00BD7D28">
              <w:rPr>
                <w:rFonts w:ascii="Arial" w:eastAsia="Times New Roman" w:hAnsi="Arial" w:cs="Arial"/>
                <w:sz w:val="22"/>
              </w:rPr>
              <w:t xml:space="preserve"> than</w:t>
            </w:r>
            <w:r w:rsidRPr="00BD7D28">
              <w:rPr>
                <w:rFonts w:ascii="Arial" w:eastAsia="Times New Roman" w:hAnsi="Arial" w:cs="Arial"/>
                <w:sz w:val="22"/>
              </w:rPr>
              <w:t xml:space="preserve"> U1 RNP or no specific antibodies have to be taken individually as we don't know how aggressive their disease will be</w:t>
            </w:r>
          </w:p>
        </w:tc>
        <w:tc>
          <w:tcPr>
            <w:tcW w:w="1260" w:type="dxa"/>
            <w:shd w:val="clear" w:color="auto" w:fill="auto"/>
            <w:noWrap/>
            <w:vAlign w:val="center"/>
            <w:hideMark/>
          </w:tcPr>
          <w:p w14:paraId="47A8A3A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2.76</w:t>
            </w:r>
          </w:p>
        </w:tc>
        <w:tc>
          <w:tcPr>
            <w:tcW w:w="1384" w:type="dxa"/>
            <w:shd w:val="clear" w:color="auto" w:fill="auto"/>
            <w:noWrap/>
            <w:vAlign w:val="center"/>
            <w:hideMark/>
          </w:tcPr>
          <w:p w14:paraId="2B9B0BE5" w14:textId="672CE6C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2.1</w:t>
            </w:r>
            <w:r w:rsidR="00E012C7" w:rsidRPr="00BD7D28">
              <w:rPr>
                <w:rFonts w:ascii="Arial" w:eastAsia="Times New Roman" w:hAnsi="Arial" w:cs="Arial"/>
                <w:sz w:val="22"/>
              </w:rPr>
              <w:t>9</w:t>
            </w:r>
          </w:p>
        </w:tc>
        <w:tc>
          <w:tcPr>
            <w:tcW w:w="1506" w:type="dxa"/>
            <w:shd w:val="clear" w:color="auto" w:fill="auto"/>
            <w:noWrap/>
            <w:vAlign w:val="center"/>
            <w:hideMark/>
          </w:tcPr>
          <w:p w14:paraId="76241BF1"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77B11498" w14:textId="77777777" w:rsidTr="00573A25">
        <w:trPr>
          <w:trHeight w:val="288"/>
        </w:trPr>
        <w:tc>
          <w:tcPr>
            <w:tcW w:w="5395" w:type="dxa"/>
            <w:shd w:val="clear" w:color="auto" w:fill="auto"/>
            <w:vAlign w:val="center"/>
            <w:hideMark/>
          </w:tcPr>
          <w:p w14:paraId="5383B1DC"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In patients with centromere+ antibodies, I am less likely to treat them for SSc-ILD</w:t>
            </w:r>
          </w:p>
        </w:tc>
        <w:tc>
          <w:tcPr>
            <w:tcW w:w="1260" w:type="dxa"/>
            <w:shd w:val="clear" w:color="auto" w:fill="auto"/>
            <w:noWrap/>
            <w:vAlign w:val="center"/>
            <w:hideMark/>
          </w:tcPr>
          <w:p w14:paraId="7E4B276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0.12</w:t>
            </w:r>
          </w:p>
        </w:tc>
        <w:tc>
          <w:tcPr>
            <w:tcW w:w="1384" w:type="dxa"/>
            <w:shd w:val="clear" w:color="auto" w:fill="auto"/>
            <w:noWrap/>
            <w:vAlign w:val="center"/>
            <w:hideMark/>
          </w:tcPr>
          <w:p w14:paraId="243281A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2.91</w:t>
            </w:r>
          </w:p>
        </w:tc>
        <w:tc>
          <w:tcPr>
            <w:tcW w:w="1506" w:type="dxa"/>
            <w:shd w:val="clear" w:color="auto" w:fill="auto"/>
            <w:noWrap/>
            <w:vAlign w:val="center"/>
            <w:hideMark/>
          </w:tcPr>
          <w:p w14:paraId="40A43C7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7C24F02A" w14:textId="77777777" w:rsidTr="00573A25">
        <w:trPr>
          <w:trHeight w:val="288"/>
        </w:trPr>
        <w:tc>
          <w:tcPr>
            <w:tcW w:w="5395" w:type="dxa"/>
            <w:shd w:val="clear" w:color="auto" w:fill="auto"/>
            <w:vAlign w:val="center"/>
            <w:hideMark/>
          </w:tcPr>
          <w:p w14:paraId="5F700A38"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In patients with RNA polymerase III+ antibodies, I am less likely to treat them for SSc-ILD</w:t>
            </w:r>
          </w:p>
        </w:tc>
        <w:tc>
          <w:tcPr>
            <w:tcW w:w="1260" w:type="dxa"/>
            <w:shd w:val="clear" w:color="auto" w:fill="auto"/>
            <w:noWrap/>
            <w:vAlign w:val="center"/>
            <w:hideMark/>
          </w:tcPr>
          <w:p w14:paraId="6845020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−0.84</w:t>
            </w:r>
          </w:p>
        </w:tc>
        <w:tc>
          <w:tcPr>
            <w:tcW w:w="1384" w:type="dxa"/>
            <w:shd w:val="clear" w:color="auto" w:fill="auto"/>
            <w:noWrap/>
            <w:vAlign w:val="center"/>
            <w:hideMark/>
          </w:tcPr>
          <w:p w14:paraId="3A6C824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2.61</w:t>
            </w:r>
          </w:p>
        </w:tc>
        <w:tc>
          <w:tcPr>
            <w:tcW w:w="1506" w:type="dxa"/>
            <w:shd w:val="clear" w:color="auto" w:fill="auto"/>
            <w:noWrap/>
            <w:vAlign w:val="center"/>
            <w:hideMark/>
          </w:tcPr>
          <w:p w14:paraId="6FCF3B5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1D42264E" w14:textId="77777777" w:rsidTr="00573A25">
        <w:trPr>
          <w:trHeight w:val="648"/>
        </w:trPr>
        <w:tc>
          <w:tcPr>
            <w:tcW w:w="9545" w:type="dxa"/>
            <w:gridSpan w:val="4"/>
            <w:shd w:val="clear" w:color="auto" w:fill="auto"/>
            <w:vAlign w:val="center"/>
            <w:hideMark/>
          </w:tcPr>
          <w:p w14:paraId="301E80DB" w14:textId="77777777" w:rsidR="00573A25" w:rsidRPr="00BD7D28" w:rsidRDefault="00573A25" w:rsidP="00573A25">
            <w:pPr>
              <w:spacing w:line="240" w:lineRule="auto"/>
              <w:rPr>
                <w:rFonts w:ascii="Arial" w:eastAsia="Times New Roman" w:hAnsi="Arial" w:cs="Arial"/>
                <w:b/>
                <w:bCs/>
                <w:sz w:val="22"/>
              </w:rPr>
            </w:pPr>
            <w:r w:rsidRPr="00BD7D28">
              <w:rPr>
                <w:rFonts w:ascii="Arial" w:eastAsia="Times New Roman" w:hAnsi="Arial" w:cs="Arial"/>
                <w:b/>
                <w:bCs/>
                <w:sz w:val="22"/>
              </w:rPr>
              <w:t>“At initial presentation in patients with SSc, this condition would cause me enough concern about near-term ILD that I would start treatment right away”</w:t>
            </w:r>
          </w:p>
        </w:tc>
      </w:tr>
      <w:tr w:rsidR="00BD7D28" w:rsidRPr="00BD7D28" w14:paraId="35A744CC" w14:textId="77777777" w:rsidTr="00573A25">
        <w:trPr>
          <w:trHeight w:val="288"/>
        </w:trPr>
        <w:tc>
          <w:tcPr>
            <w:tcW w:w="5395" w:type="dxa"/>
            <w:shd w:val="clear" w:color="auto" w:fill="auto"/>
            <w:vAlign w:val="center"/>
            <w:hideMark/>
          </w:tcPr>
          <w:p w14:paraId="0DC44286" w14:textId="74CD878B"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Moderate</w:t>
            </w:r>
            <w:r w:rsidR="00FC4B5E" w:rsidRPr="00BD7D28">
              <w:rPr>
                <w:rFonts w:ascii="Arial" w:eastAsia="Times New Roman" w:hAnsi="Arial" w:cs="Arial"/>
                <w:sz w:val="22"/>
              </w:rPr>
              <w:t>-</w:t>
            </w:r>
            <w:r w:rsidRPr="00BD7D28">
              <w:rPr>
                <w:rFonts w:ascii="Arial" w:eastAsia="Times New Roman" w:hAnsi="Arial" w:cs="Arial"/>
                <w:sz w:val="22"/>
              </w:rPr>
              <w:t>to</w:t>
            </w:r>
            <w:r w:rsidR="00FC4B5E" w:rsidRPr="00BD7D28">
              <w:rPr>
                <w:rFonts w:ascii="Arial" w:eastAsia="Times New Roman" w:hAnsi="Arial" w:cs="Arial"/>
                <w:sz w:val="22"/>
              </w:rPr>
              <w:t>-</w:t>
            </w:r>
            <w:r w:rsidRPr="00BD7D28">
              <w:rPr>
                <w:rFonts w:ascii="Arial" w:eastAsia="Times New Roman" w:hAnsi="Arial" w:cs="Arial"/>
                <w:sz w:val="22"/>
              </w:rPr>
              <w:t>severe ILD on HRCT</w:t>
            </w:r>
          </w:p>
        </w:tc>
        <w:tc>
          <w:tcPr>
            <w:tcW w:w="1260" w:type="dxa"/>
            <w:shd w:val="clear" w:color="auto" w:fill="auto"/>
            <w:noWrap/>
            <w:vAlign w:val="center"/>
            <w:hideMark/>
          </w:tcPr>
          <w:p w14:paraId="3D38CD6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4.00</w:t>
            </w:r>
          </w:p>
        </w:tc>
        <w:tc>
          <w:tcPr>
            <w:tcW w:w="1384" w:type="dxa"/>
            <w:shd w:val="clear" w:color="auto" w:fill="auto"/>
            <w:noWrap/>
            <w:vAlign w:val="center"/>
            <w:hideMark/>
          </w:tcPr>
          <w:p w14:paraId="472C76C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1.12</w:t>
            </w:r>
          </w:p>
        </w:tc>
        <w:tc>
          <w:tcPr>
            <w:tcW w:w="1506" w:type="dxa"/>
            <w:shd w:val="clear" w:color="auto" w:fill="auto"/>
            <w:noWrap/>
            <w:vAlign w:val="center"/>
            <w:hideMark/>
          </w:tcPr>
          <w:p w14:paraId="0FD691E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70E54541" w14:textId="77777777" w:rsidTr="00573A25">
        <w:trPr>
          <w:trHeight w:val="288"/>
        </w:trPr>
        <w:tc>
          <w:tcPr>
            <w:tcW w:w="5395" w:type="dxa"/>
            <w:shd w:val="clear" w:color="auto" w:fill="auto"/>
            <w:vAlign w:val="center"/>
            <w:hideMark/>
          </w:tcPr>
          <w:p w14:paraId="6D071AB3" w14:textId="0BD5DEA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FVC and/or DL</w:t>
            </w:r>
            <w:r w:rsidRPr="00BD7D28">
              <w:rPr>
                <w:rFonts w:ascii="Arial" w:eastAsia="Times New Roman" w:hAnsi="Arial" w:cs="Arial"/>
                <w:sz w:val="22"/>
                <w:vertAlign w:val="subscript"/>
              </w:rPr>
              <w:t>CO</w:t>
            </w:r>
            <w:r w:rsidRPr="00BD7D28">
              <w:rPr>
                <w:rFonts w:ascii="Arial" w:eastAsia="Times New Roman" w:hAnsi="Arial" w:cs="Arial"/>
                <w:sz w:val="22"/>
              </w:rPr>
              <w:t xml:space="preserve"> &lt;LLN</w:t>
            </w:r>
          </w:p>
        </w:tc>
        <w:tc>
          <w:tcPr>
            <w:tcW w:w="1260" w:type="dxa"/>
            <w:shd w:val="clear" w:color="auto" w:fill="auto"/>
            <w:noWrap/>
            <w:vAlign w:val="center"/>
            <w:hideMark/>
          </w:tcPr>
          <w:p w14:paraId="44984801"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2.72</w:t>
            </w:r>
          </w:p>
        </w:tc>
        <w:tc>
          <w:tcPr>
            <w:tcW w:w="1384" w:type="dxa"/>
            <w:shd w:val="clear" w:color="auto" w:fill="auto"/>
            <w:noWrap/>
            <w:vAlign w:val="center"/>
            <w:hideMark/>
          </w:tcPr>
          <w:p w14:paraId="210F155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1.90</w:t>
            </w:r>
          </w:p>
        </w:tc>
        <w:tc>
          <w:tcPr>
            <w:tcW w:w="1506" w:type="dxa"/>
            <w:shd w:val="clear" w:color="auto" w:fill="auto"/>
            <w:noWrap/>
            <w:vAlign w:val="center"/>
            <w:hideMark/>
          </w:tcPr>
          <w:p w14:paraId="5AB1C52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48284D0D" w14:textId="77777777" w:rsidTr="00573A25">
        <w:trPr>
          <w:trHeight w:val="288"/>
        </w:trPr>
        <w:tc>
          <w:tcPr>
            <w:tcW w:w="5395" w:type="dxa"/>
            <w:shd w:val="clear" w:color="auto" w:fill="auto"/>
            <w:vAlign w:val="center"/>
            <w:hideMark/>
          </w:tcPr>
          <w:p w14:paraId="269EB185" w14:textId="649E6CD1"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Moderate</w:t>
            </w:r>
            <w:r w:rsidR="00FC4B5E" w:rsidRPr="00BD7D28">
              <w:rPr>
                <w:rFonts w:ascii="Arial" w:eastAsia="Times New Roman" w:hAnsi="Arial" w:cs="Arial"/>
                <w:sz w:val="22"/>
              </w:rPr>
              <w:t>-</w:t>
            </w:r>
            <w:r w:rsidRPr="00BD7D28">
              <w:rPr>
                <w:rFonts w:ascii="Arial" w:eastAsia="Times New Roman" w:hAnsi="Arial" w:cs="Arial"/>
                <w:sz w:val="22"/>
              </w:rPr>
              <w:t>to</w:t>
            </w:r>
            <w:r w:rsidR="00FC4B5E" w:rsidRPr="00BD7D28">
              <w:rPr>
                <w:rFonts w:ascii="Arial" w:eastAsia="Times New Roman" w:hAnsi="Arial" w:cs="Arial"/>
                <w:sz w:val="22"/>
              </w:rPr>
              <w:t>-</w:t>
            </w:r>
            <w:r w:rsidRPr="00BD7D28">
              <w:rPr>
                <w:rFonts w:ascii="Arial" w:eastAsia="Times New Roman" w:hAnsi="Arial" w:cs="Arial"/>
                <w:sz w:val="22"/>
              </w:rPr>
              <w:t>severe symptoms</w:t>
            </w:r>
          </w:p>
        </w:tc>
        <w:tc>
          <w:tcPr>
            <w:tcW w:w="1260" w:type="dxa"/>
            <w:shd w:val="clear" w:color="auto" w:fill="auto"/>
            <w:noWrap/>
            <w:vAlign w:val="center"/>
            <w:hideMark/>
          </w:tcPr>
          <w:p w14:paraId="310D0C2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3.68</w:t>
            </w:r>
          </w:p>
        </w:tc>
        <w:tc>
          <w:tcPr>
            <w:tcW w:w="1384" w:type="dxa"/>
            <w:shd w:val="clear" w:color="auto" w:fill="auto"/>
            <w:noWrap/>
            <w:vAlign w:val="center"/>
            <w:hideMark/>
          </w:tcPr>
          <w:p w14:paraId="5C9880B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1.07</w:t>
            </w:r>
          </w:p>
        </w:tc>
        <w:tc>
          <w:tcPr>
            <w:tcW w:w="1506" w:type="dxa"/>
            <w:shd w:val="clear" w:color="auto" w:fill="auto"/>
            <w:noWrap/>
            <w:vAlign w:val="center"/>
            <w:hideMark/>
          </w:tcPr>
          <w:p w14:paraId="618F0E6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187DFAB7" w14:textId="77777777" w:rsidTr="00573A25">
        <w:trPr>
          <w:trHeight w:val="288"/>
        </w:trPr>
        <w:tc>
          <w:tcPr>
            <w:tcW w:w="5395" w:type="dxa"/>
            <w:shd w:val="clear" w:color="auto" w:fill="auto"/>
            <w:vAlign w:val="center"/>
            <w:hideMark/>
          </w:tcPr>
          <w:p w14:paraId="4D20B813"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Early, rapidly progressive dcSSc even with mild abnormalities on HRCT chest scan</w:t>
            </w:r>
          </w:p>
        </w:tc>
        <w:tc>
          <w:tcPr>
            <w:tcW w:w="1260" w:type="dxa"/>
            <w:shd w:val="clear" w:color="auto" w:fill="auto"/>
            <w:noWrap/>
            <w:vAlign w:val="center"/>
            <w:hideMark/>
          </w:tcPr>
          <w:p w14:paraId="7B428E4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3.64</w:t>
            </w:r>
          </w:p>
        </w:tc>
        <w:tc>
          <w:tcPr>
            <w:tcW w:w="1384" w:type="dxa"/>
            <w:shd w:val="clear" w:color="auto" w:fill="auto"/>
            <w:noWrap/>
            <w:vAlign w:val="center"/>
            <w:hideMark/>
          </w:tcPr>
          <w:p w14:paraId="4358869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1.15</w:t>
            </w:r>
          </w:p>
        </w:tc>
        <w:tc>
          <w:tcPr>
            <w:tcW w:w="1506" w:type="dxa"/>
            <w:shd w:val="clear" w:color="auto" w:fill="auto"/>
            <w:noWrap/>
            <w:vAlign w:val="center"/>
            <w:hideMark/>
          </w:tcPr>
          <w:p w14:paraId="363132F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4A254692" w14:textId="77777777" w:rsidTr="00573A25">
        <w:trPr>
          <w:trHeight w:val="288"/>
        </w:trPr>
        <w:tc>
          <w:tcPr>
            <w:tcW w:w="5395" w:type="dxa"/>
            <w:shd w:val="clear" w:color="auto" w:fill="auto"/>
            <w:vAlign w:val="center"/>
            <w:hideMark/>
          </w:tcPr>
          <w:p w14:paraId="3407FA0D"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Early, rapidly progressive dcSSc even with mild abnormalities on PFT</w:t>
            </w:r>
          </w:p>
        </w:tc>
        <w:tc>
          <w:tcPr>
            <w:tcW w:w="1260" w:type="dxa"/>
            <w:shd w:val="clear" w:color="auto" w:fill="auto"/>
            <w:noWrap/>
            <w:vAlign w:val="center"/>
            <w:hideMark/>
          </w:tcPr>
          <w:p w14:paraId="311087B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3.60</w:t>
            </w:r>
          </w:p>
        </w:tc>
        <w:tc>
          <w:tcPr>
            <w:tcW w:w="1384" w:type="dxa"/>
            <w:shd w:val="clear" w:color="auto" w:fill="auto"/>
            <w:noWrap/>
            <w:vAlign w:val="center"/>
            <w:hideMark/>
          </w:tcPr>
          <w:p w14:paraId="6233136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1.29</w:t>
            </w:r>
          </w:p>
        </w:tc>
        <w:tc>
          <w:tcPr>
            <w:tcW w:w="1506" w:type="dxa"/>
            <w:shd w:val="clear" w:color="auto" w:fill="auto"/>
            <w:noWrap/>
            <w:vAlign w:val="center"/>
            <w:hideMark/>
          </w:tcPr>
          <w:p w14:paraId="5C7D334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58AA34B9" w14:textId="77777777" w:rsidTr="00573A25">
        <w:trPr>
          <w:trHeight w:val="288"/>
        </w:trPr>
        <w:tc>
          <w:tcPr>
            <w:tcW w:w="5395" w:type="dxa"/>
            <w:shd w:val="clear" w:color="auto" w:fill="auto"/>
            <w:vAlign w:val="center"/>
            <w:hideMark/>
          </w:tcPr>
          <w:p w14:paraId="13111AB8"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Early, rapidly progressive dcSSc even with mild abnormalities on HRCT chest scan AND mild abnormalities on PFT</w:t>
            </w:r>
          </w:p>
        </w:tc>
        <w:tc>
          <w:tcPr>
            <w:tcW w:w="1260" w:type="dxa"/>
            <w:shd w:val="clear" w:color="auto" w:fill="auto"/>
            <w:noWrap/>
            <w:vAlign w:val="center"/>
            <w:hideMark/>
          </w:tcPr>
          <w:p w14:paraId="123AC9D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4.20</w:t>
            </w:r>
          </w:p>
        </w:tc>
        <w:tc>
          <w:tcPr>
            <w:tcW w:w="1384" w:type="dxa"/>
            <w:shd w:val="clear" w:color="auto" w:fill="auto"/>
            <w:noWrap/>
            <w:vAlign w:val="center"/>
            <w:hideMark/>
          </w:tcPr>
          <w:p w14:paraId="745E953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0.87</w:t>
            </w:r>
          </w:p>
        </w:tc>
        <w:tc>
          <w:tcPr>
            <w:tcW w:w="1506" w:type="dxa"/>
            <w:shd w:val="clear" w:color="auto" w:fill="auto"/>
            <w:noWrap/>
            <w:vAlign w:val="center"/>
            <w:hideMark/>
          </w:tcPr>
          <w:p w14:paraId="6B8E99A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06F106F7" w14:textId="77777777" w:rsidTr="00573A25">
        <w:trPr>
          <w:trHeight w:val="288"/>
        </w:trPr>
        <w:tc>
          <w:tcPr>
            <w:tcW w:w="5395" w:type="dxa"/>
            <w:shd w:val="clear" w:color="auto" w:fill="auto"/>
            <w:vAlign w:val="center"/>
            <w:hideMark/>
          </w:tcPr>
          <w:p w14:paraId="14B583F0"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Presence of anti-Scl-70</w:t>
            </w:r>
          </w:p>
        </w:tc>
        <w:tc>
          <w:tcPr>
            <w:tcW w:w="1260" w:type="dxa"/>
            <w:shd w:val="clear" w:color="auto" w:fill="auto"/>
            <w:noWrap/>
            <w:vAlign w:val="center"/>
            <w:hideMark/>
          </w:tcPr>
          <w:p w14:paraId="129342C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1.56</w:t>
            </w:r>
          </w:p>
        </w:tc>
        <w:tc>
          <w:tcPr>
            <w:tcW w:w="1384" w:type="dxa"/>
            <w:shd w:val="clear" w:color="auto" w:fill="auto"/>
            <w:noWrap/>
            <w:vAlign w:val="center"/>
            <w:hideMark/>
          </w:tcPr>
          <w:p w14:paraId="3676067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1.73</w:t>
            </w:r>
          </w:p>
        </w:tc>
        <w:tc>
          <w:tcPr>
            <w:tcW w:w="1506" w:type="dxa"/>
            <w:shd w:val="clear" w:color="auto" w:fill="auto"/>
            <w:noWrap/>
            <w:vAlign w:val="center"/>
            <w:hideMark/>
          </w:tcPr>
          <w:p w14:paraId="68E3D1B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3399F762" w14:textId="77777777" w:rsidTr="00573A25">
        <w:trPr>
          <w:trHeight w:val="288"/>
        </w:trPr>
        <w:tc>
          <w:tcPr>
            <w:tcW w:w="5395" w:type="dxa"/>
            <w:shd w:val="clear" w:color="auto" w:fill="auto"/>
            <w:vAlign w:val="center"/>
            <w:hideMark/>
          </w:tcPr>
          <w:p w14:paraId="67A4EF05"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HRCT showing ILD &gt;20% lung involvement</w:t>
            </w:r>
          </w:p>
        </w:tc>
        <w:tc>
          <w:tcPr>
            <w:tcW w:w="1260" w:type="dxa"/>
            <w:shd w:val="clear" w:color="auto" w:fill="auto"/>
            <w:noWrap/>
            <w:vAlign w:val="center"/>
            <w:hideMark/>
          </w:tcPr>
          <w:p w14:paraId="3D7282F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3.80</w:t>
            </w:r>
          </w:p>
        </w:tc>
        <w:tc>
          <w:tcPr>
            <w:tcW w:w="1384" w:type="dxa"/>
            <w:shd w:val="clear" w:color="auto" w:fill="auto"/>
            <w:noWrap/>
            <w:vAlign w:val="center"/>
            <w:hideMark/>
          </w:tcPr>
          <w:p w14:paraId="6D17D42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0.96</w:t>
            </w:r>
          </w:p>
        </w:tc>
        <w:tc>
          <w:tcPr>
            <w:tcW w:w="1506" w:type="dxa"/>
            <w:shd w:val="clear" w:color="auto" w:fill="auto"/>
            <w:noWrap/>
            <w:vAlign w:val="center"/>
            <w:hideMark/>
          </w:tcPr>
          <w:p w14:paraId="4633283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61A09CBD" w14:textId="77777777" w:rsidTr="00573A25">
        <w:trPr>
          <w:trHeight w:val="288"/>
        </w:trPr>
        <w:tc>
          <w:tcPr>
            <w:tcW w:w="5395" w:type="dxa"/>
            <w:shd w:val="clear" w:color="auto" w:fill="auto"/>
            <w:vAlign w:val="center"/>
            <w:hideMark/>
          </w:tcPr>
          <w:p w14:paraId="34B42FB0" w14:textId="1AC5BC4F"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Hypox</w:t>
            </w:r>
            <w:r w:rsidR="00846B20" w:rsidRPr="00BD7D28">
              <w:rPr>
                <w:rFonts w:ascii="Arial" w:eastAsia="Times New Roman" w:hAnsi="Arial" w:cs="Arial"/>
                <w:sz w:val="22"/>
              </w:rPr>
              <w:t>emia</w:t>
            </w:r>
            <w:r w:rsidRPr="00BD7D28">
              <w:rPr>
                <w:rFonts w:ascii="Arial" w:eastAsia="Times New Roman" w:hAnsi="Arial" w:cs="Arial"/>
                <w:sz w:val="22"/>
              </w:rPr>
              <w:t xml:space="preserve"> at rest</w:t>
            </w:r>
          </w:p>
        </w:tc>
        <w:tc>
          <w:tcPr>
            <w:tcW w:w="1260" w:type="dxa"/>
            <w:shd w:val="clear" w:color="auto" w:fill="auto"/>
            <w:noWrap/>
            <w:vAlign w:val="center"/>
            <w:hideMark/>
          </w:tcPr>
          <w:p w14:paraId="7F96388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3.92</w:t>
            </w:r>
          </w:p>
        </w:tc>
        <w:tc>
          <w:tcPr>
            <w:tcW w:w="1384" w:type="dxa"/>
            <w:shd w:val="clear" w:color="auto" w:fill="auto"/>
            <w:noWrap/>
            <w:vAlign w:val="center"/>
            <w:hideMark/>
          </w:tcPr>
          <w:p w14:paraId="410422E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1.12</w:t>
            </w:r>
          </w:p>
        </w:tc>
        <w:tc>
          <w:tcPr>
            <w:tcW w:w="1506" w:type="dxa"/>
            <w:shd w:val="clear" w:color="auto" w:fill="auto"/>
            <w:noWrap/>
            <w:vAlign w:val="center"/>
            <w:hideMark/>
          </w:tcPr>
          <w:p w14:paraId="56BB11A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148D982A" w14:textId="77777777" w:rsidTr="00573A25">
        <w:trPr>
          <w:trHeight w:val="288"/>
        </w:trPr>
        <w:tc>
          <w:tcPr>
            <w:tcW w:w="5395" w:type="dxa"/>
            <w:shd w:val="clear" w:color="auto" w:fill="auto"/>
            <w:vAlign w:val="center"/>
            <w:hideMark/>
          </w:tcPr>
          <w:p w14:paraId="69A9E888"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Desaturation on exercise</w:t>
            </w:r>
          </w:p>
        </w:tc>
        <w:tc>
          <w:tcPr>
            <w:tcW w:w="1260" w:type="dxa"/>
            <w:shd w:val="clear" w:color="auto" w:fill="auto"/>
            <w:noWrap/>
            <w:vAlign w:val="center"/>
            <w:hideMark/>
          </w:tcPr>
          <w:p w14:paraId="364A9C7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3.84</w:t>
            </w:r>
          </w:p>
        </w:tc>
        <w:tc>
          <w:tcPr>
            <w:tcW w:w="1384" w:type="dxa"/>
            <w:shd w:val="clear" w:color="auto" w:fill="auto"/>
            <w:noWrap/>
            <w:vAlign w:val="center"/>
            <w:hideMark/>
          </w:tcPr>
          <w:p w14:paraId="67628DF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1.11</w:t>
            </w:r>
          </w:p>
        </w:tc>
        <w:tc>
          <w:tcPr>
            <w:tcW w:w="1506" w:type="dxa"/>
            <w:shd w:val="clear" w:color="auto" w:fill="auto"/>
            <w:noWrap/>
            <w:vAlign w:val="center"/>
            <w:hideMark/>
          </w:tcPr>
          <w:p w14:paraId="4AED817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5B29CDCC" w14:textId="77777777" w:rsidTr="00573A25">
        <w:trPr>
          <w:trHeight w:val="288"/>
        </w:trPr>
        <w:tc>
          <w:tcPr>
            <w:tcW w:w="9545" w:type="dxa"/>
            <w:gridSpan w:val="4"/>
            <w:shd w:val="clear" w:color="auto" w:fill="auto"/>
            <w:vAlign w:val="center"/>
            <w:hideMark/>
          </w:tcPr>
          <w:p w14:paraId="1713517C" w14:textId="77777777" w:rsidR="00573A25" w:rsidRPr="00BD7D28" w:rsidRDefault="00573A25" w:rsidP="00573A25">
            <w:pPr>
              <w:spacing w:line="240" w:lineRule="auto"/>
              <w:jc w:val="center"/>
              <w:rPr>
                <w:rFonts w:ascii="Arial" w:eastAsia="Times New Roman" w:hAnsi="Arial" w:cs="Arial"/>
                <w:b/>
                <w:bCs/>
                <w:sz w:val="22"/>
              </w:rPr>
            </w:pPr>
            <w:r w:rsidRPr="00BD7D28">
              <w:rPr>
                <w:rFonts w:ascii="Arial" w:eastAsia="Times New Roman" w:hAnsi="Arial" w:cs="Arial"/>
                <w:b/>
                <w:bCs/>
                <w:sz w:val="22"/>
              </w:rPr>
              <w:t>How do you treat?</w:t>
            </w:r>
          </w:p>
        </w:tc>
      </w:tr>
      <w:tr w:rsidR="00BD7D28" w:rsidRPr="00BD7D28" w14:paraId="52B005A9" w14:textId="77777777" w:rsidTr="00573A25">
        <w:trPr>
          <w:trHeight w:val="288"/>
        </w:trPr>
        <w:tc>
          <w:tcPr>
            <w:tcW w:w="9545" w:type="dxa"/>
            <w:gridSpan w:val="4"/>
            <w:shd w:val="clear" w:color="auto" w:fill="auto"/>
            <w:vAlign w:val="center"/>
            <w:hideMark/>
          </w:tcPr>
          <w:p w14:paraId="6DC8FD73" w14:textId="2523A4FE" w:rsidR="00573A25" w:rsidRPr="00BD7D28" w:rsidRDefault="00573A25" w:rsidP="00573A25">
            <w:pPr>
              <w:spacing w:line="240" w:lineRule="auto"/>
              <w:rPr>
                <w:rFonts w:ascii="Arial" w:eastAsia="Times New Roman" w:hAnsi="Arial" w:cs="Arial"/>
                <w:b/>
                <w:bCs/>
                <w:sz w:val="22"/>
              </w:rPr>
            </w:pPr>
            <w:r w:rsidRPr="00BD7D28">
              <w:rPr>
                <w:rFonts w:ascii="Arial" w:eastAsia="Times New Roman" w:hAnsi="Arial" w:cs="Arial"/>
                <w:b/>
                <w:bCs/>
                <w:sz w:val="22"/>
              </w:rPr>
              <w:t>What initial therapy do you use once you have decided to treat SSc-ILD</w:t>
            </w:r>
            <w:r w:rsidR="008D31C6" w:rsidRPr="00BD7D28">
              <w:rPr>
                <w:rFonts w:ascii="Arial" w:eastAsia="Times New Roman" w:hAnsi="Arial" w:cs="Arial"/>
                <w:b/>
                <w:bCs/>
                <w:sz w:val="22"/>
              </w:rPr>
              <w:t>?</w:t>
            </w:r>
          </w:p>
        </w:tc>
      </w:tr>
      <w:tr w:rsidR="00BD7D28" w:rsidRPr="00BD7D28" w14:paraId="72D81DDA" w14:textId="77777777" w:rsidTr="004F7917">
        <w:trPr>
          <w:trHeight w:val="288"/>
        </w:trPr>
        <w:tc>
          <w:tcPr>
            <w:tcW w:w="5395" w:type="dxa"/>
            <w:shd w:val="clear" w:color="auto" w:fill="auto"/>
            <w:vAlign w:val="center"/>
            <w:hideMark/>
          </w:tcPr>
          <w:p w14:paraId="45D5F8FD" w14:textId="3C8197C1" w:rsidR="00573A25" w:rsidRPr="00BD7D28" w:rsidRDefault="00F1181A" w:rsidP="00573A25">
            <w:pPr>
              <w:spacing w:line="240" w:lineRule="auto"/>
              <w:rPr>
                <w:rFonts w:ascii="Arial" w:eastAsia="Times New Roman" w:hAnsi="Arial" w:cs="Arial"/>
                <w:sz w:val="22"/>
              </w:rPr>
            </w:pPr>
            <w:r w:rsidRPr="00BD7D28">
              <w:rPr>
                <w:rFonts w:ascii="Arial" w:eastAsia="Times New Roman" w:hAnsi="Arial" w:cs="Arial"/>
                <w:sz w:val="22"/>
              </w:rPr>
              <w:t>MMF</w:t>
            </w:r>
          </w:p>
        </w:tc>
        <w:tc>
          <w:tcPr>
            <w:tcW w:w="1260" w:type="dxa"/>
            <w:shd w:val="clear" w:color="auto" w:fill="auto"/>
            <w:noWrap/>
            <w:vAlign w:val="center"/>
            <w:hideMark/>
          </w:tcPr>
          <w:p w14:paraId="3CBDDE8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4.72</w:t>
            </w:r>
          </w:p>
        </w:tc>
        <w:tc>
          <w:tcPr>
            <w:tcW w:w="1384" w:type="dxa"/>
            <w:shd w:val="clear" w:color="auto" w:fill="auto"/>
            <w:noWrap/>
            <w:vAlign w:val="center"/>
            <w:hideMark/>
          </w:tcPr>
          <w:p w14:paraId="5B0E81A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0.74</w:t>
            </w:r>
          </w:p>
        </w:tc>
        <w:tc>
          <w:tcPr>
            <w:tcW w:w="1506" w:type="dxa"/>
            <w:shd w:val="clear" w:color="auto" w:fill="auto"/>
            <w:noWrap/>
            <w:vAlign w:val="center"/>
            <w:hideMark/>
          </w:tcPr>
          <w:p w14:paraId="5690249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7E092EB1" w14:textId="77777777" w:rsidTr="00573A25">
        <w:trPr>
          <w:trHeight w:val="288"/>
        </w:trPr>
        <w:tc>
          <w:tcPr>
            <w:tcW w:w="5395" w:type="dxa"/>
            <w:shd w:val="clear" w:color="auto" w:fill="auto"/>
            <w:vAlign w:val="center"/>
            <w:hideMark/>
          </w:tcPr>
          <w:p w14:paraId="67FE1719" w14:textId="52A7A539" w:rsidR="00573A25" w:rsidRPr="00BD7D28" w:rsidRDefault="00F1181A" w:rsidP="00573A25">
            <w:pPr>
              <w:spacing w:line="240" w:lineRule="auto"/>
              <w:rPr>
                <w:rFonts w:ascii="Arial" w:eastAsia="Times New Roman" w:hAnsi="Arial" w:cs="Arial"/>
                <w:sz w:val="22"/>
              </w:rPr>
            </w:pPr>
            <w:r w:rsidRPr="00BD7D28">
              <w:rPr>
                <w:rFonts w:ascii="Arial" w:eastAsia="Times New Roman" w:hAnsi="Arial" w:cs="Arial"/>
                <w:sz w:val="22"/>
              </w:rPr>
              <w:t>CYC</w:t>
            </w:r>
          </w:p>
        </w:tc>
        <w:tc>
          <w:tcPr>
            <w:tcW w:w="1260" w:type="dxa"/>
            <w:shd w:val="clear" w:color="auto" w:fill="auto"/>
            <w:noWrap/>
            <w:vAlign w:val="center"/>
            <w:hideMark/>
          </w:tcPr>
          <w:p w14:paraId="19C9114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0.36</w:t>
            </w:r>
          </w:p>
        </w:tc>
        <w:tc>
          <w:tcPr>
            <w:tcW w:w="1384" w:type="dxa"/>
            <w:shd w:val="clear" w:color="auto" w:fill="auto"/>
            <w:noWrap/>
            <w:vAlign w:val="center"/>
            <w:hideMark/>
          </w:tcPr>
          <w:p w14:paraId="51A943B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2.84</w:t>
            </w:r>
          </w:p>
        </w:tc>
        <w:tc>
          <w:tcPr>
            <w:tcW w:w="1506" w:type="dxa"/>
            <w:shd w:val="clear" w:color="auto" w:fill="auto"/>
            <w:noWrap/>
            <w:vAlign w:val="center"/>
            <w:hideMark/>
          </w:tcPr>
          <w:p w14:paraId="6597724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65D37CCC" w14:textId="77777777" w:rsidTr="00573A25">
        <w:trPr>
          <w:trHeight w:val="288"/>
        </w:trPr>
        <w:tc>
          <w:tcPr>
            <w:tcW w:w="5395" w:type="dxa"/>
            <w:shd w:val="clear" w:color="auto" w:fill="auto"/>
            <w:vAlign w:val="center"/>
            <w:hideMark/>
          </w:tcPr>
          <w:p w14:paraId="41512F04"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Rituximab</w:t>
            </w:r>
          </w:p>
        </w:tc>
        <w:tc>
          <w:tcPr>
            <w:tcW w:w="1260" w:type="dxa"/>
            <w:shd w:val="clear" w:color="auto" w:fill="auto"/>
            <w:noWrap/>
            <w:vAlign w:val="center"/>
            <w:hideMark/>
          </w:tcPr>
          <w:p w14:paraId="628589E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0.52</w:t>
            </w:r>
          </w:p>
        </w:tc>
        <w:tc>
          <w:tcPr>
            <w:tcW w:w="1384" w:type="dxa"/>
            <w:shd w:val="clear" w:color="auto" w:fill="auto"/>
            <w:noWrap/>
            <w:vAlign w:val="center"/>
            <w:hideMark/>
          </w:tcPr>
          <w:p w14:paraId="3807B6B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2.66</w:t>
            </w:r>
          </w:p>
        </w:tc>
        <w:tc>
          <w:tcPr>
            <w:tcW w:w="1506" w:type="dxa"/>
            <w:shd w:val="clear" w:color="auto" w:fill="auto"/>
            <w:noWrap/>
            <w:vAlign w:val="center"/>
            <w:hideMark/>
          </w:tcPr>
          <w:p w14:paraId="1AF9378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405E6BAB" w14:textId="77777777" w:rsidTr="00573A25">
        <w:trPr>
          <w:trHeight w:val="288"/>
        </w:trPr>
        <w:tc>
          <w:tcPr>
            <w:tcW w:w="5395" w:type="dxa"/>
            <w:shd w:val="clear" w:color="auto" w:fill="auto"/>
            <w:vAlign w:val="center"/>
            <w:hideMark/>
          </w:tcPr>
          <w:p w14:paraId="7D6780A3"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Azathioprine</w:t>
            </w:r>
          </w:p>
        </w:tc>
        <w:tc>
          <w:tcPr>
            <w:tcW w:w="1260" w:type="dxa"/>
            <w:shd w:val="clear" w:color="auto" w:fill="auto"/>
            <w:noWrap/>
            <w:vAlign w:val="center"/>
            <w:hideMark/>
          </w:tcPr>
          <w:p w14:paraId="06BEE7F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−0.28</w:t>
            </w:r>
          </w:p>
        </w:tc>
        <w:tc>
          <w:tcPr>
            <w:tcW w:w="1384" w:type="dxa"/>
            <w:shd w:val="clear" w:color="auto" w:fill="auto"/>
            <w:noWrap/>
            <w:vAlign w:val="center"/>
            <w:hideMark/>
          </w:tcPr>
          <w:p w14:paraId="64D51D2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2.41</w:t>
            </w:r>
          </w:p>
        </w:tc>
        <w:tc>
          <w:tcPr>
            <w:tcW w:w="1506" w:type="dxa"/>
            <w:shd w:val="clear" w:color="auto" w:fill="auto"/>
            <w:noWrap/>
            <w:vAlign w:val="center"/>
            <w:hideMark/>
          </w:tcPr>
          <w:p w14:paraId="5ECB829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68FCFB88" w14:textId="77777777" w:rsidTr="004F7917">
        <w:trPr>
          <w:trHeight w:val="288"/>
        </w:trPr>
        <w:tc>
          <w:tcPr>
            <w:tcW w:w="5395" w:type="dxa"/>
            <w:shd w:val="clear" w:color="auto" w:fill="auto"/>
            <w:vAlign w:val="center"/>
            <w:hideMark/>
          </w:tcPr>
          <w:p w14:paraId="01556687"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Methotrexate</w:t>
            </w:r>
          </w:p>
        </w:tc>
        <w:tc>
          <w:tcPr>
            <w:tcW w:w="1260" w:type="dxa"/>
            <w:shd w:val="clear" w:color="auto" w:fill="auto"/>
            <w:noWrap/>
            <w:vAlign w:val="center"/>
            <w:hideMark/>
          </w:tcPr>
          <w:p w14:paraId="444AEFA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−2.84</w:t>
            </w:r>
          </w:p>
        </w:tc>
        <w:tc>
          <w:tcPr>
            <w:tcW w:w="1384" w:type="dxa"/>
            <w:shd w:val="clear" w:color="auto" w:fill="auto"/>
            <w:noWrap/>
            <w:vAlign w:val="center"/>
            <w:hideMark/>
          </w:tcPr>
          <w:p w14:paraId="09D7E23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2.48</w:t>
            </w:r>
          </w:p>
        </w:tc>
        <w:tc>
          <w:tcPr>
            <w:tcW w:w="1506" w:type="dxa"/>
            <w:shd w:val="clear" w:color="auto" w:fill="auto"/>
            <w:noWrap/>
            <w:vAlign w:val="center"/>
            <w:hideMark/>
          </w:tcPr>
          <w:p w14:paraId="3A0EE89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Against</w:t>
            </w:r>
          </w:p>
        </w:tc>
      </w:tr>
      <w:tr w:rsidR="00BD7D28" w:rsidRPr="00BD7D28" w14:paraId="3C7D3E7A" w14:textId="77777777" w:rsidTr="00573A25">
        <w:trPr>
          <w:trHeight w:val="288"/>
        </w:trPr>
        <w:tc>
          <w:tcPr>
            <w:tcW w:w="5395" w:type="dxa"/>
            <w:shd w:val="clear" w:color="auto" w:fill="auto"/>
            <w:vAlign w:val="center"/>
            <w:hideMark/>
          </w:tcPr>
          <w:p w14:paraId="4C4A9015"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Prednisone</w:t>
            </w:r>
          </w:p>
        </w:tc>
        <w:tc>
          <w:tcPr>
            <w:tcW w:w="1260" w:type="dxa"/>
            <w:shd w:val="clear" w:color="auto" w:fill="auto"/>
            <w:noWrap/>
            <w:vAlign w:val="center"/>
            <w:hideMark/>
          </w:tcPr>
          <w:p w14:paraId="6386633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−0.60</w:t>
            </w:r>
          </w:p>
        </w:tc>
        <w:tc>
          <w:tcPr>
            <w:tcW w:w="1384" w:type="dxa"/>
            <w:shd w:val="clear" w:color="auto" w:fill="auto"/>
            <w:noWrap/>
            <w:vAlign w:val="center"/>
            <w:hideMark/>
          </w:tcPr>
          <w:p w14:paraId="359A5E2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2.75</w:t>
            </w:r>
          </w:p>
        </w:tc>
        <w:tc>
          <w:tcPr>
            <w:tcW w:w="1506" w:type="dxa"/>
            <w:shd w:val="clear" w:color="auto" w:fill="auto"/>
            <w:noWrap/>
            <w:vAlign w:val="center"/>
            <w:hideMark/>
          </w:tcPr>
          <w:p w14:paraId="7E19BD3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4814A666" w14:textId="77777777" w:rsidTr="00573A25">
        <w:trPr>
          <w:trHeight w:val="288"/>
        </w:trPr>
        <w:tc>
          <w:tcPr>
            <w:tcW w:w="9545" w:type="dxa"/>
            <w:gridSpan w:val="4"/>
            <w:shd w:val="clear" w:color="auto" w:fill="auto"/>
            <w:vAlign w:val="center"/>
            <w:hideMark/>
          </w:tcPr>
          <w:p w14:paraId="2BD29115" w14:textId="047A5AF2" w:rsidR="00573A25" w:rsidRPr="00BD7D28" w:rsidRDefault="00573A25" w:rsidP="00573A25">
            <w:pPr>
              <w:spacing w:line="240" w:lineRule="auto"/>
              <w:rPr>
                <w:rFonts w:ascii="Arial" w:eastAsia="Times New Roman" w:hAnsi="Arial" w:cs="Arial"/>
                <w:b/>
                <w:bCs/>
                <w:sz w:val="22"/>
              </w:rPr>
            </w:pPr>
            <w:r w:rsidRPr="00BD7D28">
              <w:rPr>
                <w:rFonts w:ascii="Arial" w:eastAsia="Times New Roman" w:hAnsi="Arial" w:cs="Arial"/>
                <w:b/>
                <w:bCs/>
                <w:sz w:val="22"/>
              </w:rPr>
              <w:t xml:space="preserve">What is your typical/target dose for </w:t>
            </w:r>
            <w:r w:rsidR="008D31C6" w:rsidRPr="00BD7D28">
              <w:rPr>
                <w:rFonts w:ascii="Arial" w:eastAsia="Times New Roman" w:hAnsi="Arial" w:cs="Arial"/>
                <w:b/>
                <w:bCs/>
                <w:sz w:val="22"/>
              </w:rPr>
              <w:t>MMF</w:t>
            </w:r>
            <w:r w:rsidRPr="00BD7D28">
              <w:rPr>
                <w:rFonts w:ascii="Arial" w:eastAsia="Times New Roman" w:hAnsi="Arial" w:cs="Arial"/>
                <w:b/>
                <w:bCs/>
                <w:sz w:val="22"/>
              </w:rPr>
              <w:t>?</w:t>
            </w:r>
          </w:p>
        </w:tc>
      </w:tr>
      <w:tr w:rsidR="00BD7D28" w:rsidRPr="00BD7D28" w14:paraId="105C94AE" w14:textId="77777777" w:rsidTr="00573A25">
        <w:trPr>
          <w:trHeight w:val="288"/>
        </w:trPr>
        <w:tc>
          <w:tcPr>
            <w:tcW w:w="5395" w:type="dxa"/>
            <w:shd w:val="clear" w:color="auto" w:fill="auto"/>
            <w:vAlign w:val="center"/>
            <w:hideMark/>
          </w:tcPr>
          <w:p w14:paraId="5B4073BD" w14:textId="64FFA438"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1000 mg daily</w:t>
            </w:r>
          </w:p>
        </w:tc>
        <w:tc>
          <w:tcPr>
            <w:tcW w:w="1260" w:type="dxa"/>
            <w:shd w:val="clear" w:color="auto" w:fill="auto"/>
            <w:noWrap/>
            <w:vAlign w:val="center"/>
            <w:hideMark/>
          </w:tcPr>
          <w:p w14:paraId="52A50DF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−2.40</w:t>
            </w:r>
          </w:p>
        </w:tc>
        <w:tc>
          <w:tcPr>
            <w:tcW w:w="1384" w:type="dxa"/>
            <w:shd w:val="clear" w:color="auto" w:fill="auto"/>
            <w:noWrap/>
            <w:vAlign w:val="center"/>
            <w:hideMark/>
          </w:tcPr>
          <w:p w14:paraId="2114F98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2.45</w:t>
            </w:r>
          </w:p>
        </w:tc>
        <w:tc>
          <w:tcPr>
            <w:tcW w:w="1506" w:type="dxa"/>
            <w:shd w:val="clear" w:color="auto" w:fill="auto"/>
            <w:noWrap/>
            <w:vAlign w:val="center"/>
            <w:hideMark/>
          </w:tcPr>
          <w:p w14:paraId="3CB53FC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54D4C6A2" w14:textId="77777777" w:rsidTr="00573A25">
        <w:trPr>
          <w:trHeight w:val="288"/>
        </w:trPr>
        <w:tc>
          <w:tcPr>
            <w:tcW w:w="5395" w:type="dxa"/>
            <w:shd w:val="clear" w:color="auto" w:fill="auto"/>
            <w:vAlign w:val="center"/>
            <w:hideMark/>
          </w:tcPr>
          <w:p w14:paraId="4AC09374" w14:textId="3E4BDBED"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1500 mg daily</w:t>
            </w:r>
          </w:p>
        </w:tc>
        <w:tc>
          <w:tcPr>
            <w:tcW w:w="1260" w:type="dxa"/>
            <w:shd w:val="clear" w:color="auto" w:fill="auto"/>
            <w:noWrap/>
            <w:vAlign w:val="center"/>
            <w:hideMark/>
          </w:tcPr>
          <w:p w14:paraId="58E5A47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−1.88</w:t>
            </w:r>
          </w:p>
        </w:tc>
        <w:tc>
          <w:tcPr>
            <w:tcW w:w="1384" w:type="dxa"/>
            <w:shd w:val="clear" w:color="auto" w:fill="auto"/>
            <w:noWrap/>
            <w:vAlign w:val="center"/>
            <w:hideMark/>
          </w:tcPr>
          <w:p w14:paraId="7CE3C64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2.67</w:t>
            </w:r>
          </w:p>
        </w:tc>
        <w:tc>
          <w:tcPr>
            <w:tcW w:w="1506" w:type="dxa"/>
            <w:shd w:val="clear" w:color="auto" w:fill="auto"/>
            <w:noWrap/>
            <w:vAlign w:val="center"/>
            <w:hideMark/>
          </w:tcPr>
          <w:p w14:paraId="493A18C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5957BB70" w14:textId="77777777" w:rsidTr="004F7917">
        <w:trPr>
          <w:trHeight w:val="288"/>
        </w:trPr>
        <w:tc>
          <w:tcPr>
            <w:tcW w:w="5395" w:type="dxa"/>
            <w:shd w:val="clear" w:color="auto" w:fill="auto"/>
            <w:vAlign w:val="center"/>
            <w:hideMark/>
          </w:tcPr>
          <w:p w14:paraId="01D50DDF" w14:textId="7F40D5EE"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2000 mg daily</w:t>
            </w:r>
          </w:p>
        </w:tc>
        <w:tc>
          <w:tcPr>
            <w:tcW w:w="1260" w:type="dxa"/>
            <w:shd w:val="clear" w:color="auto" w:fill="auto"/>
            <w:noWrap/>
            <w:vAlign w:val="center"/>
            <w:hideMark/>
          </w:tcPr>
          <w:p w14:paraId="6581CF6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2.68</w:t>
            </w:r>
          </w:p>
        </w:tc>
        <w:tc>
          <w:tcPr>
            <w:tcW w:w="1384" w:type="dxa"/>
            <w:shd w:val="clear" w:color="auto" w:fill="auto"/>
            <w:noWrap/>
            <w:vAlign w:val="center"/>
            <w:hideMark/>
          </w:tcPr>
          <w:p w14:paraId="3FFE360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1.82</w:t>
            </w:r>
          </w:p>
        </w:tc>
        <w:tc>
          <w:tcPr>
            <w:tcW w:w="1506" w:type="dxa"/>
            <w:shd w:val="clear" w:color="auto" w:fill="auto"/>
            <w:noWrap/>
            <w:vAlign w:val="center"/>
            <w:hideMark/>
          </w:tcPr>
          <w:p w14:paraId="166C71D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32AB3F4B" w14:textId="77777777" w:rsidTr="004F7917">
        <w:trPr>
          <w:trHeight w:val="288"/>
        </w:trPr>
        <w:tc>
          <w:tcPr>
            <w:tcW w:w="5395" w:type="dxa"/>
            <w:shd w:val="clear" w:color="auto" w:fill="auto"/>
            <w:vAlign w:val="center"/>
            <w:hideMark/>
          </w:tcPr>
          <w:p w14:paraId="15BEA755" w14:textId="755C0C8F"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3000 mg daily</w:t>
            </w:r>
          </w:p>
        </w:tc>
        <w:tc>
          <w:tcPr>
            <w:tcW w:w="1260" w:type="dxa"/>
            <w:shd w:val="clear" w:color="auto" w:fill="auto"/>
            <w:noWrap/>
            <w:vAlign w:val="center"/>
            <w:hideMark/>
          </w:tcPr>
          <w:p w14:paraId="4E26341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4.44</w:t>
            </w:r>
          </w:p>
        </w:tc>
        <w:tc>
          <w:tcPr>
            <w:tcW w:w="1384" w:type="dxa"/>
            <w:shd w:val="clear" w:color="auto" w:fill="auto"/>
            <w:noWrap/>
            <w:vAlign w:val="center"/>
            <w:hideMark/>
          </w:tcPr>
          <w:p w14:paraId="2AA8D90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0.77</w:t>
            </w:r>
          </w:p>
        </w:tc>
        <w:tc>
          <w:tcPr>
            <w:tcW w:w="1506" w:type="dxa"/>
            <w:shd w:val="clear" w:color="auto" w:fill="auto"/>
            <w:noWrap/>
            <w:vAlign w:val="center"/>
            <w:hideMark/>
          </w:tcPr>
          <w:p w14:paraId="2A9BB63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2A79F9F1" w14:textId="77777777" w:rsidTr="004F7917">
        <w:trPr>
          <w:trHeight w:val="288"/>
        </w:trPr>
        <w:tc>
          <w:tcPr>
            <w:tcW w:w="5395" w:type="dxa"/>
            <w:shd w:val="clear" w:color="auto" w:fill="auto"/>
            <w:vAlign w:val="center"/>
            <w:hideMark/>
          </w:tcPr>
          <w:p w14:paraId="6EA7E0C2" w14:textId="675AC8F3"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 xml:space="preserve">I do not utilize </w:t>
            </w:r>
            <w:r w:rsidR="008D31C6" w:rsidRPr="00BD7D28">
              <w:rPr>
                <w:rFonts w:ascii="Arial" w:eastAsia="Times New Roman" w:hAnsi="Arial" w:cs="Arial"/>
                <w:sz w:val="22"/>
              </w:rPr>
              <w:t>MMF</w:t>
            </w:r>
          </w:p>
        </w:tc>
        <w:tc>
          <w:tcPr>
            <w:tcW w:w="1260" w:type="dxa"/>
            <w:shd w:val="clear" w:color="auto" w:fill="auto"/>
            <w:noWrap/>
            <w:vAlign w:val="center"/>
            <w:hideMark/>
          </w:tcPr>
          <w:p w14:paraId="39665B6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−4.56</w:t>
            </w:r>
          </w:p>
        </w:tc>
        <w:tc>
          <w:tcPr>
            <w:tcW w:w="1384" w:type="dxa"/>
            <w:shd w:val="clear" w:color="auto" w:fill="auto"/>
            <w:noWrap/>
            <w:vAlign w:val="center"/>
            <w:hideMark/>
          </w:tcPr>
          <w:p w14:paraId="26CC571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1.39</w:t>
            </w:r>
          </w:p>
        </w:tc>
        <w:tc>
          <w:tcPr>
            <w:tcW w:w="1506" w:type="dxa"/>
            <w:shd w:val="clear" w:color="auto" w:fill="auto"/>
            <w:noWrap/>
            <w:vAlign w:val="center"/>
            <w:hideMark/>
          </w:tcPr>
          <w:p w14:paraId="0836698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Against</w:t>
            </w:r>
          </w:p>
        </w:tc>
      </w:tr>
      <w:tr w:rsidR="00BD7D28" w:rsidRPr="00BD7D28" w14:paraId="6974A02F" w14:textId="77777777" w:rsidTr="00573A25">
        <w:trPr>
          <w:trHeight w:val="288"/>
        </w:trPr>
        <w:tc>
          <w:tcPr>
            <w:tcW w:w="9545" w:type="dxa"/>
            <w:gridSpan w:val="4"/>
            <w:shd w:val="clear" w:color="auto" w:fill="auto"/>
            <w:vAlign w:val="center"/>
            <w:hideMark/>
          </w:tcPr>
          <w:p w14:paraId="24764CFF" w14:textId="77777777" w:rsidR="00573A25" w:rsidRPr="00BD7D28" w:rsidRDefault="00573A25" w:rsidP="00573A25">
            <w:pPr>
              <w:spacing w:line="240" w:lineRule="auto"/>
              <w:rPr>
                <w:rFonts w:ascii="Arial" w:eastAsia="Times New Roman" w:hAnsi="Arial" w:cs="Arial"/>
                <w:b/>
                <w:bCs/>
                <w:sz w:val="22"/>
              </w:rPr>
            </w:pPr>
            <w:r w:rsidRPr="00BD7D28">
              <w:rPr>
                <w:rFonts w:ascii="Arial" w:eastAsia="Times New Roman" w:hAnsi="Arial" w:cs="Arial"/>
                <w:b/>
                <w:bCs/>
                <w:sz w:val="22"/>
              </w:rPr>
              <w:t>What is your typical/target dose for azathioprine?</w:t>
            </w:r>
          </w:p>
        </w:tc>
      </w:tr>
      <w:tr w:rsidR="00BD7D28" w:rsidRPr="00BD7D28" w14:paraId="00725D4C" w14:textId="77777777" w:rsidTr="004F7917">
        <w:trPr>
          <w:trHeight w:val="288"/>
        </w:trPr>
        <w:tc>
          <w:tcPr>
            <w:tcW w:w="5395" w:type="dxa"/>
            <w:shd w:val="clear" w:color="auto" w:fill="auto"/>
            <w:vAlign w:val="center"/>
            <w:hideMark/>
          </w:tcPr>
          <w:p w14:paraId="3A322B34"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2–3 mg/kg/day</w:t>
            </w:r>
          </w:p>
        </w:tc>
        <w:tc>
          <w:tcPr>
            <w:tcW w:w="1260" w:type="dxa"/>
            <w:shd w:val="clear" w:color="auto" w:fill="auto"/>
            <w:noWrap/>
            <w:vAlign w:val="center"/>
            <w:hideMark/>
          </w:tcPr>
          <w:p w14:paraId="31B0349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2.88</w:t>
            </w:r>
          </w:p>
        </w:tc>
        <w:tc>
          <w:tcPr>
            <w:tcW w:w="1384" w:type="dxa"/>
            <w:shd w:val="clear" w:color="auto" w:fill="auto"/>
            <w:noWrap/>
            <w:vAlign w:val="center"/>
            <w:hideMark/>
          </w:tcPr>
          <w:p w14:paraId="4FDE88BB" w14:textId="12BB7641"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2.4</w:t>
            </w:r>
            <w:r w:rsidR="00E012C7" w:rsidRPr="00BD7D28">
              <w:rPr>
                <w:rFonts w:ascii="Arial" w:eastAsia="Times New Roman" w:hAnsi="Arial" w:cs="Arial"/>
                <w:sz w:val="22"/>
              </w:rPr>
              <w:t>6</w:t>
            </w:r>
          </w:p>
        </w:tc>
        <w:tc>
          <w:tcPr>
            <w:tcW w:w="1506" w:type="dxa"/>
            <w:shd w:val="clear" w:color="auto" w:fill="auto"/>
            <w:noWrap/>
            <w:vAlign w:val="center"/>
            <w:hideMark/>
          </w:tcPr>
          <w:p w14:paraId="27303BC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46D61B24" w14:textId="77777777" w:rsidTr="00573A25">
        <w:trPr>
          <w:trHeight w:val="288"/>
        </w:trPr>
        <w:tc>
          <w:tcPr>
            <w:tcW w:w="5395" w:type="dxa"/>
            <w:shd w:val="clear" w:color="auto" w:fill="auto"/>
            <w:vAlign w:val="center"/>
            <w:hideMark/>
          </w:tcPr>
          <w:p w14:paraId="3E71E6D4"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 xml:space="preserve">50–150 mg/day </w:t>
            </w:r>
          </w:p>
        </w:tc>
        <w:tc>
          <w:tcPr>
            <w:tcW w:w="1260" w:type="dxa"/>
            <w:shd w:val="clear" w:color="auto" w:fill="auto"/>
            <w:noWrap/>
            <w:vAlign w:val="center"/>
            <w:hideMark/>
          </w:tcPr>
          <w:p w14:paraId="32B1320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1.04</w:t>
            </w:r>
          </w:p>
        </w:tc>
        <w:tc>
          <w:tcPr>
            <w:tcW w:w="1384" w:type="dxa"/>
            <w:shd w:val="clear" w:color="auto" w:fill="auto"/>
            <w:noWrap/>
            <w:vAlign w:val="center"/>
            <w:hideMark/>
          </w:tcPr>
          <w:p w14:paraId="52D901C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3.34</w:t>
            </w:r>
          </w:p>
        </w:tc>
        <w:tc>
          <w:tcPr>
            <w:tcW w:w="1506" w:type="dxa"/>
            <w:shd w:val="clear" w:color="auto" w:fill="auto"/>
            <w:noWrap/>
            <w:vAlign w:val="center"/>
            <w:hideMark/>
          </w:tcPr>
          <w:p w14:paraId="6A25CA7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57DEEB4F" w14:textId="77777777" w:rsidTr="00573A25">
        <w:trPr>
          <w:trHeight w:val="288"/>
        </w:trPr>
        <w:tc>
          <w:tcPr>
            <w:tcW w:w="5395" w:type="dxa"/>
            <w:shd w:val="clear" w:color="auto" w:fill="auto"/>
            <w:vAlign w:val="center"/>
            <w:hideMark/>
          </w:tcPr>
          <w:p w14:paraId="1EDC05FA"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Up to 200 mg/day</w:t>
            </w:r>
          </w:p>
        </w:tc>
        <w:tc>
          <w:tcPr>
            <w:tcW w:w="1260" w:type="dxa"/>
            <w:shd w:val="clear" w:color="auto" w:fill="auto"/>
            <w:noWrap/>
            <w:vAlign w:val="center"/>
            <w:hideMark/>
          </w:tcPr>
          <w:p w14:paraId="79DE0FC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1.04</w:t>
            </w:r>
          </w:p>
        </w:tc>
        <w:tc>
          <w:tcPr>
            <w:tcW w:w="1384" w:type="dxa"/>
            <w:shd w:val="clear" w:color="auto" w:fill="auto"/>
            <w:noWrap/>
            <w:vAlign w:val="center"/>
            <w:hideMark/>
          </w:tcPr>
          <w:p w14:paraId="570F20F9" w14:textId="6EC63A72"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3.3</w:t>
            </w:r>
            <w:r w:rsidR="00E012C7" w:rsidRPr="00BD7D28">
              <w:rPr>
                <w:rFonts w:ascii="Arial" w:eastAsia="Times New Roman" w:hAnsi="Arial" w:cs="Arial"/>
                <w:sz w:val="22"/>
              </w:rPr>
              <w:t>9</w:t>
            </w:r>
          </w:p>
        </w:tc>
        <w:tc>
          <w:tcPr>
            <w:tcW w:w="1506" w:type="dxa"/>
            <w:shd w:val="clear" w:color="auto" w:fill="auto"/>
            <w:noWrap/>
            <w:vAlign w:val="center"/>
            <w:hideMark/>
          </w:tcPr>
          <w:p w14:paraId="7A70E3C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73816CEB" w14:textId="77777777" w:rsidTr="00573A25">
        <w:trPr>
          <w:trHeight w:val="288"/>
        </w:trPr>
        <w:tc>
          <w:tcPr>
            <w:tcW w:w="5395" w:type="dxa"/>
            <w:shd w:val="clear" w:color="auto" w:fill="auto"/>
            <w:vAlign w:val="center"/>
            <w:hideMark/>
          </w:tcPr>
          <w:p w14:paraId="1DF62186"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I do not utilize azathioprine</w:t>
            </w:r>
          </w:p>
        </w:tc>
        <w:tc>
          <w:tcPr>
            <w:tcW w:w="1260" w:type="dxa"/>
            <w:shd w:val="clear" w:color="auto" w:fill="auto"/>
            <w:noWrap/>
            <w:vAlign w:val="center"/>
            <w:hideMark/>
          </w:tcPr>
          <w:p w14:paraId="0670D3C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−2.56</w:t>
            </w:r>
          </w:p>
        </w:tc>
        <w:tc>
          <w:tcPr>
            <w:tcW w:w="1384" w:type="dxa"/>
            <w:shd w:val="clear" w:color="auto" w:fill="auto"/>
            <w:noWrap/>
            <w:vAlign w:val="center"/>
            <w:hideMark/>
          </w:tcPr>
          <w:p w14:paraId="3178E7F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2.97</w:t>
            </w:r>
          </w:p>
        </w:tc>
        <w:tc>
          <w:tcPr>
            <w:tcW w:w="1506" w:type="dxa"/>
            <w:shd w:val="clear" w:color="auto" w:fill="auto"/>
            <w:noWrap/>
            <w:vAlign w:val="center"/>
            <w:hideMark/>
          </w:tcPr>
          <w:p w14:paraId="066889F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73A0D1F0" w14:textId="77777777" w:rsidTr="00573A25">
        <w:trPr>
          <w:trHeight w:val="288"/>
        </w:trPr>
        <w:tc>
          <w:tcPr>
            <w:tcW w:w="9545" w:type="dxa"/>
            <w:gridSpan w:val="4"/>
            <w:shd w:val="clear" w:color="auto" w:fill="auto"/>
            <w:vAlign w:val="center"/>
            <w:hideMark/>
          </w:tcPr>
          <w:p w14:paraId="473C694F" w14:textId="77777777" w:rsidR="00573A25" w:rsidRPr="00BD7D28" w:rsidRDefault="00573A25" w:rsidP="00573A25">
            <w:pPr>
              <w:spacing w:line="240" w:lineRule="auto"/>
              <w:rPr>
                <w:rFonts w:ascii="Arial" w:eastAsia="Times New Roman" w:hAnsi="Arial" w:cs="Arial"/>
                <w:b/>
                <w:bCs/>
                <w:sz w:val="22"/>
              </w:rPr>
            </w:pPr>
            <w:r w:rsidRPr="00BD7D28">
              <w:rPr>
                <w:rFonts w:ascii="Arial" w:eastAsia="Times New Roman" w:hAnsi="Arial" w:cs="Arial"/>
                <w:b/>
                <w:bCs/>
                <w:sz w:val="22"/>
              </w:rPr>
              <w:t>What is your typical/target dose for rituximab?</w:t>
            </w:r>
          </w:p>
        </w:tc>
      </w:tr>
      <w:tr w:rsidR="00BD7D28" w:rsidRPr="00BD7D28" w14:paraId="15917C8D" w14:textId="77777777" w:rsidTr="00573A25">
        <w:trPr>
          <w:trHeight w:val="288"/>
        </w:trPr>
        <w:tc>
          <w:tcPr>
            <w:tcW w:w="5395" w:type="dxa"/>
            <w:shd w:val="clear" w:color="auto" w:fill="auto"/>
            <w:vAlign w:val="center"/>
            <w:hideMark/>
          </w:tcPr>
          <w:p w14:paraId="7BA2E702" w14:textId="20DC0DFC"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1 g on day</w:t>
            </w:r>
            <w:r w:rsidR="008D31C6" w:rsidRPr="00BD7D28">
              <w:rPr>
                <w:rFonts w:ascii="Arial" w:eastAsia="Times New Roman" w:hAnsi="Arial" w:cs="Arial"/>
                <w:sz w:val="22"/>
              </w:rPr>
              <w:t>s</w:t>
            </w:r>
            <w:r w:rsidRPr="00BD7D28">
              <w:rPr>
                <w:rFonts w:ascii="Arial" w:eastAsia="Times New Roman" w:hAnsi="Arial" w:cs="Arial"/>
                <w:sz w:val="22"/>
              </w:rPr>
              <w:t xml:space="preserve"> 0 and 15</w:t>
            </w:r>
          </w:p>
        </w:tc>
        <w:tc>
          <w:tcPr>
            <w:tcW w:w="1260" w:type="dxa"/>
            <w:shd w:val="clear" w:color="auto" w:fill="auto"/>
            <w:noWrap/>
            <w:vAlign w:val="center"/>
            <w:hideMark/>
          </w:tcPr>
          <w:p w14:paraId="33853DA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2.00</w:t>
            </w:r>
          </w:p>
        </w:tc>
        <w:tc>
          <w:tcPr>
            <w:tcW w:w="1384" w:type="dxa"/>
            <w:shd w:val="clear" w:color="auto" w:fill="auto"/>
            <w:noWrap/>
            <w:vAlign w:val="center"/>
            <w:hideMark/>
          </w:tcPr>
          <w:p w14:paraId="1999ED6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2.89</w:t>
            </w:r>
          </w:p>
        </w:tc>
        <w:tc>
          <w:tcPr>
            <w:tcW w:w="1506" w:type="dxa"/>
            <w:shd w:val="clear" w:color="auto" w:fill="auto"/>
            <w:noWrap/>
            <w:vAlign w:val="center"/>
            <w:hideMark/>
          </w:tcPr>
          <w:p w14:paraId="41347C4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0665A6BE" w14:textId="77777777" w:rsidTr="004F7917">
        <w:trPr>
          <w:trHeight w:val="288"/>
        </w:trPr>
        <w:tc>
          <w:tcPr>
            <w:tcW w:w="5395" w:type="dxa"/>
            <w:shd w:val="clear" w:color="auto" w:fill="auto"/>
            <w:vAlign w:val="center"/>
            <w:hideMark/>
          </w:tcPr>
          <w:p w14:paraId="0963FA41" w14:textId="3511521E"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1 g on day</w:t>
            </w:r>
            <w:r w:rsidR="008D31C6" w:rsidRPr="00BD7D28">
              <w:rPr>
                <w:rFonts w:ascii="Arial" w:eastAsia="Times New Roman" w:hAnsi="Arial" w:cs="Arial"/>
                <w:sz w:val="22"/>
              </w:rPr>
              <w:t>s</w:t>
            </w:r>
            <w:r w:rsidRPr="00BD7D28">
              <w:rPr>
                <w:rFonts w:ascii="Arial" w:eastAsia="Times New Roman" w:hAnsi="Arial" w:cs="Arial"/>
                <w:sz w:val="22"/>
              </w:rPr>
              <w:t xml:space="preserve"> 0 and 15, then every 6–12 months</w:t>
            </w:r>
          </w:p>
        </w:tc>
        <w:tc>
          <w:tcPr>
            <w:tcW w:w="1260" w:type="dxa"/>
            <w:shd w:val="clear" w:color="auto" w:fill="auto"/>
            <w:noWrap/>
            <w:vAlign w:val="center"/>
            <w:hideMark/>
          </w:tcPr>
          <w:p w14:paraId="5B84389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2.76</w:t>
            </w:r>
          </w:p>
        </w:tc>
        <w:tc>
          <w:tcPr>
            <w:tcW w:w="1384" w:type="dxa"/>
            <w:shd w:val="clear" w:color="auto" w:fill="auto"/>
            <w:noWrap/>
            <w:vAlign w:val="center"/>
            <w:hideMark/>
          </w:tcPr>
          <w:p w14:paraId="7A7C2D21"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2.49</w:t>
            </w:r>
          </w:p>
        </w:tc>
        <w:tc>
          <w:tcPr>
            <w:tcW w:w="1506" w:type="dxa"/>
            <w:shd w:val="clear" w:color="auto" w:fill="auto"/>
            <w:noWrap/>
            <w:vAlign w:val="center"/>
            <w:hideMark/>
          </w:tcPr>
          <w:p w14:paraId="08DC4C3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2671B4EB" w14:textId="77777777" w:rsidTr="00573A25">
        <w:trPr>
          <w:trHeight w:val="288"/>
        </w:trPr>
        <w:tc>
          <w:tcPr>
            <w:tcW w:w="5395" w:type="dxa"/>
            <w:shd w:val="clear" w:color="auto" w:fill="auto"/>
            <w:vAlign w:val="center"/>
            <w:hideMark/>
          </w:tcPr>
          <w:p w14:paraId="04BA6DB1" w14:textId="74880D01"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2 g every 6 months</w:t>
            </w:r>
          </w:p>
        </w:tc>
        <w:tc>
          <w:tcPr>
            <w:tcW w:w="1260" w:type="dxa"/>
            <w:shd w:val="clear" w:color="auto" w:fill="auto"/>
            <w:noWrap/>
            <w:vAlign w:val="center"/>
            <w:hideMark/>
          </w:tcPr>
          <w:p w14:paraId="7F0EC84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−0.40</w:t>
            </w:r>
          </w:p>
        </w:tc>
        <w:tc>
          <w:tcPr>
            <w:tcW w:w="1384" w:type="dxa"/>
            <w:shd w:val="clear" w:color="auto" w:fill="auto"/>
            <w:noWrap/>
            <w:vAlign w:val="center"/>
            <w:hideMark/>
          </w:tcPr>
          <w:p w14:paraId="75268011"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2.99</w:t>
            </w:r>
          </w:p>
        </w:tc>
        <w:tc>
          <w:tcPr>
            <w:tcW w:w="1506" w:type="dxa"/>
            <w:shd w:val="clear" w:color="auto" w:fill="auto"/>
            <w:noWrap/>
            <w:vAlign w:val="center"/>
            <w:hideMark/>
          </w:tcPr>
          <w:p w14:paraId="610C0D9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126CBCFD" w14:textId="77777777" w:rsidTr="004F7917">
        <w:trPr>
          <w:trHeight w:val="288"/>
        </w:trPr>
        <w:tc>
          <w:tcPr>
            <w:tcW w:w="5395" w:type="dxa"/>
            <w:shd w:val="clear" w:color="auto" w:fill="auto"/>
            <w:vAlign w:val="center"/>
            <w:hideMark/>
          </w:tcPr>
          <w:p w14:paraId="73366027"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I do not utilize rituximab</w:t>
            </w:r>
          </w:p>
        </w:tc>
        <w:tc>
          <w:tcPr>
            <w:tcW w:w="1260" w:type="dxa"/>
            <w:shd w:val="clear" w:color="auto" w:fill="auto"/>
            <w:noWrap/>
            <w:vAlign w:val="center"/>
            <w:hideMark/>
          </w:tcPr>
          <w:p w14:paraId="0813AEA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−2.76</w:t>
            </w:r>
          </w:p>
        </w:tc>
        <w:tc>
          <w:tcPr>
            <w:tcW w:w="1384" w:type="dxa"/>
            <w:shd w:val="clear" w:color="auto" w:fill="auto"/>
            <w:noWrap/>
            <w:vAlign w:val="center"/>
            <w:hideMark/>
          </w:tcPr>
          <w:p w14:paraId="761F3711"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2.70</w:t>
            </w:r>
          </w:p>
        </w:tc>
        <w:tc>
          <w:tcPr>
            <w:tcW w:w="1506" w:type="dxa"/>
            <w:shd w:val="clear" w:color="auto" w:fill="auto"/>
            <w:noWrap/>
            <w:vAlign w:val="center"/>
            <w:hideMark/>
          </w:tcPr>
          <w:p w14:paraId="26908C8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Against</w:t>
            </w:r>
          </w:p>
        </w:tc>
      </w:tr>
      <w:tr w:rsidR="00BD7D28" w:rsidRPr="00BD7D28" w14:paraId="0548467D" w14:textId="77777777" w:rsidTr="00573A25">
        <w:trPr>
          <w:trHeight w:val="288"/>
        </w:trPr>
        <w:tc>
          <w:tcPr>
            <w:tcW w:w="9545" w:type="dxa"/>
            <w:gridSpan w:val="4"/>
            <w:shd w:val="clear" w:color="auto" w:fill="auto"/>
            <w:vAlign w:val="center"/>
            <w:hideMark/>
          </w:tcPr>
          <w:p w14:paraId="709AFF7D" w14:textId="77777777" w:rsidR="00573A25" w:rsidRPr="00BD7D28" w:rsidRDefault="00573A25" w:rsidP="00573A25">
            <w:pPr>
              <w:spacing w:line="240" w:lineRule="auto"/>
              <w:rPr>
                <w:rFonts w:ascii="Arial" w:eastAsia="Times New Roman" w:hAnsi="Arial" w:cs="Arial"/>
                <w:b/>
                <w:bCs/>
                <w:sz w:val="22"/>
              </w:rPr>
            </w:pPr>
            <w:r w:rsidRPr="00BD7D28">
              <w:rPr>
                <w:rFonts w:ascii="Arial" w:eastAsia="Times New Roman" w:hAnsi="Arial" w:cs="Arial"/>
                <w:b/>
                <w:bCs/>
                <w:sz w:val="22"/>
              </w:rPr>
              <w:t>Use of antifibrotic drugs</w:t>
            </w:r>
          </w:p>
        </w:tc>
      </w:tr>
      <w:tr w:rsidR="00BD7D28" w:rsidRPr="00BD7D28" w14:paraId="088D87DA" w14:textId="77777777" w:rsidTr="00573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395" w:type="dxa"/>
            <w:tcBorders>
              <w:top w:val="nil"/>
              <w:left w:val="single" w:sz="4" w:space="0" w:color="auto"/>
              <w:bottom w:val="single" w:sz="4" w:space="0" w:color="auto"/>
              <w:right w:val="single" w:sz="4" w:space="0" w:color="auto"/>
            </w:tcBorders>
            <w:shd w:val="clear" w:color="auto" w:fill="auto"/>
            <w:vAlign w:val="center"/>
            <w:hideMark/>
          </w:tcPr>
          <w:p w14:paraId="40C4E86D" w14:textId="2267E3D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I see antifibrotic drugs fitting into the management of SSc-ILD after CYC/MMF</w:t>
            </w:r>
          </w:p>
        </w:tc>
        <w:tc>
          <w:tcPr>
            <w:tcW w:w="1260" w:type="dxa"/>
            <w:tcBorders>
              <w:top w:val="nil"/>
              <w:left w:val="nil"/>
              <w:bottom w:val="single" w:sz="4" w:space="0" w:color="auto"/>
              <w:right w:val="single" w:sz="4" w:space="0" w:color="auto"/>
            </w:tcBorders>
            <w:shd w:val="clear" w:color="auto" w:fill="auto"/>
            <w:noWrap/>
            <w:vAlign w:val="center"/>
            <w:hideMark/>
          </w:tcPr>
          <w:p w14:paraId="5D156E3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2.36</w:t>
            </w:r>
          </w:p>
        </w:tc>
        <w:tc>
          <w:tcPr>
            <w:tcW w:w="1384" w:type="dxa"/>
            <w:tcBorders>
              <w:top w:val="nil"/>
              <w:left w:val="nil"/>
              <w:bottom w:val="single" w:sz="4" w:space="0" w:color="auto"/>
              <w:right w:val="single" w:sz="4" w:space="0" w:color="auto"/>
            </w:tcBorders>
            <w:shd w:val="clear" w:color="auto" w:fill="auto"/>
            <w:noWrap/>
            <w:vAlign w:val="center"/>
            <w:hideMark/>
          </w:tcPr>
          <w:p w14:paraId="1A32454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2.46</w:t>
            </w:r>
          </w:p>
        </w:tc>
        <w:tc>
          <w:tcPr>
            <w:tcW w:w="1506" w:type="dxa"/>
            <w:tcBorders>
              <w:top w:val="nil"/>
              <w:left w:val="nil"/>
              <w:bottom w:val="single" w:sz="4" w:space="0" w:color="auto"/>
              <w:right w:val="single" w:sz="4" w:space="0" w:color="auto"/>
            </w:tcBorders>
            <w:shd w:val="clear" w:color="auto" w:fill="auto"/>
            <w:noWrap/>
            <w:vAlign w:val="center"/>
            <w:hideMark/>
          </w:tcPr>
          <w:p w14:paraId="1598234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769EF8BA" w14:textId="77777777" w:rsidTr="004F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395" w:type="dxa"/>
            <w:tcBorders>
              <w:top w:val="nil"/>
              <w:left w:val="single" w:sz="4" w:space="0" w:color="auto"/>
              <w:bottom w:val="single" w:sz="4" w:space="0" w:color="auto"/>
              <w:right w:val="single" w:sz="4" w:space="0" w:color="auto"/>
            </w:tcBorders>
            <w:shd w:val="clear" w:color="auto" w:fill="auto"/>
            <w:vAlign w:val="center"/>
            <w:hideMark/>
          </w:tcPr>
          <w:p w14:paraId="38A166C0" w14:textId="069C67FB"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I see antifibrotic drugs fitting into the management of SSc-ILD concomitant to CYC/MMF</w:t>
            </w:r>
          </w:p>
        </w:tc>
        <w:tc>
          <w:tcPr>
            <w:tcW w:w="1260" w:type="dxa"/>
            <w:tcBorders>
              <w:top w:val="nil"/>
              <w:left w:val="nil"/>
              <w:bottom w:val="single" w:sz="4" w:space="0" w:color="auto"/>
              <w:right w:val="single" w:sz="4" w:space="0" w:color="auto"/>
            </w:tcBorders>
            <w:shd w:val="clear" w:color="auto" w:fill="auto"/>
            <w:noWrap/>
            <w:vAlign w:val="center"/>
            <w:hideMark/>
          </w:tcPr>
          <w:p w14:paraId="22EFA23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2.96</w:t>
            </w:r>
          </w:p>
        </w:tc>
        <w:tc>
          <w:tcPr>
            <w:tcW w:w="1384" w:type="dxa"/>
            <w:tcBorders>
              <w:top w:val="nil"/>
              <w:left w:val="nil"/>
              <w:bottom w:val="single" w:sz="4" w:space="0" w:color="auto"/>
              <w:right w:val="single" w:sz="4" w:space="0" w:color="auto"/>
            </w:tcBorders>
            <w:shd w:val="clear" w:color="auto" w:fill="auto"/>
            <w:noWrap/>
            <w:vAlign w:val="center"/>
            <w:hideMark/>
          </w:tcPr>
          <w:p w14:paraId="5E2E5F2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2.37</w:t>
            </w:r>
          </w:p>
        </w:tc>
        <w:tc>
          <w:tcPr>
            <w:tcW w:w="1506" w:type="dxa"/>
            <w:tcBorders>
              <w:top w:val="nil"/>
              <w:left w:val="nil"/>
              <w:bottom w:val="single" w:sz="4" w:space="0" w:color="auto"/>
              <w:right w:val="single" w:sz="4" w:space="0" w:color="auto"/>
            </w:tcBorders>
            <w:shd w:val="clear" w:color="auto" w:fill="auto"/>
            <w:noWrap/>
            <w:vAlign w:val="center"/>
            <w:hideMark/>
          </w:tcPr>
          <w:p w14:paraId="3406740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4FE13752" w14:textId="77777777" w:rsidTr="004F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395" w:type="dxa"/>
            <w:tcBorders>
              <w:top w:val="nil"/>
              <w:left w:val="single" w:sz="4" w:space="0" w:color="auto"/>
              <w:bottom w:val="single" w:sz="4" w:space="0" w:color="auto"/>
              <w:right w:val="single" w:sz="4" w:space="0" w:color="auto"/>
            </w:tcBorders>
            <w:shd w:val="clear" w:color="auto" w:fill="auto"/>
            <w:vAlign w:val="center"/>
            <w:hideMark/>
          </w:tcPr>
          <w:p w14:paraId="4BB8E7E3" w14:textId="394DB67D"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I see antifibrotic drugs fitting into the management of SSc-ILD as determined based on decline in lung function and/or HRCT</w:t>
            </w:r>
          </w:p>
        </w:tc>
        <w:tc>
          <w:tcPr>
            <w:tcW w:w="1260" w:type="dxa"/>
            <w:tcBorders>
              <w:top w:val="nil"/>
              <w:left w:val="nil"/>
              <w:bottom w:val="single" w:sz="4" w:space="0" w:color="auto"/>
              <w:right w:val="single" w:sz="4" w:space="0" w:color="auto"/>
            </w:tcBorders>
            <w:shd w:val="clear" w:color="auto" w:fill="auto"/>
            <w:noWrap/>
            <w:vAlign w:val="center"/>
            <w:hideMark/>
          </w:tcPr>
          <w:p w14:paraId="0FA4D41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2.64</w:t>
            </w:r>
          </w:p>
        </w:tc>
        <w:tc>
          <w:tcPr>
            <w:tcW w:w="1384" w:type="dxa"/>
            <w:tcBorders>
              <w:top w:val="nil"/>
              <w:left w:val="nil"/>
              <w:bottom w:val="single" w:sz="4" w:space="0" w:color="auto"/>
              <w:right w:val="single" w:sz="4" w:space="0" w:color="auto"/>
            </w:tcBorders>
            <w:shd w:val="clear" w:color="auto" w:fill="auto"/>
            <w:noWrap/>
            <w:vAlign w:val="center"/>
            <w:hideMark/>
          </w:tcPr>
          <w:p w14:paraId="4169746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1.96</w:t>
            </w:r>
          </w:p>
        </w:tc>
        <w:tc>
          <w:tcPr>
            <w:tcW w:w="1506" w:type="dxa"/>
            <w:tcBorders>
              <w:top w:val="nil"/>
              <w:left w:val="nil"/>
              <w:bottom w:val="single" w:sz="4" w:space="0" w:color="auto"/>
              <w:right w:val="single" w:sz="4" w:space="0" w:color="auto"/>
            </w:tcBorders>
            <w:shd w:val="clear" w:color="auto" w:fill="auto"/>
            <w:noWrap/>
            <w:vAlign w:val="center"/>
            <w:hideMark/>
          </w:tcPr>
          <w:p w14:paraId="05A2C16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70E6715D" w14:textId="77777777" w:rsidTr="004F79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5395" w:type="dxa"/>
            <w:tcBorders>
              <w:top w:val="nil"/>
              <w:left w:val="single" w:sz="4" w:space="0" w:color="auto"/>
              <w:bottom w:val="single" w:sz="4" w:space="0" w:color="auto"/>
              <w:right w:val="single" w:sz="4" w:space="0" w:color="auto"/>
            </w:tcBorders>
            <w:shd w:val="clear" w:color="auto" w:fill="auto"/>
            <w:vAlign w:val="center"/>
            <w:hideMark/>
          </w:tcPr>
          <w:p w14:paraId="0E142E84" w14:textId="755EBCFD"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I do not see antifibrotic drugs fitting into the management of SSc-ILD</w:t>
            </w:r>
          </w:p>
        </w:tc>
        <w:tc>
          <w:tcPr>
            <w:tcW w:w="1260" w:type="dxa"/>
            <w:tcBorders>
              <w:top w:val="nil"/>
              <w:left w:val="nil"/>
              <w:bottom w:val="single" w:sz="4" w:space="0" w:color="auto"/>
              <w:right w:val="single" w:sz="4" w:space="0" w:color="auto"/>
            </w:tcBorders>
            <w:shd w:val="clear" w:color="auto" w:fill="auto"/>
            <w:noWrap/>
            <w:vAlign w:val="center"/>
            <w:hideMark/>
          </w:tcPr>
          <w:p w14:paraId="37493CB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−4.24</w:t>
            </w:r>
          </w:p>
        </w:tc>
        <w:tc>
          <w:tcPr>
            <w:tcW w:w="1384" w:type="dxa"/>
            <w:tcBorders>
              <w:top w:val="nil"/>
              <w:left w:val="nil"/>
              <w:bottom w:val="single" w:sz="4" w:space="0" w:color="auto"/>
              <w:right w:val="single" w:sz="4" w:space="0" w:color="auto"/>
            </w:tcBorders>
            <w:shd w:val="clear" w:color="auto" w:fill="auto"/>
            <w:noWrap/>
            <w:vAlign w:val="center"/>
            <w:hideMark/>
          </w:tcPr>
          <w:p w14:paraId="0FAC271C" w14:textId="0052FC04"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1.1</w:t>
            </w:r>
            <w:r w:rsidR="00E012C7" w:rsidRPr="00BD7D28">
              <w:rPr>
                <w:rFonts w:ascii="Arial" w:eastAsia="Times New Roman" w:hAnsi="Arial" w:cs="Arial"/>
                <w:sz w:val="22"/>
              </w:rPr>
              <w:t>7</w:t>
            </w:r>
          </w:p>
        </w:tc>
        <w:tc>
          <w:tcPr>
            <w:tcW w:w="1506" w:type="dxa"/>
            <w:tcBorders>
              <w:top w:val="nil"/>
              <w:left w:val="nil"/>
              <w:bottom w:val="single" w:sz="4" w:space="0" w:color="auto"/>
              <w:right w:val="single" w:sz="4" w:space="0" w:color="auto"/>
            </w:tcBorders>
            <w:shd w:val="clear" w:color="auto" w:fill="auto"/>
            <w:noWrap/>
            <w:vAlign w:val="center"/>
            <w:hideMark/>
          </w:tcPr>
          <w:p w14:paraId="5A6507B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Against</w:t>
            </w:r>
          </w:p>
        </w:tc>
      </w:tr>
      <w:tr w:rsidR="00BD7D28" w:rsidRPr="00BD7D28" w14:paraId="0780F6DE" w14:textId="77777777" w:rsidTr="00573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9545" w:type="dxa"/>
            <w:gridSpan w:val="4"/>
            <w:tcBorders>
              <w:top w:val="nil"/>
              <w:left w:val="single" w:sz="4" w:space="0" w:color="auto"/>
              <w:bottom w:val="single" w:sz="4" w:space="0" w:color="auto"/>
              <w:right w:val="single" w:sz="4" w:space="0" w:color="auto"/>
            </w:tcBorders>
            <w:shd w:val="clear" w:color="auto" w:fill="auto"/>
            <w:vAlign w:val="center"/>
          </w:tcPr>
          <w:p w14:paraId="5397F438" w14:textId="4E851F1C"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b/>
                <w:bCs/>
                <w:sz w:val="22"/>
              </w:rPr>
              <w:t>Use of nintedanib [</w:t>
            </w:r>
            <w:r w:rsidR="008D31C6" w:rsidRPr="00BD7D28">
              <w:rPr>
                <w:rFonts w:ascii="Arial" w:eastAsia="Times New Roman" w:hAnsi="Arial" w:cs="Arial"/>
                <w:b/>
                <w:bCs/>
                <w:sz w:val="22"/>
              </w:rPr>
              <w:t>f</w:t>
            </w:r>
            <w:r w:rsidRPr="00BD7D28">
              <w:rPr>
                <w:rFonts w:ascii="Arial" w:eastAsia="Times New Roman" w:hAnsi="Arial" w:cs="Arial"/>
                <w:b/>
                <w:bCs/>
                <w:sz w:val="22"/>
              </w:rPr>
              <w:t>ollowing publication of SENSCIS trial results]</w:t>
            </w:r>
          </w:p>
        </w:tc>
      </w:tr>
      <w:tr w:rsidR="00BD7D28" w:rsidRPr="00BD7D28" w14:paraId="70FE0099" w14:textId="77777777" w:rsidTr="00573A25">
        <w:trPr>
          <w:trHeight w:val="288"/>
        </w:trPr>
        <w:tc>
          <w:tcPr>
            <w:tcW w:w="9545" w:type="dxa"/>
            <w:gridSpan w:val="4"/>
            <w:shd w:val="clear" w:color="auto" w:fill="auto"/>
            <w:vAlign w:val="center"/>
          </w:tcPr>
          <w:p w14:paraId="798B530D" w14:textId="77777777" w:rsidR="00573A25" w:rsidRPr="00BD7D28" w:rsidDel="009036EB" w:rsidRDefault="00573A25" w:rsidP="00573A25">
            <w:pPr>
              <w:spacing w:line="240" w:lineRule="auto"/>
              <w:rPr>
                <w:rFonts w:ascii="Arial" w:eastAsia="Times New Roman" w:hAnsi="Arial" w:cs="Arial"/>
                <w:b/>
                <w:bCs/>
                <w:sz w:val="22"/>
              </w:rPr>
            </w:pPr>
            <w:r w:rsidRPr="00BD7D28">
              <w:rPr>
                <w:rFonts w:ascii="Arial" w:eastAsia="Times New Roman" w:hAnsi="Arial" w:cs="Arial"/>
                <w:b/>
                <w:bCs/>
                <w:sz w:val="22"/>
              </w:rPr>
              <w:t>I would use nintedanib for treating patients with SSc-ILD under the following clinical conditions:</w:t>
            </w:r>
          </w:p>
        </w:tc>
      </w:tr>
      <w:tr w:rsidR="00BD7D28" w:rsidRPr="00BD7D28" w14:paraId="52A2D29C" w14:textId="77777777" w:rsidTr="004F7917">
        <w:tblPrEx>
          <w:tblCellMar>
            <w:left w:w="108" w:type="dxa"/>
            <w:right w:w="108" w:type="dxa"/>
          </w:tblCellMar>
        </w:tblPrEx>
        <w:trPr>
          <w:trHeight w:val="288"/>
        </w:trPr>
        <w:tc>
          <w:tcPr>
            <w:tcW w:w="5395" w:type="dxa"/>
            <w:shd w:val="clear" w:color="auto" w:fill="auto"/>
            <w:noWrap/>
            <w:vAlign w:val="bottom"/>
            <w:hideMark/>
          </w:tcPr>
          <w:p w14:paraId="5B69D68E" w14:textId="77777777" w:rsidR="00573A25" w:rsidRPr="00BD7D28" w:rsidRDefault="00573A25" w:rsidP="00573A25">
            <w:pPr>
              <w:spacing w:line="240" w:lineRule="auto"/>
              <w:rPr>
                <w:rFonts w:ascii="Arial" w:eastAsia="Times New Roman" w:hAnsi="Arial" w:cs="Arial"/>
                <w:sz w:val="22"/>
                <w:lang w:val="en-CA" w:eastAsia="en-CA"/>
              </w:rPr>
            </w:pPr>
            <w:r w:rsidRPr="00BD7D28">
              <w:rPr>
                <w:rFonts w:ascii="Arial" w:eastAsia="Times New Roman" w:hAnsi="Arial" w:cs="Arial"/>
                <w:sz w:val="22"/>
                <w:lang w:val="en-CA" w:eastAsia="en-CA"/>
              </w:rPr>
              <w:t>Patients with progressive fibrotic ILD despite immunosuppressive therapy</w:t>
            </w:r>
          </w:p>
        </w:tc>
        <w:tc>
          <w:tcPr>
            <w:tcW w:w="1260" w:type="dxa"/>
            <w:shd w:val="clear" w:color="auto" w:fill="auto"/>
            <w:noWrap/>
            <w:vAlign w:val="bottom"/>
            <w:hideMark/>
          </w:tcPr>
          <w:p w14:paraId="0658F1DC"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4.28</w:t>
            </w:r>
          </w:p>
        </w:tc>
        <w:tc>
          <w:tcPr>
            <w:tcW w:w="1384" w:type="dxa"/>
            <w:shd w:val="clear" w:color="auto" w:fill="auto"/>
            <w:noWrap/>
            <w:vAlign w:val="bottom"/>
            <w:hideMark/>
          </w:tcPr>
          <w:p w14:paraId="1D434A75"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0.79</w:t>
            </w:r>
          </w:p>
        </w:tc>
        <w:tc>
          <w:tcPr>
            <w:tcW w:w="1506" w:type="dxa"/>
            <w:shd w:val="clear" w:color="auto" w:fill="auto"/>
            <w:noWrap/>
            <w:vAlign w:val="bottom"/>
            <w:hideMark/>
          </w:tcPr>
          <w:p w14:paraId="398C338F"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For</w:t>
            </w:r>
          </w:p>
        </w:tc>
      </w:tr>
      <w:tr w:rsidR="00BD7D28" w:rsidRPr="00BD7D28" w14:paraId="319D123E" w14:textId="77777777" w:rsidTr="004F7917">
        <w:tblPrEx>
          <w:tblCellMar>
            <w:left w:w="108" w:type="dxa"/>
            <w:right w:w="108" w:type="dxa"/>
          </w:tblCellMar>
        </w:tblPrEx>
        <w:trPr>
          <w:trHeight w:val="288"/>
        </w:trPr>
        <w:tc>
          <w:tcPr>
            <w:tcW w:w="5395" w:type="dxa"/>
            <w:shd w:val="clear" w:color="auto" w:fill="auto"/>
            <w:noWrap/>
            <w:vAlign w:val="bottom"/>
            <w:hideMark/>
          </w:tcPr>
          <w:p w14:paraId="4B768675" w14:textId="77777777" w:rsidR="00573A25" w:rsidRPr="00BD7D28" w:rsidRDefault="00573A25" w:rsidP="00573A25">
            <w:pPr>
              <w:spacing w:line="240" w:lineRule="auto"/>
              <w:rPr>
                <w:rFonts w:ascii="Arial" w:eastAsia="Times New Roman" w:hAnsi="Arial" w:cs="Arial"/>
                <w:sz w:val="22"/>
                <w:lang w:val="en-CA" w:eastAsia="en-CA"/>
              </w:rPr>
            </w:pPr>
            <w:r w:rsidRPr="00BD7D28">
              <w:rPr>
                <w:rFonts w:ascii="Arial" w:eastAsia="Times New Roman" w:hAnsi="Arial" w:cs="Arial"/>
                <w:sz w:val="22"/>
                <w:lang w:val="en-CA" w:eastAsia="en-CA"/>
              </w:rPr>
              <w:t>Patients with progressive fibrotic ILD in combination with MMF/CYC</w:t>
            </w:r>
          </w:p>
        </w:tc>
        <w:tc>
          <w:tcPr>
            <w:tcW w:w="1260" w:type="dxa"/>
            <w:shd w:val="clear" w:color="auto" w:fill="auto"/>
            <w:noWrap/>
            <w:vAlign w:val="bottom"/>
            <w:hideMark/>
          </w:tcPr>
          <w:p w14:paraId="1D1123E7"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4.00</w:t>
            </w:r>
          </w:p>
        </w:tc>
        <w:tc>
          <w:tcPr>
            <w:tcW w:w="1384" w:type="dxa"/>
            <w:shd w:val="clear" w:color="auto" w:fill="auto"/>
            <w:noWrap/>
            <w:vAlign w:val="bottom"/>
            <w:hideMark/>
          </w:tcPr>
          <w:p w14:paraId="359B0FE3"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0.96</w:t>
            </w:r>
          </w:p>
        </w:tc>
        <w:tc>
          <w:tcPr>
            <w:tcW w:w="1506" w:type="dxa"/>
            <w:shd w:val="clear" w:color="auto" w:fill="auto"/>
            <w:noWrap/>
            <w:vAlign w:val="bottom"/>
            <w:hideMark/>
          </w:tcPr>
          <w:p w14:paraId="18BD4F6F"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For</w:t>
            </w:r>
          </w:p>
        </w:tc>
      </w:tr>
      <w:tr w:rsidR="00BD7D28" w:rsidRPr="00BD7D28" w14:paraId="3724FF0B" w14:textId="77777777" w:rsidTr="004F7917">
        <w:tblPrEx>
          <w:tblCellMar>
            <w:left w:w="108" w:type="dxa"/>
            <w:right w:w="108" w:type="dxa"/>
          </w:tblCellMar>
        </w:tblPrEx>
        <w:trPr>
          <w:trHeight w:val="288"/>
        </w:trPr>
        <w:tc>
          <w:tcPr>
            <w:tcW w:w="5395" w:type="dxa"/>
            <w:shd w:val="clear" w:color="auto" w:fill="auto"/>
            <w:noWrap/>
            <w:vAlign w:val="bottom"/>
            <w:hideMark/>
          </w:tcPr>
          <w:p w14:paraId="71D1A1D9" w14:textId="64074FE8" w:rsidR="00573A25" w:rsidRPr="00BD7D28" w:rsidRDefault="00573A25" w:rsidP="00573A25">
            <w:pPr>
              <w:spacing w:line="240" w:lineRule="auto"/>
              <w:rPr>
                <w:rFonts w:ascii="Arial" w:eastAsia="Times New Roman" w:hAnsi="Arial" w:cs="Arial"/>
                <w:sz w:val="22"/>
                <w:lang w:val="en-CA" w:eastAsia="en-CA"/>
              </w:rPr>
            </w:pPr>
            <w:r w:rsidRPr="00BD7D28">
              <w:rPr>
                <w:rFonts w:ascii="Arial" w:eastAsia="Times New Roman" w:hAnsi="Arial" w:cs="Arial"/>
                <w:sz w:val="22"/>
                <w:lang w:val="en-CA" w:eastAsia="en-CA"/>
              </w:rPr>
              <w:t>Patients who have contraindications to or are unable to tolerate immunosuppression</w:t>
            </w:r>
          </w:p>
        </w:tc>
        <w:tc>
          <w:tcPr>
            <w:tcW w:w="1260" w:type="dxa"/>
            <w:shd w:val="clear" w:color="auto" w:fill="auto"/>
            <w:noWrap/>
            <w:vAlign w:val="bottom"/>
            <w:hideMark/>
          </w:tcPr>
          <w:p w14:paraId="123AED0F"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3.71</w:t>
            </w:r>
          </w:p>
        </w:tc>
        <w:tc>
          <w:tcPr>
            <w:tcW w:w="1384" w:type="dxa"/>
            <w:shd w:val="clear" w:color="auto" w:fill="auto"/>
            <w:noWrap/>
            <w:vAlign w:val="bottom"/>
            <w:hideMark/>
          </w:tcPr>
          <w:p w14:paraId="79A50939"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1.55</w:t>
            </w:r>
          </w:p>
        </w:tc>
        <w:tc>
          <w:tcPr>
            <w:tcW w:w="1506" w:type="dxa"/>
            <w:shd w:val="clear" w:color="auto" w:fill="auto"/>
            <w:noWrap/>
            <w:vAlign w:val="bottom"/>
            <w:hideMark/>
          </w:tcPr>
          <w:p w14:paraId="4B5FD96D"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For</w:t>
            </w:r>
          </w:p>
        </w:tc>
      </w:tr>
      <w:tr w:rsidR="00BD7D28" w:rsidRPr="00BD7D28" w14:paraId="31407F6E" w14:textId="77777777" w:rsidTr="004F7917">
        <w:tblPrEx>
          <w:tblCellMar>
            <w:left w:w="108" w:type="dxa"/>
            <w:right w:w="108" w:type="dxa"/>
          </w:tblCellMar>
        </w:tblPrEx>
        <w:trPr>
          <w:trHeight w:val="288"/>
        </w:trPr>
        <w:tc>
          <w:tcPr>
            <w:tcW w:w="5395" w:type="dxa"/>
            <w:shd w:val="clear" w:color="auto" w:fill="auto"/>
            <w:noWrap/>
            <w:vAlign w:val="bottom"/>
            <w:hideMark/>
          </w:tcPr>
          <w:p w14:paraId="215917AC" w14:textId="16471144" w:rsidR="00573A25" w:rsidRPr="00BD7D28" w:rsidRDefault="00573A25" w:rsidP="00573A25">
            <w:pPr>
              <w:spacing w:line="240" w:lineRule="auto"/>
              <w:rPr>
                <w:rFonts w:ascii="Arial" w:eastAsia="Times New Roman" w:hAnsi="Arial" w:cs="Arial"/>
                <w:sz w:val="22"/>
                <w:lang w:val="en-CA" w:eastAsia="en-CA"/>
              </w:rPr>
            </w:pPr>
            <w:r w:rsidRPr="00BD7D28">
              <w:rPr>
                <w:rFonts w:ascii="Arial" w:eastAsia="Times New Roman" w:hAnsi="Arial" w:cs="Arial"/>
                <w:sz w:val="22"/>
                <w:lang w:val="en-CA" w:eastAsia="en-CA"/>
              </w:rPr>
              <w:t>In combination with immunosuppressive agents (MMF/CYC) for patients with aggressive ILD, advanced disease at initial presentation, or significant disease progression</w:t>
            </w:r>
          </w:p>
        </w:tc>
        <w:tc>
          <w:tcPr>
            <w:tcW w:w="1260" w:type="dxa"/>
            <w:shd w:val="clear" w:color="auto" w:fill="auto"/>
            <w:noWrap/>
            <w:vAlign w:val="bottom"/>
            <w:hideMark/>
          </w:tcPr>
          <w:p w14:paraId="71EDF0AE"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3.68</w:t>
            </w:r>
          </w:p>
        </w:tc>
        <w:tc>
          <w:tcPr>
            <w:tcW w:w="1384" w:type="dxa"/>
            <w:shd w:val="clear" w:color="auto" w:fill="auto"/>
            <w:noWrap/>
            <w:vAlign w:val="bottom"/>
            <w:hideMark/>
          </w:tcPr>
          <w:p w14:paraId="50374330"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1.28</w:t>
            </w:r>
          </w:p>
        </w:tc>
        <w:tc>
          <w:tcPr>
            <w:tcW w:w="1506" w:type="dxa"/>
            <w:shd w:val="clear" w:color="auto" w:fill="auto"/>
            <w:noWrap/>
            <w:vAlign w:val="bottom"/>
            <w:hideMark/>
          </w:tcPr>
          <w:p w14:paraId="73196B91"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For</w:t>
            </w:r>
          </w:p>
        </w:tc>
      </w:tr>
      <w:tr w:rsidR="00BD7D28" w:rsidRPr="00BD7D28" w14:paraId="57591312" w14:textId="77777777" w:rsidTr="00573A25">
        <w:tblPrEx>
          <w:tblCellMar>
            <w:left w:w="108" w:type="dxa"/>
            <w:right w:w="108" w:type="dxa"/>
          </w:tblCellMar>
        </w:tblPrEx>
        <w:trPr>
          <w:trHeight w:val="288"/>
        </w:trPr>
        <w:tc>
          <w:tcPr>
            <w:tcW w:w="5395" w:type="dxa"/>
            <w:shd w:val="clear" w:color="auto" w:fill="auto"/>
            <w:noWrap/>
            <w:vAlign w:val="bottom"/>
            <w:hideMark/>
          </w:tcPr>
          <w:p w14:paraId="12656C37" w14:textId="77777777" w:rsidR="00573A25" w:rsidRPr="00BD7D28" w:rsidRDefault="00573A25" w:rsidP="00573A25">
            <w:pPr>
              <w:spacing w:line="240" w:lineRule="auto"/>
              <w:rPr>
                <w:rFonts w:ascii="Arial" w:eastAsia="Times New Roman" w:hAnsi="Arial" w:cs="Arial"/>
                <w:sz w:val="22"/>
                <w:lang w:val="en-CA" w:eastAsia="en-CA"/>
              </w:rPr>
            </w:pPr>
            <w:r w:rsidRPr="00BD7D28">
              <w:rPr>
                <w:rFonts w:ascii="Arial" w:eastAsia="Times New Roman" w:hAnsi="Arial" w:cs="Arial"/>
                <w:sz w:val="22"/>
                <w:lang w:val="en-CA" w:eastAsia="en-CA"/>
              </w:rPr>
              <w:t>Any patient with CTD with clinically significant or worsening ILD</w:t>
            </w:r>
          </w:p>
        </w:tc>
        <w:tc>
          <w:tcPr>
            <w:tcW w:w="1260" w:type="dxa"/>
            <w:shd w:val="clear" w:color="auto" w:fill="auto"/>
            <w:noWrap/>
            <w:vAlign w:val="bottom"/>
            <w:hideMark/>
          </w:tcPr>
          <w:p w14:paraId="57F537DF"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1.96</w:t>
            </w:r>
          </w:p>
        </w:tc>
        <w:tc>
          <w:tcPr>
            <w:tcW w:w="1384" w:type="dxa"/>
            <w:shd w:val="clear" w:color="auto" w:fill="auto"/>
            <w:noWrap/>
            <w:vAlign w:val="bottom"/>
            <w:hideMark/>
          </w:tcPr>
          <w:p w14:paraId="756D4132"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1.81</w:t>
            </w:r>
          </w:p>
        </w:tc>
        <w:tc>
          <w:tcPr>
            <w:tcW w:w="1506" w:type="dxa"/>
            <w:shd w:val="clear" w:color="auto" w:fill="auto"/>
            <w:noWrap/>
            <w:vAlign w:val="bottom"/>
            <w:hideMark/>
          </w:tcPr>
          <w:p w14:paraId="7B6B1D89"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No</w:t>
            </w:r>
          </w:p>
        </w:tc>
      </w:tr>
      <w:tr w:rsidR="00BD7D28" w:rsidRPr="00BD7D28" w14:paraId="5755B046" w14:textId="77777777" w:rsidTr="00573A25">
        <w:tblPrEx>
          <w:tblCellMar>
            <w:left w:w="108" w:type="dxa"/>
            <w:right w:w="108" w:type="dxa"/>
          </w:tblCellMar>
        </w:tblPrEx>
        <w:trPr>
          <w:trHeight w:val="288"/>
        </w:trPr>
        <w:tc>
          <w:tcPr>
            <w:tcW w:w="5395" w:type="dxa"/>
            <w:shd w:val="clear" w:color="auto" w:fill="auto"/>
            <w:noWrap/>
            <w:vAlign w:val="bottom"/>
            <w:hideMark/>
          </w:tcPr>
          <w:p w14:paraId="0F3D6E96" w14:textId="7E001316" w:rsidR="00573A25" w:rsidRPr="00BD7D28" w:rsidRDefault="00573A25" w:rsidP="00573A25">
            <w:pPr>
              <w:spacing w:line="240" w:lineRule="auto"/>
              <w:rPr>
                <w:rFonts w:ascii="Arial" w:eastAsia="Times New Roman" w:hAnsi="Arial" w:cs="Arial"/>
                <w:sz w:val="22"/>
                <w:lang w:val="en-CA" w:eastAsia="en-CA"/>
              </w:rPr>
            </w:pPr>
            <w:r w:rsidRPr="00BD7D28">
              <w:rPr>
                <w:rFonts w:ascii="Arial" w:eastAsia="Times New Roman" w:hAnsi="Arial" w:cs="Arial"/>
                <w:sz w:val="22"/>
                <w:lang w:val="en-CA" w:eastAsia="en-CA"/>
              </w:rPr>
              <w:t xml:space="preserve">Based on lack of effective response or improvement with immunosuppressive agents (MMF/CYC) as defined by </w:t>
            </w:r>
            <w:r w:rsidR="008D31C6" w:rsidRPr="00BD7D28">
              <w:rPr>
                <w:rFonts w:ascii="Arial" w:eastAsia="Times New Roman" w:hAnsi="Arial" w:cs="Arial"/>
                <w:sz w:val="22"/>
                <w:lang w:val="en-CA" w:eastAsia="en-CA"/>
              </w:rPr>
              <w:t>l</w:t>
            </w:r>
            <w:r w:rsidRPr="00BD7D28">
              <w:rPr>
                <w:rFonts w:ascii="Arial" w:eastAsia="Times New Roman" w:hAnsi="Arial" w:cs="Arial"/>
                <w:sz w:val="22"/>
                <w:lang w:val="en-CA" w:eastAsia="en-CA"/>
              </w:rPr>
              <w:t>ack of symptom improvement</w:t>
            </w:r>
          </w:p>
        </w:tc>
        <w:tc>
          <w:tcPr>
            <w:tcW w:w="1260" w:type="dxa"/>
            <w:shd w:val="clear" w:color="auto" w:fill="auto"/>
            <w:noWrap/>
            <w:vAlign w:val="bottom"/>
            <w:hideMark/>
          </w:tcPr>
          <w:p w14:paraId="42C82A30"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0.96</w:t>
            </w:r>
          </w:p>
        </w:tc>
        <w:tc>
          <w:tcPr>
            <w:tcW w:w="1384" w:type="dxa"/>
            <w:shd w:val="clear" w:color="auto" w:fill="auto"/>
            <w:noWrap/>
            <w:vAlign w:val="bottom"/>
            <w:hideMark/>
          </w:tcPr>
          <w:p w14:paraId="14074809"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1.65</w:t>
            </w:r>
          </w:p>
        </w:tc>
        <w:tc>
          <w:tcPr>
            <w:tcW w:w="1506" w:type="dxa"/>
            <w:shd w:val="clear" w:color="auto" w:fill="auto"/>
            <w:noWrap/>
            <w:vAlign w:val="bottom"/>
            <w:hideMark/>
          </w:tcPr>
          <w:p w14:paraId="76633784"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No</w:t>
            </w:r>
          </w:p>
        </w:tc>
      </w:tr>
      <w:tr w:rsidR="00BD7D28" w:rsidRPr="00BD7D28" w14:paraId="4239FBFB" w14:textId="77777777" w:rsidTr="00573A25">
        <w:tblPrEx>
          <w:tblCellMar>
            <w:left w:w="108" w:type="dxa"/>
            <w:right w:w="108" w:type="dxa"/>
          </w:tblCellMar>
        </w:tblPrEx>
        <w:trPr>
          <w:trHeight w:val="288"/>
        </w:trPr>
        <w:tc>
          <w:tcPr>
            <w:tcW w:w="5395" w:type="dxa"/>
            <w:shd w:val="clear" w:color="auto" w:fill="auto"/>
            <w:noWrap/>
            <w:vAlign w:val="bottom"/>
            <w:hideMark/>
          </w:tcPr>
          <w:p w14:paraId="0D5847DF" w14:textId="0138FB20" w:rsidR="00573A25" w:rsidRPr="00BD7D28" w:rsidRDefault="00573A25" w:rsidP="00573A25">
            <w:pPr>
              <w:spacing w:line="240" w:lineRule="auto"/>
              <w:rPr>
                <w:rFonts w:ascii="Arial" w:eastAsia="Times New Roman" w:hAnsi="Arial" w:cs="Arial"/>
                <w:sz w:val="22"/>
                <w:lang w:val="en-CA" w:eastAsia="en-CA"/>
              </w:rPr>
            </w:pPr>
            <w:r w:rsidRPr="00BD7D28">
              <w:rPr>
                <w:rFonts w:ascii="Arial" w:eastAsia="Times New Roman" w:hAnsi="Arial" w:cs="Arial"/>
                <w:sz w:val="22"/>
                <w:lang w:val="en-CA" w:eastAsia="en-CA"/>
              </w:rPr>
              <w:t xml:space="preserve">Based on lack of effective response or improvement with immunosuppressive agents (MMF/CYC) as defined by </w:t>
            </w:r>
            <w:r w:rsidR="008D31C6" w:rsidRPr="00BD7D28">
              <w:rPr>
                <w:rFonts w:ascii="Arial" w:eastAsia="Times New Roman" w:hAnsi="Arial" w:cs="Arial"/>
                <w:sz w:val="22"/>
                <w:lang w:val="en-CA" w:eastAsia="en-CA"/>
              </w:rPr>
              <w:t>l</w:t>
            </w:r>
            <w:r w:rsidRPr="00BD7D28">
              <w:rPr>
                <w:rFonts w:ascii="Arial" w:eastAsia="Times New Roman" w:hAnsi="Arial" w:cs="Arial"/>
                <w:sz w:val="22"/>
                <w:lang w:val="en-CA" w:eastAsia="en-CA"/>
              </w:rPr>
              <w:t>ack of improvement of ILD on HRCT</w:t>
            </w:r>
          </w:p>
        </w:tc>
        <w:tc>
          <w:tcPr>
            <w:tcW w:w="1260" w:type="dxa"/>
            <w:shd w:val="clear" w:color="auto" w:fill="auto"/>
            <w:noWrap/>
            <w:vAlign w:val="bottom"/>
            <w:hideMark/>
          </w:tcPr>
          <w:p w14:paraId="0EC9F2B5"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1.28</w:t>
            </w:r>
          </w:p>
        </w:tc>
        <w:tc>
          <w:tcPr>
            <w:tcW w:w="1384" w:type="dxa"/>
            <w:shd w:val="clear" w:color="auto" w:fill="auto"/>
            <w:noWrap/>
            <w:vAlign w:val="bottom"/>
            <w:hideMark/>
          </w:tcPr>
          <w:p w14:paraId="7470C22C"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1.67</w:t>
            </w:r>
          </w:p>
        </w:tc>
        <w:tc>
          <w:tcPr>
            <w:tcW w:w="1506" w:type="dxa"/>
            <w:shd w:val="clear" w:color="auto" w:fill="auto"/>
            <w:noWrap/>
            <w:vAlign w:val="bottom"/>
            <w:hideMark/>
          </w:tcPr>
          <w:p w14:paraId="24D60992"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No</w:t>
            </w:r>
          </w:p>
        </w:tc>
      </w:tr>
      <w:tr w:rsidR="00BD7D28" w:rsidRPr="00BD7D28" w14:paraId="1C1F7D2C" w14:textId="77777777" w:rsidTr="00573A25">
        <w:tblPrEx>
          <w:tblCellMar>
            <w:left w:w="108" w:type="dxa"/>
            <w:right w:w="108" w:type="dxa"/>
          </w:tblCellMar>
        </w:tblPrEx>
        <w:trPr>
          <w:trHeight w:val="288"/>
        </w:trPr>
        <w:tc>
          <w:tcPr>
            <w:tcW w:w="5395" w:type="dxa"/>
            <w:shd w:val="clear" w:color="auto" w:fill="auto"/>
            <w:noWrap/>
            <w:vAlign w:val="bottom"/>
            <w:hideMark/>
          </w:tcPr>
          <w:p w14:paraId="4584B323" w14:textId="56BEFCB1" w:rsidR="00573A25" w:rsidRPr="00BD7D28" w:rsidRDefault="00573A25" w:rsidP="00573A25">
            <w:pPr>
              <w:spacing w:line="240" w:lineRule="auto"/>
              <w:rPr>
                <w:rFonts w:ascii="Arial" w:eastAsia="Times New Roman" w:hAnsi="Arial" w:cs="Arial"/>
                <w:sz w:val="22"/>
                <w:lang w:val="en-CA" w:eastAsia="en-CA"/>
              </w:rPr>
            </w:pPr>
            <w:r w:rsidRPr="00BD7D28">
              <w:rPr>
                <w:rFonts w:ascii="Arial" w:eastAsia="Times New Roman" w:hAnsi="Arial" w:cs="Arial"/>
                <w:sz w:val="22"/>
                <w:lang w:val="en-CA" w:eastAsia="en-CA"/>
              </w:rPr>
              <w:t xml:space="preserve">Based on lack of effective response or improvement with immunosuppressive agents (MMF/CYC) as defined by </w:t>
            </w:r>
            <w:r w:rsidR="008D31C6" w:rsidRPr="00BD7D28">
              <w:rPr>
                <w:rFonts w:ascii="Arial" w:eastAsia="Times New Roman" w:hAnsi="Arial" w:cs="Arial"/>
                <w:sz w:val="22"/>
                <w:lang w:val="en-CA" w:eastAsia="en-CA"/>
              </w:rPr>
              <w:t>l</w:t>
            </w:r>
            <w:r w:rsidRPr="00BD7D28">
              <w:rPr>
                <w:rFonts w:ascii="Arial" w:eastAsia="Times New Roman" w:hAnsi="Arial" w:cs="Arial"/>
                <w:sz w:val="22"/>
                <w:lang w:val="en-CA" w:eastAsia="en-CA"/>
              </w:rPr>
              <w:t>ack of improvement of lung function</w:t>
            </w:r>
          </w:p>
        </w:tc>
        <w:tc>
          <w:tcPr>
            <w:tcW w:w="1260" w:type="dxa"/>
            <w:shd w:val="clear" w:color="auto" w:fill="auto"/>
            <w:noWrap/>
            <w:vAlign w:val="bottom"/>
            <w:hideMark/>
          </w:tcPr>
          <w:p w14:paraId="0ED90F39"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1.76</w:t>
            </w:r>
          </w:p>
        </w:tc>
        <w:tc>
          <w:tcPr>
            <w:tcW w:w="1384" w:type="dxa"/>
            <w:shd w:val="clear" w:color="auto" w:fill="auto"/>
            <w:noWrap/>
            <w:vAlign w:val="bottom"/>
            <w:hideMark/>
          </w:tcPr>
          <w:p w14:paraId="3829B874"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1.76</w:t>
            </w:r>
          </w:p>
        </w:tc>
        <w:tc>
          <w:tcPr>
            <w:tcW w:w="1506" w:type="dxa"/>
            <w:shd w:val="clear" w:color="auto" w:fill="auto"/>
            <w:noWrap/>
            <w:vAlign w:val="bottom"/>
            <w:hideMark/>
          </w:tcPr>
          <w:p w14:paraId="3395FD34"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No</w:t>
            </w:r>
          </w:p>
        </w:tc>
      </w:tr>
      <w:tr w:rsidR="00BD7D28" w:rsidRPr="00BD7D28" w14:paraId="6279BCCD" w14:textId="77777777" w:rsidTr="004F7917">
        <w:tblPrEx>
          <w:tblCellMar>
            <w:left w:w="108" w:type="dxa"/>
            <w:right w:w="108" w:type="dxa"/>
          </w:tblCellMar>
        </w:tblPrEx>
        <w:trPr>
          <w:trHeight w:val="288"/>
        </w:trPr>
        <w:tc>
          <w:tcPr>
            <w:tcW w:w="5395" w:type="dxa"/>
            <w:shd w:val="clear" w:color="auto" w:fill="auto"/>
            <w:noWrap/>
            <w:vAlign w:val="bottom"/>
            <w:hideMark/>
          </w:tcPr>
          <w:p w14:paraId="7F11CD2F" w14:textId="7455E10A" w:rsidR="00573A25" w:rsidRPr="00BD7D28" w:rsidRDefault="00573A25" w:rsidP="00573A25">
            <w:pPr>
              <w:spacing w:line="240" w:lineRule="auto"/>
              <w:rPr>
                <w:rFonts w:ascii="Arial" w:eastAsia="Times New Roman" w:hAnsi="Arial" w:cs="Arial"/>
                <w:sz w:val="22"/>
                <w:lang w:val="en-CA" w:eastAsia="en-CA"/>
              </w:rPr>
            </w:pPr>
            <w:r w:rsidRPr="00BD7D28">
              <w:rPr>
                <w:rFonts w:ascii="Arial" w:eastAsia="Times New Roman" w:hAnsi="Arial" w:cs="Arial"/>
                <w:sz w:val="22"/>
                <w:lang w:val="en-CA" w:eastAsia="en-CA"/>
              </w:rPr>
              <w:t xml:space="preserve">Based on lack of effective response or improvement with immunosuppressive agents (MMF/CYC) as defined by </w:t>
            </w:r>
            <w:r w:rsidR="008D31C6" w:rsidRPr="00BD7D28">
              <w:rPr>
                <w:rFonts w:ascii="Arial" w:eastAsia="Times New Roman" w:hAnsi="Arial" w:cs="Arial"/>
                <w:sz w:val="22"/>
                <w:lang w:val="en-CA" w:eastAsia="en-CA"/>
              </w:rPr>
              <w:t xml:space="preserve">a </w:t>
            </w:r>
            <w:r w:rsidRPr="00BD7D28">
              <w:rPr>
                <w:rFonts w:ascii="Arial" w:eastAsia="Times New Roman" w:hAnsi="Arial" w:cs="Arial"/>
                <w:sz w:val="22"/>
                <w:lang w:val="en-CA" w:eastAsia="en-CA"/>
              </w:rPr>
              <w:t>combination of the above</w:t>
            </w:r>
          </w:p>
        </w:tc>
        <w:tc>
          <w:tcPr>
            <w:tcW w:w="1260" w:type="dxa"/>
            <w:shd w:val="clear" w:color="auto" w:fill="auto"/>
            <w:noWrap/>
            <w:vAlign w:val="bottom"/>
            <w:hideMark/>
          </w:tcPr>
          <w:p w14:paraId="68F979DC"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2.52</w:t>
            </w:r>
          </w:p>
        </w:tc>
        <w:tc>
          <w:tcPr>
            <w:tcW w:w="1384" w:type="dxa"/>
            <w:shd w:val="clear" w:color="auto" w:fill="auto"/>
            <w:noWrap/>
            <w:vAlign w:val="bottom"/>
            <w:hideMark/>
          </w:tcPr>
          <w:p w14:paraId="45C4DB71"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1.73</w:t>
            </w:r>
          </w:p>
        </w:tc>
        <w:tc>
          <w:tcPr>
            <w:tcW w:w="1506" w:type="dxa"/>
            <w:shd w:val="clear" w:color="auto" w:fill="auto"/>
            <w:noWrap/>
            <w:vAlign w:val="bottom"/>
            <w:hideMark/>
          </w:tcPr>
          <w:p w14:paraId="2C2354D2"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For</w:t>
            </w:r>
          </w:p>
        </w:tc>
      </w:tr>
      <w:tr w:rsidR="00BD7D28" w:rsidRPr="00BD7D28" w14:paraId="44178112" w14:textId="77777777" w:rsidTr="00573A25">
        <w:tblPrEx>
          <w:tblCellMar>
            <w:left w:w="108" w:type="dxa"/>
            <w:right w:w="108" w:type="dxa"/>
          </w:tblCellMar>
        </w:tblPrEx>
        <w:trPr>
          <w:trHeight w:val="288"/>
        </w:trPr>
        <w:tc>
          <w:tcPr>
            <w:tcW w:w="5395" w:type="dxa"/>
            <w:shd w:val="clear" w:color="auto" w:fill="auto"/>
            <w:noWrap/>
            <w:vAlign w:val="bottom"/>
            <w:hideMark/>
          </w:tcPr>
          <w:p w14:paraId="734CED5F" w14:textId="32C1BBE8" w:rsidR="00573A25" w:rsidRPr="00BD7D28" w:rsidRDefault="00573A25" w:rsidP="00573A25">
            <w:pPr>
              <w:spacing w:line="240" w:lineRule="auto"/>
              <w:rPr>
                <w:rFonts w:ascii="Arial" w:eastAsia="Times New Roman" w:hAnsi="Arial" w:cs="Arial"/>
                <w:sz w:val="22"/>
                <w:lang w:val="en-CA" w:eastAsia="en-CA"/>
              </w:rPr>
            </w:pPr>
            <w:r w:rsidRPr="00BD7D28">
              <w:rPr>
                <w:rFonts w:ascii="Arial" w:eastAsia="Times New Roman" w:hAnsi="Arial" w:cs="Arial"/>
                <w:sz w:val="22"/>
                <w:lang w:val="en-CA" w:eastAsia="en-CA"/>
              </w:rPr>
              <w:t xml:space="preserve">Based on active worsening of patient condition as defined by </w:t>
            </w:r>
            <w:r w:rsidR="008D31C6" w:rsidRPr="00BD7D28">
              <w:rPr>
                <w:rFonts w:ascii="Arial" w:eastAsia="Times New Roman" w:hAnsi="Arial" w:cs="Arial"/>
                <w:sz w:val="22"/>
                <w:lang w:val="en-CA" w:eastAsia="en-CA"/>
              </w:rPr>
              <w:t>w</w:t>
            </w:r>
            <w:r w:rsidRPr="00BD7D28">
              <w:rPr>
                <w:rFonts w:ascii="Arial" w:eastAsia="Times New Roman" w:hAnsi="Arial" w:cs="Arial"/>
                <w:sz w:val="22"/>
                <w:lang w:val="en-CA" w:eastAsia="en-CA"/>
              </w:rPr>
              <w:t>orsening of symptoms</w:t>
            </w:r>
          </w:p>
        </w:tc>
        <w:tc>
          <w:tcPr>
            <w:tcW w:w="1260" w:type="dxa"/>
            <w:shd w:val="clear" w:color="auto" w:fill="auto"/>
            <w:noWrap/>
            <w:vAlign w:val="bottom"/>
            <w:hideMark/>
          </w:tcPr>
          <w:p w14:paraId="693B3ABD"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1.76</w:t>
            </w:r>
          </w:p>
        </w:tc>
        <w:tc>
          <w:tcPr>
            <w:tcW w:w="1384" w:type="dxa"/>
            <w:shd w:val="clear" w:color="auto" w:fill="auto"/>
            <w:noWrap/>
            <w:vAlign w:val="bottom"/>
            <w:hideMark/>
          </w:tcPr>
          <w:p w14:paraId="20494DC9"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1.42</w:t>
            </w:r>
          </w:p>
        </w:tc>
        <w:tc>
          <w:tcPr>
            <w:tcW w:w="1506" w:type="dxa"/>
            <w:shd w:val="clear" w:color="auto" w:fill="auto"/>
            <w:noWrap/>
            <w:vAlign w:val="bottom"/>
            <w:hideMark/>
          </w:tcPr>
          <w:p w14:paraId="3739EBCA"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No</w:t>
            </w:r>
          </w:p>
        </w:tc>
      </w:tr>
      <w:tr w:rsidR="00BD7D28" w:rsidRPr="00BD7D28" w14:paraId="2AB99A38" w14:textId="77777777" w:rsidTr="004F7917">
        <w:tblPrEx>
          <w:tblCellMar>
            <w:left w:w="108" w:type="dxa"/>
            <w:right w:w="108" w:type="dxa"/>
          </w:tblCellMar>
        </w:tblPrEx>
        <w:trPr>
          <w:trHeight w:val="288"/>
        </w:trPr>
        <w:tc>
          <w:tcPr>
            <w:tcW w:w="5395" w:type="dxa"/>
            <w:shd w:val="clear" w:color="auto" w:fill="auto"/>
            <w:noWrap/>
            <w:vAlign w:val="bottom"/>
            <w:hideMark/>
          </w:tcPr>
          <w:p w14:paraId="54BF5D77" w14:textId="7002F234" w:rsidR="00573A25" w:rsidRPr="00BD7D28" w:rsidRDefault="00573A25" w:rsidP="00573A25">
            <w:pPr>
              <w:spacing w:line="240" w:lineRule="auto"/>
              <w:rPr>
                <w:rFonts w:ascii="Arial" w:eastAsia="Times New Roman" w:hAnsi="Arial" w:cs="Arial"/>
                <w:sz w:val="22"/>
                <w:lang w:val="en-CA" w:eastAsia="en-CA"/>
              </w:rPr>
            </w:pPr>
            <w:r w:rsidRPr="00BD7D28">
              <w:rPr>
                <w:rFonts w:ascii="Arial" w:eastAsia="Times New Roman" w:hAnsi="Arial" w:cs="Arial"/>
                <w:sz w:val="22"/>
                <w:lang w:val="en-CA" w:eastAsia="en-CA"/>
              </w:rPr>
              <w:t xml:space="preserve">Based on active worsening of patient condition as defined by </w:t>
            </w:r>
            <w:r w:rsidR="008D31C6" w:rsidRPr="00BD7D28">
              <w:rPr>
                <w:rFonts w:ascii="Arial" w:eastAsia="Times New Roman" w:hAnsi="Arial" w:cs="Arial"/>
                <w:sz w:val="22"/>
                <w:lang w:val="en-CA" w:eastAsia="en-CA"/>
              </w:rPr>
              <w:t>w</w:t>
            </w:r>
            <w:r w:rsidRPr="00BD7D28">
              <w:rPr>
                <w:rFonts w:ascii="Arial" w:eastAsia="Times New Roman" w:hAnsi="Arial" w:cs="Arial"/>
                <w:sz w:val="22"/>
                <w:lang w:val="en-CA" w:eastAsia="en-CA"/>
              </w:rPr>
              <w:t>orsening of ILD on HRCT</w:t>
            </w:r>
          </w:p>
        </w:tc>
        <w:tc>
          <w:tcPr>
            <w:tcW w:w="1260" w:type="dxa"/>
            <w:shd w:val="clear" w:color="auto" w:fill="auto"/>
            <w:noWrap/>
            <w:vAlign w:val="bottom"/>
            <w:hideMark/>
          </w:tcPr>
          <w:p w14:paraId="4C717479"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3.00</w:t>
            </w:r>
          </w:p>
        </w:tc>
        <w:tc>
          <w:tcPr>
            <w:tcW w:w="1384" w:type="dxa"/>
            <w:shd w:val="clear" w:color="auto" w:fill="auto"/>
            <w:noWrap/>
            <w:vAlign w:val="bottom"/>
            <w:hideMark/>
          </w:tcPr>
          <w:p w14:paraId="378E226B"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1.29</w:t>
            </w:r>
          </w:p>
        </w:tc>
        <w:tc>
          <w:tcPr>
            <w:tcW w:w="1506" w:type="dxa"/>
            <w:shd w:val="clear" w:color="auto" w:fill="auto"/>
            <w:noWrap/>
            <w:vAlign w:val="bottom"/>
            <w:hideMark/>
          </w:tcPr>
          <w:p w14:paraId="62CB4241"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For</w:t>
            </w:r>
          </w:p>
        </w:tc>
      </w:tr>
      <w:tr w:rsidR="00BD7D28" w:rsidRPr="00BD7D28" w14:paraId="198D6174" w14:textId="77777777" w:rsidTr="004F7917">
        <w:tblPrEx>
          <w:tblCellMar>
            <w:left w:w="108" w:type="dxa"/>
            <w:right w:w="108" w:type="dxa"/>
          </w:tblCellMar>
        </w:tblPrEx>
        <w:trPr>
          <w:trHeight w:val="288"/>
        </w:trPr>
        <w:tc>
          <w:tcPr>
            <w:tcW w:w="5395" w:type="dxa"/>
            <w:shd w:val="clear" w:color="auto" w:fill="auto"/>
            <w:noWrap/>
            <w:vAlign w:val="bottom"/>
            <w:hideMark/>
          </w:tcPr>
          <w:p w14:paraId="2D5E31AF" w14:textId="31982F79" w:rsidR="00573A25" w:rsidRPr="00BD7D28" w:rsidRDefault="00573A25" w:rsidP="00573A25">
            <w:pPr>
              <w:spacing w:line="240" w:lineRule="auto"/>
              <w:rPr>
                <w:rFonts w:ascii="Arial" w:eastAsia="Times New Roman" w:hAnsi="Arial" w:cs="Arial"/>
                <w:sz w:val="22"/>
                <w:lang w:val="en-CA" w:eastAsia="en-CA"/>
              </w:rPr>
            </w:pPr>
            <w:r w:rsidRPr="00BD7D28">
              <w:rPr>
                <w:rFonts w:ascii="Arial" w:eastAsia="Times New Roman" w:hAnsi="Arial" w:cs="Arial"/>
                <w:sz w:val="22"/>
                <w:lang w:val="en-CA" w:eastAsia="en-CA"/>
              </w:rPr>
              <w:t xml:space="preserve">Based on active worsening of patient condition as defined by </w:t>
            </w:r>
            <w:r w:rsidR="008D31C6" w:rsidRPr="00BD7D28">
              <w:rPr>
                <w:rFonts w:ascii="Arial" w:eastAsia="Times New Roman" w:hAnsi="Arial" w:cs="Arial"/>
                <w:sz w:val="22"/>
                <w:lang w:val="en-CA" w:eastAsia="en-CA"/>
              </w:rPr>
              <w:t>w</w:t>
            </w:r>
            <w:r w:rsidRPr="00BD7D28">
              <w:rPr>
                <w:rFonts w:ascii="Arial" w:eastAsia="Times New Roman" w:hAnsi="Arial" w:cs="Arial"/>
                <w:sz w:val="22"/>
                <w:lang w:val="en-CA" w:eastAsia="en-CA"/>
              </w:rPr>
              <w:t>orsening of lung function</w:t>
            </w:r>
          </w:p>
        </w:tc>
        <w:tc>
          <w:tcPr>
            <w:tcW w:w="1260" w:type="dxa"/>
            <w:shd w:val="clear" w:color="auto" w:fill="auto"/>
            <w:noWrap/>
            <w:vAlign w:val="bottom"/>
            <w:hideMark/>
          </w:tcPr>
          <w:p w14:paraId="11A4CA2A"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3.33</w:t>
            </w:r>
          </w:p>
        </w:tc>
        <w:tc>
          <w:tcPr>
            <w:tcW w:w="1384" w:type="dxa"/>
            <w:shd w:val="clear" w:color="auto" w:fill="auto"/>
            <w:noWrap/>
            <w:vAlign w:val="bottom"/>
            <w:hideMark/>
          </w:tcPr>
          <w:p w14:paraId="79EC5A96"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0.87</w:t>
            </w:r>
          </w:p>
        </w:tc>
        <w:tc>
          <w:tcPr>
            <w:tcW w:w="1506" w:type="dxa"/>
            <w:shd w:val="clear" w:color="auto" w:fill="auto"/>
            <w:noWrap/>
            <w:vAlign w:val="bottom"/>
            <w:hideMark/>
          </w:tcPr>
          <w:p w14:paraId="7B5C2892"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For</w:t>
            </w:r>
          </w:p>
        </w:tc>
      </w:tr>
      <w:tr w:rsidR="00BD7D28" w:rsidRPr="00BD7D28" w14:paraId="41C99481" w14:textId="77777777" w:rsidTr="004F7917">
        <w:tblPrEx>
          <w:tblCellMar>
            <w:left w:w="108" w:type="dxa"/>
            <w:right w:w="108" w:type="dxa"/>
          </w:tblCellMar>
        </w:tblPrEx>
        <w:trPr>
          <w:trHeight w:val="288"/>
        </w:trPr>
        <w:tc>
          <w:tcPr>
            <w:tcW w:w="5395" w:type="dxa"/>
            <w:shd w:val="clear" w:color="auto" w:fill="auto"/>
            <w:noWrap/>
            <w:vAlign w:val="bottom"/>
            <w:hideMark/>
          </w:tcPr>
          <w:p w14:paraId="5FE04EB8" w14:textId="6AA21C7F" w:rsidR="00573A25" w:rsidRPr="00BD7D28" w:rsidRDefault="00573A25" w:rsidP="00573A25">
            <w:pPr>
              <w:spacing w:line="240" w:lineRule="auto"/>
              <w:rPr>
                <w:rFonts w:ascii="Arial" w:eastAsia="Times New Roman" w:hAnsi="Arial" w:cs="Arial"/>
                <w:sz w:val="22"/>
                <w:lang w:val="en-CA" w:eastAsia="en-CA"/>
              </w:rPr>
            </w:pPr>
            <w:r w:rsidRPr="00BD7D28">
              <w:rPr>
                <w:rFonts w:ascii="Arial" w:eastAsia="Times New Roman" w:hAnsi="Arial" w:cs="Arial"/>
                <w:sz w:val="22"/>
                <w:lang w:val="en-CA" w:eastAsia="en-CA"/>
              </w:rPr>
              <w:t xml:space="preserve">Based on active worsening of patient condition as defined by </w:t>
            </w:r>
            <w:r w:rsidR="008D31C6" w:rsidRPr="00BD7D28">
              <w:rPr>
                <w:rFonts w:ascii="Arial" w:eastAsia="Times New Roman" w:hAnsi="Arial" w:cs="Arial"/>
                <w:sz w:val="22"/>
                <w:lang w:val="en-CA" w:eastAsia="en-CA"/>
              </w:rPr>
              <w:t>a c</w:t>
            </w:r>
            <w:r w:rsidRPr="00BD7D28">
              <w:rPr>
                <w:rFonts w:ascii="Arial" w:eastAsia="Times New Roman" w:hAnsi="Arial" w:cs="Arial"/>
                <w:sz w:val="22"/>
                <w:lang w:val="en-CA" w:eastAsia="en-CA"/>
              </w:rPr>
              <w:t xml:space="preserve">ombination of </w:t>
            </w:r>
            <w:r w:rsidR="008D31C6" w:rsidRPr="00BD7D28">
              <w:rPr>
                <w:rFonts w:ascii="Arial" w:eastAsia="Times New Roman" w:hAnsi="Arial" w:cs="Arial"/>
                <w:sz w:val="22"/>
                <w:lang w:val="en-CA" w:eastAsia="en-CA"/>
              </w:rPr>
              <w:t xml:space="preserve">the </w:t>
            </w:r>
            <w:r w:rsidRPr="00BD7D28">
              <w:rPr>
                <w:rFonts w:ascii="Arial" w:eastAsia="Times New Roman" w:hAnsi="Arial" w:cs="Arial"/>
                <w:sz w:val="22"/>
                <w:lang w:val="en-CA" w:eastAsia="en-CA"/>
              </w:rPr>
              <w:t>above</w:t>
            </w:r>
          </w:p>
        </w:tc>
        <w:tc>
          <w:tcPr>
            <w:tcW w:w="1260" w:type="dxa"/>
            <w:shd w:val="clear" w:color="auto" w:fill="auto"/>
            <w:noWrap/>
            <w:vAlign w:val="bottom"/>
            <w:hideMark/>
          </w:tcPr>
          <w:p w14:paraId="3B38CFCC"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3.72</w:t>
            </w:r>
          </w:p>
        </w:tc>
        <w:tc>
          <w:tcPr>
            <w:tcW w:w="1384" w:type="dxa"/>
            <w:shd w:val="clear" w:color="auto" w:fill="auto"/>
            <w:noWrap/>
            <w:vAlign w:val="bottom"/>
            <w:hideMark/>
          </w:tcPr>
          <w:p w14:paraId="0D888E9E"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0.79</w:t>
            </w:r>
          </w:p>
        </w:tc>
        <w:tc>
          <w:tcPr>
            <w:tcW w:w="1506" w:type="dxa"/>
            <w:shd w:val="clear" w:color="auto" w:fill="auto"/>
            <w:noWrap/>
            <w:vAlign w:val="bottom"/>
            <w:hideMark/>
          </w:tcPr>
          <w:p w14:paraId="4AD3FE24"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For</w:t>
            </w:r>
          </w:p>
        </w:tc>
      </w:tr>
      <w:tr w:rsidR="00BD7D28" w:rsidRPr="00BD7D28" w14:paraId="069F5CFF" w14:textId="77777777" w:rsidTr="004F7917">
        <w:tblPrEx>
          <w:tblCellMar>
            <w:left w:w="108" w:type="dxa"/>
            <w:right w:w="108" w:type="dxa"/>
          </w:tblCellMar>
        </w:tblPrEx>
        <w:trPr>
          <w:trHeight w:val="288"/>
        </w:trPr>
        <w:tc>
          <w:tcPr>
            <w:tcW w:w="5395" w:type="dxa"/>
            <w:shd w:val="clear" w:color="auto" w:fill="auto"/>
            <w:noWrap/>
            <w:vAlign w:val="bottom"/>
            <w:hideMark/>
          </w:tcPr>
          <w:p w14:paraId="6D52E224" w14:textId="7E885153" w:rsidR="00573A25" w:rsidRPr="00BD7D28" w:rsidRDefault="00573A25" w:rsidP="00573A25">
            <w:pPr>
              <w:spacing w:line="240" w:lineRule="auto"/>
              <w:rPr>
                <w:rFonts w:ascii="Arial" w:eastAsia="Times New Roman" w:hAnsi="Arial" w:cs="Arial"/>
                <w:sz w:val="22"/>
                <w:lang w:val="en-CA" w:eastAsia="en-CA"/>
              </w:rPr>
            </w:pPr>
            <w:r w:rsidRPr="00BD7D28">
              <w:rPr>
                <w:rFonts w:ascii="Arial" w:eastAsia="Times New Roman" w:hAnsi="Arial" w:cs="Arial"/>
                <w:sz w:val="22"/>
                <w:lang w:val="en-CA" w:eastAsia="en-CA"/>
              </w:rPr>
              <w:t xml:space="preserve">Based on inability to continue CYC/MMF due to </w:t>
            </w:r>
            <w:r w:rsidR="008D31C6" w:rsidRPr="00BD7D28">
              <w:rPr>
                <w:rFonts w:ascii="Arial" w:eastAsia="Times New Roman" w:hAnsi="Arial" w:cs="Arial"/>
                <w:sz w:val="22"/>
                <w:lang w:val="en-CA" w:eastAsia="en-CA"/>
              </w:rPr>
              <w:t>a</w:t>
            </w:r>
            <w:r w:rsidRPr="00BD7D28">
              <w:rPr>
                <w:rFonts w:ascii="Arial" w:eastAsia="Times New Roman" w:hAnsi="Arial" w:cs="Arial"/>
                <w:sz w:val="22"/>
                <w:lang w:val="en-CA" w:eastAsia="en-CA"/>
              </w:rPr>
              <w:t>dverse effects</w:t>
            </w:r>
          </w:p>
        </w:tc>
        <w:tc>
          <w:tcPr>
            <w:tcW w:w="1260" w:type="dxa"/>
            <w:shd w:val="clear" w:color="auto" w:fill="auto"/>
            <w:noWrap/>
            <w:vAlign w:val="bottom"/>
            <w:hideMark/>
          </w:tcPr>
          <w:p w14:paraId="1FBA71A5"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2.80</w:t>
            </w:r>
          </w:p>
        </w:tc>
        <w:tc>
          <w:tcPr>
            <w:tcW w:w="1384" w:type="dxa"/>
            <w:shd w:val="clear" w:color="auto" w:fill="auto"/>
            <w:noWrap/>
            <w:vAlign w:val="bottom"/>
            <w:hideMark/>
          </w:tcPr>
          <w:p w14:paraId="4EA69671" w14:textId="0D3EEABD"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1.</w:t>
            </w:r>
            <w:r w:rsidR="00E012C7" w:rsidRPr="00BD7D28">
              <w:rPr>
                <w:rFonts w:ascii="Arial" w:eastAsia="Times New Roman" w:hAnsi="Arial" w:cs="Arial"/>
                <w:sz w:val="22"/>
                <w:lang w:val="en-CA" w:eastAsia="en-CA"/>
              </w:rPr>
              <w:t>3</w:t>
            </w:r>
            <w:r w:rsidRPr="00BD7D28">
              <w:rPr>
                <w:rFonts w:ascii="Arial" w:eastAsia="Times New Roman" w:hAnsi="Arial" w:cs="Arial"/>
                <w:sz w:val="22"/>
                <w:lang w:val="en-CA" w:eastAsia="en-CA"/>
              </w:rPr>
              <w:t>5</w:t>
            </w:r>
          </w:p>
        </w:tc>
        <w:tc>
          <w:tcPr>
            <w:tcW w:w="1506" w:type="dxa"/>
            <w:shd w:val="clear" w:color="auto" w:fill="auto"/>
            <w:noWrap/>
            <w:vAlign w:val="bottom"/>
            <w:hideMark/>
          </w:tcPr>
          <w:p w14:paraId="67E63C2C"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For</w:t>
            </w:r>
          </w:p>
        </w:tc>
      </w:tr>
      <w:tr w:rsidR="00BD7D28" w:rsidRPr="00BD7D28" w14:paraId="2EC5DE6D" w14:textId="77777777" w:rsidTr="00573A25">
        <w:tblPrEx>
          <w:tblCellMar>
            <w:left w:w="108" w:type="dxa"/>
            <w:right w:w="108" w:type="dxa"/>
          </w:tblCellMar>
        </w:tblPrEx>
        <w:trPr>
          <w:trHeight w:val="288"/>
        </w:trPr>
        <w:tc>
          <w:tcPr>
            <w:tcW w:w="5395" w:type="dxa"/>
            <w:shd w:val="clear" w:color="auto" w:fill="auto"/>
            <w:noWrap/>
            <w:vAlign w:val="bottom"/>
            <w:hideMark/>
          </w:tcPr>
          <w:p w14:paraId="2ABF6387" w14:textId="2345FAFB" w:rsidR="00573A25" w:rsidRPr="00BD7D28" w:rsidRDefault="00573A25" w:rsidP="00573A25">
            <w:pPr>
              <w:spacing w:line="240" w:lineRule="auto"/>
              <w:rPr>
                <w:rFonts w:ascii="Arial" w:eastAsia="Times New Roman" w:hAnsi="Arial" w:cs="Arial"/>
                <w:sz w:val="22"/>
                <w:lang w:val="en-CA" w:eastAsia="en-CA"/>
              </w:rPr>
            </w:pPr>
            <w:r w:rsidRPr="00BD7D28">
              <w:rPr>
                <w:rFonts w:ascii="Arial" w:eastAsia="Times New Roman" w:hAnsi="Arial" w:cs="Arial"/>
                <w:sz w:val="22"/>
                <w:lang w:val="en-CA" w:eastAsia="en-CA"/>
              </w:rPr>
              <w:t xml:space="preserve">Based on inability to continue CYC/MMF due to </w:t>
            </w:r>
            <w:r w:rsidR="008D31C6" w:rsidRPr="00BD7D28">
              <w:rPr>
                <w:rFonts w:ascii="Arial" w:eastAsia="Times New Roman" w:hAnsi="Arial" w:cs="Arial"/>
                <w:sz w:val="22"/>
                <w:lang w:val="en-CA" w:eastAsia="en-CA"/>
              </w:rPr>
              <w:t>l</w:t>
            </w:r>
            <w:r w:rsidRPr="00BD7D28">
              <w:rPr>
                <w:rFonts w:ascii="Arial" w:eastAsia="Times New Roman" w:hAnsi="Arial" w:cs="Arial"/>
                <w:sz w:val="22"/>
                <w:lang w:val="en-CA" w:eastAsia="en-CA"/>
              </w:rPr>
              <w:t>ack of achievement of effective dose with CYC/MMF</w:t>
            </w:r>
          </w:p>
        </w:tc>
        <w:tc>
          <w:tcPr>
            <w:tcW w:w="1260" w:type="dxa"/>
            <w:shd w:val="clear" w:color="auto" w:fill="auto"/>
            <w:noWrap/>
            <w:vAlign w:val="bottom"/>
            <w:hideMark/>
          </w:tcPr>
          <w:p w14:paraId="0B59F110"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2.00</w:t>
            </w:r>
          </w:p>
        </w:tc>
        <w:tc>
          <w:tcPr>
            <w:tcW w:w="1384" w:type="dxa"/>
            <w:shd w:val="clear" w:color="auto" w:fill="auto"/>
            <w:noWrap/>
            <w:vAlign w:val="bottom"/>
            <w:hideMark/>
          </w:tcPr>
          <w:p w14:paraId="14819D13"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1.53</w:t>
            </w:r>
          </w:p>
        </w:tc>
        <w:tc>
          <w:tcPr>
            <w:tcW w:w="1506" w:type="dxa"/>
            <w:shd w:val="clear" w:color="auto" w:fill="auto"/>
            <w:noWrap/>
            <w:vAlign w:val="bottom"/>
            <w:hideMark/>
          </w:tcPr>
          <w:p w14:paraId="4B73A676"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No</w:t>
            </w:r>
          </w:p>
        </w:tc>
      </w:tr>
      <w:tr w:rsidR="00BD7D28" w:rsidRPr="00BD7D28" w14:paraId="795B91EE" w14:textId="77777777" w:rsidTr="00573A25">
        <w:tblPrEx>
          <w:tblCellMar>
            <w:left w:w="108" w:type="dxa"/>
            <w:right w:w="108" w:type="dxa"/>
          </w:tblCellMar>
        </w:tblPrEx>
        <w:trPr>
          <w:trHeight w:val="288"/>
        </w:trPr>
        <w:tc>
          <w:tcPr>
            <w:tcW w:w="5395" w:type="dxa"/>
            <w:shd w:val="clear" w:color="auto" w:fill="auto"/>
            <w:noWrap/>
            <w:vAlign w:val="bottom"/>
            <w:hideMark/>
          </w:tcPr>
          <w:p w14:paraId="77F2C21A" w14:textId="58CFFC89" w:rsidR="00573A25" w:rsidRPr="00BD7D28" w:rsidRDefault="00573A25" w:rsidP="00573A25">
            <w:pPr>
              <w:spacing w:line="240" w:lineRule="auto"/>
              <w:rPr>
                <w:rFonts w:ascii="Arial" w:eastAsia="Times New Roman" w:hAnsi="Arial" w:cs="Arial"/>
                <w:sz w:val="22"/>
                <w:lang w:val="en-CA" w:eastAsia="en-CA"/>
              </w:rPr>
            </w:pPr>
            <w:r w:rsidRPr="00BD7D28">
              <w:rPr>
                <w:rFonts w:ascii="Arial" w:eastAsia="Times New Roman" w:hAnsi="Arial" w:cs="Arial"/>
                <w:sz w:val="22"/>
                <w:lang w:val="en-CA" w:eastAsia="en-CA"/>
              </w:rPr>
              <w:t xml:space="preserve">Based on inability to continue CYC/MMF due to </w:t>
            </w:r>
            <w:r w:rsidR="008D31C6" w:rsidRPr="00BD7D28">
              <w:rPr>
                <w:rFonts w:ascii="Arial" w:eastAsia="Times New Roman" w:hAnsi="Arial" w:cs="Arial"/>
                <w:sz w:val="22"/>
                <w:lang w:val="en-CA" w:eastAsia="en-CA"/>
              </w:rPr>
              <w:t>p</w:t>
            </w:r>
            <w:r w:rsidRPr="00BD7D28">
              <w:rPr>
                <w:rFonts w:ascii="Arial" w:eastAsia="Times New Roman" w:hAnsi="Arial" w:cs="Arial"/>
                <w:sz w:val="22"/>
                <w:lang w:val="en-CA" w:eastAsia="en-CA"/>
              </w:rPr>
              <w:t>rolonged use</w:t>
            </w:r>
          </w:p>
        </w:tc>
        <w:tc>
          <w:tcPr>
            <w:tcW w:w="1260" w:type="dxa"/>
            <w:shd w:val="clear" w:color="auto" w:fill="auto"/>
            <w:noWrap/>
            <w:vAlign w:val="bottom"/>
            <w:hideMark/>
          </w:tcPr>
          <w:p w14:paraId="370D5CBA"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1.21</w:t>
            </w:r>
          </w:p>
        </w:tc>
        <w:tc>
          <w:tcPr>
            <w:tcW w:w="1384" w:type="dxa"/>
            <w:shd w:val="clear" w:color="auto" w:fill="auto"/>
            <w:noWrap/>
            <w:vAlign w:val="bottom"/>
            <w:hideMark/>
          </w:tcPr>
          <w:p w14:paraId="16AB1A06"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1.93</w:t>
            </w:r>
          </w:p>
        </w:tc>
        <w:tc>
          <w:tcPr>
            <w:tcW w:w="1506" w:type="dxa"/>
            <w:shd w:val="clear" w:color="auto" w:fill="auto"/>
            <w:noWrap/>
            <w:vAlign w:val="bottom"/>
            <w:hideMark/>
          </w:tcPr>
          <w:p w14:paraId="3D121279"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No</w:t>
            </w:r>
          </w:p>
        </w:tc>
      </w:tr>
      <w:tr w:rsidR="00BD7D28" w:rsidRPr="00BD7D28" w14:paraId="483B3855" w14:textId="77777777" w:rsidTr="00573A25">
        <w:tblPrEx>
          <w:tblCellMar>
            <w:left w:w="108" w:type="dxa"/>
            <w:right w:w="108" w:type="dxa"/>
          </w:tblCellMar>
        </w:tblPrEx>
        <w:trPr>
          <w:trHeight w:val="288"/>
        </w:trPr>
        <w:tc>
          <w:tcPr>
            <w:tcW w:w="9545" w:type="dxa"/>
            <w:gridSpan w:val="4"/>
            <w:shd w:val="clear" w:color="auto" w:fill="auto"/>
            <w:noWrap/>
            <w:vAlign w:val="bottom"/>
          </w:tcPr>
          <w:p w14:paraId="48FA5FD5" w14:textId="77777777" w:rsidR="00573A25" w:rsidRPr="00BD7D28" w:rsidRDefault="00573A25" w:rsidP="00573A25">
            <w:pPr>
              <w:spacing w:line="240" w:lineRule="auto"/>
              <w:rPr>
                <w:rFonts w:ascii="Arial" w:eastAsia="Times New Roman" w:hAnsi="Arial" w:cs="Arial"/>
                <w:b/>
                <w:bCs/>
                <w:sz w:val="22"/>
                <w:lang w:val="en-CA" w:eastAsia="en-CA"/>
              </w:rPr>
            </w:pPr>
            <w:r w:rsidRPr="00BD7D28">
              <w:rPr>
                <w:rFonts w:ascii="Arial" w:eastAsia="Times New Roman" w:hAnsi="Arial" w:cs="Arial"/>
                <w:b/>
                <w:bCs/>
                <w:sz w:val="22"/>
                <w:lang w:val="en-CA" w:eastAsia="en-CA"/>
              </w:rPr>
              <w:t>Nintedanib fits into the management of SSc-ILD as:</w:t>
            </w:r>
          </w:p>
        </w:tc>
      </w:tr>
      <w:tr w:rsidR="00BD7D28" w:rsidRPr="00BD7D28" w14:paraId="1EA788C3" w14:textId="77777777" w:rsidTr="00573A25">
        <w:trPr>
          <w:trHeight w:val="288"/>
        </w:trPr>
        <w:tc>
          <w:tcPr>
            <w:tcW w:w="5395" w:type="dxa"/>
            <w:shd w:val="clear" w:color="auto" w:fill="auto"/>
            <w:noWrap/>
            <w:vAlign w:val="bottom"/>
            <w:hideMark/>
          </w:tcPr>
          <w:p w14:paraId="22ECF96F" w14:textId="38C6970A" w:rsidR="00573A25" w:rsidRPr="00BD7D28" w:rsidRDefault="00573A25" w:rsidP="00573A25">
            <w:pPr>
              <w:spacing w:line="240" w:lineRule="auto"/>
              <w:rPr>
                <w:rFonts w:ascii="Arial" w:eastAsia="Times New Roman" w:hAnsi="Arial" w:cs="Arial"/>
                <w:sz w:val="22"/>
                <w:lang w:val="en-CA" w:eastAsia="en-CA"/>
              </w:rPr>
            </w:pPr>
            <w:r w:rsidRPr="00BD7D28">
              <w:rPr>
                <w:rFonts w:ascii="Arial" w:eastAsia="Times New Roman" w:hAnsi="Arial" w:cs="Arial"/>
                <w:sz w:val="22"/>
                <w:lang w:val="en-CA" w:eastAsia="en-CA"/>
              </w:rPr>
              <w:t>Initial monotherapy in cases with significant lung fibrosis (</w:t>
            </w:r>
            <w:proofErr w:type="gramStart"/>
            <w:r w:rsidRPr="00BD7D28">
              <w:rPr>
                <w:rFonts w:ascii="Arial" w:eastAsia="Times New Roman" w:hAnsi="Arial" w:cs="Arial"/>
                <w:sz w:val="22"/>
                <w:lang w:val="en-CA" w:eastAsia="en-CA"/>
              </w:rPr>
              <w:t>e.g.</w:t>
            </w:r>
            <w:proofErr w:type="gramEnd"/>
            <w:r w:rsidRPr="00BD7D28">
              <w:rPr>
                <w:rFonts w:ascii="Arial" w:eastAsia="Times New Roman" w:hAnsi="Arial" w:cs="Arial"/>
                <w:sz w:val="22"/>
                <w:lang w:val="en-CA" w:eastAsia="en-CA"/>
              </w:rPr>
              <w:t xml:space="preserve"> &gt;10% total lung involvement on HRCT) with preserved FVC and DL</w:t>
            </w:r>
            <w:r w:rsidRPr="00BD7D28">
              <w:rPr>
                <w:rFonts w:ascii="Arial" w:eastAsia="Times New Roman" w:hAnsi="Arial" w:cs="Arial"/>
                <w:sz w:val="22"/>
                <w:vertAlign w:val="subscript"/>
                <w:lang w:val="en-CA" w:eastAsia="en-CA"/>
              </w:rPr>
              <w:t>CO</w:t>
            </w:r>
          </w:p>
        </w:tc>
        <w:tc>
          <w:tcPr>
            <w:tcW w:w="1260" w:type="dxa"/>
            <w:shd w:val="clear" w:color="auto" w:fill="auto"/>
            <w:noWrap/>
            <w:vAlign w:val="bottom"/>
            <w:hideMark/>
          </w:tcPr>
          <w:p w14:paraId="7829E805" w14:textId="359D3931" w:rsidR="00573A25" w:rsidRPr="00BD7D28" w:rsidRDefault="008D31C6"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rPr>
              <w:t>−</w:t>
            </w:r>
            <w:r w:rsidR="00573A25" w:rsidRPr="00BD7D28">
              <w:rPr>
                <w:rFonts w:ascii="Arial" w:eastAsia="Times New Roman" w:hAnsi="Arial" w:cs="Arial"/>
                <w:sz w:val="22"/>
                <w:lang w:val="en-CA" w:eastAsia="en-CA"/>
              </w:rPr>
              <w:t>0.88</w:t>
            </w:r>
          </w:p>
        </w:tc>
        <w:tc>
          <w:tcPr>
            <w:tcW w:w="1384" w:type="dxa"/>
            <w:shd w:val="clear" w:color="auto" w:fill="auto"/>
            <w:noWrap/>
            <w:vAlign w:val="bottom"/>
            <w:hideMark/>
          </w:tcPr>
          <w:p w14:paraId="7AB6F9B4"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2.13</w:t>
            </w:r>
          </w:p>
        </w:tc>
        <w:tc>
          <w:tcPr>
            <w:tcW w:w="1506" w:type="dxa"/>
            <w:shd w:val="clear" w:color="auto" w:fill="auto"/>
            <w:noWrap/>
            <w:vAlign w:val="bottom"/>
            <w:hideMark/>
          </w:tcPr>
          <w:p w14:paraId="58967230"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No</w:t>
            </w:r>
          </w:p>
        </w:tc>
      </w:tr>
      <w:tr w:rsidR="00BD7D28" w:rsidRPr="00BD7D28" w14:paraId="7DA19F68" w14:textId="77777777" w:rsidTr="00573A25">
        <w:trPr>
          <w:trHeight w:val="288"/>
        </w:trPr>
        <w:tc>
          <w:tcPr>
            <w:tcW w:w="5395" w:type="dxa"/>
            <w:shd w:val="clear" w:color="auto" w:fill="auto"/>
            <w:noWrap/>
            <w:vAlign w:val="bottom"/>
            <w:hideMark/>
          </w:tcPr>
          <w:p w14:paraId="1C3654D8" w14:textId="6BA7EF7B" w:rsidR="00573A25" w:rsidRPr="00BD7D28" w:rsidRDefault="00573A25" w:rsidP="00573A25">
            <w:pPr>
              <w:spacing w:line="240" w:lineRule="auto"/>
              <w:rPr>
                <w:rFonts w:ascii="Arial" w:eastAsia="Times New Roman" w:hAnsi="Arial" w:cs="Arial"/>
                <w:sz w:val="22"/>
                <w:lang w:val="en-CA" w:eastAsia="en-CA"/>
              </w:rPr>
            </w:pPr>
            <w:r w:rsidRPr="00BD7D28">
              <w:rPr>
                <w:rFonts w:ascii="Arial" w:eastAsia="Times New Roman" w:hAnsi="Arial" w:cs="Arial"/>
                <w:sz w:val="22"/>
                <w:lang w:val="en-CA" w:eastAsia="en-CA"/>
              </w:rPr>
              <w:t>Initial monotherapy in patients with contraindication to or problems tolerating immunosuppressive agents</w:t>
            </w:r>
          </w:p>
        </w:tc>
        <w:tc>
          <w:tcPr>
            <w:tcW w:w="1260" w:type="dxa"/>
            <w:shd w:val="clear" w:color="auto" w:fill="auto"/>
            <w:noWrap/>
            <w:vAlign w:val="bottom"/>
            <w:hideMark/>
          </w:tcPr>
          <w:p w14:paraId="6B619831"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1.32</w:t>
            </w:r>
          </w:p>
        </w:tc>
        <w:tc>
          <w:tcPr>
            <w:tcW w:w="1384" w:type="dxa"/>
            <w:shd w:val="clear" w:color="auto" w:fill="auto"/>
            <w:noWrap/>
            <w:vAlign w:val="bottom"/>
            <w:hideMark/>
          </w:tcPr>
          <w:p w14:paraId="1A1872B5"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2.50</w:t>
            </w:r>
          </w:p>
        </w:tc>
        <w:tc>
          <w:tcPr>
            <w:tcW w:w="1506" w:type="dxa"/>
            <w:shd w:val="clear" w:color="auto" w:fill="auto"/>
            <w:noWrap/>
            <w:vAlign w:val="bottom"/>
            <w:hideMark/>
          </w:tcPr>
          <w:p w14:paraId="36F55A9A"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No</w:t>
            </w:r>
          </w:p>
        </w:tc>
      </w:tr>
      <w:tr w:rsidR="00BD7D28" w:rsidRPr="00BD7D28" w14:paraId="1A3F7FC3" w14:textId="77777777" w:rsidTr="00573A25">
        <w:trPr>
          <w:trHeight w:val="288"/>
        </w:trPr>
        <w:tc>
          <w:tcPr>
            <w:tcW w:w="5395" w:type="dxa"/>
            <w:shd w:val="clear" w:color="auto" w:fill="auto"/>
            <w:noWrap/>
            <w:vAlign w:val="bottom"/>
            <w:hideMark/>
          </w:tcPr>
          <w:p w14:paraId="3C6D5457" w14:textId="249B23FE" w:rsidR="00573A25" w:rsidRPr="00BD7D28" w:rsidRDefault="00573A25" w:rsidP="00573A25">
            <w:pPr>
              <w:spacing w:line="240" w:lineRule="auto"/>
              <w:rPr>
                <w:rFonts w:ascii="Arial" w:eastAsia="Times New Roman" w:hAnsi="Arial" w:cs="Arial"/>
                <w:sz w:val="22"/>
                <w:lang w:val="en-CA" w:eastAsia="en-CA"/>
              </w:rPr>
            </w:pPr>
            <w:r w:rsidRPr="00BD7D28">
              <w:rPr>
                <w:rFonts w:ascii="Arial" w:eastAsia="Times New Roman" w:hAnsi="Arial" w:cs="Arial"/>
                <w:sz w:val="22"/>
                <w:lang w:val="en-CA" w:eastAsia="en-CA"/>
              </w:rPr>
              <w:t>Initial monotherapy in patients with &gt;20% total lung involvement on HRCT, indicative of significant fibrosis</w:t>
            </w:r>
          </w:p>
        </w:tc>
        <w:tc>
          <w:tcPr>
            <w:tcW w:w="1260" w:type="dxa"/>
            <w:shd w:val="clear" w:color="auto" w:fill="auto"/>
            <w:noWrap/>
            <w:vAlign w:val="bottom"/>
            <w:hideMark/>
          </w:tcPr>
          <w:p w14:paraId="49495550"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0.04</w:t>
            </w:r>
          </w:p>
        </w:tc>
        <w:tc>
          <w:tcPr>
            <w:tcW w:w="1384" w:type="dxa"/>
            <w:shd w:val="clear" w:color="auto" w:fill="auto"/>
            <w:noWrap/>
            <w:vAlign w:val="bottom"/>
            <w:hideMark/>
          </w:tcPr>
          <w:p w14:paraId="1D5AB163"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2.14</w:t>
            </w:r>
          </w:p>
        </w:tc>
        <w:tc>
          <w:tcPr>
            <w:tcW w:w="1506" w:type="dxa"/>
            <w:shd w:val="clear" w:color="auto" w:fill="auto"/>
            <w:noWrap/>
            <w:vAlign w:val="bottom"/>
            <w:hideMark/>
          </w:tcPr>
          <w:p w14:paraId="3B53D5D7"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No</w:t>
            </w:r>
          </w:p>
        </w:tc>
      </w:tr>
      <w:tr w:rsidR="00BD7D28" w:rsidRPr="00BD7D28" w14:paraId="3150A7EB" w14:textId="77777777" w:rsidTr="004F7917">
        <w:trPr>
          <w:trHeight w:val="288"/>
        </w:trPr>
        <w:tc>
          <w:tcPr>
            <w:tcW w:w="5395" w:type="dxa"/>
            <w:shd w:val="clear" w:color="auto" w:fill="auto"/>
            <w:noWrap/>
            <w:vAlign w:val="bottom"/>
            <w:hideMark/>
          </w:tcPr>
          <w:p w14:paraId="11150979" w14:textId="6AFDD4BA" w:rsidR="00573A25" w:rsidRPr="00BD7D28" w:rsidRDefault="00573A25" w:rsidP="00573A25">
            <w:pPr>
              <w:spacing w:line="240" w:lineRule="auto"/>
              <w:rPr>
                <w:rFonts w:ascii="Arial" w:eastAsia="Times New Roman" w:hAnsi="Arial" w:cs="Arial"/>
                <w:sz w:val="22"/>
                <w:lang w:val="en-CA" w:eastAsia="en-CA"/>
              </w:rPr>
            </w:pPr>
            <w:r w:rsidRPr="00BD7D28">
              <w:rPr>
                <w:rFonts w:ascii="Arial" w:eastAsia="Times New Roman" w:hAnsi="Arial" w:cs="Arial"/>
                <w:sz w:val="22"/>
                <w:lang w:val="en-CA" w:eastAsia="en-CA"/>
              </w:rPr>
              <w:t>Initial monotherapy in patients with longstanding SSc (&gt;5 years) with ILD and evidence of progression for whom immunosuppression would not be recommended</w:t>
            </w:r>
          </w:p>
        </w:tc>
        <w:tc>
          <w:tcPr>
            <w:tcW w:w="1260" w:type="dxa"/>
            <w:shd w:val="clear" w:color="auto" w:fill="auto"/>
            <w:noWrap/>
            <w:vAlign w:val="bottom"/>
            <w:hideMark/>
          </w:tcPr>
          <w:p w14:paraId="6F19322F"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2.60</w:t>
            </w:r>
          </w:p>
        </w:tc>
        <w:tc>
          <w:tcPr>
            <w:tcW w:w="1384" w:type="dxa"/>
            <w:shd w:val="clear" w:color="auto" w:fill="auto"/>
            <w:noWrap/>
            <w:vAlign w:val="bottom"/>
            <w:hideMark/>
          </w:tcPr>
          <w:p w14:paraId="34A71D00"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1.63</w:t>
            </w:r>
          </w:p>
        </w:tc>
        <w:tc>
          <w:tcPr>
            <w:tcW w:w="1506" w:type="dxa"/>
            <w:shd w:val="clear" w:color="auto" w:fill="auto"/>
            <w:noWrap/>
            <w:vAlign w:val="bottom"/>
            <w:hideMark/>
          </w:tcPr>
          <w:p w14:paraId="0A106072"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For</w:t>
            </w:r>
          </w:p>
        </w:tc>
      </w:tr>
      <w:tr w:rsidR="00BD7D28" w:rsidRPr="00BD7D28" w14:paraId="42D93A2B" w14:textId="77777777" w:rsidTr="00573A25">
        <w:trPr>
          <w:trHeight w:val="288"/>
        </w:trPr>
        <w:tc>
          <w:tcPr>
            <w:tcW w:w="5395" w:type="dxa"/>
            <w:shd w:val="clear" w:color="auto" w:fill="auto"/>
            <w:noWrap/>
            <w:vAlign w:val="bottom"/>
            <w:hideMark/>
          </w:tcPr>
          <w:p w14:paraId="7E46A62D" w14:textId="26D6DC48" w:rsidR="00573A25" w:rsidRPr="00BD7D28" w:rsidRDefault="00573A25" w:rsidP="00573A25">
            <w:pPr>
              <w:spacing w:line="240" w:lineRule="auto"/>
              <w:rPr>
                <w:rFonts w:ascii="Arial" w:eastAsia="Times New Roman" w:hAnsi="Arial" w:cs="Arial"/>
                <w:sz w:val="22"/>
                <w:lang w:val="en-CA" w:eastAsia="en-CA"/>
              </w:rPr>
            </w:pPr>
            <w:r w:rsidRPr="00BD7D28">
              <w:rPr>
                <w:rFonts w:ascii="Arial" w:eastAsia="Times New Roman" w:hAnsi="Arial" w:cs="Arial"/>
                <w:sz w:val="22"/>
                <w:lang w:val="en-CA" w:eastAsia="en-CA"/>
              </w:rPr>
              <w:t>Dual initial therapy in combination with MMF/CYC</w:t>
            </w:r>
          </w:p>
        </w:tc>
        <w:tc>
          <w:tcPr>
            <w:tcW w:w="1260" w:type="dxa"/>
            <w:shd w:val="clear" w:color="auto" w:fill="auto"/>
            <w:noWrap/>
            <w:vAlign w:val="bottom"/>
            <w:hideMark/>
          </w:tcPr>
          <w:p w14:paraId="77621B4F"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0.92</w:t>
            </w:r>
          </w:p>
        </w:tc>
        <w:tc>
          <w:tcPr>
            <w:tcW w:w="1384" w:type="dxa"/>
            <w:shd w:val="clear" w:color="auto" w:fill="auto"/>
            <w:noWrap/>
            <w:vAlign w:val="bottom"/>
            <w:hideMark/>
          </w:tcPr>
          <w:p w14:paraId="09BE956C"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2.20</w:t>
            </w:r>
          </w:p>
        </w:tc>
        <w:tc>
          <w:tcPr>
            <w:tcW w:w="1506" w:type="dxa"/>
            <w:shd w:val="clear" w:color="auto" w:fill="auto"/>
            <w:noWrap/>
            <w:vAlign w:val="bottom"/>
            <w:hideMark/>
          </w:tcPr>
          <w:p w14:paraId="6F76FD1D"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No</w:t>
            </w:r>
          </w:p>
        </w:tc>
      </w:tr>
      <w:tr w:rsidR="00BD7D28" w:rsidRPr="00BD7D28" w14:paraId="7526C61C" w14:textId="77777777" w:rsidTr="004F7917">
        <w:trPr>
          <w:trHeight w:val="288"/>
        </w:trPr>
        <w:tc>
          <w:tcPr>
            <w:tcW w:w="5395" w:type="dxa"/>
            <w:shd w:val="clear" w:color="auto" w:fill="auto"/>
            <w:noWrap/>
            <w:vAlign w:val="bottom"/>
            <w:hideMark/>
          </w:tcPr>
          <w:p w14:paraId="22996E8C" w14:textId="1BCD819D" w:rsidR="00573A25" w:rsidRPr="00BD7D28" w:rsidRDefault="00573A25" w:rsidP="00573A25">
            <w:pPr>
              <w:spacing w:line="240" w:lineRule="auto"/>
              <w:rPr>
                <w:rFonts w:ascii="Arial" w:eastAsia="Times New Roman" w:hAnsi="Arial" w:cs="Arial"/>
                <w:sz w:val="22"/>
                <w:lang w:val="en-CA" w:eastAsia="en-CA"/>
              </w:rPr>
            </w:pPr>
            <w:r w:rsidRPr="00BD7D28">
              <w:rPr>
                <w:rFonts w:ascii="Arial" w:eastAsia="Times New Roman" w:hAnsi="Arial" w:cs="Arial"/>
                <w:sz w:val="22"/>
                <w:lang w:val="en-CA" w:eastAsia="en-CA"/>
              </w:rPr>
              <w:t>Add-on therapy after failure of MMF/CYC</w:t>
            </w:r>
          </w:p>
        </w:tc>
        <w:tc>
          <w:tcPr>
            <w:tcW w:w="1260" w:type="dxa"/>
            <w:shd w:val="clear" w:color="auto" w:fill="auto"/>
            <w:noWrap/>
            <w:vAlign w:val="bottom"/>
            <w:hideMark/>
          </w:tcPr>
          <w:p w14:paraId="7332AC0D"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3.40</w:t>
            </w:r>
          </w:p>
        </w:tc>
        <w:tc>
          <w:tcPr>
            <w:tcW w:w="1384" w:type="dxa"/>
            <w:shd w:val="clear" w:color="auto" w:fill="auto"/>
            <w:noWrap/>
            <w:vAlign w:val="bottom"/>
            <w:hideMark/>
          </w:tcPr>
          <w:p w14:paraId="79FF5B97"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1.71</w:t>
            </w:r>
          </w:p>
        </w:tc>
        <w:tc>
          <w:tcPr>
            <w:tcW w:w="1506" w:type="dxa"/>
            <w:shd w:val="clear" w:color="auto" w:fill="auto"/>
            <w:noWrap/>
            <w:vAlign w:val="bottom"/>
            <w:hideMark/>
          </w:tcPr>
          <w:p w14:paraId="5469AD36"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For</w:t>
            </w:r>
          </w:p>
        </w:tc>
      </w:tr>
      <w:tr w:rsidR="00BD7D28" w:rsidRPr="00BD7D28" w14:paraId="269490A4" w14:textId="77777777" w:rsidTr="004F7917">
        <w:trPr>
          <w:trHeight w:val="288"/>
        </w:trPr>
        <w:tc>
          <w:tcPr>
            <w:tcW w:w="5395" w:type="dxa"/>
            <w:shd w:val="clear" w:color="auto" w:fill="auto"/>
            <w:noWrap/>
            <w:vAlign w:val="bottom"/>
            <w:hideMark/>
          </w:tcPr>
          <w:p w14:paraId="6B8B03AD" w14:textId="35F21424" w:rsidR="00573A25" w:rsidRPr="00BD7D28" w:rsidRDefault="00573A25" w:rsidP="00573A25">
            <w:pPr>
              <w:spacing w:line="240" w:lineRule="auto"/>
              <w:rPr>
                <w:rFonts w:ascii="Arial" w:eastAsia="Times New Roman" w:hAnsi="Arial" w:cs="Arial"/>
                <w:sz w:val="22"/>
                <w:lang w:val="en-CA" w:eastAsia="en-CA"/>
              </w:rPr>
            </w:pPr>
            <w:r w:rsidRPr="00BD7D28">
              <w:rPr>
                <w:rFonts w:ascii="Arial" w:eastAsia="Times New Roman" w:hAnsi="Arial" w:cs="Arial"/>
                <w:sz w:val="22"/>
                <w:lang w:val="en-CA" w:eastAsia="en-CA"/>
              </w:rPr>
              <w:t>Add-on therapy to MMF/CYC</w:t>
            </w:r>
          </w:p>
        </w:tc>
        <w:tc>
          <w:tcPr>
            <w:tcW w:w="1260" w:type="dxa"/>
            <w:shd w:val="clear" w:color="auto" w:fill="auto"/>
            <w:noWrap/>
            <w:vAlign w:val="bottom"/>
            <w:hideMark/>
          </w:tcPr>
          <w:p w14:paraId="4F18E614"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3.36</w:t>
            </w:r>
          </w:p>
        </w:tc>
        <w:tc>
          <w:tcPr>
            <w:tcW w:w="1384" w:type="dxa"/>
            <w:shd w:val="clear" w:color="auto" w:fill="auto"/>
            <w:noWrap/>
            <w:vAlign w:val="bottom"/>
            <w:hideMark/>
          </w:tcPr>
          <w:p w14:paraId="093F6C34"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0.91</w:t>
            </w:r>
          </w:p>
        </w:tc>
        <w:tc>
          <w:tcPr>
            <w:tcW w:w="1506" w:type="dxa"/>
            <w:shd w:val="clear" w:color="auto" w:fill="auto"/>
            <w:noWrap/>
            <w:vAlign w:val="bottom"/>
            <w:hideMark/>
          </w:tcPr>
          <w:p w14:paraId="6126BFAF" w14:textId="77777777" w:rsidR="00573A25" w:rsidRPr="00BD7D28" w:rsidRDefault="00573A25" w:rsidP="00573A25">
            <w:pPr>
              <w:spacing w:line="240" w:lineRule="auto"/>
              <w:jc w:val="center"/>
              <w:rPr>
                <w:rFonts w:ascii="Arial" w:eastAsia="Times New Roman" w:hAnsi="Arial" w:cs="Arial"/>
                <w:sz w:val="22"/>
                <w:lang w:val="en-CA" w:eastAsia="en-CA"/>
              </w:rPr>
            </w:pPr>
            <w:r w:rsidRPr="00BD7D28">
              <w:rPr>
                <w:rFonts w:ascii="Arial" w:eastAsia="Times New Roman" w:hAnsi="Arial" w:cs="Arial"/>
                <w:sz w:val="22"/>
                <w:lang w:val="en-CA" w:eastAsia="en-CA"/>
              </w:rPr>
              <w:t>For</w:t>
            </w:r>
          </w:p>
        </w:tc>
      </w:tr>
      <w:tr w:rsidR="00BD7D28" w:rsidRPr="00BD7D28" w14:paraId="6B2C8DD5" w14:textId="77777777" w:rsidTr="00573A25">
        <w:trPr>
          <w:trHeight w:val="288"/>
        </w:trPr>
        <w:tc>
          <w:tcPr>
            <w:tcW w:w="9545" w:type="dxa"/>
            <w:gridSpan w:val="4"/>
            <w:shd w:val="clear" w:color="auto" w:fill="auto"/>
            <w:vAlign w:val="center"/>
            <w:hideMark/>
          </w:tcPr>
          <w:p w14:paraId="2C7DA4EB" w14:textId="77777777" w:rsidR="00573A25" w:rsidRPr="00BD7D28" w:rsidRDefault="00573A25" w:rsidP="00573A25">
            <w:pPr>
              <w:keepNext/>
              <w:spacing w:line="240" w:lineRule="auto"/>
              <w:rPr>
                <w:rFonts w:ascii="Arial" w:eastAsia="Times New Roman" w:hAnsi="Arial" w:cs="Arial"/>
                <w:b/>
                <w:bCs/>
                <w:sz w:val="22"/>
              </w:rPr>
            </w:pPr>
            <w:r w:rsidRPr="00BD7D28">
              <w:rPr>
                <w:rFonts w:ascii="Arial" w:eastAsia="Times New Roman" w:hAnsi="Arial" w:cs="Arial"/>
                <w:b/>
                <w:bCs/>
                <w:sz w:val="22"/>
              </w:rPr>
              <w:t>Based on the following response to SSc-ILD treatment, please indicate your likely course of action:</w:t>
            </w:r>
          </w:p>
        </w:tc>
      </w:tr>
      <w:tr w:rsidR="00BD7D28" w:rsidRPr="00BD7D28" w14:paraId="29AFA5AB" w14:textId="77777777" w:rsidTr="00573A25">
        <w:trPr>
          <w:trHeight w:val="288"/>
        </w:trPr>
        <w:tc>
          <w:tcPr>
            <w:tcW w:w="5395" w:type="dxa"/>
            <w:shd w:val="clear" w:color="auto" w:fill="auto"/>
            <w:vAlign w:val="center"/>
            <w:hideMark/>
          </w:tcPr>
          <w:p w14:paraId="274A02A4"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With progression/worsening of ILD, I would switch to another agent</w:t>
            </w:r>
          </w:p>
        </w:tc>
        <w:tc>
          <w:tcPr>
            <w:tcW w:w="1260" w:type="dxa"/>
            <w:shd w:val="clear" w:color="auto" w:fill="auto"/>
            <w:noWrap/>
            <w:vAlign w:val="center"/>
            <w:hideMark/>
          </w:tcPr>
          <w:p w14:paraId="5D54148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2.64</w:t>
            </w:r>
          </w:p>
        </w:tc>
        <w:tc>
          <w:tcPr>
            <w:tcW w:w="1384" w:type="dxa"/>
            <w:shd w:val="clear" w:color="auto" w:fill="auto"/>
            <w:noWrap/>
            <w:vAlign w:val="center"/>
            <w:hideMark/>
          </w:tcPr>
          <w:p w14:paraId="7DA4A621"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2.80</w:t>
            </w:r>
          </w:p>
        </w:tc>
        <w:tc>
          <w:tcPr>
            <w:tcW w:w="1506" w:type="dxa"/>
            <w:shd w:val="clear" w:color="auto" w:fill="auto"/>
            <w:noWrap/>
            <w:vAlign w:val="center"/>
            <w:hideMark/>
          </w:tcPr>
          <w:p w14:paraId="30864271"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1760E493" w14:textId="77777777" w:rsidTr="00573A25">
        <w:trPr>
          <w:trHeight w:val="288"/>
        </w:trPr>
        <w:tc>
          <w:tcPr>
            <w:tcW w:w="5395" w:type="dxa"/>
            <w:shd w:val="clear" w:color="auto" w:fill="auto"/>
            <w:vAlign w:val="center"/>
            <w:hideMark/>
          </w:tcPr>
          <w:p w14:paraId="527368F0"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With progression/worsening of ILD, I would add another agent</w:t>
            </w:r>
          </w:p>
        </w:tc>
        <w:tc>
          <w:tcPr>
            <w:tcW w:w="1260" w:type="dxa"/>
            <w:shd w:val="clear" w:color="auto" w:fill="auto"/>
            <w:noWrap/>
            <w:vAlign w:val="center"/>
            <w:hideMark/>
          </w:tcPr>
          <w:p w14:paraId="308D948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2.92</w:t>
            </w:r>
          </w:p>
        </w:tc>
        <w:tc>
          <w:tcPr>
            <w:tcW w:w="1384" w:type="dxa"/>
            <w:shd w:val="clear" w:color="auto" w:fill="auto"/>
            <w:noWrap/>
            <w:vAlign w:val="center"/>
            <w:hideMark/>
          </w:tcPr>
          <w:p w14:paraId="4287FAF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2.66</w:t>
            </w:r>
          </w:p>
        </w:tc>
        <w:tc>
          <w:tcPr>
            <w:tcW w:w="1506" w:type="dxa"/>
            <w:shd w:val="clear" w:color="auto" w:fill="auto"/>
            <w:noWrap/>
            <w:vAlign w:val="center"/>
            <w:hideMark/>
          </w:tcPr>
          <w:p w14:paraId="75B40CE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236BE1BE" w14:textId="77777777" w:rsidTr="00573A25">
        <w:trPr>
          <w:trHeight w:val="288"/>
        </w:trPr>
        <w:tc>
          <w:tcPr>
            <w:tcW w:w="5395" w:type="dxa"/>
            <w:shd w:val="clear" w:color="auto" w:fill="auto"/>
            <w:vAlign w:val="center"/>
            <w:hideMark/>
          </w:tcPr>
          <w:p w14:paraId="7B2D9445" w14:textId="6358F664"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 xml:space="preserve">With progression/worsening of ILD, I would continue </w:t>
            </w:r>
            <w:r w:rsidR="008D31C6" w:rsidRPr="00BD7D28">
              <w:rPr>
                <w:rFonts w:ascii="Arial" w:eastAsia="Times New Roman" w:hAnsi="Arial" w:cs="Arial"/>
                <w:sz w:val="22"/>
              </w:rPr>
              <w:t xml:space="preserve">treatment </w:t>
            </w:r>
            <w:r w:rsidRPr="00BD7D28">
              <w:rPr>
                <w:rFonts w:ascii="Arial" w:eastAsia="Times New Roman" w:hAnsi="Arial" w:cs="Arial"/>
                <w:sz w:val="22"/>
              </w:rPr>
              <w:t>as is</w:t>
            </w:r>
          </w:p>
        </w:tc>
        <w:tc>
          <w:tcPr>
            <w:tcW w:w="1260" w:type="dxa"/>
            <w:shd w:val="clear" w:color="auto" w:fill="auto"/>
            <w:noWrap/>
            <w:vAlign w:val="center"/>
            <w:hideMark/>
          </w:tcPr>
          <w:p w14:paraId="1E9E161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−1.44</w:t>
            </w:r>
          </w:p>
        </w:tc>
        <w:tc>
          <w:tcPr>
            <w:tcW w:w="1384" w:type="dxa"/>
            <w:shd w:val="clear" w:color="auto" w:fill="auto"/>
            <w:noWrap/>
            <w:vAlign w:val="center"/>
            <w:hideMark/>
          </w:tcPr>
          <w:p w14:paraId="31C2A0D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2.84</w:t>
            </w:r>
          </w:p>
        </w:tc>
        <w:tc>
          <w:tcPr>
            <w:tcW w:w="1506" w:type="dxa"/>
            <w:shd w:val="clear" w:color="auto" w:fill="auto"/>
            <w:noWrap/>
            <w:vAlign w:val="center"/>
            <w:hideMark/>
          </w:tcPr>
          <w:p w14:paraId="12A01C5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5FD4F681" w14:textId="77777777" w:rsidTr="00573A25">
        <w:trPr>
          <w:trHeight w:val="288"/>
        </w:trPr>
        <w:tc>
          <w:tcPr>
            <w:tcW w:w="5395" w:type="dxa"/>
            <w:shd w:val="clear" w:color="auto" w:fill="auto"/>
            <w:vAlign w:val="center"/>
            <w:hideMark/>
          </w:tcPr>
          <w:p w14:paraId="7CBFE8F9"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With stability of ILD, I would switch to another agent</w:t>
            </w:r>
          </w:p>
        </w:tc>
        <w:tc>
          <w:tcPr>
            <w:tcW w:w="1260" w:type="dxa"/>
            <w:shd w:val="clear" w:color="auto" w:fill="auto"/>
            <w:noWrap/>
            <w:vAlign w:val="center"/>
            <w:hideMark/>
          </w:tcPr>
          <w:p w14:paraId="6959861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−3.12</w:t>
            </w:r>
          </w:p>
        </w:tc>
        <w:tc>
          <w:tcPr>
            <w:tcW w:w="1384" w:type="dxa"/>
            <w:shd w:val="clear" w:color="auto" w:fill="auto"/>
            <w:noWrap/>
            <w:vAlign w:val="center"/>
            <w:hideMark/>
          </w:tcPr>
          <w:p w14:paraId="2A797D3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1.88</w:t>
            </w:r>
          </w:p>
        </w:tc>
        <w:tc>
          <w:tcPr>
            <w:tcW w:w="1506" w:type="dxa"/>
            <w:shd w:val="clear" w:color="auto" w:fill="auto"/>
            <w:noWrap/>
            <w:vAlign w:val="center"/>
            <w:hideMark/>
          </w:tcPr>
          <w:p w14:paraId="11C5798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Against</w:t>
            </w:r>
          </w:p>
        </w:tc>
      </w:tr>
      <w:tr w:rsidR="00BD7D28" w:rsidRPr="00BD7D28" w14:paraId="03046DC6" w14:textId="77777777" w:rsidTr="00573A25">
        <w:trPr>
          <w:trHeight w:val="288"/>
        </w:trPr>
        <w:tc>
          <w:tcPr>
            <w:tcW w:w="5395" w:type="dxa"/>
            <w:shd w:val="clear" w:color="auto" w:fill="auto"/>
            <w:vAlign w:val="center"/>
            <w:hideMark/>
          </w:tcPr>
          <w:p w14:paraId="08019C5E"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With stability of ILD, I would add another agent</w:t>
            </w:r>
          </w:p>
        </w:tc>
        <w:tc>
          <w:tcPr>
            <w:tcW w:w="1260" w:type="dxa"/>
            <w:shd w:val="clear" w:color="auto" w:fill="auto"/>
            <w:noWrap/>
            <w:vAlign w:val="center"/>
            <w:hideMark/>
          </w:tcPr>
          <w:p w14:paraId="40D86C0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−3.28</w:t>
            </w:r>
          </w:p>
        </w:tc>
        <w:tc>
          <w:tcPr>
            <w:tcW w:w="1384" w:type="dxa"/>
            <w:shd w:val="clear" w:color="auto" w:fill="auto"/>
            <w:noWrap/>
            <w:vAlign w:val="center"/>
            <w:hideMark/>
          </w:tcPr>
          <w:p w14:paraId="49B55D5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1.88</w:t>
            </w:r>
          </w:p>
        </w:tc>
        <w:tc>
          <w:tcPr>
            <w:tcW w:w="1506" w:type="dxa"/>
            <w:shd w:val="clear" w:color="auto" w:fill="auto"/>
            <w:noWrap/>
            <w:vAlign w:val="center"/>
            <w:hideMark/>
          </w:tcPr>
          <w:p w14:paraId="4DCB157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Against</w:t>
            </w:r>
          </w:p>
        </w:tc>
      </w:tr>
      <w:tr w:rsidR="00BD7D28" w:rsidRPr="00BD7D28" w14:paraId="2E09D470" w14:textId="77777777" w:rsidTr="00573A25">
        <w:trPr>
          <w:trHeight w:val="288"/>
        </w:trPr>
        <w:tc>
          <w:tcPr>
            <w:tcW w:w="5395" w:type="dxa"/>
            <w:shd w:val="clear" w:color="auto" w:fill="auto"/>
            <w:vAlign w:val="center"/>
            <w:hideMark/>
          </w:tcPr>
          <w:p w14:paraId="5BF40717" w14:textId="66F15150"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 xml:space="preserve">With stability of ILD, I would continue </w:t>
            </w:r>
            <w:r w:rsidR="008D31C6" w:rsidRPr="00BD7D28">
              <w:rPr>
                <w:rFonts w:ascii="Arial" w:eastAsia="Times New Roman" w:hAnsi="Arial" w:cs="Arial"/>
                <w:sz w:val="22"/>
              </w:rPr>
              <w:t xml:space="preserve">treatment </w:t>
            </w:r>
            <w:r w:rsidRPr="00BD7D28">
              <w:rPr>
                <w:rFonts w:ascii="Arial" w:eastAsia="Times New Roman" w:hAnsi="Arial" w:cs="Arial"/>
                <w:sz w:val="22"/>
              </w:rPr>
              <w:t>as is</w:t>
            </w:r>
          </w:p>
        </w:tc>
        <w:tc>
          <w:tcPr>
            <w:tcW w:w="1260" w:type="dxa"/>
            <w:shd w:val="clear" w:color="auto" w:fill="auto"/>
            <w:noWrap/>
            <w:vAlign w:val="center"/>
            <w:hideMark/>
          </w:tcPr>
          <w:p w14:paraId="3BC0E61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3.56</w:t>
            </w:r>
          </w:p>
        </w:tc>
        <w:tc>
          <w:tcPr>
            <w:tcW w:w="1384" w:type="dxa"/>
            <w:shd w:val="clear" w:color="auto" w:fill="auto"/>
            <w:noWrap/>
            <w:vAlign w:val="center"/>
            <w:hideMark/>
          </w:tcPr>
          <w:p w14:paraId="7248881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1.85</w:t>
            </w:r>
          </w:p>
        </w:tc>
        <w:tc>
          <w:tcPr>
            <w:tcW w:w="1506" w:type="dxa"/>
            <w:shd w:val="clear" w:color="auto" w:fill="auto"/>
            <w:noWrap/>
            <w:vAlign w:val="center"/>
            <w:hideMark/>
          </w:tcPr>
          <w:p w14:paraId="639A35A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6B8E98D8" w14:textId="77777777" w:rsidTr="00573A25">
        <w:trPr>
          <w:trHeight w:val="288"/>
        </w:trPr>
        <w:tc>
          <w:tcPr>
            <w:tcW w:w="9545" w:type="dxa"/>
            <w:gridSpan w:val="4"/>
            <w:shd w:val="clear" w:color="auto" w:fill="auto"/>
            <w:vAlign w:val="center"/>
            <w:hideMark/>
          </w:tcPr>
          <w:p w14:paraId="4A279511" w14:textId="7323767E" w:rsidR="00573A25" w:rsidRPr="00BD7D28" w:rsidRDefault="00573A25" w:rsidP="00573A25">
            <w:pPr>
              <w:spacing w:line="240" w:lineRule="auto"/>
              <w:rPr>
                <w:rFonts w:ascii="Arial" w:eastAsia="Times New Roman" w:hAnsi="Arial" w:cs="Arial"/>
                <w:b/>
                <w:bCs/>
                <w:sz w:val="22"/>
              </w:rPr>
            </w:pPr>
            <w:r w:rsidRPr="00BD7D28">
              <w:rPr>
                <w:rFonts w:ascii="Arial" w:eastAsia="Times New Roman" w:hAnsi="Arial" w:cs="Arial"/>
                <w:b/>
                <w:bCs/>
                <w:sz w:val="22"/>
              </w:rPr>
              <w:t xml:space="preserve">How </w:t>
            </w:r>
            <w:r w:rsidR="00896C17" w:rsidRPr="00BD7D28">
              <w:rPr>
                <w:rFonts w:ascii="Arial" w:eastAsia="Times New Roman" w:hAnsi="Arial" w:cs="Arial"/>
                <w:b/>
                <w:bCs/>
                <w:sz w:val="22"/>
              </w:rPr>
              <w:t>l</w:t>
            </w:r>
            <w:r w:rsidRPr="00BD7D28">
              <w:rPr>
                <w:rFonts w:ascii="Arial" w:eastAsia="Times New Roman" w:hAnsi="Arial" w:cs="Arial"/>
                <w:b/>
                <w:bCs/>
                <w:sz w:val="22"/>
              </w:rPr>
              <w:t xml:space="preserve">ong </w:t>
            </w:r>
            <w:r w:rsidR="00896C17" w:rsidRPr="00BD7D28">
              <w:rPr>
                <w:rFonts w:ascii="Arial" w:eastAsia="Times New Roman" w:hAnsi="Arial" w:cs="Arial"/>
                <w:b/>
                <w:bCs/>
                <w:sz w:val="22"/>
              </w:rPr>
              <w:t>d</w:t>
            </w:r>
            <w:r w:rsidRPr="00BD7D28">
              <w:rPr>
                <w:rFonts w:ascii="Arial" w:eastAsia="Times New Roman" w:hAnsi="Arial" w:cs="Arial"/>
                <w:b/>
                <w:bCs/>
                <w:sz w:val="22"/>
              </w:rPr>
              <w:t xml:space="preserve">o </w:t>
            </w:r>
            <w:r w:rsidR="00896C17" w:rsidRPr="00BD7D28">
              <w:rPr>
                <w:rFonts w:ascii="Arial" w:eastAsia="Times New Roman" w:hAnsi="Arial" w:cs="Arial"/>
                <w:b/>
                <w:bCs/>
                <w:sz w:val="22"/>
              </w:rPr>
              <w:t>y</w:t>
            </w:r>
            <w:r w:rsidRPr="00BD7D28">
              <w:rPr>
                <w:rFonts w:ascii="Arial" w:eastAsia="Times New Roman" w:hAnsi="Arial" w:cs="Arial"/>
                <w:b/>
                <w:bCs/>
                <w:sz w:val="22"/>
              </w:rPr>
              <w:t xml:space="preserve">ou </w:t>
            </w:r>
            <w:r w:rsidR="00896C17" w:rsidRPr="00BD7D28">
              <w:rPr>
                <w:rFonts w:ascii="Arial" w:eastAsia="Times New Roman" w:hAnsi="Arial" w:cs="Arial"/>
                <w:b/>
                <w:bCs/>
                <w:sz w:val="22"/>
              </w:rPr>
              <w:t>t</w:t>
            </w:r>
            <w:r w:rsidRPr="00BD7D28">
              <w:rPr>
                <w:rFonts w:ascii="Arial" w:eastAsia="Times New Roman" w:hAnsi="Arial" w:cs="Arial"/>
                <w:b/>
                <w:bCs/>
                <w:sz w:val="22"/>
              </w:rPr>
              <w:t>reat?</w:t>
            </w:r>
          </w:p>
        </w:tc>
      </w:tr>
      <w:tr w:rsidR="00BD7D28" w:rsidRPr="00BD7D28" w14:paraId="33401771" w14:textId="77777777" w:rsidTr="00573A25">
        <w:trPr>
          <w:trHeight w:val="288"/>
        </w:trPr>
        <w:tc>
          <w:tcPr>
            <w:tcW w:w="5395" w:type="dxa"/>
            <w:shd w:val="clear" w:color="auto" w:fill="auto"/>
            <w:vAlign w:val="center"/>
            <w:hideMark/>
          </w:tcPr>
          <w:p w14:paraId="588A9758"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2 years</w:t>
            </w:r>
          </w:p>
        </w:tc>
        <w:tc>
          <w:tcPr>
            <w:tcW w:w="1260" w:type="dxa"/>
            <w:shd w:val="clear" w:color="auto" w:fill="auto"/>
            <w:noWrap/>
            <w:vAlign w:val="center"/>
            <w:hideMark/>
          </w:tcPr>
          <w:p w14:paraId="57DCF4F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2.20</w:t>
            </w:r>
          </w:p>
        </w:tc>
        <w:tc>
          <w:tcPr>
            <w:tcW w:w="1384" w:type="dxa"/>
            <w:shd w:val="clear" w:color="auto" w:fill="auto"/>
            <w:noWrap/>
            <w:vAlign w:val="center"/>
            <w:hideMark/>
          </w:tcPr>
          <w:p w14:paraId="52AF8EF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2.60</w:t>
            </w:r>
          </w:p>
        </w:tc>
        <w:tc>
          <w:tcPr>
            <w:tcW w:w="1506" w:type="dxa"/>
            <w:shd w:val="clear" w:color="auto" w:fill="auto"/>
            <w:noWrap/>
            <w:vAlign w:val="center"/>
            <w:hideMark/>
          </w:tcPr>
          <w:p w14:paraId="340B5EC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3C5E36F0" w14:textId="77777777" w:rsidTr="00573A25">
        <w:trPr>
          <w:trHeight w:val="288"/>
        </w:trPr>
        <w:tc>
          <w:tcPr>
            <w:tcW w:w="5395" w:type="dxa"/>
            <w:shd w:val="clear" w:color="auto" w:fill="auto"/>
            <w:vAlign w:val="center"/>
            <w:hideMark/>
          </w:tcPr>
          <w:p w14:paraId="3CD01C66"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5 years</w:t>
            </w:r>
          </w:p>
        </w:tc>
        <w:tc>
          <w:tcPr>
            <w:tcW w:w="1260" w:type="dxa"/>
            <w:shd w:val="clear" w:color="auto" w:fill="auto"/>
            <w:noWrap/>
            <w:vAlign w:val="center"/>
            <w:hideMark/>
          </w:tcPr>
          <w:p w14:paraId="16DE406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2.44</w:t>
            </w:r>
          </w:p>
        </w:tc>
        <w:tc>
          <w:tcPr>
            <w:tcW w:w="1384" w:type="dxa"/>
            <w:shd w:val="clear" w:color="auto" w:fill="auto"/>
            <w:noWrap/>
            <w:vAlign w:val="center"/>
            <w:hideMark/>
          </w:tcPr>
          <w:p w14:paraId="675AB1D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2.42</w:t>
            </w:r>
          </w:p>
        </w:tc>
        <w:tc>
          <w:tcPr>
            <w:tcW w:w="1506" w:type="dxa"/>
            <w:shd w:val="clear" w:color="auto" w:fill="auto"/>
            <w:noWrap/>
            <w:vAlign w:val="center"/>
            <w:hideMark/>
          </w:tcPr>
          <w:p w14:paraId="1D64BAC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2CFF5B77" w14:textId="77777777" w:rsidTr="00573A25">
        <w:trPr>
          <w:trHeight w:val="288"/>
        </w:trPr>
        <w:tc>
          <w:tcPr>
            <w:tcW w:w="5395" w:type="dxa"/>
            <w:shd w:val="clear" w:color="auto" w:fill="auto"/>
            <w:vAlign w:val="center"/>
            <w:hideMark/>
          </w:tcPr>
          <w:p w14:paraId="056E7C71"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Continue until stabilization of PFTs and symptoms</w:t>
            </w:r>
          </w:p>
        </w:tc>
        <w:tc>
          <w:tcPr>
            <w:tcW w:w="1260" w:type="dxa"/>
            <w:shd w:val="clear" w:color="auto" w:fill="auto"/>
            <w:noWrap/>
            <w:vAlign w:val="center"/>
            <w:hideMark/>
          </w:tcPr>
          <w:p w14:paraId="7AA8BA1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2.28</w:t>
            </w:r>
          </w:p>
        </w:tc>
        <w:tc>
          <w:tcPr>
            <w:tcW w:w="1384" w:type="dxa"/>
            <w:shd w:val="clear" w:color="auto" w:fill="auto"/>
            <w:noWrap/>
            <w:vAlign w:val="center"/>
            <w:hideMark/>
          </w:tcPr>
          <w:p w14:paraId="35F6EEC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2.94</w:t>
            </w:r>
          </w:p>
        </w:tc>
        <w:tc>
          <w:tcPr>
            <w:tcW w:w="1506" w:type="dxa"/>
            <w:shd w:val="clear" w:color="auto" w:fill="auto"/>
            <w:noWrap/>
            <w:vAlign w:val="center"/>
            <w:hideMark/>
          </w:tcPr>
          <w:p w14:paraId="5D33F30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1333AC58" w14:textId="77777777" w:rsidTr="00573A25">
        <w:trPr>
          <w:trHeight w:val="288"/>
        </w:trPr>
        <w:tc>
          <w:tcPr>
            <w:tcW w:w="5395" w:type="dxa"/>
            <w:shd w:val="clear" w:color="auto" w:fill="auto"/>
            <w:vAlign w:val="center"/>
            <w:hideMark/>
          </w:tcPr>
          <w:p w14:paraId="5B64AABD"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Continue lifelong</w:t>
            </w:r>
          </w:p>
        </w:tc>
        <w:tc>
          <w:tcPr>
            <w:tcW w:w="1260" w:type="dxa"/>
            <w:shd w:val="clear" w:color="auto" w:fill="auto"/>
            <w:noWrap/>
            <w:vAlign w:val="center"/>
            <w:hideMark/>
          </w:tcPr>
          <w:p w14:paraId="3FF6EB9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0.28</w:t>
            </w:r>
          </w:p>
        </w:tc>
        <w:tc>
          <w:tcPr>
            <w:tcW w:w="1384" w:type="dxa"/>
            <w:shd w:val="clear" w:color="auto" w:fill="auto"/>
            <w:noWrap/>
            <w:vAlign w:val="center"/>
            <w:hideMark/>
          </w:tcPr>
          <w:p w14:paraId="7EB85B3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3.39</w:t>
            </w:r>
          </w:p>
        </w:tc>
        <w:tc>
          <w:tcPr>
            <w:tcW w:w="1506" w:type="dxa"/>
            <w:shd w:val="clear" w:color="auto" w:fill="auto"/>
            <w:noWrap/>
            <w:vAlign w:val="center"/>
            <w:hideMark/>
          </w:tcPr>
          <w:p w14:paraId="01902DA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5C156F6F" w14:textId="77777777" w:rsidTr="00573A25">
        <w:trPr>
          <w:trHeight w:val="288"/>
        </w:trPr>
        <w:tc>
          <w:tcPr>
            <w:tcW w:w="9545" w:type="dxa"/>
            <w:gridSpan w:val="4"/>
            <w:shd w:val="clear" w:color="auto" w:fill="auto"/>
            <w:vAlign w:val="center"/>
            <w:hideMark/>
          </w:tcPr>
          <w:p w14:paraId="4067758D" w14:textId="77777777" w:rsidR="00573A25" w:rsidRPr="00BD7D28" w:rsidRDefault="00573A25" w:rsidP="00573A25">
            <w:pPr>
              <w:spacing w:line="240" w:lineRule="auto"/>
              <w:rPr>
                <w:rFonts w:ascii="Arial" w:eastAsia="Times New Roman" w:hAnsi="Arial" w:cs="Arial"/>
                <w:b/>
                <w:bCs/>
                <w:sz w:val="22"/>
              </w:rPr>
            </w:pPr>
            <w:r w:rsidRPr="00BD7D28">
              <w:rPr>
                <w:rFonts w:ascii="Arial" w:eastAsia="Times New Roman" w:hAnsi="Arial" w:cs="Arial"/>
                <w:b/>
                <w:bCs/>
                <w:sz w:val="22"/>
              </w:rPr>
              <w:t>What circumstances would prompt you to consider weaning a patient from therapy?</w:t>
            </w:r>
          </w:p>
        </w:tc>
      </w:tr>
      <w:tr w:rsidR="00BD7D28" w:rsidRPr="00BD7D28" w14:paraId="233CF1C5" w14:textId="77777777" w:rsidTr="00573A25">
        <w:trPr>
          <w:trHeight w:val="288"/>
        </w:trPr>
        <w:tc>
          <w:tcPr>
            <w:tcW w:w="5395" w:type="dxa"/>
            <w:shd w:val="clear" w:color="auto" w:fill="auto"/>
            <w:vAlign w:val="center"/>
            <w:hideMark/>
          </w:tcPr>
          <w:p w14:paraId="3D60E950" w14:textId="4CE3F104"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Mild</w:t>
            </w:r>
            <w:r w:rsidR="00896C17" w:rsidRPr="00BD7D28">
              <w:rPr>
                <w:rFonts w:ascii="Arial" w:eastAsia="Times New Roman" w:hAnsi="Arial" w:cs="Arial"/>
                <w:sz w:val="22"/>
              </w:rPr>
              <w:t>-</w:t>
            </w:r>
            <w:r w:rsidRPr="00BD7D28">
              <w:rPr>
                <w:rFonts w:ascii="Arial" w:eastAsia="Times New Roman" w:hAnsi="Arial" w:cs="Arial"/>
                <w:sz w:val="22"/>
              </w:rPr>
              <w:t>to</w:t>
            </w:r>
            <w:r w:rsidR="00896C17" w:rsidRPr="00BD7D28">
              <w:rPr>
                <w:rFonts w:ascii="Arial" w:eastAsia="Times New Roman" w:hAnsi="Arial" w:cs="Arial"/>
                <w:sz w:val="22"/>
              </w:rPr>
              <w:t>-</w:t>
            </w:r>
            <w:r w:rsidRPr="00BD7D28">
              <w:rPr>
                <w:rFonts w:ascii="Arial" w:eastAsia="Times New Roman" w:hAnsi="Arial" w:cs="Arial"/>
                <w:sz w:val="22"/>
              </w:rPr>
              <w:t>moderate disease</w:t>
            </w:r>
          </w:p>
        </w:tc>
        <w:tc>
          <w:tcPr>
            <w:tcW w:w="1260" w:type="dxa"/>
            <w:shd w:val="clear" w:color="auto" w:fill="auto"/>
            <w:noWrap/>
            <w:vAlign w:val="center"/>
            <w:hideMark/>
          </w:tcPr>
          <w:p w14:paraId="49E382C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0.56</w:t>
            </w:r>
          </w:p>
        </w:tc>
        <w:tc>
          <w:tcPr>
            <w:tcW w:w="1384" w:type="dxa"/>
            <w:shd w:val="clear" w:color="auto" w:fill="auto"/>
            <w:noWrap/>
            <w:vAlign w:val="center"/>
            <w:hideMark/>
          </w:tcPr>
          <w:p w14:paraId="381D92B1"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2.52</w:t>
            </w:r>
          </w:p>
        </w:tc>
        <w:tc>
          <w:tcPr>
            <w:tcW w:w="1506" w:type="dxa"/>
            <w:shd w:val="clear" w:color="auto" w:fill="auto"/>
            <w:noWrap/>
            <w:vAlign w:val="center"/>
            <w:hideMark/>
          </w:tcPr>
          <w:p w14:paraId="61916E2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00E501E3" w14:textId="77777777" w:rsidTr="00573A25">
        <w:trPr>
          <w:trHeight w:val="288"/>
        </w:trPr>
        <w:tc>
          <w:tcPr>
            <w:tcW w:w="5395" w:type="dxa"/>
            <w:shd w:val="clear" w:color="auto" w:fill="auto"/>
            <w:vAlign w:val="center"/>
            <w:hideMark/>
          </w:tcPr>
          <w:p w14:paraId="7413CD3B"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Comorbidities</w:t>
            </w:r>
          </w:p>
        </w:tc>
        <w:tc>
          <w:tcPr>
            <w:tcW w:w="1260" w:type="dxa"/>
            <w:shd w:val="clear" w:color="auto" w:fill="auto"/>
            <w:noWrap/>
            <w:vAlign w:val="center"/>
            <w:hideMark/>
          </w:tcPr>
          <w:p w14:paraId="36B55941"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2.08</w:t>
            </w:r>
          </w:p>
        </w:tc>
        <w:tc>
          <w:tcPr>
            <w:tcW w:w="1384" w:type="dxa"/>
            <w:shd w:val="clear" w:color="auto" w:fill="auto"/>
            <w:noWrap/>
            <w:vAlign w:val="center"/>
            <w:hideMark/>
          </w:tcPr>
          <w:p w14:paraId="662DE029" w14:textId="624509DC"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1.9</w:t>
            </w:r>
            <w:r w:rsidR="00E012C7" w:rsidRPr="00BD7D28">
              <w:rPr>
                <w:rFonts w:ascii="Arial" w:eastAsia="Times New Roman" w:hAnsi="Arial" w:cs="Arial"/>
                <w:sz w:val="22"/>
              </w:rPr>
              <w:t>4</w:t>
            </w:r>
          </w:p>
        </w:tc>
        <w:tc>
          <w:tcPr>
            <w:tcW w:w="1506" w:type="dxa"/>
            <w:shd w:val="clear" w:color="auto" w:fill="auto"/>
            <w:noWrap/>
            <w:vAlign w:val="center"/>
            <w:hideMark/>
          </w:tcPr>
          <w:p w14:paraId="08FD850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64469487" w14:textId="77777777" w:rsidTr="00573A25">
        <w:trPr>
          <w:trHeight w:val="576"/>
        </w:trPr>
        <w:tc>
          <w:tcPr>
            <w:tcW w:w="5395" w:type="dxa"/>
            <w:shd w:val="clear" w:color="auto" w:fill="auto"/>
            <w:vAlign w:val="center"/>
            <w:hideMark/>
          </w:tcPr>
          <w:p w14:paraId="6C86189C"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Toxicity to the drug (including side effects and adverse events)</w:t>
            </w:r>
          </w:p>
        </w:tc>
        <w:tc>
          <w:tcPr>
            <w:tcW w:w="1260" w:type="dxa"/>
            <w:shd w:val="clear" w:color="auto" w:fill="auto"/>
            <w:noWrap/>
            <w:vAlign w:val="center"/>
            <w:hideMark/>
          </w:tcPr>
          <w:p w14:paraId="6F6B0CE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4.08</w:t>
            </w:r>
          </w:p>
        </w:tc>
        <w:tc>
          <w:tcPr>
            <w:tcW w:w="1384" w:type="dxa"/>
            <w:shd w:val="clear" w:color="auto" w:fill="auto"/>
            <w:noWrap/>
            <w:vAlign w:val="center"/>
            <w:hideMark/>
          </w:tcPr>
          <w:p w14:paraId="78DA3B5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1.00</w:t>
            </w:r>
          </w:p>
        </w:tc>
        <w:tc>
          <w:tcPr>
            <w:tcW w:w="1506" w:type="dxa"/>
            <w:shd w:val="clear" w:color="auto" w:fill="auto"/>
            <w:noWrap/>
            <w:vAlign w:val="center"/>
            <w:hideMark/>
          </w:tcPr>
          <w:p w14:paraId="6723D24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229DF816" w14:textId="77777777" w:rsidTr="00573A25">
        <w:trPr>
          <w:trHeight w:val="288"/>
        </w:trPr>
        <w:tc>
          <w:tcPr>
            <w:tcW w:w="5395" w:type="dxa"/>
            <w:shd w:val="clear" w:color="auto" w:fill="auto"/>
            <w:vAlign w:val="center"/>
            <w:hideMark/>
          </w:tcPr>
          <w:p w14:paraId="02BCFBBA"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Stability for ≥2 years in lung as well as skin</w:t>
            </w:r>
          </w:p>
        </w:tc>
        <w:tc>
          <w:tcPr>
            <w:tcW w:w="1260" w:type="dxa"/>
            <w:shd w:val="clear" w:color="auto" w:fill="auto"/>
            <w:noWrap/>
            <w:vAlign w:val="center"/>
            <w:hideMark/>
          </w:tcPr>
          <w:p w14:paraId="2711CBA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3.04</w:t>
            </w:r>
          </w:p>
        </w:tc>
        <w:tc>
          <w:tcPr>
            <w:tcW w:w="1384" w:type="dxa"/>
            <w:shd w:val="clear" w:color="auto" w:fill="auto"/>
            <w:noWrap/>
            <w:vAlign w:val="center"/>
            <w:hideMark/>
          </w:tcPr>
          <w:p w14:paraId="70BE077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2.30</w:t>
            </w:r>
          </w:p>
        </w:tc>
        <w:tc>
          <w:tcPr>
            <w:tcW w:w="1506" w:type="dxa"/>
            <w:shd w:val="clear" w:color="auto" w:fill="auto"/>
            <w:noWrap/>
            <w:vAlign w:val="center"/>
            <w:hideMark/>
          </w:tcPr>
          <w:p w14:paraId="4531CD4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2E714383" w14:textId="77777777" w:rsidTr="00573A25">
        <w:trPr>
          <w:trHeight w:val="288"/>
        </w:trPr>
        <w:tc>
          <w:tcPr>
            <w:tcW w:w="5395" w:type="dxa"/>
            <w:shd w:val="clear" w:color="auto" w:fill="auto"/>
            <w:vAlign w:val="center"/>
            <w:hideMark/>
          </w:tcPr>
          <w:p w14:paraId="21433A29"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Patient's strong desire to discontinue treatment</w:t>
            </w:r>
          </w:p>
        </w:tc>
        <w:tc>
          <w:tcPr>
            <w:tcW w:w="1260" w:type="dxa"/>
            <w:shd w:val="clear" w:color="auto" w:fill="auto"/>
            <w:noWrap/>
            <w:vAlign w:val="center"/>
            <w:hideMark/>
          </w:tcPr>
          <w:p w14:paraId="2B1B0C6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3.60</w:t>
            </w:r>
          </w:p>
        </w:tc>
        <w:tc>
          <w:tcPr>
            <w:tcW w:w="1384" w:type="dxa"/>
            <w:shd w:val="clear" w:color="auto" w:fill="auto"/>
            <w:noWrap/>
            <w:vAlign w:val="center"/>
            <w:hideMark/>
          </w:tcPr>
          <w:p w14:paraId="47B7157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1.66</w:t>
            </w:r>
          </w:p>
        </w:tc>
        <w:tc>
          <w:tcPr>
            <w:tcW w:w="1506" w:type="dxa"/>
            <w:shd w:val="clear" w:color="auto" w:fill="auto"/>
            <w:noWrap/>
            <w:vAlign w:val="center"/>
            <w:hideMark/>
          </w:tcPr>
          <w:p w14:paraId="55BF7ED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707EDA88" w14:textId="77777777" w:rsidTr="00573A25">
        <w:trPr>
          <w:trHeight w:val="288"/>
        </w:trPr>
        <w:tc>
          <w:tcPr>
            <w:tcW w:w="5395" w:type="dxa"/>
            <w:shd w:val="clear" w:color="auto" w:fill="auto"/>
            <w:vAlign w:val="center"/>
            <w:hideMark/>
          </w:tcPr>
          <w:p w14:paraId="4A37D0C8"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Lack of efficacy</w:t>
            </w:r>
          </w:p>
        </w:tc>
        <w:tc>
          <w:tcPr>
            <w:tcW w:w="1260" w:type="dxa"/>
            <w:shd w:val="clear" w:color="auto" w:fill="auto"/>
            <w:noWrap/>
            <w:vAlign w:val="center"/>
            <w:hideMark/>
          </w:tcPr>
          <w:p w14:paraId="5A515A7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3.20</w:t>
            </w:r>
          </w:p>
        </w:tc>
        <w:tc>
          <w:tcPr>
            <w:tcW w:w="1384" w:type="dxa"/>
            <w:shd w:val="clear" w:color="auto" w:fill="auto"/>
            <w:noWrap/>
            <w:vAlign w:val="center"/>
            <w:hideMark/>
          </w:tcPr>
          <w:p w14:paraId="7E08E1A5" w14:textId="6F5D8E23"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2.2</w:t>
            </w:r>
            <w:r w:rsidR="00086038" w:rsidRPr="00BD7D28">
              <w:rPr>
                <w:rFonts w:ascii="Arial" w:eastAsia="Times New Roman" w:hAnsi="Arial" w:cs="Arial"/>
                <w:sz w:val="22"/>
              </w:rPr>
              <w:t>6</w:t>
            </w:r>
          </w:p>
        </w:tc>
        <w:tc>
          <w:tcPr>
            <w:tcW w:w="1506" w:type="dxa"/>
            <w:shd w:val="clear" w:color="auto" w:fill="auto"/>
            <w:noWrap/>
            <w:vAlign w:val="center"/>
            <w:hideMark/>
          </w:tcPr>
          <w:p w14:paraId="35C5634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0A2A4586" w14:textId="77777777" w:rsidTr="00573A25">
        <w:trPr>
          <w:trHeight w:val="288"/>
        </w:trPr>
        <w:tc>
          <w:tcPr>
            <w:tcW w:w="9545" w:type="dxa"/>
            <w:gridSpan w:val="4"/>
            <w:shd w:val="clear" w:color="auto" w:fill="auto"/>
            <w:vAlign w:val="center"/>
            <w:hideMark/>
          </w:tcPr>
          <w:p w14:paraId="4D928CA4" w14:textId="77777777" w:rsidR="00573A25" w:rsidRPr="00BD7D28" w:rsidRDefault="00573A25" w:rsidP="00573A25">
            <w:pPr>
              <w:spacing w:line="240" w:lineRule="auto"/>
              <w:rPr>
                <w:rFonts w:ascii="Arial" w:eastAsia="Times New Roman" w:hAnsi="Arial" w:cs="Arial"/>
                <w:b/>
                <w:bCs/>
                <w:sz w:val="22"/>
              </w:rPr>
            </w:pPr>
            <w:r w:rsidRPr="00BD7D28">
              <w:rPr>
                <w:rFonts w:ascii="Arial" w:eastAsia="Times New Roman" w:hAnsi="Arial" w:cs="Arial"/>
                <w:b/>
                <w:bCs/>
                <w:sz w:val="22"/>
              </w:rPr>
              <w:t>How do you wean patients from therapy?</w:t>
            </w:r>
          </w:p>
        </w:tc>
      </w:tr>
      <w:tr w:rsidR="00BD7D28" w:rsidRPr="00BD7D28" w14:paraId="3160F58B" w14:textId="77777777" w:rsidTr="00573A25">
        <w:trPr>
          <w:trHeight w:val="288"/>
        </w:trPr>
        <w:tc>
          <w:tcPr>
            <w:tcW w:w="5395" w:type="dxa"/>
            <w:shd w:val="clear" w:color="auto" w:fill="auto"/>
            <w:vAlign w:val="center"/>
            <w:hideMark/>
          </w:tcPr>
          <w:p w14:paraId="12B9E645"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Taper/wean over 1–2 years, monitor PFTs every 6 months, with or without low maintenance dose of MMF</w:t>
            </w:r>
          </w:p>
        </w:tc>
        <w:tc>
          <w:tcPr>
            <w:tcW w:w="1260" w:type="dxa"/>
            <w:shd w:val="clear" w:color="auto" w:fill="auto"/>
            <w:noWrap/>
            <w:vAlign w:val="center"/>
            <w:hideMark/>
          </w:tcPr>
          <w:p w14:paraId="00C3AE9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3.56</w:t>
            </w:r>
          </w:p>
        </w:tc>
        <w:tc>
          <w:tcPr>
            <w:tcW w:w="1384" w:type="dxa"/>
            <w:shd w:val="clear" w:color="auto" w:fill="auto"/>
            <w:noWrap/>
            <w:vAlign w:val="center"/>
            <w:hideMark/>
          </w:tcPr>
          <w:p w14:paraId="6E0CF82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1.66</w:t>
            </w:r>
          </w:p>
        </w:tc>
        <w:tc>
          <w:tcPr>
            <w:tcW w:w="1506" w:type="dxa"/>
            <w:shd w:val="clear" w:color="auto" w:fill="auto"/>
            <w:noWrap/>
            <w:vAlign w:val="center"/>
            <w:hideMark/>
          </w:tcPr>
          <w:p w14:paraId="02988CD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70C168EE" w14:textId="77777777" w:rsidTr="00573A25">
        <w:trPr>
          <w:trHeight w:val="288"/>
        </w:trPr>
        <w:tc>
          <w:tcPr>
            <w:tcW w:w="5395" w:type="dxa"/>
            <w:shd w:val="clear" w:color="auto" w:fill="auto"/>
            <w:vAlign w:val="center"/>
            <w:hideMark/>
          </w:tcPr>
          <w:p w14:paraId="6FB8A79E"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Taper/wean over months to a year to a lower maintenance dose</w:t>
            </w:r>
          </w:p>
        </w:tc>
        <w:tc>
          <w:tcPr>
            <w:tcW w:w="1260" w:type="dxa"/>
            <w:shd w:val="clear" w:color="auto" w:fill="auto"/>
            <w:noWrap/>
            <w:vAlign w:val="center"/>
            <w:hideMark/>
          </w:tcPr>
          <w:p w14:paraId="1A034C3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2.60</w:t>
            </w:r>
          </w:p>
        </w:tc>
        <w:tc>
          <w:tcPr>
            <w:tcW w:w="1384" w:type="dxa"/>
            <w:shd w:val="clear" w:color="auto" w:fill="auto"/>
            <w:noWrap/>
            <w:vAlign w:val="center"/>
            <w:hideMark/>
          </w:tcPr>
          <w:p w14:paraId="0B90931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1.47</w:t>
            </w:r>
          </w:p>
        </w:tc>
        <w:tc>
          <w:tcPr>
            <w:tcW w:w="1506" w:type="dxa"/>
            <w:shd w:val="clear" w:color="auto" w:fill="auto"/>
            <w:noWrap/>
            <w:vAlign w:val="center"/>
            <w:hideMark/>
          </w:tcPr>
          <w:p w14:paraId="44684F9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72B0AA7A" w14:textId="77777777" w:rsidTr="00573A25">
        <w:trPr>
          <w:trHeight w:val="288"/>
        </w:trPr>
        <w:tc>
          <w:tcPr>
            <w:tcW w:w="5395" w:type="dxa"/>
            <w:shd w:val="clear" w:color="auto" w:fill="auto"/>
            <w:vAlign w:val="center"/>
            <w:hideMark/>
          </w:tcPr>
          <w:p w14:paraId="46E36AF2"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Taper/wean over months to a year to off</w:t>
            </w:r>
          </w:p>
        </w:tc>
        <w:tc>
          <w:tcPr>
            <w:tcW w:w="1260" w:type="dxa"/>
            <w:shd w:val="clear" w:color="auto" w:fill="auto"/>
            <w:noWrap/>
            <w:vAlign w:val="center"/>
            <w:hideMark/>
          </w:tcPr>
          <w:p w14:paraId="1D8AA2C1"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1.20</w:t>
            </w:r>
          </w:p>
        </w:tc>
        <w:tc>
          <w:tcPr>
            <w:tcW w:w="1384" w:type="dxa"/>
            <w:shd w:val="clear" w:color="auto" w:fill="auto"/>
            <w:noWrap/>
            <w:vAlign w:val="center"/>
            <w:hideMark/>
          </w:tcPr>
          <w:p w14:paraId="6A927B9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2.53</w:t>
            </w:r>
          </w:p>
        </w:tc>
        <w:tc>
          <w:tcPr>
            <w:tcW w:w="1506" w:type="dxa"/>
            <w:shd w:val="clear" w:color="auto" w:fill="auto"/>
            <w:noWrap/>
            <w:vAlign w:val="center"/>
            <w:hideMark/>
          </w:tcPr>
          <w:p w14:paraId="109D040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2233B6D0" w14:textId="77777777" w:rsidTr="00573A25">
        <w:trPr>
          <w:trHeight w:val="288"/>
        </w:trPr>
        <w:tc>
          <w:tcPr>
            <w:tcW w:w="5395" w:type="dxa"/>
            <w:shd w:val="clear" w:color="auto" w:fill="auto"/>
            <w:vAlign w:val="center"/>
            <w:hideMark/>
          </w:tcPr>
          <w:p w14:paraId="7E890905"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Stop therapy quickly (over weeks or “cold turkey”)</w:t>
            </w:r>
          </w:p>
        </w:tc>
        <w:tc>
          <w:tcPr>
            <w:tcW w:w="1260" w:type="dxa"/>
            <w:shd w:val="clear" w:color="auto" w:fill="auto"/>
            <w:noWrap/>
            <w:vAlign w:val="center"/>
            <w:hideMark/>
          </w:tcPr>
          <w:p w14:paraId="6A2C0B0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−3.28</w:t>
            </w:r>
          </w:p>
        </w:tc>
        <w:tc>
          <w:tcPr>
            <w:tcW w:w="1384" w:type="dxa"/>
            <w:shd w:val="clear" w:color="auto" w:fill="auto"/>
            <w:noWrap/>
            <w:vAlign w:val="center"/>
            <w:hideMark/>
          </w:tcPr>
          <w:p w14:paraId="36AF583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2.51</w:t>
            </w:r>
          </w:p>
        </w:tc>
        <w:tc>
          <w:tcPr>
            <w:tcW w:w="1506" w:type="dxa"/>
            <w:shd w:val="clear" w:color="auto" w:fill="auto"/>
            <w:noWrap/>
            <w:vAlign w:val="center"/>
            <w:hideMark/>
          </w:tcPr>
          <w:p w14:paraId="7FD825E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Against</w:t>
            </w:r>
          </w:p>
        </w:tc>
      </w:tr>
      <w:tr w:rsidR="00BD7D28" w:rsidRPr="00BD7D28" w14:paraId="50CAE663" w14:textId="77777777" w:rsidTr="00573A25">
        <w:trPr>
          <w:trHeight w:val="288"/>
        </w:trPr>
        <w:tc>
          <w:tcPr>
            <w:tcW w:w="9545" w:type="dxa"/>
            <w:gridSpan w:val="4"/>
            <w:shd w:val="clear" w:color="auto" w:fill="auto"/>
            <w:vAlign w:val="center"/>
            <w:hideMark/>
          </w:tcPr>
          <w:p w14:paraId="34F90894" w14:textId="77777777" w:rsidR="00573A25" w:rsidRPr="00BD7D28" w:rsidRDefault="00573A25" w:rsidP="00573A25">
            <w:pPr>
              <w:spacing w:line="240" w:lineRule="auto"/>
              <w:rPr>
                <w:rFonts w:ascii="Arial" w:eastAsia="Times New Roman" w:hAnsi="Arial" w:cs="Arial"/>
                <w:b/>
                <w:bCs/>
                <w:sz w:val="22"/>
              </w:rPr>
            </w:pPr>
            <w:bookmarkStart w:id="0" w:name="_Hlk105758093"/>
            <w:bookmarkStart w:id="1" w:name="_Hlk106028625"/>
            <w:r w:rsidRPr="00BD7D28">
              <w:rPr>
                <w:rFonts w:ascii="Arial" w:eastAsia="Times New Roman" w:hAnsi="Arial" w:cs="Arial"/>
                <w:b/>
                <w:bCs/>
                <w:sz w:val="22"/>
              </w:rPr>
              <w:t>What is progression to you, and how do you monitor it?</w:t>
            </w:r>
            <w:bookmarkEnd w:id="0"/>
          </w:p>
        </w:tc>
      </w:tr>
      <w:tr w:rsidR="00BD7D28" w:rsidRPr="00BD7D28" w14:paraId="1E697603" w14:textId="77777777" w:rsidTr="00573A25">
        <w:trPr>
          <w:trHeight w:val="288"/>
        </w:trPr>
        <w:tc>
          <w:tcPr>
            <w:tcW w:w="5395" w:type="dxa"/>
            <w:shd w:val="clear" w:color="auto" w:fill="auto"/>
            <w:vAlign w:val="center"/>
            <w:hideMark/>
          </w:tcPr>
          <w:p w14:paraId="12F54EE4"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Absolute values in PFTs (FVC or DL</w:t>
            </w:r>
            <w:r w:rsidRPr="00BD7D28">
              <w:rPr>
                <w:rFonts w:ascii="Arial" w:eastAsia="Times New Roman" w:hAnsi="Arial" w:cs="Arial"/>
                <w:sz w:val="22"/>
                <w:vertAlign w:val="subscript"/>
              </w:rPr>
              <w:t>CO</w:t>
            </w:r>
            <w:r w:rsidRPr="00BD7D28">
              <w:rPr>
                <w:rFonts w:ascii="Arial" w:eastAsia="Times New Roman" w:hAnsi="Arial" w:cs="Arial"/>
                <w:sz w:val="22"/>
              </w:rPr>
              <w:t>)</w:t>
            </w:r>
          </w:p>
        </w:tc>
        <w:tc>
          <w:tcPr>
            <w:tcW w:w="1260" w:type="dxa"/>
            <w:shd w:val="clear" w:color="auto" w:fill="auto"/>
            <w:noWrap/>
            <w:vAlign w:val="center"/>
            <w:hideMark/>
          </w:tcPr>
          <w:p w14:paraId="67E03C0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1.60</w:t>
            </w:r>
          </w:p>
        </w:tc>
        <w:tc>
          <w:tcPr>
            <w:tcW w:w="1384" w:type="dxa"/>
            <w:shd w:val="clear" w:color="auto" w:fill="auto"/>
            <w:noWrap/>
            <w:vAlign w:val="center"/>
            <w:hideMark/>
          </w:tcPr>
          <w:p w14:paraId="206B78B1"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2.75</w:t>
            </w:r>
          </w:p>
        </w:tc>
        <w:tc>
          <w:tcPr>
            <w:tcW w:w="1506" w:type="dxa"/>
            <w:shd w:val="clear" w:color="auto" w:fill="auto"/>
            <w:noWrap/>
            <w:vAlign w:val="center"/>
            <w:hideMark/>
          </w:tcPr>
          <w:p w14:paraId="5601CED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5CABEEA7" w14:textId="77777777" w:rsidTr="00573A25">
        <w:trPr>
          <w:trHeight w:val="288"/>
        </w:trPr>
        <w:tc>
          <w:tcPr>
            <w:tcW w:w="5395" w:type="dxa"/>
            <w:shd w:val="clear" w:color="auto" w:fill="auto"/>
            <w:vAlign w:val="center"/>
            <w:hideMark/>
          </w:tcPr>
          <w:p w14:paraId="4EE10B62"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Changes in PFTs over time (FVC or DL</w:t>
            </w:r>
            <w:r w:rsidRPr="00BD7D28">
              <w:rPr>
                <w:rFonts w:ascii="Arial" w:eastAsia="Times New Roman" w:hAnsi="Arial" w:cs="Arial"/>
                <w:sz w:val="22"/>
                <w:vertAlign w:val="subscript"/>
              </w:rPr>
              <w:t>CO</w:t>
            </w:r>
            <w:r w:rsidRPr="00BD7D28">
              <w:rPr>
                <w:rFonts w:ascii="Arial" w:eastAsia="Times New Roman" w:hAnsi="Arial" w:cs="Arial"/>
                <w:sz w:val="22"/>
              </w:rPr>
              <w:t>)</w:t>
            </w:r>
          </w:p>
        </w:tc>
        <w:tc>
          <w:tcPr>
            <w:tcW w:w="1260" w:type="dxa"/>
            <w:shd w:val="clear" w:color="auto" w:fill="auto"/>
            <w:noWrap/>
            <w:vAlign w:val="center"/>
            <w:hideMark/>
          </w:tcPr>
          <w:p w14:paraId="2A7E949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4.56</w:t>
            </w:r>
          </w:p>
        </w:tc>
        <w:tc>
          <w:tcPr>
            <w:tcW w:w="1384" w:type="dxa"/>
            <w:shd w:val="clear" w:color="auto" w:fill="auto"/>
            <w:noWrap/>
            <w:vAlign w:val="center"/>
            <w:hideMark/>
          </w:tcPr>
          <w:p w14:paraId="5516D3C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0.58</w:t>
            </w:r>
          </w:p>
        </w:tc>
        <w:tc>
          <w:tcPr>
            <w:tcW w:w="1506" w:type="dxa"/>
            <w:shd w:val="clear" w:color="auto" w:fill="auto"/>
            <w:noWrap/>
            <w:vAlign w:val="center"/>
            <w:hideMark/>
          </w:tcPr>
          <w:p w14:paraId="67C71CE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73D056E3" w14:textId="77777777" w:rsidTr="00573A25">
        <w:trPr>
          <w:trHeight w:val="288"/>
        </w:trPr>
        <w:tc>
          <w:tcPr>
            <w:tcW w:w="5395" w:type="dxa"/>
            <w:shd w:val="clear" w:color="auto" w:fill="auto"/>
            <w:vAlign w:val="center"/>
            <w:hideMark/>
          </w:tcPr>
          <w:p w14:paraId="4AEF73BB"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Features on HRCT (ILD pattern or extent of fibrosis)</w:t>
            </w:r>
          </w:p>
        </w:tc>
        <w:tc>
          <w:tcPr>
            <w:tcW w:w="1260" w:type="dxa"/>
            <w:shd w:val="clear" w:color="auto" w:fill="auto"/>
            <w:noWrap/>
            <w:vAlign w:val="center"/>
            <w:hideMark/>
          </w:tcPr>
          <w:p w14:paraId="5F37987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2.80</w:t>
            </w:r>
          </w:p>
        </w:tc>
        <w:tc>
          <w:tcPr>
            <w:tcW w:w="1384" w:type="dxa"/>
            <w:shd w:val="clear" w:color="auto" w:fill="auto"/>
            <w:noWrap/>
            <w:vAlign w:val="center"/>
            <w:hideMark/>
          </w:tcPr>
          <w:p w14:paraId="72E0C44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2.43</w:t>
            </w:r>
          </w:p>
        </w:tc>
        <w:tc>
          <w:tcPr>
            <w:tcW w:w="1506" w:type="dxa"/>
            <w:shd w:val="clear" w:color="auto" w:fill="auto"/>
            <w:noWrap/>
            <w:vAlign w:val="center"/>
            <w:hideMark/>
          </w:tcPr>
          <w:p w14:paraId="33D7AB3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23AD69C8" w14:textId="77777777" w:rsidTr="00573A25">
        <w:trPr>
          <w:trHeight w:val="288"/>
        </w:trPr>
        <w:tc>
          <w:tcPr>
            <w:tcW w:w="5395" w:type="dxa"/>
            <w:shd w:val="clear" w:color="auto" w:fill="auto"/>
            <w:vAlign w:val="center"/>
            <w:hideMark/>
          </w:tcPr>
          <w:p w14:paraId="1AA2309D"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Changes in HRCT over time</w:t>
            </w:r>
          </w:p>
        </w:tc>
        <w:tc>
          <w:tcPr>
            <w:tcW w:w="1260" w:type="dxa"/>
            <w:shd w:val="clear" w:color="auto" w:fill="auto"/>
            <w:noWrap/>
            <w:vAlign w:val="center"/>
            <w:hideMark/>
          </w:tcPr>
          <w:p w14:paraId="5B2FAB1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4.28</w:t>
            </w:r>
          </w:p>
        </w:tc>
        <w:tc>
          <w:tcPr>
            <w:tcW w:w="1384" w:type="dxa"/>
            <w:shd w:val="clear" w:color="auto" w:fill="auto"/>
            <w:noWrap/>
            <w:vAlign w:val="center"/>
            <w:hideMark/>
          </w:tcPr>
          <w:p w14:paraId="4EC4343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0.79</w:t>
            </w:r>
          </w:p>
        </w:tc>
        <w:tc>
          <w:tcPr>
            <w:tcW w:w="1506" w:type="dxa"/>
            <w:shd w:val="clear" w:color="auto" w:fill="auto"/>
            <w:noWrap/>
            <w:vAlign w:val="center"/>
            <w:hideMark/>
          </w:tcPr>
          <w:p w14:paraId="581473D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6655B731" w14:textId="77777777" w:rsidTr="00573A25">
        <w:trPr>
          <w:trHeight w:val="288"/>
        </w:trPr>
        <w:tc>
          <w:tcPr>
            <w:tcW w:w="5395" w:type="dxa"/>
            <w:shd w:val="clear" w:color="auto" w:fill="auto"/>
            <w:vAlign w:val="center"/>
            <w:hideMark/>
          </w:tcPr>
          <w:p w14:paraId="4EBFF399"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Changes in symptoms over time</w:t>
            </w:r>
          </w:p>
        </w:tc>
        <w:tc>
          <w:tcPr>
            <w:tcW w:w="1260" w:type="dxa"/>
            <w:shd w:val="clear" w:color="auto" w:fill="auto"/>
            <w:noWrap/>
            <w:vAlign w:val="center"/>
            <w:hideMark/>
          </w:tcPr>
          <w:p w14:paraId="34F11B8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3.28</w:t>
            </w:r>
          </w:p>
        </w:tc>
        <w:tc>
          <w:tcPr>
            <w:tcW w:w="1384" w:type="dxa"/>
            <w:shd w:val="clear" w:color="auto" w:fill="auto"/>
            <w:noWrap/>
            <w:vAlign w:val="center"/>
            <w:hideMark/>
          </w:tcPr>
          <w:p w14:paraId="20BA204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1.99</w:t>
            </w:r>
          </w:p>
        </w:tc>
        <w:tc>
          <w:tcPr>
            <w:tcW w:w="1506" w:type="dxa"/>
            <w:shd w:val="clear" w:color="auto" w:fill="auto"/>
            <w:noWrap/>
            <w:vAlign w:val="center"/>
            <w:hideMark/>
          </w:tcPr>
          <w:p w14:paraId="1F74FE8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5E964927" w14:textId="77777777" w:rsidTr="00573A25">
        <w:trPr>
          <w:trHeight w:val="288"/>
        </w:trPr>
        <w:tc>
          <w:tcPr>
            <w:tcW w:w="5395" w:type="dxa"/>
            <w:shd w:val="clear" w:color="auto" w:fill="auto"/>
            <w:vAlign w:val="center"/>
            <w:hideMark/>
          </w:tcPr>
          <w:p w14:paraId="0161C273"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6MWD</w:t>
            </w:r>
          </w:p>
        </w:tc>
        <w:tc>
          <w:tcPr>
            <w:tcW w:w="1260" w:type="dxa"/>
            <w:shd w:val="clear" w:color="auto" w:fill="auto"/>
            <w:noWrap/>
            <w:vAlign w:val="center"/>
            <w:hideMark/>
          </w:tcPr>
          <w:p w14:paraId="1E6D5B9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1.12</w:t>
            </w:r>
          </w:p>
        </w:tc>
        <w:tc>
          <w:tcPr>
            <w:tcW w:w="1384" w:type="dxa"/>
            <w:shd w:val="clear" w:color="auto" w:fill="auto"/>
            <w:noWrap/>
            <w:vAlign w:val="center"/>
            <w:hideMark/>
          </w:tcPr>
          <w:p w14:paraId="64608BD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2.49</w:t>
            </w:r>
          </w:p>
        </w:tc>
        <w:tc>
          <w:tcPr>
            <w:tcW w:w="1506" w:type="dxa"/>
            <w:shd w:val="clear" w:color="auto" w:fill="auto"/>
            <w:noWrap/>
            <w:vAlign w:val="center"/>
            <w:hideMark/>
          </w:tcPr>
          <w:p w14:paraId="66E0F14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775AC842" w14:textId="77777777" w:rsidTr="00573A25">
        <w:trPr>
          <w:trHeight w:val="288"/>
        </w:trPr>
        <w:tc>
          <w:tcPr>
            <w:tcW w:w="5395" w:type="dxa"/>
            <w:shd w:val="clear" w:color="auto" w:fill="auto"/>
            <w:vAlign w:val="center"/>
            <w:hideMark/>
          </w:tcPr>
          <w:p w14:paraId="468134C2"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Patient demographics (age, gender, race)</w:t>
            </w:r>
          </w:p>
        </w:tc>
        <w:tc>
          <w:tcPr>
            <w:tcW w:w="1260" w:type="dxa"/>
            <w:shd w:val="clear" w:color="auto" w:fill="auto"/>
            <w:noWrap/>
            <w:vAlign w:val="center"/>
            <w:hideMark/>
          </w:tcPr>
          <w:p w14:paraId="65D1DD4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0.36</w:t>
            </w:r>
          </w:p>
        </w:tc>
        <w:tc>
          <w:tcPr>
            <w:tcW w:w="1384" w:type="dxa"/>
            <w:shd w:val="clear" w:color="auto" w:fill="auto"/>
            <w:noWrap/>
            <w:vAlign w:val="center"/>
            <w:hideMark/>
          </w:tcPr>
          <w:p w14:paraId="3F22CEB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2.50</w:t>
            </w:r>
          </w:p>
        </w:tc>
        <w:tc>
          <w:tcPr>
            <w:tcW w:w="1506" w:type="dxa"/>
            <w:shd w:val="clear" w:color="auto" w:fill="auto"/>
            <w:noWrap/>
            <w:vAlign w:val="center"/>
            <w:hideMark/>
          </w:tcPr>
          <w:p w14:paraId="3561788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1EF9D448" w14:textId="77777777" w:rsidTr="00573A25">
        <w:trPr>
          <w:trHeight w:val="288"/>
        </w:trPr>
        <w:tc>
          <w:tcPr>
            <w:tcW w:w="5395" w:type="dxa"/>
            <w:shd w:val="clear" w:color="auto" w:fill="auto"/>
            <w:vAlign w:val="center"/>
            <w:hideMark/>
          </w:tcPr>
          <w:p w14:paraId="70C182A9"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Patient autoantibody profile</w:t>
            </w:r>
          </w:p>
        </w:tc>
        <w:tc>
          <w:tcPr>
            <w:tcW w:w="1260" w:type="dxa"/>
            <w:shd w:val="clear" w:color="auto" w:fill="auto"/>
            <w:noWrap/>
            <w:vAlign w:val="center"/>
            <w:hideMark/>
          </w:tcPr>
          <w:p w14:paraId="4ABE82C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0.96</w:t>
            </w:r>
          </w:p>
        </w:tc>
        <w:tc>
          <w:tcPr>
            <w:tcW w:w="1384" w:type="dxa"/>
            <w:shd w:val="clear" w:color="auto" w:fill="auto"/>
            <w:noWrap/>
            <w:vAlign w:val="center"/>
            <w:hideMark/>
          </w:tcPr>
          <w:p w14:paraId="09AD0AF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2.35</w:t>
            </w:r>
          </w:p>
        </w:tc>
        <w:tc>
          <w:tcPr>
            <w:tcW w:w="1506" w:type="dxa"/>
            <w:shd w:val="clear" w:color="auto" w:fill="auto"/>
            <w:noWrap/>
            <w:vAlign w:val="center"/>
            <w:hideMark/>
          </w:tcPr>
          <w:p w14:paraId="4E89FE9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7DA0BD92" w14:textId="77777777" w:rsidTr="00573A25">
        <w:trPr>
          <w:trHeight w:val="288"/>
        </w:trPr>
        <w:tc>
          <w:tcPr>
            <w:tcW w:w="5395" w:type="dxa"/>
            <w:shd w:val="clear" w:color="auto" w:fill="auto"/>
            <w:vAlign w:val="center"/>
            <w:hideMark/>
          </w:tcPr>
          <w:p w14:paraId="7151A2AC"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Cutaneous disease status/activity</w:t>
            </w:r>
          </w:p>
        </w:tc>
        <w:tc>
          <w:tcPr>
            <w:tcW w:w="1260" w:type="dxa"/>
            <w:shd w:val="clear" w:color="auto" w:fill="auto"/>
            <w:noWrap/>
            <w:vAlign w:val="center"/>
            <w:hideMark/>
          </w:tcPr>
          <w:p w14:paraId="63DA9C7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1.24</w:t>
            </w:r>
          </w:p>
        </w:tc>
        <w:tc>
          <w:tcPr>
            <w:tcW w:w="1384" w:type="dxa"/>
            <w:shd w:val="clear" w:color="auto" w:fill="auto"/>
            <w:noWrap/>
            <w:vAlign w:val="center"/>
            <w:hideMark/>
          </w:tcPr>
          <w:p w14:paraId="54B258ED" w14:textId="6131A88D"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2.5</w:t>
            </w:r>
            <w:r w:rsidR="00086038" w:rsidRPr="00BD7D28">
              <w:rPr>
                <w:rFonts w:ascii="Arial" w:eastAsia="Times New Roman" w:hAnsi="Arial" w:cs="Arial"/>
                <w:sz w:val="22"/>
              </w:rPr>
              <w:t>1</w:t>
            </w:r>
          </w:p>
        </w:tc>
        <w:tc>
          <w:tcPr>
            <w:tcW w:w="1506" w:type="dxa"/>
            <w:shd w:val="clear" w:color="auto" w:fill="auto"/>
            <w:noWrap/>
            <w:vAlign w:val="center"/>
            <w:hideMark/>
          </w:tcPr>
          <w:p w14:paraId="590A5D0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56117B19" w14:textId="77777777" w:rsidTr="00573A25">
        <w:trPr>
          <w:trHeight w:val="288"/>
        </w:trPr>
        <w:tc>
          <w:tcPr>
            <w:tcW w:w="5395" w:type="dxa"/>
            <w:shd w:val="clear" w:color="auto" w:fill="auto"/>
            <w:vAlign w:val="center"/>
            <w:hideMark/>
          </w:tcPr>
          <w:p w14:paraId="1A9581ED" w14:textId="20448360"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Exertional hypox</w:t>
            </w:r>
            <w:r w:rsidR="00846B20" w:rsidRPr="00BD7D28">
              <w:rPr>
                <w:rFonts w:ascii="Arial" w:eastAsia="Times New Roman" w:hAnsi="Arial" w:cs="Arial"/>
                <w:sz w:val="22"/>
              </w:rPr>
              <w:t>emia</w:t>
            </w:r>
          </w:p>
        </w:tc>
        <w:tc>
          <w:tcPr>
            <w:tcW w:w="1260" w:type="dxa"/>
            <w:shd w:val="clear" w:color="auto" w:fill="auto"/>
            <w:noWrap/>
            <w:vAlign w:val="center"/>
            <w:hideMark/>
          </w:tcPr>
          <w:p w14:paraId="74A62C8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2.64</w:t>
            </w:r>
          </w:p>
        </w:tc>
        <w:tc>
          <w:tcPr>
            <w:tcW w:w="1384" w:type="dxa"/>
            <w:shd w:val="clear" w:color="auto" w:fill="auto"/>
            <w:noWrap/>
            <w:vAlign w:val="center"/>
            <w:hideMark/>
          </w:tcPr>
          <w:p w14:paraId="2607F3B1"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1.96</w:t>
            </w:r>
          </w:p>
        </w:tc>
        <w:tc>
          <w:tcPr>
            <w:tcW w:w="1506" w:type="dxa"/>
            <w:shd w:val="clear" w:color="auto" w:fill="auto"/>
            <w:noWrap/>
            <w:vAlign w:val="center"/>
            <w:hideMark/>
          </w:tcPr>
          <w:p w14:paraId="1A1C987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4A3D7C7D" w14:textId="77777777" w:rsidTr="00573A25">
        <w:trPr>
          <w:trHeight w:val="288"/>
        </w:trPr>
        <w:tc>
          <w:tcPr>
            <w:tcW w:w="5395" w:type="dxa"/>
            <w:shd w:val="clear" w:color="auto" w:fill="auto"/>
            <w:vAlign w:val="center"/>
            <w:hideMark/>
          </w:tcPr>
          <w:p w14:paraId="77AC4991"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Development of concomitant GI disease (GERD, microaspiration)</w:t>
            </w:r>
          </w:p>
        </w:tc>
        <w:tc>
          <w:tcPr>
            <w:tcW w:w="1260" w:type="dxa"/>
            <w:shd w:val="clear" w:color="auto" w:fill="auto"/>
            <w:noWrap/>
            <w:vAlign w:val="center"/>
            <w:hideMark/>
          </w:tcPr>
          <w:p w14:paraId="278F379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0.60</w:t>
            </w:r>
          </w:p>
        </w:tc>
        <w:tc>
          <w:tcPr>
            <w:tcW w:w="1384" w:type="dxa"/>
            <w:shd w:val="clear" w:color="auto" w:fill="auto"/>
            <w:noWrap/>
            <w:vAlign w:val="center"/>
            <w:hideMark/>
          </w:tcPr>
          <w:p w14:paraId="3C535AC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2.18</w:t>
            </w:r>
          </w:p>
        </w:tc>
        <w:tc>
          <w:tcPr>
            <w:tcW w:w="1506" w:type="dxa"/>
            <w:shd w:val="clear" w:color="auto" w:fill="auto"/>
            <w:noWrap/>
            <w:vAlign w:val="center"/>
            <w:hideMark/>
          </w:tcPr>
          <w:p w14:paraId="64CDE7A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10F9255F" w14:textId="77777777" w:rsidTr="00573A25">
        <w:trPr>
          <w:trHeight w:val="288"/>
        </w:trPr>
        <w:tc>
          <w:tcPr>
            <w:tcW w:w="5395" w:type="dxa"/>
            <w:shd w:val="clear" w:color="auto" w:fill="auto"/>
            <w:vAlign w:val="center"/>
            <w:hideMark/>
          </w:tcPr>
          <w:p w14:paraId="33DD9A6F"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Development of concomitant pulmonary vascular disease (pulmonary arterial hypertension)</w:t>
            </w:r>
          </w:p>
        </w:tc>
        <w:tc>
          <w:tcPr>
            <w:tcW w:w="1260" w:type="dxa"/>
            <w:shd w:val="clear" w:color="auto" w:fill="auto"/>
            <w:noWrap/>
            <w:vAlign w:val="center"/>
            <w:hideMark/>
          </w:tcPr>
          <w:p w14:paraId="577A51B0"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1.12</w:t>
            </w:r>
          </w:p>
        </w:tc>
        <w:tc>
          <w:tcPr>
            <w:tcW w:w="1384" w:type="dxa"/>
            <w:shd w:val="clear" w:color="auto" w:fill="auto"/>
            <w:noWrap/>
            <w:vAlign w:val="center"/>
            <w:hideMark/>
          </w:tcPr>
          <w:p w14:paraId="0A9CC41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2.44</w:t>
            </w:r>
          </w:p>
        </w:tc>
        <w:tc>
          <w:tcPr>
            <w:tcW w:w="1506" w:type="dxa"/>
            <w:shd w:val="clear" w:color="auto" w:fill="auto"/>
            <w:noWrap/>
            <w:vAlign w:val="center"/>
            <w:hideMark/>
          </w:tcPr>
          <w:p w14:paraId="3B1ADF6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bookmarkEnd w:id="1"/>
      <w:tr w:rsidR="00BD7D28" w:rsidRPr="00BD7D28" w14:paraId="555B7970" w14:textId="77777777" w:rsidTr="00573A25">
        <w:trPr>
          <w:trHeight w:val="288"/>
        </w:trPr>
        <w:tc>
          <w:tcPr>
            <w:tcW w:w="9545" w:type="dxa"/>
            <w:gridSpan w:val="4"/>
            <w:shd w:val="clear" w:color="auto" w:fill="auto"/>
            <w:vAlign w:val="center"/>
            <w:hideMark/>
          </w:tcPr>
          <w:p w14:paraId="411B74C5" w14:textId="77777777" w:rsidR="00573A25" w:rsidRPr="00BD7D28" w:rsidRDefault="00573A25" w:rsidP="00573A25">
            <w:pPr>
              <w:spacing w:line="240" w:lineRule="auto"/>
              <w:rPr>
                <w:rFonts w:ascii="Arial" w:eastAsia="Times New Roman" w:hAnsi="Arial" w:cs="Arial"/>
                <w:b/>
                <w:bCs/>
                <w:sz w:val="22"/>
              </w:rPr>
            </w:pPr>
            <w:r w:rsidRPr="00BD7D28">
              <w:rPr>
                <w:rFonts w:ascii="Arial" w:eastAsia="Times New Roman" w:hAnsi="Arial" w:cs="Arial"/>
                <w:b/>
                <w:bCs/>
                <w:sz w:val="22"/>
              </w:rPr>
              <w:t>What is success to you?</w:t>
            </w:r>
          </w:p>
        </w:tc>
      </w:tr>
      <w:tr w:rsidR="00BD7D28" w:rsidRPr="00BD7D28" w14:paraId="332439E1" w14:textId="77777777" w:rsidTr="00573A25">
        <w:trPr>
          <w:trHeight w:val="288"/>
        </w:trPr>
        <w:tc>
          <w:tcPr>
            <w:tcW w:w="5395" w:type="dxa"/>
            <w:shd w:val="clear" w:color="auto" w:fill="auto"/>
            <w:vAlign w:val="center"/>
            <w:hideMark/>
          </w:tcPr>
          <w:p w14:paraId="314EAFA8"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FVC stabilization</w:t>
            </w:r>
          </w:p>
        </w:tc>
        <w:tc>
          <w:tcPr>
            <w:tcW w:w="1260" w:type="dxa"/>
            <w:shd w:val="clear" w:color="auto" w:fill="auto"/>
            <w:noWrap/>
            <w:vAlign w:val="center"/>
            <w:hideMark/>
          </w:tcPr>
          <w:p w14:paraId="32B57E1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3.76</w:t>
            </w:r>
          </w:p>
        </w:tc>
        <w:tc>
          <w:tcPr>
            <w:tcW w:w="1384" w:type="dxa"/>
            <w:shd w:val="clear" w:color="auto" w:fill="auto"/>
            <w:noWrap/>
            <w:vAlign w:val="center"/>
            <w:hideMark/>
          </w:tcPr>
          <w:p w14:paraId="77B261A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0.88</w:t>
            </w:r>
          </w:p>
        </w:tc>
        <w:tc>
          <w:tcPr>
            <w:tcW w:w="1506" w:type="dxa"/>
            <w:shd w:val="clear" w:color="auto" w:fill="auto"/>
            <w:noWrap/>
            <w:vAlign w:val="center"/>
            <w:hideMark/>
          </w:tcPr>
          <w:p w14:paraId="11598A8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4DC73090" w14:textId="77777777" w:rsidTr="00573A25">
        <w:trPr>
          <w:trHeight w:val="288"/>
        </w:trPr>
        <w:tc>
          <w:tcPr>
            <w:tcW w:w="5395" w:type="dxa"/>
            <w:shd w:val="clear" w:color="auto" w:fill="auto"/>
            <w:vAlign w:val="center"/>
            <w:hideMark/>
          </w:tcPr>
          <w:p w14:paraId="0FCD489B"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FVC improvement</w:t>
            </w:r>
          </w:p>
        </w:tc>
        <w:tc>
          <w:tcPr>
            <w:tcW w:w="1260" w:type="dxa"/>
            <w:shd w:val="clear" w:color="auto" w:fill="auto"/>
            <w:noWrap/>
            <w:vAlign w:val="center"/>
            <w:hideMark/>
          </w:tcPr>
          <w:p w14:paraId="516709F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4.72</w:t>
            </w:r>
          </w:p>
        </w:tc>
        <w:tc>
          <w:tcPr>
            <w:tcW w:w="1384" w:type="dxa"/>
            <w:shd w:val="clear" w:color="auto" w:fill="auto"/>
            <w:noWrap/>
            <w:vAlign w:val="center"/>
            <w:hideMark/>
          </w:tcPr>
          <w:p w14:paraId="78F5661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0.46</w:t>
            </w:r>
          </w:p>
        </w:tc>
        <w:tc>
          <w:tcPr>
            <w:tcW w:w="1506" w:type="dxa"/>
            <w:shd w:val="clear" w:color="auto" w:fill="auto"/>
            <w:noWrap/>
            <w:vAlign w:val="center"/>
            <w:hideMark/>
          </w:tcPr>
          <w:p w14:paraId="795BB1F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266029D6" w14:textId="77777777" w:rsidTr="00573A25">
        <w:trPr>
          <w:trHeight w:val="288"/>
        </w:trPr>
        <w:tc>
          <w:tcPr>
            <w:tcW w:w="5395" w:type="dxa"/>
            <w:shd w:val="clear" w:color="auto" w:fill="auto"/>
            <w:vAlign w:val="center"/>
            <w:hideMark/>
          </w:tcPr>
          <w:p w14:paraId="6D9EEA70"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DL</w:t>
            </w:r>
            <w:r w:rsidRPr="00BD7D28">
              <w:rPr>
                <w:rFonts w:ascii="Arial" w:eastAsia="Times New Roman" w:hAnsi="Arial" w:cs="Arial"/>
                <w:sz w:val="22"/>
                <w:vertAlign w:val="subscript"/>
              </w:rPr>
              <w:t>CO</w:t>
            </w:r>
            <w:r w:rsidRPr="00BD7D28">
              <w:rPr>
                <w:rFonts w:ascii="Arial" w:eastAsia="Times New Roman" w:hAnsi="Arial" w:cs="Arial"/>
                <w:sz w:val="22"/>
              </w:rPr>
              <w:t xml:space="preserve"> stabilization</w:t>
            </w:r>
          </w:p>
        </w:tc>
        <w:tc>
          <w:tcPr>
            <w:tcW w:w="1260" w:type="dxa"/>
            <w:shd w:val="clear" w:color="auto" w:fill="auto"/>
            <w:noWrap/>
            <w:vAlign w:val="center"/>
            <w:hideMark/>
          </w:tcPr>
          <w:p w14:paraId="0494BAA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3.68</w:t>
            </w:r>
          </w:p>
        </w:tc>
        <w:tc>
          <w:tcPr>
            <w:tcW w:w="1384" w:type="dxa"/>
            <w:shd w:val="clear" w:color="auto" w:fill="auto"/>
            <w:noWrap/>
            <w:vAlign w:val="center"/>
            <w:hideMark/>
          </w:tcPr>
          <w:p w14:paraId="58C89AB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0.85</w:t>
            </w:r>
          </w:p>
        </w:tc>
        <w:tc>
          <w:tcPr>
            <w:tcW w:w="1506" w:type="dxa"/>
            <w:shd w:val="clear" w:color="auto" w:fill="auto"/>
            <w:noWrap/>
            <w:vAlign w:val="center"/>
            <w:hideMark/>
          </w:tcPr>
          <w:p w14:paraId="22E42B5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6F734D88" w14:textId="77777777" w:rsidTr="00573A25">
        <w:trPr>
          <w:trHeight w:val="288"/>
        </w:trPr>
        <w:tc>
          <w:tcPr>
            <w:tcW w:w="5395" w:type="dxa"/>
            <w:shd w:val="clear" w:color="auto" w:fill="auto"/>
            <w:vAlign w:val="center"/>
            <w:hideMark/>
          </w:tcPr>
          <w:p w14:paraId="5231C02C"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DL</w:t>
            </w:r>
            <w:r w:rsidRPr="00BD7D28">
              <w:rPr>
                <w:rFonts w:ascii="Arial" w:eastAsia="Times New Roman" w:hAnsi="Arial" w:cs="Arial"/>
                <w:sz w:val="22"/>
                <w:vertAlign w:val="subscript"/>
              </w:rPr>
              <w:t>CO</w:t>
            </w:r>
            <w:r w:rsidRPr="00BD7D28">
              <w:rPr>
                <w:rFonts w:ascii="Arial" w:eastAsia="Times New Roman" w:hAnsi="Arial" w:cs="Arial"/>
                <w:sz w:val="22"/>
              </w:rPr>
              <w:t xml:space="preserve"> improvement</w:t>
            </w:r>
          </w:p>
        </w:tc>
        <w:tc>
          <w:tcPr>
            <w:tcW w:w="1260" w:type="dxa"/>
            <w:shd w:val="clear" w:color="auto" w:fill="auto"/>
            <w:noWrap/>
            <w:vAlign w:val="center"/>
            <w:hideMark/>
          </w:tcPr>
          <w:p w14:paraId="59A6321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4.60</w:t>
            </w:r>
          </w:p>
        </w:tc>
        <w:tc>
          <w:tcPr>
            <w:tcW w:w="1384" w:type="dxa"/>
            <w:shd w:val="clear" w:color="auto" w:fill="auto"/>
            <w:noWrap/>
            <w:vAlign w:val="center"/>
            <w:hideMark/>
          </w:tcPr>
          <w:p w14:paraId="57DDBCC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0.58</w:t>
            </w:r>
          </w:p>
        </w:tc>
        <w:tc>
          <w:tcPr>
            <w:tcW w:w="1506" w:type="dxa"/>
            <w:shd w:val="clear" w:color="auto" w:fill="auto"/>
            <w:noWrap/>
            <w:vAlign w:val="center"/>
            <w:hideMark/>
          </w:tcPr>
          <w:p w14:paraId="70A11A1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4DBAC942" w14:textId="77777777" w:rsidTr="00573A25">
        <w:trPr>
          <w:trHeight w:val="288"/>
        </w:trPr>
        <w:tc>
          <w:tcPr>
            <w:tcW w:w="5395" w:type="dxa"/>
            <w:shd w:val="clear" w:color="auto" w:fill="auto"/>
            <w:vAlign w:val="center"/>
            <w:hideMark/>
          </w:tcPr>
          <w:p w14:paraId="35723E70"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HRCT improvement</w:t>
            </w:r>
          </w:p>
        </w:tc>
        <w:tc>
          <w:tcPr>
            <w:tcW w:w="1260" w:type="dxa"/>
            <w:shd w:val="clear" w:color="auto" w:fill="auto"/>
            <w:noWrap/>
            <w:vAlign w:val="center"/>
            <w:hideMark/>
          </w:tcPr>
          <w:p w14:paraId="7AD2150B"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4.60</w:t>
            </w:r>
          </w:p>
        </w:tc>
        <w:tc>
          <w:tcPr>
            <w:tcW w:w="1384" w:type="dxa"/>
            <w:shd w:val="clear" w:color="auto" w:fill="auto"/>
            <w:noWrap/>
            <w:vAlign w:val="center"/>
            <w:hideMark/>
          </w:tcPr>
          <w:p w14:paraId="687E3656"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0.65</w:t>
            </w:r>
          </w:p>
        </w:tc>
        <w:tc>
          <w:tcPr>
            <w:tcW w:w="1506" w:type="dxa"/>
            <w:shd w:val="clear" w:color="auto" w:fill="auto"/>
            <w:noWrap/>
            <w:vAlign w:val="center"/>
            <w:hideMark/>
          </w:tcPr>
          <w:p w14:paraId="4CF77E7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26274634" w14:textId="77777777" w:rsidTr="00573A25">
        <w:trPr>
          <w:trHeight w:val="288"/>
        </w:trPr>
        <w:tc>
          <w:tcPr>
            <w:tcW w:w="5395" w:type="dxa"/>
            <w:shd w:val="clear" w:color="auto" w:fill="auto"/>
            <w:vAlign w:val="center"/>
            <w:hideMark/>
          </w:tcPr>
          <w:p w14:paraId="11C7CDC2"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HRCT stabilization</w:t>
            </w:r>
          </w:p>
        </w:tc>
        <w:tc>
          <w:tcPr>
            <w:tcW w:w="1260" w:type="dxa"/>
            <w:shd w:val="clear" w:color="auto" w:fill="auto"/>
            <w:noWrap/>
            <w:vAlign w:val="center"/>
            <w:hideMark/>
          </w:tcPr>
          <w:p w14:paraId="392D4AB7"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3.96</w:t>
            </w:r>
          </w:p>
        </w:tc>
        <w:tc>
          <w:tcPr>
            <w:tcW w:w="1384" w:type="dxa"/>
            <w:shd w:val="clear" w:color="auto" w:fill="auto"/>
            <w:noWrap/>
            <w:vAlign w:val="center"/>
            <w:hideMark/>
          </w:tcPr>
          <w:p w14:paraId="1998340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0.84</w:t>
            </w:r>
          </w:p>
        </w:tc>
        <w:tc>
          <w:tcPr>
            <w:tcW w:w="1506" w:type="dxa"/>
            <w:shd w:val="clear" w:color="auto" w:fill="auto"/>
            <w:noWrap/>
            <w:vAlign w:val="center"/>
            <w:hideMark/>
          </w:tcPr>
          <w:p w14:paraId="7F100F4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770B0181" w14:textId="77777777" w:rsidTr="00573A25">
        <w:trPr>
          <w:trHeight w:val="288"/>
        </w:trPr>
        <w:tc>
          <w:tcPr>
            <w:tcW w:w="5395" w:type="dxa"/>
            <w:shd w:val="clear" w:color="auto" w:fill="auto"/>
            <w:vAlign w:val="center"/>
            <w:hideMark/>
          </w:tcPr>
          <w:p w14:paraId="4BBCF4E8"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Symptom stabilization/improvement</w:t>
            </w:r>
          </w:p>
        </w:tc>
        <w:tc>
          <w:tcPr>
            <w:tcW w:w="1260" w:type="dxa"/>
            <w:shd w:val="clear" w:color="auto" w:fill="auto"/>
            <w:noWrap/>
            <w:vAlign w:val="center"/>
            <w:hideMark/>
          </w:tcPr>
          <w:p w14:paraId="2B0C5514"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4.12</w:t>
            </w:r>
          </w:p>
        </w:tc>
        <w:tc>
          <w:tcPr>
            <w:tcW w:w="1384" w:type="dxa"/>
            <w:shd w:val="clear" w:color="auto" w:fill="auto"/>
            <w:noWrap/>
            <w:vAlign w:val="center"/>
            <w:hideMark/>
          </w:tcPr>
          <w:p w14:paraId="1328B03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0.83</w:t>
            </w:r>
          </w:p>
        </w:tc>
        <w:tc>
          <w:tcPr>
            <w:tcW w:w="1506" w:type="dxa"/>
            <w:shd w:val="clear" w:color="auto" w:fill="auto"/>
            <w:noWrap/>
            <w:vAlign w:val="center"/>
            <w:hideMark/>
          </w:tcPr>
          <w:p w14:paraId="1AFD008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186706AA" w14:textId="77777777" w:rsidTr="00573A25">
        <w:trPr>
          <w:trHeight w:val="288"/>
        </w:trPr>
        <w:tc>
          <w:tcPr>
            <w:tcW w:w="5395" w:type="dxa"/>
            <w:shd w:val="clear" w:color="auto" w:fill="auto"/>
            <w:vAlign w:val="center"/>
            <w:hideMark/>
          </w:tcPr>
          <w:p w14:paraId="7C459B5C"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6MWD stabilization/improvement</w:t>
            </w:r>
          </w:p>
        </w:tc>
        <w:tc>
          <w:tcPr>
            <w:tcW w:w="1260" w:type="dxa"/>
            <w:shd w:val="clear" w:color="auto" w:fill="auto"/>
            <w:noWrap/>
            <w:vAlign w:val="center"/>
            <w:hideMark/>
          </w:tcPr>
          <w:p w14:paraId="15660F0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2.92</w:t>
            </w:r>
          </w:p>
        </w:tc>
        <w:tc>
          <w:tcPr>
            <w:tcW w:w="1384" w:type="dxa"/>
            <w:shd w:val="clear" w:color="auto" w:fill="auto"/>
            <w:noWrap/>
            <w:vAlign w:val="center"/>
            <w:hideMark/>
          </w:tcPr>
          <w:p w14:paraId="075B946E"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1.71</w:t>
            </w:r>
          </w:p>
        </w:tc>
        <w:tc>
          <w:tcPr>
            <w:tcW w:w="1506" w:type="dxa"/>
            <w:shd w:val="clear" w:color="auto" w:fill="auto"/>
            <w:noWrap/>
            <w:vAlign w:val="center"/>
            <w:hideMark/>
          </w:tcPr>
          <w:p w14:paraId="5F59F05D"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144407DA" w14:textId="77777777" w:rsidTr="00573A25">
        <w:trPr>
          <w:trHeight w:val="288"/>
        </w:trPr>
        <w:tc>
          <w:tcPr>
            <w:tcW w:w="5395" w:type="dxa"/>
            <w:shd w:val="clear" w:color="auto" w:fill="auto"/>
            <w:vAlign w:val="center"/>
            <w:hideMark/>
          </w:tcPr>
          <w:p w14:paraId="43776A4B"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O</w:t>
            </w:r>
            <w:r w:rsidRPr="00BD7D28">
              <w:rPr>
                <w:rFonts w:ascii="Arial" w:eastAsia="Times New Roman" w:hAnsi="Arial" w:cs="Arial"/>
                <w:sz w:val="22"/>
                <w:vertAlign w:val="subscript"/>
              </w:rPr>
              <w:t>2</w:t>
            </w:r>
            <w:r w:rsidRPr="00BD7D28">
              <w:rPr>
                <w:rFonts w:ascii="Arial" w:eastAsia="Times New Roman" w:hAnsi="Arial" w:cs="Arial"/>
                <w:sz w:val="22"/>
              </w:rPr>
              <w:t xml:space="preserve"> saturation with exercise</w:t>
            </w:r>
          </w:p>
        </w:tc>
        <w:tc>
          <w:tcPr>
            <w:tcW w:w="1260" w:type="dxa"/>
            <w:shd w:val="clear" w:color="auto" w:fill="auto"/>
            <w:noWrap/>
            <w:vAlign w:val="center"/>
            <w:hideMark/>
          </w:tcPr>
          <w:p w14:paraId="5735A479"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3.00</w:t>
            </w:r>
          </w:p>
        </w:tc>
        <w:tc>
          <w:tcPr>
            <w:tcW w:w="1384" w:type="dxa"/>
            <w:shd w:val="clear" w:color="auto" w:fill="auto"/>
            <w:noWrap/>
            <w:vAlign w:val="center"/>
            <w:hideMark/>
          </w:tcPr>
          <w:p w14:paraId="3FF39F0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1.26</w:t>
            </w:r>
          </w:p>
        </w:tc>
        <w:tc>
          <w:tcPr>
            <w:tcW w:w="1506" w:type="dxa"/>
            <w:shd w:val="clear" w:color="auto" w:fill="auto"/>
            <w:noWrap/>
            <w:vAlign w:val="center"/>
            <w:hideMark/>
          </w:tcPr>
          <w:p w14:paraId="0027DC88"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r w:rsidR="00BD7D28" w:rsidRPr="00BD7D28" w14:paraId="32221F6E" w14:textId="77777777" w:rsidTr="00573A25">
        <w:trPr>
          <w:trHeight w:val="288"/>
        </w:trPr>
        <w:tc>
          <w:tcPr>
            <w:tcW w:w="5395" w:type="dxa"/>
            <w:shd w:val="clear" w:color="auto" w:fill="auto"/>
            <w:vAlign w:val="center"/>
            <w:hideMark/>
          </w:tcPr>
          <w:p w14:paraId="10EE03C0" w14:textId="77777777" w:rsidR="00573A25" w:rsidRPr="00BD7D28" w:rsidRDefault="00573A25" w:rsidP="00573A25">
            <w:pPr>
              <w:spacing w:line="240" w:lineRule="auto"/>
              <w:rPr>
                <w:rFonts w:ascii="Arial" w:eastAsia="Times New Roman" w:hAnsi="Arial" w:cs="Arial"/>
                <w:sz w:val="22"/>
              </w:rPr>
            </w:pPr>
            <w:proofErr w:type="spellStart"/>
            <w:r w:rsidRPr="00BD7D28">
              <w:rPr>
                <w:rFonts w:ascii="Arial" w:eastAsia="Times New Roman" w:hAnsi="Arial" w:cs="Arial"/>
                <w:sz w:val="22"/>
              </w:rPr>
              <w:t>mRSS</w:t>
            </w:r>
            <w:proofErr w:type="spellEnd"/>
            <w:r w:rsidRPr="00BD7D28">
              <w:rPr>
                <w:rFonts w:ascii="Arial" w:eastAsia="Times New Roman" w:hAnsi="Arial" w:cs="Arial"/>
                <w:sz w:val="22"/>
              </w:rPr>
              <w:t xml:space="preserve"> stabilization/improvement</w:t>
            </w:r>
          </w:p>
        </w:tc>
        <w:tc>
          <w:tcPr>
            <w:tcW w:w="1260" w:type="dxa"/>
            <w:shd w:val="clear" w:color="auto" w:fill="auto"/>
            <w:noWrap/>
            <w:vAlign w:val="center"/>
            <w:hideMark/>
          </w:tcPr>
          <w:p w14:paraId="16129E85"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0.92</w:t>
            </w:r>
          </w:p>
        </w:tc>
        <w:tc>
          <w:tcPr>
            <w:tcW w:w="1384" w:type="dxa"/>
            <w:shd w:val="clear" w:color="auto" w:fill="auto"/>
            <w:noWrap/>
            <w:vAlign w:val="center"/>
            <w:hideMark/>
          </w:tcPr>
          <w:p w14:paraId="63582212"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2.27</w:t>
            </w:r>
          </w:p>
        </w:tc>
        <w:tc>
          <w:tcPr>
            <w:tcW w:w="1506" w:type="dxa"/>
            <w:shd w:val="clear" w:color="auto" w:fill="auto"/>
            <w:noWrap/>
            <w:vAlign w:val="center"/>
            <w:hideMark/>
          </w:tcPr>
          <w:p w14:paraId="4720030F"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No</w:t>
            </w:r>
          </w:p>
        </w:tc>
      </w:tr>
      <w:tr w:rsidR="00BD7D28" w:rsidRPr="00BD7D28" w14:paraId="5CE7136F" w14:textId="77777777" w:rsidTr="00573A25">
        <w:trPr>
          <w:trHeight w:val="288"/>
        </w:trPr>
        <w:tc>
          <w:tcPr>
            <w:tcW w:w="5395" w:type="dxa"/>
            <w:shd w:val="clear" w:color="auto" w:fill="auto"/>
            <w:vAlign w:val="center"/>
            <w:hideMark/>
          </w:tcPr>
          <w:p w14:paraId="621C95A7" w14:textId="77777777" w:rsidR="00573A25" w:rsidRPr="00BD7D28" w:rsidRDefault="00573A25" w:rsidP="00573A25">
            <w:pPr>
              <w:spacing w:line="240" w:lineRule="auto"/>
              <w:rPr>
                <w:rFonts w:ascii="Arial" w:eastAsia="Times New Roman" w:hAnsi="Arial" w:cs="Arial"/>
                <w:sz w:val="22"/>
              </w:rPr>
            </w:pPr>
            <w:r w:rsidRPr="00BD7D28">
              <w:rPr>
                <w:rFonts w:ascii="Arial" w:eastAsia="Times New Roman" w:hAnsi="Arial" w:cs="Arial"/>
                <w:sz w:val="22"/>
              </w:rPr>
              <w:t>Functional status (NYHA FC or CPET)</w:t>
            </w:r>
          </w:p>
        </w:tc>
        <w:tc>
          <w:tcPr>
            <w:tcW w:w="1260" w:type="dxa"/>
            <w:shd w:val="clear" w:color="auto" w:fill="auto"/>
            <w:noWrap/>
            <w:vAlign w:val="center"/>
            <w:hideMark/>
          </w:tcPr>
          <w:p w14:paraId="7DA60793"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2.52</w:t>
            </w:r>
          </w:p>
        </w:tc>
        <w:tc>
          <w:tcPr>
            <w:tcW w:w="1384" w:type="dxa"/>
            <w:shd w:val="clear" w:color="auto" w:fill="auto"/>
            <w:noWrap/>
            <w:vAlign w:val="center"/>
            <w:hideMark/>
          </w:tcPr>
          <w:p w14:paraId="657D7F6C"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1.90</w:t>
            </w:r>
          </w:p>
        </w:tc>
        <w:tc>
          <w:tcPr>
            <w:tcW w:w="1506" w:type="dxa"/>
            <w:shd w:val="clear" w:color="auto" w:fill="auto"/>
            <w:noWrap/>
            <w:vAlign w:val="center"/>
            <w:hideMark/>
          </w:tcPr>
          <w:p w14:paraId="1A8E372A" w14:textId="77777777" w:rsidR="00573A25" w:rsidRPr="00BD7D28" w:rsidRDefault="00573A25" w:rsidP="00573A25">
            <w:pPr>
              <w:spacing w:line="240" w:lineRule="auto"/>
              <w:jc w:val="center"/>
              <w:rPr>
                <w:rFonts w:ascii="Arial" w:eastAsia="Times New Roman" w:hAnsi="Arial" w:cs="Arial"/>
                <w:sz w:val="22"/>
              </w:rPr>
            </w:pPr>
            <w:r w:rsidRPr="00BD7D28">
              <w:rPr>
                <w:rFonts w:ascii="Arial" w:eastAsia="Times New Roman" w:hAnsi="Arial" w:cs="Arial"/>
                <w:sz w:val="22"/>
              </w:rPr>
              <w:t>For</w:t>
            </w:r>
          </w:p>
        </w:tc>
      </w:tr>
    </w:tbl>
    <w:p w14:paraId="78D6D0ED" w14:textId="7737B677" w:rsidR="006D1CFC" w:rsidRPr="00BD7D28" w:rsidRDefault="00896C17" w:rsidP="002243AF">
      <w:pPr>
        <w:rPr>
          <w:rFonts w:ascii="Arial" w:hAnsi="Arial" w:cs="Arial"/>
          <w:sz w:val="22"/>
          <w:szCs w:val="28"/>
        </w:rPr>
      </w:pPr>
      <w:r w:rsidRPr="00BD7D28">
        <w:rPr>
          <w:rFonts w:ascii="Arial" w:hAnsi="Arial" w:cs="Arial"/>
          <w:sz w:val="22"/>
          <w:szCs w:val="28"/>
        </w:rPr>
        <w:t xml:space="preserve">6MWD, 6-minute walk distance; </w:t>
      </w:r>
      <w:r w:rsidR="00E02BA8" w:rsidRPr="00BD7D28">
        <w:rPr>
          <w:rFonts w:ascii="Arial" w:hAnsi="Arial" w:cs="Arial"/>
          <w:sz w:val="22"/>
          <w:szCs w:val="28"/>
        </w:rPr>
        <w:t xml:space="preserve">ANA, antinuclear antibodies; </w:t>
      </w:r>
      <w:r w:rsidR="00BF78D9" w:rsidRPr="00BD7D28">
        <w:rPr>
          <w:rFonts w:ascii="Arial" w:hAnsi="Arial" w:cs="Arial"/>
          <w:sz w:val="22"/>
          <w:szCs w:val="28"/>
        </w:rPr>
        <w:t xml:space="preserve">BNP, brain natriuretic peptide; </w:t>
      </w:r>
      <w:r w:rsidRPr="00BD7D28">
        <w:rPr>
          <w:rFonts w:ascii="Arial" w:hAnsi="Arial" w:cs="Arial"/>
          <w:sz w:val="22"/>
          <w:szCs w:val="28"/>
        </w:rPr>
        <w:t xml:space="preserve">CPET, cardiopulmonary exercise testing; CTD, connective tissue disease; CYC, cyclophosphamide; </w:t>
      </w:r>
      <w:r w:rsidR="00442FE3" w:rsidRPr="00BD7D28">
        <w:rPr>
          <w:rFonts w:ascii="Arial" w:hAnsi="Arial" w:cs="Arial"/>
          <w:sz w:val="22"/>
          <w:szCs w:val="28"/>
        </w:rPr>
        <w:t xml:space="preserve">dcSSc, diffuse cutaneous systemic sclerosis; </w:t>
      </w:r>
      <w:r w:rsidRPr="00BD7D28">
        <w:rPr>
          <w:rFonts w:ascii="Arial" w:hAnsi="Arial" w:cs="Arial"/>
          <w:sz w:val="22"/>
          <w:szCs w:val="28"/>
        </w:rPr>
        <w:t>DL</w:t>
      </w:r>
      <w:r w:rsidRPr="00BD7D28">
        <w:rPr>
          <w:rFonts w:ascii="Arial" w:hAnsi="Arial" w:cs="Arial"/>
          <w:sz w:val="22"/>
          <w:szCs w:val="28"/>
          <w:vertAlign w:val="subscript"/>
        </w:rPr>
        <w:t>CO</w:t>
      </w:r>
      <w:r w:rsidRPr="00BD7D28">
        <w:rPr>
          <w:rFonts w:ascii="Arial" w:hAnsi="Arial" w:cs="Arial"/>
          <w:sz w:val="22"/>
          <w:szCs w:val="28"/>
        </w:rPr>
        <w:t xml:space="preserve">, diffusing capacity of the lungs for carbon monoxide; FCV, forced vital capacity; </w:t>
      </w:r>
      <w:r w:rsidR="00442FE3" w:rsidRPr="00BD7D28">
        <w:rPr>
          <w:rFonts w:ascii="Arial" w:hAnsi="Arial" w:cs="Arial"/>
          <w:sz w:val="22"/>
          <w:szCs w:val="28"/>
        </w:rPr>
        <w:t xml:space="preserve">GERD, gastroesophageal reflux disease; GI, gastrointestinal; </w:t>
      </w:r>
      <w:r w:rsidRPr="00BD7D28">
        <w:rPr>
          <w:rFonts w:ascii="Arial" w:hAnsi="Arial" w:cs="Arial"/>
          <w:sz w:val="22"/>
          <w:szCs w:val="28"/>
        </w:rPr>
        <w:t xml:space="preserve">HRCT, high-resolution computed tomography; </w:t>
      </w:r>
      <w:r w:rsidR="00442FE3" w:rsidRPr="00BD7D28">
        <w:rPr>
          <w:rFonts w:ascii="Arial" w:hAnsi="Arial" w:cs="Arial"/>
          <w:sz w:val="22"/>
          <w:szCs w:val="28"/>
        </w:rPr>
        <w:t xml:space="preserve">ILD, interstitial lung disease; LLN, lower limit of normal; </w:t>
      </w:r>
      <w:r w:rsidR="00E02BA8" w:rsidRPr="00BD7D28">
        <w:rPr>
          <w:rFonts w:ascii="Arial" w:hAnsi="Arial" w:cs="Arial"/>
          <w:sz w:val="22"/>
          <w:szCs w:val="28"/>
        </w:rPr>
        <w:t>MAI,</w:t>
      </w:r>
      <w:r w:rsidR="00E02BA8" w:rsidRPr="00BD7D28">
        <w:rPr>
          <w:sz w:val="28"/>
          <w:szCs w:val="24"/>
        </w:rPr>
        <w:t xml:space="preserve"> </w:t>
      </w:r>
      <w:r w:rsidR="00E02BA8" w:rsidRPr="00BD7D28">
        <w:rPr>
          <w:rFonts w:ascii="Arial" w:hAnsi="Arial" w:cs="Arial"/>
          <w:i/>
          <w:iCs/>
          <w:sz w:val="22"/>
          <w:szCs w:val="28"/>
        </w:rPr>
        <w:t>mycobacterium avium-</w:t>
      </w:r>
      <w:proofErr w:type="spellStart"/>
      <w:r w:rsidR="00E02BA8" w:rsidRPr="00BD7D28">
        <w:rPr>
          <w:rFonts w:ascii="Arial" w:hAnsi="Arial" w:cs="Arial"/>
          <w:i/>
          <w:iCs/>
          <w:sz w:val="22"/>
          <w:szCs w:val="28"/>
        </w:rPr>
        <w:t>intracellulare</w:t>
      </w:r>
      <w:proofErr w:type="spellEnd"/>
      <w:r w:rsidR="00E02BA8" w:rsidRPr="00BD7D28">
        <w:rPr>
          <w:rFonts w:ascii="Arial" w:hAnsi="Arial" w:cs="Arial"/>
          <w:sz w:val="22"/>
          <w:szCs w:val="28"/>
        </w:rPr>
        <w:t xml:space="preserve">; </w:t>
      </w:r>
      <w:r w:rsidR="00442FE3" w:rsidRPr="00BD7D28">
        <w:rPr>
          <w:rFonts w:ascii="Arial" w:hAnsi="Arial" w:cs="Arial"/>
          <w:sz w:val="22"/>
          <w:szCs w:val="28"/>
        </w:rPr>
        <w:t xml:space="preserve">MMF, mycophenolate mofetil; </w:t>
      </w:r>
      <w:proofErr w:type="spellStart"/>
      <w:r w:rsidRPr="00BD7D28">
        <w:rPr>
          <w:rFonts w:ascii="Arial" w:hAnsi="Arial" w:cs="Arial"/>
          <w:sz w:val="22"/>
          <w:szCs w:val="28"/>
        </w:rPr>
        <w:t>mRSS</w:t>
      </w:r>
      <w:proofErr w:type="spellEnd"/>
      <w:r w:rsidRPr="00BD7D28">
        <w:rPr>
          <w:rFonts w:ascii="Arial" w:hAnsi="Arial" w:cs="Arial"/>
          <w:sz w:val="22"/>
          <w:szCs w:val="28"/>
        </w:rPr>
        <w:t xml:space="preserve">, modified </w:t>
      </w:r>
      <w:proofErr w:type="spellStart"/>
      <w:r w:rsidRPr="00BD7D28">
        <w:rPr>
          <w:rFonts w:ascii="Arial" w:hAnsi="Arial" w:cs="Arial"/>
          <w:sz w:val="22"/>
          <w:szCs w:val="28"/>
        </w:rPr>
        <w:t>Rodnan</w:t>
      </w:r>
      <w:proofErr w:type="spellEnd"/>
      <w:r w:rsidRPr="00BD7D28">
        <w:rPr>
          <w:rFonts w:ascii="Arial" w:hAnsi="Arial" w:cs="Arial"/>
          <w:sz w:val="22"/>
          <w:szCs w:val="28"/>
        </w:rPr>
        <w:t xml:space="preserve"> skin score; </w:t>
      </w:r>
      <w:r w:rsidR="00BF78D9" w:rsidRPr="00BD7D28">
        <w:rPr>
          <w:rFonts w:ascii="Arial" w:hAnsi="Arial" w:cs="Arial"/>
          <w:sz w:val="22"/>
          <w:szCs w:val="28"/>
        </w:rPr>
        <w:t xml:space="preserve">NSIP, non-specific interstitial pneumonia; </w:t>
      </w:r>
      <w:r w:rsidRPr="00BD7D28">
        <w:rPr>
          <w:rFonts w:ascii="Arial" w:hAnsi="Arial" w:cs="Arial"/>
          <w:sz w:val="22"/>
          <w:szCs w:val="28"/>
        </w:rPr>
        <w:t xml:space="preserve">NYHA FC, New York Heart Association Functional Classification; </w:t>
      </w:r>
      <w:r w:rsidR="00442FE3" w:rsidRPr="00BD7D28">
        <w:rPr>
          <w:rFonts w:ascii="Arial" w:hAnsi="Arial" w:cs="Arial"/>
          <w:sz w:val="22"/>
          <w:szCs w:val="28"/>
        </w:rPr>
        <w:t xml:space="preserve">PFT, pulmonary function test; </w:t>
      </w:r>
      <w:r w:rsidR="00BF78D9" w:rsidRPr="00BD7D28">
        <w:rPr>
          <w:rFonts w:ascii="Arial" w:hAnsi="Arial" w:cs="Arial"/>
          <w:sz w:val="22"/>
          <w:szCs w:val="28"/>
        </w:rPr>
        <w:t xml:space="preserve">RNP, ribonucleoprotein; </w:t>
      </w:r>
      <w:r w:rsidR="00442FE3" w:rsidRPr="00BD7D28">
        <w:rPr>
          <w:rFonts w:ascii="Arial" w:hAnsi="Arial" w:cs="Arial"/>
          <w:sz w:val="22"/>
          <w:szCs w:val="28"/>
        </w:rPr>
        <w:t>SD, standard deviation</w:t>
      </w:r>
      <w:r w:rsidR="00442FE3" w:rsidRPr="00BD7D28">
        <w:rPr>
          <w:rFonts w:ascii="Arial" w:hAnsi="Arial" w:cs="Arial"/>
          <w:sz w:val="22"/>
        </w:rPr>
        <w:t xml:space="preserve">; </w:t>
      </w:r>
      <w:r w:rsidR="00442FE3" w:rsidRPr="00BD7D28">
        <w:rPr>
          <w:rFonts w:ascii="Arial" w:eastAsia="Times New Roman" w:hAnsi="Arial" w:cs="Arial"/>
          <w:sz w:val="22"/>
        </w:rPr>
        <w:t>SpO</w:t>
      </w:r>
      <w:r w:rsidR="00442FE3" w:rsidRPr="00BD7D28">
        <w:rPr>
          <w:rFonts w:ascii="Arial" w:eastAsia="Times New Roman" w:hAnsi="Arial" w:cs="Arial"/>
          <w:sz w:val="22"/>
          <w:vertAlign w:val="subscript"/>
        </w:rPr>
        <w:t>2</w:t>
      </w:r>
      <w:r w:rsidR="00442FE3" w:rsidRPr="00BD7D28">
        <w:rPr>
          <w:rFonts w:ascii="Arial" w:eastAsia="Times New Roman" w:hAnsi="Arial" w:cs="Arial"/>
          <w:sz w:val="22"/>
        </w:rPr>
        <w:t>,</w:t>
      </w:r>
      <w:r w:rsidR="00BF78D9" w:rsidRPr="00BD7D28">
        <w:rPr>
          <w:rFonts w:ascii="Arial" w:eastAsia="Times New Roman" w:hAnsi="Arial" w:cs="Arial"/>
          <w:sz w:val="22"/>
        </w:rPr>
        <w:t xml:space="preserve"> </w:t>
      </w:r>
      <w:r w:rsidR="00BF78D9" w:rsidRPr="00BD7D28">
        <w:rPr>
          <w:rFonts w:ascii="Arial" w:hAnsi="Arial" w:cs="Arial"/>
          <w:sz w:val="22"/>
        </w:rPr>
        <w:t xml:space="preserve">peripheral capillary oxygen saturation; </w:t>
      </w:r>
      <w:r w:rsidR="00F1181A" w:rsidRPr="00BD7D28">
        <w:rPr>
          <w:rFonts w:ascii="Arial" w:hAnsi="Arial" w:cs="Arial"/>
          <w:sz w:val="22"/>
        </w:rPr>
        <w:t xml:space="preserve">SSc-ILD, systemic sclerosis-associated ILD; </w:t>
      </w:r>
      <w:r w:rsidR="00442FE3" w:rsidRPr="00BD7D28">
        <w:rPr>
          <w:rFonts w:ascii="Arial" w:hAnsi="Arial" w:cs="Arial"/>
          <w:sz w:val="22"/>
          <w:szCs w:val="28"/>
        </w:rPr>
        <w:t>TCZ, tocilizumab; Topo, topoisomerase</w:t>
      </w:r>
      <w:r w:rsidR="00BF78D9" w:rsidRPr="00BD7D28">
        <w:rPr>
          <w:rFonts w:ascii="Arial" w:hAnsi="Arial" w:cs="Arial"/>
          <w:sz w:val="22"/>
          <w:szCs w:val="28"/>
        </w:rPr>
        <w:t>; UIP, usual interstitial pneumonia</w:t>
      </w:r>
      <w:r w:rsidR="00442FE3" w:rsidRPr="00BD7D28">
        <w:rPr>
          <w:rFonts w:ascii="Arial" w:hAnsi="Arial" w:cs="Arial"/>
          <w:sz w:val="22"/>
          <w:szCs w:val="28"/>
        </w:rPr>
        <w:t>.</w:t>
      </w:r>
    </w:p>
    <w:p w14:paraId="55CF43A6" w14:textId="77777777" w:rsidR="006D1CFC" w:rsidRPr="00BD7D28" w:rsidRDefault="006D1CFC">
      <w:pPr>
        <w:spacing w:after="160" w:line="259" w:lineRule="auto"/>
        <w:rPr>
          <w:rFonts w:ascii="Arial" w:hAnsi="Arial" w:cs="Arial"/>
          <w:sz w:val="20"/>
          <w:szCs w:val="24"/>
        </w:rPr>
      </w:pPr>
      <w:r w:rsidRPr="00BD7D28">
        <w:rPr>
          <w:rFonts w:ascii="Arial" w:hAnsi="Arial" w:cs="Arial"/>
          <w:sz w:val="20"/>
          <w:szCs w:val="24"/>
        </w:rPr>
        <w:br w:type="page"/>
      </w:r>
    </w:p>
    <w:p w14:paraId="1998B48D" w14:textId="4BA9AD02" w:rsidR="006D1CFC" w:rsidRPr="00BD7D28" w:rsidRDefault="006D1CFC" w:rsidP="006D1CFC">
      <w:pPr>
        <w:rPr>
          <w:rFonts w:ascii="Arial" w:hAnsi="Arial" w:cs="Arial"/>
          <w:b/>
          <w:bCs/>
          <w:sz w:val="22"/>
        </w:rPr>
      </w:pPr>
      <w:r w:rsidRPr="00BD7D28">
        <w:rPr>
          <w:rFonts w:ascii="Arial" w:hAnsi="Arial" w:cs="Arial"/>
          <w:b/>
          <w:bCs/>
          <w:sz w:val="22"/>
        </w:rPr>
        <w:t xml:space="preserve">Table </w:t>
      </w:r>
      <w:r w:rsidR="00D70CCC">
        <w:rPr>
          <w:rFonts w:ascii="Arial" w:hAnsi="Arial" w:cs="Arial"/>
          <w:b/>
          <w:bCs/>
          <w:sz w:val="22"/>
        </w:rPr>
        <w:t>S</w:t>
      </w:r>
      <w:r w:rsidRPr="00BD7D28">
        <w:rPr>
          <w:rFonts w:ascii="Arial" w:hAnsi="Arial" w:cs="Arial"/>
          <w:b/>
          <w:bCs/>
          <w:sz w:val="22"/>
        </w:rPr>
        <w:t>2. SSc-ILD Delphi Supplemental Questionnaire 2 results</w:t>
      </w:r>
    </w:p>
    <w:p w14:paraId="12534ECE" w14:textId="581A6066" w:rsidR="006D1CFC" w:rsidRPr="00BD7D28" w:rsidRDefault="006D1CFC" w:rsidP="006D1CFC">
      <w:pPr>
        <w:rPr>
          <w:rFonts w:ascii="Arial" w:hAnsi="Arial" w:cs="Arial"/>
          <w:sz w:val="22"/>
        </w:rPr>
      </w:pPr>
      <w:r w:rsidRPr="00BD7D28">
        <w:rPr>
          <w:rFonts w:ascii="Arial" w:hAnsi="Arial" w:cs="Arial"/>
          <w:sz w:val="22"/>
        </w:rPr>
        <w:t xml:space="preserve">This table contains the questions from Supplemental Questionnaire 2, the mean and </w:t>
      </w:r>
      <w:r w:rsidR="00F1181A" w:rsidRPr="00BD7D28">
        <w:rPr>
          <w:rFonts w:ascii="Arial" w:hAnsi="Arial" w:cs="Arial"/>
          <w:sz w:val="22"/>
        </w:rPr>
        <w:t>SD</w:t>
      </w:r>
      <w:r w:rsidRPr="00BD7D28">
        <w:rPr>
          <w:rFonts w:ascii="Arial" w:hAnsi="Arial" w:cs="Arial"/>
          <w:sz w:val="22"/>
        </w:rPr>
        <w:t xml:space="preserve"> of the Likert scale results, and whether consensus was reached or not reached.</w:t>
      </w:r>
    </w:p>
    <w:tbl>
      <w:tblPr>
        <w:tblStyle w:val="TableGrid"/>
        <w:tblW w:w="9493" w:type="dxa"/>
        <w:tblLook w:val="04A0" w:firstRow="1" w:lastRow="0" w:firstColumn="1" w:lastColumn="0" w:noHBand="0" w:noVBand="1"/>
      </w:tblPr>
      <w:tblGrid>
        <w:gridCol w:w="5382"/>
        <w:gridCol w:w="1276"/>
        <w:gridCol w:w="1417"/>
        <w:gridCol w:w="1418"/>
      </w:tblGrid>
      <w:tr w:rsidR="00BD7D28" w:rsidRPr="00BD7D28" w14:paraId="09FC9EFA" w14:textId="5A254B50" w:rsidTr="00C820FB">
        <w:tc>
          <w:tcPr>
            <w:tcW w:w="5382" w:type="dxa"/>
            <w:shd w:val="clear" w:color="auto" w:fill="E7E6E6"/>
            <w:vAlign w:val="center"/>
          </w:tcPr>
          <w:p w14:paraId="54F71E57" w14:textId="66831748" w:rsidR="006D1CFC" w:rsidRPr="00BD7D28" w:rsidRDefault="006D1CFC" w:rsidP="006D1CFC">
            <w:pPr>
              <w:spacing w:line="240" w:lineRule="auto"/>
              <w:rPr>
                <w:rFonts w:ascii="Arial" w:eastAsia="Times New Roman" w:hAnsi="Arial" w:cs="Arial"/>
                <w:b/>
                <w:bCs/>
                <w:sz w:val="22"/>
              </w:rPr>
            </w:pPr>
            <w:r w:rsidRPr="00BD7D28">
              <w:rPr>
                <w:rFonts w:ascii="Arial" w:eastAsia="Times New Roman" w:hAnsi="Arial" w:cs="Arial"/>
                <w:b/>
                <w:bCs/>
                <w:sz w:val="22"/>
              </w:rPr>
              <w:t>Statements</w:t>
            </w:r>
          </w:p>
        </w:tc>
        <w:tc>
          <w:tcPr>
            <w:tcW w:w="1276" w:type="dxa"/>
            <w:shd w:val="clear" w:color="auto" w:fill="E7E6E6"/>
            <w:vAlign w:val="center"/>
          </w:tcPr>
          <w:p w14:paraId="2753E266" w14:textId="64DD378C" w:rsidR="006D1CFC" w:rsidRPr="00BD7D28" w:rsidRDefault="006D1CFC" w:rsidP="006D77F5">
            <w:pPr>
              <w:spacing w:line="240" w:lineRule="auto"/>
              <w:jc w:val="center"/>
              <w:rPr>
                <w:rFonts w:ascii="Arial" w:eastAsia="Times New Roman" w:hAnsi="Arial" w:cs="Arial"/>
                <w:b/>
                <w:bCs/>
                <w:sz w:val="22"/>
              </w:rPr>
            </w:pPr>
            <w:r w:rsidRPr="00BD7D28">
              <w:rPr>
                <w:rFonts w:ascii="Arial" w:eastAsia="Times New Roman" w:hAnsi="Arial" w:cs="Arial"/>
                <w:b/>
                <w:bCs/>
                <w:sz w:val="22"/>
              </w:rPr>
              <w:t>Mean</w:t>
            </w:r>
          </w:p>
        </w:tc>
        <w:tc>
          <w:tcPr>
            <w:tcW w:w="1417" w:type="dxa"/>
            <w:shd w:val="clear" w:color="auto" w:fill="E7E6E6"/>
            <w:vAlign w:val="center"/>
          </w:tcPr>
          <w:p w14:paraId="58212105" w14:textId="36297DF8" w:rsidR="006D1CFC" w:rsidRPr="00BD7D28" w:rsidRDefault="00F1181A" w:rsidP="006D77F5">
            <w:pPr>
              <w:spacing w:line="240" w:lineRule="auto"/>
              <w:jc w:val="center"/>
              <w:rPr>
                <w:rFonts w:ascii="Arial" w:eastAsia="Times New Roman" w:hAnsi="Arial" w:cs="Arial"/>
                <w:b/>
                <w:bCs/>
                <w:sz w:val="22"/>
              </w:rPr>
            </w:pPr>
            <w:r w:rsidRPr="00BD7D28">
              <w:rPr>
                <w:rFonts w:ascii="Arial" w:eastAsia="Times New Roman" w:hAnsi="Arial" w:cs="Arial"/>
                <w:b/>
                <w:bCs/>
                <w:sz w:val="22"/>
              </w:rPr>
              <w:t>SD</w:t>
            </w:r>
          </w:p>
        </w:tc>
        <w:tc>
          <w:tcPr>
            <w:tcW w:w="1418" w:type="dxa"/>
            <w:shd w:val="clear" w:color="auto" w:fill="E7E6E6"/>
            <w:vAlign w:val="center"/>
          </w:tcPr>
          <w:p w14:paraId="63C72017" w14:textId="43CB4A9D" w:rsidR="006D1CFC" w:rsidRPr="00BD7D28" w:rsidRDefault="006D1CFC" w:rsidP="006D77F5">
            <w:pPr>
              <w:spacing w:line="240" w:lineRule="auto"/>
              <w:jc w:val="center"/>
              <w:rPr>
                <w:rFonts w:ascii="Arial" w:eastAsia="Times New Roman" w:hAnsi="Arial" w:cs="Arial"/>
                <w:b/>
                <w:bCs/>
                <w:sz w:val="22"/>
              </w:rPr>
            </w:pPr>
            <w:r w:rsidRPr="00BD7D28">
              <w:rPr>
                <w:rFonts w:ascii="Arial" w:eastAsia="Times New Roman" w:hAnsi="Arial" w:cs="Arial"/>
                <w:b/>
                <w:bCs/>
                <w:sz w:val="22"/>
              </w:rPr>
              <w:t>Consensus</w:t>
            </w:r>
          </w:p>
        </w:tc>
      </w:tr>
      <w:tr w:rsidR="00BD7D28" w:rsidRPr="00BD7D28" w14:paraId="5E8CE3C6" w14:textId="77777777" w:rsidTr="006D1CFC">
        <w:tc>
          <w:tcPr>
            <w:tcW w:w="9493" w:type="dxa"/>
            <w:gridSpan w:val="4"/>
            <w:shd w:val="clear" w:color="auto" w:fill="auto"/>
            <w:vAlign w:val="center"/>
          </w:tcPr>
          <w:p w14:paraId="2700A37E" w14:textId="2CA7DC9F" w:rsidR="006D1CFC" w:rsidRPr="00BD7D28" w:rsidRDefault="006D1CFC" w:rsidP="006D1CFC">
            <w:pPr>
              <w:spacing w:line="240" w:lineRule="auto"/>
              <w:jc w:val="center"/>
              <w:rPr>
                <w:rFonts w:ascii="Arial" w:eastAsia="Times New Roman" w:hAnsi="Arial" w:cs="Arial"/>
                <w:b/>
                <w:bCs/>
                <w:sz w:val="22"/>
              </w:rPr>
            </w:pPr>
            <w:r w:rsidRPr="00BD7D28">
              <w:rPr>
                <w:rFonts w:ascii="Arial" w:eastAsia="Times New Roman" w:hAnsi="Arial" w:cs="Arial"/>
                <w:b/>
                <w:bCs/>
                <w:sz w:val="22"/>
              </w:rPr>
              <w:t>How do you treat?</w:t>
            </w:r>
          </w:p>
        </w:tc>
      </w:tr>
      <w:tr w:rsidR="00BD7D28" w:rsidRPr="00BD7D28" w14:paraId="30E647D0" w14:textId="6926FF00" w:rsidTr="005F3548">
        <w:tc>
          <w:tcPr>
            <w:tcW w:w="9493" w:type="dxa"/>
            <w:gridSpan w:val="4"/>
          </w:tcPr>
          <w:p w14:paraId="18118B61" w14:textId="5B687D53" w:rsidR="006D1CFC" w:rsidRPr="00BD7D28" w:rsidRDefault="006D1CFC" w:rsidP="006D1CFC">
            <w:pPr>
              <w:spacing w:line="240" w:lineRule="auto"/>
              <w:rPr>
                <w:rFonts w:ascii="Arial" w:eastAsia="Calibri" w:hAnsi="Arial" w:cs="Arial"/>
                <w:b/>
                <w:bCs/>
                <w:sz w:val="22"/>
                <w:lang w:val="en-GB"/>
              </w:rPr>
            </w:pPr>
            <w:r w:rsidRPr="00BD7D28">
              <w:rPr>
                <w:rFonts w:ascii="Arial" w:eastAsia="Calibri" w:hAnsi="Arial" w:cs="Arial"/>
                <w:b/>
                <w:bCs/>
                <w:sz w:val="22"/>
                <w:lang w:val="en-GB"/>
              </w:rPr>
              <w:t>Use of antifibrotic drugs</w:t>
            </w:r>
          </w:p>
        </w:tc>
      </w:tr>
      <w:tr w:rsidR="00BD7D28" w:rsidRPr="00BD7D28" w14:paraId="1DB2E7A4" w14:textId="741CBCAF" w:rsidTr="006D1CFC">
        <w:tc>
          <w:tcPr>
            <w:tcW w:w="5382" w:type="dxa"/>
          </w:tcPr>
          <w:p w14:paraId="0D5DD127" w14:textId="77777777" w:rsidR="006D1CFC" w:rsidRPr="00BD7D28" w:rsidRDefault="006D1CFC" w:rsidP="006D1CFC">
            <w:pPr>
              <w:spacing w:line="240" w:lineRule="auto"/>
              <w:rPr>
                <w:rFonts w:ascii="Arial" w:eastAsia="Calibri" w:hAnsi="Arial" w:cs="Arial"/>
                <w:sz w:val="22"/>
                <w:lang w:val="en-GB"/>
              </w:rPr>
            </w:pPr>
            <w:r w:rsidRPr="00BD7D28">
              <w:rPr>
                <w:rFonts w:ascii="Arial" w:eastAsia="Calibri" w:hAnsi="Arial" w:cs="Arial"/>
                <w:sz w:val="22"/>
                <w:lang w:val="en-GB"/>
              </w:rPr>
              <w:t>I see antifibrotic drugs fitting into the management of SSc-ILD after CYC/MMF</w:t>
            </w:r>
          </w:p>
        </w:tc>
        <w:tc>
          <w:tcPr>
            <w:tcW w:w="1276" w:type="dxa"/>
            <w:shd w:val="clear" w:color="auto" w:fill="auto"/>
            <w:vAlign w:val="center"/>
          </w:tcPr>
          <w:p w14:paraId="632D8FCB"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3.91</w:t>
            </w:r>
          </w:p>
        </w:tc>
        <w:tc>
          <w:tcPr>
            <w:tcW w:w="1417" w:type="dxa"/>
            <w:shd w:val="clear" w:color="auto" w:fill="auto"/>
            <w:vAlign w:val="center"/>
          </w:tcPr>
          <w:p w14:paraId="65F25BA6"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0.61</w:t>
            </w:r>
          </w:p>
        </w:tc>
        <w:tc>
          <w:tcPr>
            <w:tcW w:w="1418" w:type="dxa"/>
            <w:shd w:val="clear" w:color="auto" w:fill="auto"/>
            <w:vAlign w:val="center"/>
          </w:tcPr>
          <w:p w14:paraId="0D7F8B79" w14:textId="17CA7A92"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070ED017" w14:textId="71166B35" w:rsidTr="006D1CFC">
        <w:tc>
          <w:tcPr>
            <w:tcW w:w="5382" w:type="dxa"/>
          </w:tcPr>
          <w:p w14:paraId="736D4D7A" w14:textId="77777777" w:rsidR="006D1CFC" w:rsidRPr="00BD7D28" w:rsidRDefault="006D1CFC" w:rsidP="006D1CFC">
            <w:pPr>
              <w:spacing w:line="240" w:lineRule="auto"/>
              <w:rPr>
                <w:rFonts w:ascii="Arial" w:eastAsia="Calibri" w:hAnsi="Arial" w:cs="Arial"/>
                <w:sz w:val="22"/>
                <w:lang w:val="en-GB"/>
              </w:rPr>
            </w:pPr>
            <w:r w:rsidRPr="00BD7D28">
              <w:rPr>
                <w:rFonts w:ascii="Arial" w:eastAsia="Calibri" w:hAnsi="Arial" w:cs="Arial"/>
                <w:sz w:val="22"/>
                <w:lang w:val="en-GB"/>
              </w:rPr>
              <w:t>I see antifibrotic drugs fitting into the management of SSc-ILD concomitant to CYC/MMF</w:t>
            </w:r>
          </w:p>
        </w:tc>
        <w:tc>
          <w:tcPr>
            <w:tcW w:w="1276" w:type="dxa"/>
            <w:shd w:val="clear" w:color="auto" w:fill="auto"/>
            <w:vAlign w:val="center"/>
          </w:tcPr>
          <w:p w14:paraId="4342256D"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3.00</w:t>
            </w:r>
          </w:p>
        </w:tc>
        <w:tc>
          <w:tcPr>
            <w:tcW w:w="1417" w:type="dxa"/>
            <w:shd w:val="clear" w:color="auto" w:fill="auto"/>
            <w:vAlign w:val="center"/>
          </w:tcPr>
          <w:p w14:paraId="5BA293D9"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1.07</w:t>
            </w:r>
          </w:p>
        </w:tc>
        <w:tc>
          <w:tcPr>
            <w:tcW w:w="1418" w:type="dxa"/>
            <w:shd w:val="clear" w:color="auto" w:fill="auto"/>
            <w:vAlign w:val="center"/>
          </w:tcPr>
          <w:p w14:paraId="041BD0AF" w14:textId="0AF000CE"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19C0D47D" w14:textId="3A2189F0" w:rsidTr="006D1CFC">
        <w:tc>
          <w:tcPr>
            <w:tcW w:w="5382" w:type="dxa"/>
          </w:tcPr>
          <w:p w14:paraId="5E51B72E" w14:textId="77777777" w:rsidR="006D1CFC" w:rsidRPr="00BD7D28" w:rsidRDefault="006D1CFC" w:rsidP="006D1CFC">
            <w:pPr>
              <w:spacing w:line="240" w:lineRule="auto"/>
              <w:rPr>
                <w:rFonts w:ascii="Arial" w:eastAsia="Calibri" w:hAnsi="Arial" w:cs="Arial"/>
                <w:sz w:val="22"/>
                <w:lang w:val="en-GB"/>
              </w:rPr>
            </w:pPr>
            <w:r w:rsidRPr="00BD7D28">
              <w:rPr>
                <w:rFonts w:ascii="Arial" w:eastAsia="Calibri" w:hAnsi="Arial" w:cs="Arial"/>
                <w:sz w:val="22"/>
                <w:lang w:val="en-GB"/>
              </w:rPr>
              <w:t>I see antifibrotic drugs fitting into the management of SSc-ILD after TCZ</w:t>
            </w:r>
          </w:p>
        </w:tc>
        <w:tc>
          <w:tcPr>
            <w:tcW w:w="1276" w:type="dxa"/>
            <w:shd w:val="clear" w:color="auto" w:fill="auto"/>
            <w:vAlign w:val="center"/>
          </w:tcPr>
          <w:p w14:paraId="7FED3BB8"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2.00</w:t>
            </w:r>
          </w:p>
        </w:tc>
        <w:tc>
          <w:tcPr>
            <w:tcW w:w="1417" w:type="dxa"/>
            <w:shd w:val="clear" w:color="auto" w:fill="auto"/>
            <w:vAlign w:val="center"/>
          </w:tcPr>
          <w:p w14:paraId="4B190425"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2.07</w:t>
            </w:r>
          </w:p>
        </w:tc>
        <w:tc>
          <w:tcPr>
            <w:tcW w:w="1418" w:type="dxa"/>
            <w:shd w:val="clear" w:color="auto" w:fill="auto"/>
            <w:vAlign w:val="center"/>
          </w:tcPr>
          <w:p w14:paraId="33B59727" w14:textId="39A3E63E"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22FBD2DE" w14:textId="58747A46" w:rsidTr="006D1CFC">
        <w:tc>
          <w:tcPr>
            <w:tcW w:w="5382" w:type="dxa"/>
          </w:tcPr>
          <w:p w14:paraId="15A4791C" w14:textId="77777777" w:rsidR="006D1CFC" w:rsidRPr="00BD7D28" w:rsidRDefault="006D1CFC" w:rsidP="006D1CFC">
            <w:pPr>
              <w:spacing w:line="240" w:lineRule="auto"/>
              <w:rPr>
                <w:rFonts w:ascii="Arial" w:eastAsia="Calibri" w:hAnsi="Arial" w:cs="Arial"/>
                <w:sz w:val="22"/>
                <w:lang w:val="en-GB"/>
              </w:rPr>
            </w:pPr>
            <w:r w:rsidRPr="00BD7D28">
              <w:rPr>
                <w:rFonts w:ascii="Arial" w:eastAsia="Calibri" w:hAnsi="Arial" w:cs="Arial"/>
                <w:sz w:val="22"/>
                <w:lang w:val="en-GB"/>
              </w:rPr>
              <w:t>I see antifibrotic drugs fitting into the management of SSc-ILD concomitant to TCZ</w:t>
            </w:r>
          </w:p>
        </w:tc>
        <w:tc>
          <w:tcPr>
            <w:tcW w:w="1276" w:type="dxa"/>
            <w:shd w:val="clear" w:color="auto" w:fill="auto"/>
            <w:vAlign w:val="center"/>
          </w:tcPr>
          <w:p w14:paraId="61C6D567"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0.68</w:t>
            </w:r>
          </w:p>
        </w:tc>
        <w:tc>
          <w:tcPr>
            <w:tcW w:w="1417" w:type="dxa"/>
            <w:shd w:val="clear" w:color="auto" w:fill="auto"/>
            <w:vAlign w:val="center"/>
          </w:tcPr>
          <w:p w14:paraId="23F5AD08"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2.36</w:t>
            </w:r>
          </w:p>
        </w:tc>
        <w:tc>
          <w:tcPr>
            <w:tcW w:w="1418" w:type="dxa"/>
            <w:shd w:val="clear" w:color="auto" w:fill="auto"/>
            <w:vAlign w:val="center"/>
          </w:tcPr>
          <w:p w14:paraId="0783B7BC" w14:textId="4D5B75F9"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0276B7A6" w14:textId="632C54C7" w:rsidTr="006D1CFC">
        <w:tc>
          <w:tcPr>
            <w:tcW w:w="5382" w:type="dxa"/>
          </w:tcPr>
          <w:p w14:paraId="31D542A6" w14:textId="77777777" w:rsidR="006D1CFC" w:rsidRPr="00BD7D28" w:rsidRDefault="006D1CFC" w:rsidP="006D1CFC">
            <w:pPr>
              <w:spacing w:line="240" w:lineRule="auto"/>
              <w:rPr>
                <w:rFonts w:ascii="Arial" w:eastAsia="Calibri" w:hAnsi="Arial" w:cs="Arial"/>
                <w:sz w:val="22"/>
                <w:lang w:val="en-GB"/>
              </w:rPr>
            </w:pPr>
            <w:r w:rsidRPr="00BD7D28">
              <w:rPr>
                <w:rFonts w:ascii="Arial" w:eastAsia="Calibri" w:hAnsi="Arial" w:cs="Arial"/>
                <w:sz w:val="22"/>
                <w:lang w:val="en-GB"/>
              </w:rPr>
              <w:t>I see antifibrotic drugs fitting into the management of SSc-ILD before TCZ</w:t>
            </w:r>
          </w:p>
        </w:tc>
        <w:tc>
          <w:tcPr>
            <w:tcW w:w="1276" w:type="dxa"/>
            <w:shd w:val="clear" w:color="auto" w:fill="auto"/>
            <w:vAlign w:val="center"/>
          </w:tcPr>
          <w:p w14:paraId="5D6AB664"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0.27</w:t>
            </w:r>
          </w:p>
        </w:tc>
        <w:tc>
          <w:tcPr>
            <w:tcW w:w="1417" w:type="dxa"/>
            <w:shd w:val="clear" w:color="auto" w:fill="auto"/>
            <w:vAlign w:val="center"/>
          </w:tcPr>
          <w:p w14:paraId="61E3FD3B"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2.49</w:t>
            </w:r>
          </w:p>
        </w:tc>
        <w:tc>
          <w:tcPr>
            <w:tcW w:w="1418" w:type="dxa"/>
            <w:shd w:val="clear" w:color="auto" w:fill="auto"/>
            <w:vAlign w:val="center"/>
          </w:tcPr>
          <w:p w14:paraId="36BD39F3" w14:textId="7AEB7DB8"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00B6ACCB" w14:textId="1464E916" w:rsidTr="006D1CFC">
        <w:tc>
          <w:tcPr>
            <w:tcW w:w="5382" w:type="dxa"/>
          </w:tcPr>
          <w:p w14:paraId="1F700E68" w14:textId="77777777" w:rsidR="006D1CFC" w:rsidRPr="00BD7D28" w:rsidRDefault="006D1CFC" w:rsidP="006D1CFC">
            <w:pPr>
              <w:spacing w:line="240" w:lineRule="auto"/>
              <w:rPr>
                <w:rFonts w:ascii="Arial" w:eastAsia="Calibri" w:hAnsi="Arial" w:cs="Arial"/>
                <w:sz w:val="22"/>
                <w:lang w:val="en-GB"/>
              </w:rPr>
            </w:pPr>
            <w:r w:rsidRPr="00BD7D28">
              <w:rPr>
                <w:rFonts w:ascii="Arial" w:eastAsia="Calibri" w:hAnsi="Arial" w:cs="Arial"/>
                <w:sz w:val="22"/>
                <w:lang w:val="en-GB"/>
              </w:rPr>
              <w:t>I see antifibrotic drugs fitting into the management of SSc-ILD as determined based on decline in lung function and/or HRCT</w:t>
            </w:r>
          </w:p>
        </w:tc>
        <w:tc>
          <w:tcPr>
            <w:tcW w:w="1276" w:type="dxa"/>
            <w:shd w:val="clear" w:color="auto" w:fill="auto"/>
            <w:vAlign w:val="center"/>
          </w:tcPr>
          <w:p w14:paraId="28E580FB"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3.82</w:t>
            </w:r>
          </w:p>
        </w:tc>
        <w:tc>
          <w:tcPr>
            <w:tcW w:w="1417" w:type="dxa"/>
            <w:shd w:val="clear" w:color="auto" w:fill="auto"/>
            <w:vAlign w:val="center"/>
          </w:tcPr>
          <w:p w14:paraId="0791D575"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0.91</w:t>
            </w:r>
          </w:p>
        </w:tc>
        <w:tc>
          <w:tcPr>
            <w:tcW w:w="1418" w:type="dxa"/>
            <w:shd w:val="clear" w:color="auto" w:fill="auto"/>
            <w:vAlign w:val="center"/>
          </w:tcPr>
          <w:p w14:paraId="7E4EA13E" w14:textId="7C8751CE"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4BBFA38F" w14:textId="298CC6D4" w:rsidTr="006D1CFC">
        <w:tc>
          <w:tcPr>
            <w:tcW w:w="5382" w:type="dxa"/>
          </w:tcPr>
          <w:p w14:paraId="7B0F9F90" w14:textId="77777777" w:rsidR="006D1CFC" w:rsidRPr="00BD7D28" w:rsidRDefault="006D1CFC" w:rsidP="006D1CFC">
            <w:pPr>
              <w:spacing w:line="240" w:lineRule="auto"/>
              <w:rPr>
                <w:rFonts w:ascii="Arial" w:eastAsia="Calibri" w:hAnsi="Arial" w:cs="Arial"/>
                <w:sz w:val="22"/>
                <w:lang w:val="en-GB"/>
              </w:rPr>
            </w:pPr>
            <w:r w:rsidRPr="00BD7D28">
              <w:rPr>
                <w:rFonts w:ascii="Arial" w:eastAsia="Calibri" w:hAnsi="Arial" w:cs="Arial"/>
                <w:sz w:val="22"/>
                <w:lang w:val="en-GB"/>
              </w:rPr>
              <w:t>I do not see antifibrotic drugs fitting into the management of SSc-ILD</w:t>
            </w:r>
          </w:p>
        </w:tc>
        <w:tc>
          <w:tcPr>
            <w:tcW w:w="1276" w:type="dxa"/>
            <w:shd w:val="clear" w:color="auto" w:fill="auto"/>
            <w:vAlign w:val="center"/>
          </w:tcPr>
          <w:p w14:paraId="216963E2"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-4.68</w:t>
            </w:r>
          </w:p>
        </w:tc>
        <w:tc>
          <w:tcPr>
            <w:tcW w:w="1417" w:type="dxa"/>
            <w:shd w:val="clear" w:color="auto" w:fill="auto"/>
            <w:vAlign w:val="center"/>
          </w:tcPr>
          <w:p w14:paraId="63298AD3"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0.57</w:t>
            </w:r>
          </w:p>
        </w:tc>
        <w:tc>
          <w:tcPr>
            <w:tcW w:w="1418" w:type="dxa"/>
            <w:shd w:val="clear" w:color="auto" w:fill="auto"/>
            <w:vAlign w:val="center"/>
          </w:tcPr>
          <w:p w14:paraId="18B47DDF" w14:textId="1853239A"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Against</w:t>
            </w:r>
          </w:p>
        </w:tc>
      </w:tr>
      <w:tr w:rsidR="00BD7D28" w:rsidRPr="00BD7D28" w14:paraId="0FAFED37" w14:textId="5F4D9918" w:rsidTr="006D1CFC">
        <w:trPr>
          <w:trHeight w:val="333"/>
        </w:trPr>
        <w:tc>
          <w:tcPr>
            <w:tcW w:w="9493" w:type="dxa"/>
            <w:gridSpan w:val="4"/>
            <w:vAlign w:val="center"/>
          </w:tcPr>
          <w:p w14:paraId="3EF719B1" w14:textId="266A8BEB" w:rsidR="006D1CFC" w:rsidRPr="00BD7D28" w:rsidRDefault="006D1CFC" w:rsidP="006D1CFC">
            <w:pPr>
              <w:spacing w:line="240" w:lineRule="auto"/>
              <w:rPr>
                <w:rFonts w:ascii="Arial" w:eastAsia="Calibri" w:hAnsi="Arial" w:cs="Arial"/>
                <w:b/>
                <w:bCs/>
                <w:sz w:val="22"/>
                <w:lang w:val="en-GB"/>
              </w:rPr>
            </w:pPr>
            <w:r w:rsidRPr="00BD7D28">
              <w:rPr>
                <w:rFonts w:ascii="Arial" w:eastAsia="Calibri" w:hAnsi="Arial" w:cs="Arial"/>
                <w:b/>
                <w:bCs/>
                <w:sz w:val="22"/>
                <w:lang w:val="en-GB"/>
              </w:rPr>
              <w:t>Use of nintedanib</w:t>
            </w:r>
          </w:p>
        </w:tc>
      </w:tr>
      <w:tr w:rsidR="00BD7D28" w:rsidRPr="00BD7D28" w14:paraId="37A19AF2" w14:textId="28A16B53" w:rsidTr="006D1CFC">
        <w:trPr>
          <w:trHeight w:val="351"/>
        </w:trPr>
        <w:tc>
          <w:tcPr>
            <w:tcW w:w="9493" w:type="dxa"/>
            <w:gridSpan w:val="4"/>
            <w:vAlign w:val="center"/>
          </w:tcPr>
          <w:p w14:paraId="539F28B1" w14:textId="1A6D8AF7" w:rsidR="006D1CFC" w:rsidRPr="00BD7D28" w:rsidRDefault="006D1CFC" w:rsidP="006D1CFC">
            <w:pPr>
              <w:spacing w:line="240" w:lineRule="auto"/>
              <w:rPr>
                <w:rFonts w:ascii="Arial" w:eastAsia="Calibri" w:hAnsi="Arial" w:cs="Arial"/>
                <w:b/>
                <w:bCs/>
                <w:sz w:val="22"/>
                <w:lang w:val="en-GB"/>
              </w:rPr>
            </w:pPr>
            <w:r w:rsidRPr="00BD7D28">
              <w:rPr>
                <w:rFonts w:ascii="Arial" w:eastAsia="Calibri" w:hAnsi="Arial" w:cs="Arial"/>
                <w:b/>
                <w:bCs/>
                <w:sz w:val="22"/>
                <w:lang w:val="en-GB"/>
              </w:rPr>
              <w:t>I would use nintedanib for treating patients with SSc-ILD under the following clinical conditions:</w:t>
            </w:r>
          </w:p>
        </w:tc>
      </w:tr>
      <w:tr w:rsidR="00BD7D28" w:rsidRPr="00BD7D28" w14:paraId="1C67EC4A" w14:textId="1BE8EA77" w:rsidTr="006D1CFC">
        <w:tc>
          <w:tcPr>
            <w:tcW w:w="5382" w:type="dxa"/>
          </w:tcPr>
          <w:p w14:paraId="4DC20D81" w14:textId="77777777" w:rsidR="006D1CFC" w:rsidRPr="00BD7D28" w:rsidRDefault="006D1CFC" w:rsidP="006D1CFC">
            <w:pPr>
              <w:spacing w:line="240" w:lineRule="auto"/>
              <w:rPr>
                <w:rFonts w:ascii="Arial" w:eastAsia="Calibri" w:hAnsi="Arial" w:cs="Arial"/>
                <w:sz w:val="22"/>
                <w:lang w:val="en-GB"/>
              </w:rPr>
            </w:pPr>
            <w:r w:rsidRPr="00BD7D28">
              <w:rPr>
                <w:rFonts w:ascii="Arial" w:eastAsia="Calibri" w:hAnsi="Arial" w:cs="Arial"/>
                <w:sz w:val="22"/>
                <w:lang w:val="en-GB"/>
              </w:rPr>
              <w:t>Patients with progressive fibrotic ILD despite immunosuppressive therapy (MMF/CYC/TCZ)</w:t>
            </w:r>
          </w:p>
        </w:tc>
        <w:tc>
          <w:tcPr>
            <w:tcW w:w="1276" w:type="dxa"/>
            <w:shd w:val="clear" w:color="auto" w:fill="auto"/>
            <w:vAlign w:val="center"/>
          </w:tcPr>
          <w:p w14:paraId="288CF4AB"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4.55</w:t>
            </w:r>
          </w:p>
        </w:tc>
        <w:tc>
          <w:tcPr>
            <w:tcW w:w="1417" w:type="dxa"/>
            <w:shd w:val="clear" w:color="auto" w:fill="auto"/>
            <w:vAlign w:val="center"/>
          </w:tcPr>
          <w:p w14:paraId="4292FFB0"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0.80</w:t>
            </w:r>
          </w:p>
        </w:tc>
        <w:tc>
          <w:tcPr>
            <w:tcW w:w="1418" w:type="dxa"/>
            <w:shd w:val="clear" w:color="auto" w:fill="auto"/>
            <w:vAlign w:val="center"/>
          </w:tcPr>
          <w:p w14:paraId="51779ABD" w14:textId="30564B9B"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1B61C38C" w14:textId="747837BF" w:rsidTr="006D1CFC">
        <w:tc>
          <w:tcPr>
            <w:tcW w:w="5382" w:type="dxa"/>
          </w:tcPr>
          <w:p w14:paraId="59E09531" w14:textId="77777777" w:rsidR="006D1CFC" w:rsidRPr="00BD7D28" w:rsidRDefault="006D1CFC" w:rsidP="006D1CFC">
            <w:pPr>
              <w:spacing w:line="240" w:lineRule="auto"/>
              <w:rPr>
                <w:rFonts w:ascii="Arial" w:eastAsia="Calibri" w:hAnsi="Arial" w:cs="Arial"/>
                <w:sz w:val="22"/>
                <w:lang w:val="en-GB"/>
              </w:rPr>
            </w:pPr>
            <w:r w:rsidRPr="00BD7D28">
              <w:rPr>
                <w:rFonts w:ascii="Arial" w:eastAsia="Calibri" w:hAnsi="Arial" w:cs="Arial"/>
                <w:sz w:val="22"/>
                <w:lang w:val="en-GB"/>
              </w:rPr>
              <w:t>Patients with progressive fibrotic ILD in combination with MMF/CYC/TCZ</w:t>
            </w:r>
          </w:p>
        </w:tc>
        <w:tc>
          <w:tcPr>
            <w:tcW w:w="1276" w:type="dxa"/>
            <w:shd w:val="clear" w:color="auto" w:fill="auto"/>
            <w:vAlign w:val="center"/>
          </w:tcPr>
          <w:p w14:paraId="17C86F7D"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4.23</w:t>
            </w:r>
          </w:p>
        </w:tc>
        <w:tc>
          <w:tcPr>
            <w:tcW w:w="1417" w:type="dxa"/>
            <w:shd w:val="clear" w:color="auto" w:fill="auto"/>
            <w:vAlign w:val="center"/>
          </w:tcPr>
          <w:p w14:paraId="7F69DD75"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0.87</w:t>
            </w:r>
          </w:p>
        </w:tc>
        <w:tc>
          <w:tcPr>
            <w:tcW w:w="1418" w:type="dxa"/>
            <w:shd w:val="clear" w:color="auto" w:fill="auto"/>
            <w:vAlign w:val="center"/>
          </w:tcPr>
          <w:p w14:paraId="42FF9A97" w14:textId="1CBF2E6A"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0189F623" w14:textId="62DA649A" w:rsidTr="006D1CFC">
        <w:tc>
          <w:tcPr>
            <w:tcW w:w="5382" w:type="dxa"/>
          </w:tcPr>
          <w:p w14:paraId="10979705" w14:textId="77777777" w:rsidR="006D1CFC" w:rsidRPr="00BD7D28" w:rsidRDefault="006D1CFC" w:rsidP="006D1CFC">
            <w:pPr>
              <w:spacing w:line="240" w:lineRule="auto"/>
              <w:rPr>
                <w:rFonts w:ascii="Arial" w:eastAsia="Calibri" w:hAnsi="Arial" w:cs="Arial"/>
                <w:sz w:val="22"/>
                <w:lang w:val="en-GB"/>
              </w:rPr>
            </w:pPr>
            <w:r w:rsidRPr="00BD7D28">
              <w:rPr>
                <w:rFonts w:ascii="Arial" w:eastAsia="Calibri" w:hAnsi="Arial" w:cs="Arial"/>
                <w:sz w:val="22"/>
                <w:lang w:val="en-GB"/>
              </w:rPr>
              <w:t>Patients who have contraindications to or are unable to tolerate immunosuppression (MMF/CYC/TCZ)</w:t>
            </w:r>
          </w:p>
        </w:tc>
        <w:tc>
          <w:tcPr>
            <w:tcW w:w="1276" w:type="dxa"/>
            <w:shd w:val="clear" w:color="auto" w:fill="auto"/>
            <w:vAlign w:val="center"/>
          </w:tcPr>
          <w:p w14:paraId="22896765"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4.32</w:t>
            </w:r>
          </w:p>
        </w:tc>
        <w:tc>
          <w:tcPr>
            <w:tcW w:w="1417" w:type="dxa"/>
            <w:shd w:val="clear" w:color="auto" w:fill="auto"/>
            <w:vAlign w:val="center"/>
          </w:tcPr>
          <w:p w14:paraId="0C505999"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0.65</w:t>
            </w:r>
          </w:p>
        </w:tc>
        <w:tc>
          <w:tcPr>
            <w:tcW w:w="1418" w:type="dxa"/>
            <w:shd w:val="clear" w:color="auto" w:fill="auto"/>
            <w:vAlign w:val="center"/>
          </w:tcPr>
          <w:p w14:paraId="6F52484D" w14:textId="6D644B15"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1DB04D77" w14:textId="42ACA271" w:rsidTr="006D1CFC">
        <w:tc>
          <w:tcPr>
            <w:tcW w:w="5382" w:type="dxa"/>
          </w:tcPr>
          <w:p w14:paraId="24B44EFE" w14:textId="77777777" w:rsidR="006D1CFC" w:rsidRPr="00BD7D28" w:rsidRDefault="006D1CFC" w:rsidP="006D1CFC">
            <w:pPr>
              <w:spacing w:line="240" w:lineRule="auto"/>
              <w:rPr>
                <w:rFonts w:ascii="Arial" w:eastAsia="Calibri" w:hAnsi="Arial" w:cs="Arial"/>
                <w:sz w:val="22"/>
                <w:lang w:val="en-GB"/>
              </w:rPr>
            </w:pPr>
            <w:r w:rsidRPr="00BD7D28">
              <w:rPr>
                <w:rFonts w:ascii="Arial" w:eastAsia="Calibri" w:hAnsi="Arial" w:cs="Arial"/>
                <w:sz w:val="22"/>
                <w:lang w:val="en-GB"/>
              </w:rPr>
              <w:t>In combination with immunosuppressive agents (MMF/CYC/TCZ) for patients with aggressive ILD, advanced disease at initial presentation, or significant disease progression</w:t>
            </w:r>
          </w:p>
        </w:tc>
        <w:tc>
          <w:tcPr>
            <w:tcW w:w="1276" w:type="dxa"/>
            <w:shd w:val="clear" w:color="auto" w:fill="auto"/>
            <w:vAlign w:val="center"/>
          </w:tcPr>
          <w:p w14:paraId="34473B8B"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3.95</w:t>
            </w:r>
          </w:p>
        </w:tc>
        <w:tc>
          <w:tcPr>
            <w:tcW w:w="1417" w:type="dxa"/>
            <w:shd w:val="clear" w:color="auto" w:fill="auto"/>
            <w:vAlign w:val="center"/>
          </w:tcPr>
          <w:p w14:paraId="2BC41D99"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0.84</w:t>
            </w:r>
          </w:p>
        </w:tc>
        <w:tc>
          <w:tcPr>
            <w:tcW w:w="1418" w:type="dxa"/>
            <w:shd w:val="clear" w:color="auto" w:fill="auto"/>
            <w:vAlign w:val="center"/>
          </w:tcPr>
          <w:p w14:paraId="73E09540" w14:textId="3BA155C5"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2B502FD5" w14:textId="09CAAE0A" w:rsidTr="006D1CFC">
        <w:tc>
          <w:tcPr>
            <w:tcW w:w="5382" w:type="dxa"/>
          </w:tcPr>
          <w:p w14:paraId="0F988605" w14:textId="77777777" w:rsidR="006D1CFC" w:rsidRPr="00BD7D28" w:rsidRDefault="006D1CFC" w:rsidP="006D1CFC">
            <w:pPr>
              <w:spacing w:line="240" w:lineRule="auto"/>
              <w:rPr>
                <w:rFonts w:ascii="Arial" w:eastAsia="Calibri" w:hAnsi="Arial" w:cs="Arial"/>
                <w:sz w:val="22"/>
                <w:lang w:val="en-GB"/>
              </w:rPr>
            </w:pPr>
            <w:r w:rsidRPr="00BD7D28">
              <w:rPr>
                <w:rFonts w:ascii="Arial" w:eastAsia="Calibri" w:hAnsi="Arial" w:cs="Arial"/>
                <w:sz w:val="22"/>
                <w:lang w:val="en-GB"/>
              </w:rPr>
              <w:t>Any patient with CTD with clinically significant or worsening ILD</w:t>
            </w:r>
          </w:p>
        </w:tc>
        <w:tc>
          <w:tcPr>
            <w:tcW w:w="1276" w:type="dxa"/>
            <w:shd w:val="clear" w:color="auto" w:fill="auto"/>
            <w:vAlign w:val="center"/>
          </w:tcPr>
          <w:p w14:paraId="695A16FD"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2.14</w:t>
            </w:r>
          </w:p>
        </w:tc>
        <w:tc>
          <w:tcPr>
            <w:tcW w:w="1417" w:type="dxa"/>
            <w:shd w:val="clear" w:color="auto" w:fill="auto"/>
            <w:vAlign w:val="center"/>
          </w:tcPr>
          <w:p w14:paraId="4030CDB3"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1.75</w:t>
            </w:r>
          </w:p>
        </w:tc>
        <w:tc>
          <w:tcPr>
            <w:tcW w:w="1418" w:type="dxa"/>
            <w:shd w:val="clear" w:color="auto" w:fill="auto"/>
            <w:vAlign w:val="center"/>
          </w:tcPr>
          <w:p w14:paraId="3F837DCA" w14:textId="744B76C8"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284F6F05" w14:textId="327D8527" w:rsidTr="006D1CFC">
        <w:tc>
          <w:tcPr>
            <w:tcW w:w="5382" w:type="dxa"/>
          </w:tcPr>
          <w:p w14:paraId="3E47D61F" w14:textId="66DD57F9" w:rsidR="006D1CFC" w:rsidRPr="00BD7D28" w:rsidRDefault="006D1CFC" w:rsidP="006D1CFC">
            <w:pPr>
              <w:spacing w:line="240" w:lineRule="auto"/>
              <w:rPr>
                <w:rFonts w:ascii="Arial" w:eastAsia="Calibri" w:hAnsi="Arial" w:cs="Arial"/>
                <w:sz w:val="22"/>
                <w:lang w:val="en-GB"/>
              </w:rPr>
            </w:pPr>
            <w:r w:rsidRPr="00BD7D28">
              <w:rPr>
                <w:rFonts w:ascii="Arial" w:eastAsia="Calibri" w:hAnsi="Arial" w:cs="Arial"/>
                <w:sz w:val="22"/>
                <w:lang w:val="en-GB"/>
              </w:rPr>
              <w:t xml:space="preserve">Based on lack of effective response or improvement with immunosuppressive agents (MMF/CYC/TCZ) as defined by </w:t>
            </w:r>
            <w:r w:rsidR="00B811AE" w:rsidRPr="00BD7D28">
              <w:rPr>
                <w:rFonts w:ascii="Arial" w:eastAsia="Calibri" w:hAnsi="Arial" w:cs="Arial"/>
                <w:sz w:val="22"/>
                <w:lang w:val="en-GB"/>
              </w:rPr>
              <w:t>l</w:t>
            </w:r>
            <w:r w:rsidRPr="00BD7D28">
              <w:rPr>
                <w:rFonts w:ascii="Arial" w:eastAsia="Calibri" w:hAnsi="Arial" w:cs="Arial"/>
                <w:sz w:val="22"/>
                <w:lang w:val="en-GB"/>
              </w:rPr>
              <w:t>ack of symptom improvement</w:t>
            </w:r>
          </w:p>
        </w:tc>
        <w:tc>
          <w:tcPr>
            <w:tcW w:w="1276" w:type="dxa"/>
            <w:vAlign w:val="center"/>
          </w:tcPr>
          <w:p w14:paraId="64EE31A3"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2.05</w:t>
            </w:r>
          </w:p>
        </w:tc>
        <w:tc>
          <w:tcPr>
            <w:tcW w:w="1417" w:type="dxa"/>
            <w:vAlign w:val="center"/>
          </w:tcPr>
          <w:p w14:paraId="20F313E8"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0.95</w:t>
            </w:r>
          </w:p>
        </w:tc>
        <w:tc>
          <w:tcPr>
            <w:tcW w:w="1418" w:type="dxa"/>
            <w:vAlign w:val="center"/>
          </w:tcPr>
          <w:p w14:paraId="1469E9AF" w14:textId="0E18DAD5"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7FD74826" w14:textId="3E36A11C" w:rsidTr="006D1CFC">
        <w:tc>
          <w:tcPr>
            <w:tcW w:w="5382" w:type="dxa"/>
          </w:tcPr>
          <w:p w14:paraId="0A62CE17" w14:textId="072CA848" w:rsidR="006D1CFC" w:rsidRPr="00BD7D28" w:rsidRDefault="006D1CFC" w:rsidP="006D1CFC">
            <w:pPr>
              <w:spacing w:line="240" w:lineRule="auto"/>
              <w:rPr>
                <w:rFonts w:ascii="Arial" w:eastAsia="Calibri" w:hAnsi="Arial" w:cs="Arial"/>
                <w:sz w:val="22"/>
                <w:lang w:val="en-GB"/>
              </w:rPr>
            </w:pPr>
            <w:r w:rsidRPr="00BD7D28">
              <w:rPr>
                <w:rFonts w:ascii="Arial" w:eastAsia="Calibri" w:hAnsi="Arial" w:cs="Arial"/>
                <w:sz w:val="22"/>
                <w:lang w:val="en-GB"/>
              </w:rPr>
              <w:t xml:space="preserve">Based on lack of effective response or improvement with immunosuppressive agents (MMF/CYC/TCZ) as defined by </w:t>
            </w:r>
            <w:r w:rsidR="00B811AE" w:rsidRPr="00BD7D28">
              <w:rPr>
                <w:rFonts w:ascii="Arial" w:eastAsia="Calibri" w:hAnsi="Arial" w:cs="Arial"/>
                <w:sz w:val="22"/>
                <w:lang w:val="en-GB"/>
              </w:rPr>
              <w:t>l</w:t>
            </w:r>
            <w:r w:rsidRPr="00BD7D28">
              <w:rPr>
                <w:rFonts w:ascii="Arial" w:eastAsia="Calibri" w:hAnsi="Arial" w:cs="Arial"/>
                <w:sz w:val="22"/>
                <w:lang w:val="en-GB"/>
              </w:rPr>
              <w:t>ack of improvement of ILD on HRCT</w:t>
            </w:r>
          </w:p>
        </w:tc>
        <w:tc>
          <w:tcPr>
            <w:tcW w:w="1276" w:type="dxa"/>
            <w:vAlign w:val="center"/>
          </w:tcPr>
          <w:p w14:paraId="0B88EF79"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1.82</w:t>
            </w:r>
          </w:p>
        </w:tc>
        <w:tc>
          <w:tcPr>
            <w:tcW w:w="1417" w:type="dxa"/>
            <w:vAlign w:val="center"/>
          </w:tcPr>
          <w:p w14:paraId="1F57A164" w14:textId="77777777"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1.71</w:t>
            </w:r>
          </w:p>
        </w:tc>
        <w:tc>
          <w:tcPr>
            <w:tcW w:w="1418" w:type="dxa"/>
            <w:vAlign w:val="center"/>
          </w:tcPr>
          <w:p w14:paraId="50CF9466" w14:textId="6A8FE0BD" w:rsidR="006D1CFC" w:rsidRPr="00BD7D28" w:rsidRDefault="006D1CFC"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244BB04A" w14:textId="77777777" w:rsidTr="006D1CFC">
        <w:tc>
          <w:tcPr>
            <w:tcW w:w="5382" w:type="dxa"/>
          </w:tcPr>
          <w:p w14:paraId="29AC6F18" w14:textId="61B52520" w:rsidR="006D1CFC" w:rsidRPr="00BD7D28" w:rsidRDefault="006D1CFC" w:rsidP="006D1CFC">
            <w:pPr>
              <w:spacing w:line="240" w:lineRule="auto"/>
              <w:rPr>
                <w:rFonts w:ascii="Arial" w:eastAsia="Calibri" w:hAnsi="Arial" w:cs="Arial"/>
                <w:sz w:val="22"/>
                <w:lang w:val="en-GB"/>
              </w:rPr>
            </w:pPr>
            <w:r w:rsidRPr="00BD7D28">
              <w:rPr>
                <w:rFonts w:ascii="Arial" w:hAnsi="Arial" w:cs="Arial"/>
                <w:sz w:val="22"/>
              </w:rPr>
              <w:t xml:space="preserve">Based on lack of effective response or improvement with immunosuppressive agents (MMF/CYC/TCZ) as defined by </w:t>
            </w:r>
            <w:r w:rsidR="00B811AE" w:rsidRPr="00BD7D28">
              <w:rPr>
                <w:rFonts w:ascii="Arial" w:hAnsi="Arial" w:cs="Arial"/>
                <w:sz w:val="22"/>
              </w:rPr>
              <w:t>l</w:t>
            </w:r>
            <w:r w:rsidRPr="00BD7D28">
              <w:rPr>
                <w:rFonts w:ascii="Arial" w:hAnsi="Arial" w:cs="Arial"/>
                <w:sz w:val="22"/>
              </w:rPr>
              <w:t>ack of improvement of lung function</w:t>
            </w:r>
          </w:p>
        </w:tc>
        <w:tc>
          <w:tcPr>
            <w:tcW w:w="1276" w:type="dxa"/>
            <w:vAlign w:val="center"/>
          </w:tcPr>
          <w:p w14:paraId="572EC735" w14:textId="71475867" w:rsidR="006D1CFC" w:rsidRPr="00BD7D28" w:rsidRDefault="006D1CFC" w:rsidP="006D1CFC">
            <w:pPr>
              <w:spacing w:line="240" w:lineRule="auto"/>
              <w:jc w:val="center"/>
              <w:rPr>
                <w:rFonts w:ascii="Arial" w:eastAsia="Calibri" w:hAnsi="Arial" w:cs="Arial"/>
                <w:sz w:val="22"/>
                <w:lang w:val="en-GB"/>
              </w:rPr>
            </w:pPr>
            <w:r w:rsidRPr="00BD7D28">
              <w:rPr>
                <w:rFonts w:ascii="Arial" w:hAnsi="Arial" w:cs="Arial"/>
                <w:sz w:val="22"/>
              </w:rPr>
              <w:t>2.55</w:t>
            </w:r>
          </w:p>
        </w:tc>
        <w:tc>
          <w:tcPr>
            <w:tcW w:w="1417" w:type="dxa"/>
            <w:vAlign w:val="center"/>
          </w:tcPr>
          <w:p w14:paraId="389D24C8" w14:textId="591748AC" w:rsidR="006D1CFC" w:rsidRPr="00BD7D28" w:rsidRDefault="006D1CFC" w:rsidP="006D1CFC">
            <w:pPr>
              <w:spacing w:line="240" w:lineRule="auto"/>
              <w:jc w:val="center"/>
              <w:rPr>
                <w:rFonts w:ascii="Arial" w:eastAsia="Calibri" w:hAnsi="Arial" w:cs="Arial"/>
                <w:sz w:val="22"/>
                <w:lang w:val="en-GB"/>
              </w:rPr>
            </w:pPr>
            <w:r w:rsidRPr="00BD7D28">
              <w:rPr>
                <w:rFonts w:ascii="Arial" w:hAnsi="Arial" w:cs="Arial"/>
                <w:sz w:val="22"/>
              </w:rPr>
              <w:t>1.68</w:t>
            </w:r>
          </w:p>
        </w:tc>
        <w:tc>
          <w:tcPr>
            <w:tcW w:w="1418" w:type="dxa"/>
            <w:vAlign w:val="center"/>
          </w:tcPr>
          <w:p w14:paraId="7F98CF0A" w14:textId="722052C7" w:rsidR="006D1CFC" w:rsidRPr="00BD7D28" w:rsidRDefault="00B85721"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242174CE" w14:textId="77777777" w:rsidTr="006D1CFC">
        <w:tc>
          <w:tcPr>
            <w:tcW w:w="5382" w:type="dxa"/>
          </w:tcPr>
          <w:p w14:paraId="5B45A1AC" w14:textId="1F7F0EA9" w:rsidR="006D1CFC" w:rsidRPr="00BD7D28" w:rsidRDefault="006D1CFC" w:rsidP="006D1CFC">
            <w:pPr>
              <w:spacing w:line="240" w:lineRule="auto"/>
              <w:rPr>
                <w:rFonts w:ascii="Arial" w:eastAsia="Calibri" w:hAnsi="Arial" w:cs="Arial"/>
                <w:sz w:val="22"/>
                <w:lang w:val="en-GB"/>
              </w:rPr>
            </w:pPr>
            <w:r w:rsidRPr="00BD7D28">
              <w:rPr>
                <w:rFonts w:ascii="Arial" w:hAnsi="Arial" w:cs="Arial"/>
                <w:sz w:val="22"/>
              </w:rPr>
              <w:t xml:space="preserve">Based on lack of effective response or improvement with immunosuppressive agents (MMF/CYC/TCZ) as defined by </w:t>
            </w:r>
            <w:r w:rsidR="00B811AE" w:rsidRPr="00BD7D28">
              <w:rPr>
                <w:rFonts w:ascii="Arial" w:hAnsi="Arial" w:cs="Arial"/>
                <w:sz w:val="22"/>
              </w:rPr>
              <w:t xml:space="preserve">a </w:t>
            </w:r>
            <w:r w:rsidRPr="00BD7D28">
              <w:rPr>
                <w:rFonts w:ascii="Arial" w:hAnsi="Arial" w:cs="Arial"/>
                <w:sz w:val="22"/>
              </w:rPr>
              <w:t>combination of the above</w:t>
            </w:r>
          </w:p>
        </w:tc>
        <w:tc>
          <w:tcPr>
            <w:tcW w:w="1276" w:type="dxa"/>
            <w:vAlign w:val="center"/>
          </w:tcPr>
          <w:p w14:paraId="19581CCD" w14:textId="13C3369D" w:rsidR="006D1CFC" w:rsidRPr="00BD7D28" w:rsidRDefault="006D1CFC" w:rsidP="006D1CFC">
            <w:pPr>
              <w:spacing w:line="240" w:lineRule="auto"/>
              <w:jc w:val="center"/>
              <w:rPr>
                <w:rFonts w:ascii="Arial" w:eastAsia="Calibri" w:hAnsi="Arial" w:cs="Arial"/>
                <w:sz w:val="22"/>
                <w:lang w:val="en-GB"/>
              </w:rPr>
            </w:pPr>
            <w:r w:rsidRPr="00BD7D28">
              <w:rPr>
                <w:rFonts w:ascii="Arial" w:hAnsi="Arial" w:cs="Arial"/>
                <w:sz w:val="22"/>
              </w:rPr>
              <w:t>3.05</w:t>
            </w:r>
          </w:p>
        </w:tc>
        <w:tc>
          <w:tcPr>
            <w:tcW w:w="1417" w:type="dxa"/>
            <w:vAlign w:val="center"/>
          </w:tcPr>
          <w:p w14:paraId="6455ABBA" w14:textId="4312E9E5" w:rsidR="006D1CFC" w:rsidRPr="00BD7D28" w:rsidRDefault="006D1CFC" w:rsidP="006D1CFC">
            <w:pPr>
              <w:spacing w:line="240" w:lineRule="auto"/>
              <w:jc w:val="center"/>
              <w:rPr>
                <w:rFonts w:ascii="Arial" w:eastAsia="Calibri" w:hAnsi="Arial" w:cs="Arial"/>
                <w:sz w:val="22"/>
                <w:lang w:val="en-GB"/>
              </w:rPr>
            </w:pPr>
            <w:r w:rsidRPr="00BD7D28">
              <w:rPr>
                <w:rFonts w:ascii="Arial" w:hAnsi="Arial" w:cs="Arial"/>
                <w:sz w:val="22"/>
              </w:rPr>
              <w:t>1.84</w:t>
            </w:r>
          </w:p>
        </w:tc>
        <w:tc>
          <w:tcPr>
            <w:tcW w:w="1418" w:type="dxa"/>
            <w:vAlign w:val="center"/>
          </w:tcPr>
          <w:p w14:paraId="45A9F4CF" w14:textId="68691424" w:rsidR="006D1CFC" w:rsidRPr="00BD7D28" w:rsidRDefault="00B85721"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3E157E3B" w14:textId="77777777" w:rsidTr="006D1CFC">
        <w:tc>
          <w:tcPr>
            <w:tcW w:w="5382" w:type="dxa"/>
          </w:tcPr>
          <w:p w14:paraId="4B83F50A" w14:textId="19F1468B" w:rsidR="006D1CFC" w:rsidRPr="00BD7D28" w:rsidRDefault="006D1CFC" w:rsidP="006D1CFC">
            <w:pPr>
              <w:spacing w:line="240" w:lineRule="auto"/>
              <w:rPr>
                <w:rFonts w:ascii="Arial" w:eastAsia="Calibri" w:hAnsi="Arial" w:cs="Arial"/>
                <w:sz w:val="22"/>
                <w:lang w:val="en-GB"/>
              </w:rPr>
            </w:pPr>
            <w:r w:rsidRPr="00BD7D28">
              <w:rPr>
                <w:rFonts w:ascii="Arial" w:hAnsi="Arial" w:cs="Arial"/>
                <w:sz w:val="22"/>
              </w:rPr>
              <w:t xml:space="preserve">Based on active worsening of patient condition as defined by </w:t>
            </w:r>
            <w:r w:rsidR="00B811AE" w:rsidRPr="00BD7D28">
              <w:rPr>
                <w:rFonts w:ascii="Arial" w:hAnsi="Arial" w:cs="Arial"/>
                <w:sz w:val="22"/>
              </w:rPr>
              <w:t>w</w:t>
            </w:r>
            <w:r w:rsidRPr="00BD7D28">
              <w:rPr>
                <w:rFonts w:ascii="Arial" w:hAnsi="Arial" w:cs="Arial"/>
                <w:sz w:val="22"/>
              </w:rPr>
              <w:t>orsening of symptoms</w:t>
            </w:r>
          </w:p>
        </w:tc>
        <w:tc>
          <w:tcPr>
            <w:tcW w:w="1276" w:type="dxa"/>
            <w:vAlign w:val="center"/>
          </w:tcPr>
          <w:p w14:paraId="205C56E1" w14:textId="7206395C" w:rsidR="006D1CFC" w:rsidRPr="00BD7D28" w:rsidRDefault="006D1CFC" w:rsidP="006D1CFC">
            <w:pPr>
              <w:spacing w:line="240" w:lineRule="auto"/>
              <w:jc w:val="center"/>
              <w:rPr>
                <w:rFonts w:ascii="Arial" w:eastAsia="Calibri" w:hAnsi="Arial" w:cs="Arial"/>
                <w:sz w:val="22"/>
                <w:lang w:val="en-GB"/>
              </w:rPr>
            </w:pPr>
            <w:r w:rsidRPr="00BD7D28">
              <w:rPr>
                <w:rFonts w:ascii="Arial" w:hAnsi="Arial" w:cs="Arial"/>
                <w:sz w:val="22"/>
              </w:rPr>
              <w:t>2.14</w:t>
            </w:r>
          </w:p>
        </w:tc>
        <w:tc>
          <w:tcPr>
            <w:tcW w:w="1417" w:type="dxa"/>
            <w:vAlign w:val="center"/>
          </w:tcPr>
          <w:p w14:paraId="117DABD7" w14:textId="73D37D33" w:rsidR="006D1CFC" w:rsidRPr="00BD7D28" w:rsidRDefault="006D1CFC" w:rsidP="006D1CFC">
            <w:pPr>
              <w:spacing w:line="240" w:lineRule="auto"/>
              <w:jc w:val="center"/>
              <w:rPr>
                <w:rFonts w:ascii="Arial" w:eastAsia="Calibri" w:hAnsi="Arial" w:cs="Arial"/>
                <w:sz w:val="22"/>
                <w:lang w:val="en-GB"/>
              </w:rPr>
            </w:pPr>
            <w:r w:rsidRPr="00BD7D28">
              <w:rPr>
                <w:rFonts w:ascii="Arial" w:hAnsi="Arial" w:cs="Arial"/>
                <w:sz w:val="22"/>
              </w:rPr>
              <w:t>1.08</w:t>
            </w:r>
          </w:p>
        </w:tc>
        <w:tc>
          <w:tcPr>
            <w:tcW w:w="1418" w:type="dxa"/>
            <w:vAlign w:val="center"/>
          </w:tcPr>
          <w:p w14:paraId="1D361021" w14:textId="22EFA486" w:rsidR="006D1CFC" w:rsidRPr="00BD7D28" w:rsidRDefault="00B85721"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4428CB68" w14:textId="77777777" w:rsidTr="006D1CFC">
        <w:tc>
          <w:tcPr>
            <w:tcW w:w="5382" w:type="dxa"/>
          </w:tcPr>
          <w:p w14:paraId="3E1BAC3A" w14:textId="2D25B97D" w:rsidR="006D1CFC" w:rsidRPr="00BD7D28" w:rsidRDefault="006D1CFC" w:rsidP="006D1CFC">
            <w:pPr>
              <w:spacing w:line="240" w:lineRule="auto"/>
              <w:rPr>
                <w:rFonts w:ascii="Arial" w:eastAsia="Calibri" w:hAnsi="Arial" w:cs="Arial"/>
                <w:sz w:val="22"/>
                <w:lang w:val="en-GB"/>
              </w:rPr>
            </w:pPr>
            <w:r w:rsidRPr="00BD7D28">
              <w:rPr>
                <w:rFonts w:ascii="Arial" w:hAnsi="Arial" w:cs="Arial"/>
                <w:sz w:val="22"/>
              </w:rPr>
              <w:t xml:space="preserve">Based on active worsening of patient condition as defined by </w:t>
            </w:r>
            <w:r w:rsidR="00B811AE" w:rsidRPr="00BD7D28">
              <w:rPr>
                <w:rFonts w:ascii="Arial" w:hAnsi="Arial" w:cs="Arial"/>
                <w:sz w:val="22"/>
              </w:rPr>
              <w:t>w</w:t>
            </w:r>
            <w:r w:rsidRPr="00BD7D28">
              <w:rPr>
                <w:rFonts w:ascii="Arial" w:hAnsi="Arial" w:cs="Arial"/>
                <w:sz w:val="22"/>
              </w:rPr>
              <w:t>orsening of ILD on HRCT</w:t>
            </w:r>
          </w:p>
        </w:tc>
        <w:tc>
          <w:tcPr>
            <w:tcW w:w="1276" w:type="dxa"/>
            <w:vAlign w:val="center"/>
          </w:tcPr>
          <w:p w14:paraId="46AB02F0" w14:textId="55853CA6" w:rsidR="006D1CFC" w:rsidRPr="00BD7D28" w:rsidRDefault="006D1CFC" w:rsidP="006D1CFC">
            <w:pPr>
              <w:spacing w:line="240" w:lineRule="auto"/>
              <w:jc w:val="center"/>
              <w:rPr>
                <w:rFonts w:ascii="Arial" w:eastAsia="Calibri" w:hAnsi="Arial" w:cs="Arial"/>
                <w:sz w:val="22"/>
                <w:lang w:val="en-GB"/>
              </w:rPr>
            </w:pPr>
            <w:r w:rsidRPr="00BD7D28">
              <w:rPr>
                <w:rFonts w:ascii="Arial" w:hAnsi="Arial" w:cs="Arial"/>
                <w:sz w:val="22"/>
              </w:rPr>
              <w:t>3.59</w:t>
            </w:r>
          </w:p>
        </w:tc>
        <w:tc>
          <w:tcPr>
            <w:tcW w:w="1417" w:type="dxa"/>
            <w:vAlign w:val="center"/>
          </w:tcPr>
          <w:p w14:paraId="299C912C" w14:textId="7374A0BE" w:rsidR="006D1CFC" w:rsidRPr="00BD7D28" w:rsidRDefault="006D1CFC" w:rsidP="006D1CFC">
            <w:pPr>
              <w:spacing w:line="240" w:lineRule="auto"/>
              <w:jc w:val="center"/>
              <w:rPr>
                <w:rFonts w:ascii="Arial" w:eastAsia="Calibri" w:hAnsi="Arial" w:cs="Arial"/>
                <w:sz w:val="22"/>
                <w:lang w:val="en-GB"/>
              </w:rPr>
            </w:pPr>
            <w:r w:rsidRPr="00BD7D28">
              <w:rPr>
                <w:rFonts w:ascii="Arial" w:hAnsi="Arial" w:cs="Arial"/>
                <w:sz w:val="22"/>
              </w:rPr>
              <w:t>0.67</w:t>
            </w:r>
          </w:p>
        </w:tc>
        <w:tc>
          <w:tcPr>
            <w:tcW w:w="1418" w:type="dxa"/>
            <w:vAlign w:val="center"/>
          </w:tcPr>
          <w:p w14:paraId="767A129B" w14:textId="74A848A2" w:rsidR="006D1CFC" w:rsidRPr="00BD7D28" w:rsidRDefault="00B85721"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1B1BD25C" w14:textId="77777777" w:rsidTr="006D1CFC">
        <w:tc>
          <w:tcPr>
            <w:tcW w:w="5382" w:type="dxa"/>
          </w:tcPr>
          <w:p w14:paraId="2361CCD4" w14:textId="756B72C0" w:rsidR="006D1CFC" w:rsidRPr="00BD7D28" w:rsidRDefault="006D1CFC" w:rsidP="006D1CFC">
            <w:pPr>
              <w:spacing w:line="240" w:lineRule="auto"/>
              <w:rPr>
                <w:rFonts w:ascii="Arial" w:eastAsia="Calibri" w:hAnsi="Arial" w:cs="Arial"/>
                <w:sz w:val="22"/>
                <w:lang w:val="en-GB"/>
              </w:rPr>
            </w:pPr>
            <w:r w:rsidRPr="00BD7D28">
              <w:rPr>
                <w:rFonts w:ascii="Arial" w:hAnsi="Arial" w:cs="Arial"/>
                <w:sz w:val="22"/>
              </w:rPr>
              <w:t xml:space="preserve">Based on active worsening of patient condition as defined by </w:t>
            </w:r>
            <w:r w:rsidR="00B811AE" w:rsidRPr="00BD7D28">
              <w:rPr>
                <w:rFonts w:ascii="Arial" w:hAnsi="Arial" w:cs="Arial"/>
                <w:sz w:val="22"/>
              </w:rPr>
              <w:t>w</w:t>
            </w:r>
            <w:r w:rsidRPr="00BD7D28">
              <w:rPr>
                <w:rFonts w:ascii="Arial" w:hAnsi="Arial" w:cs="Arial"/>
                <w:sz w:val="22"/>
              </w:rPr>
              <w:t>orsening of lung function</w:t>
            </w:r>
          </w:p>
        </w:tc>
        <w:tc>
          <w:tcPr>
            <w:tcW w:w="1276" w:type="dxa"/>
            <w:vAlign w:val="center"/>
          </w:tcPr>
          <w:p w14:paraId="79FB9A8F" w14:textId="3D9B082F" w:rsidR="006D1CFC" w:rsidRPr="00BD7D28" w:rsidRDefault="006D1CFC" w:rsidP="006D1CFC">
            <w:pPr>
              <w:spacing w:line="240" w:lineRule="auto"/>
              <w:jc w:val="center"/>
              <w:rPr>
                <w:rFonts w:ascii="Arial" w:eastAsia="Calibri" w:hAnsi="Arial" w:cs="Arial"/>
                <w:sz w:val="22"/>
                <w:lang w:val="en-GB"/>
              </w:rPr>
            </w:pPr>
            <w:r w:rsidRPr="00BD7D28">
              <w:rPr>
                <w:rFonts w:ascii="Arial" w:hAnsi="Arial" w:cs="Arial"/>
                <w:sz w:val="22"/>
              </w:rPr>
              <w:t>3.86</w:t>
            </w:r>
          </w:p>
        </w:tc>
        <w:tc>
          <w:tcPr>
            <w:tcW w:w="1417" w:type="dxa"/>
            <w:vAlign w:val="center"/>
          </w:tcPr>
          <w:p w14:paraId="44654CF8" w14:textId="7F95DA2C" w:rsidR="006D1CFC" w:rsidRPr="00BD7D28" w:rsidRDefault="006D1CFC" w:rsidP="006D1CFC">
            <w:pPr>
              <w:spacing w:line="240" w:lineRule="auto"/>
              <w:jc w:val="center"/>
              <w:rPr>
                <w:rFonts w:ascii="Arial" w:eastAsia="Calibri" w:hAnsi="Arial" w:cs="Arial"/>
                <w:sz w:val="22"/>
                <w:lang w:val="en-GB"/>
              </w:rPr>
            </w:pPr>
            <w:r w:rsidRPr="00BD7D28">
              <w:rPr>
                <w:rFonts w:ascii="Arial" w:hAnsi="Arial" w:cs="Arial"/>
                <w:sz w:val="22"/>
              </w:rPr>
              <w:t>0.56</w:t>
            </w:r>
          </w:p>
        </w:tc>
        <w:tc>
          <w:tcPr>
            <w:tcW w:w="1418" w:type="dxa"/>
            <w:vAlign w:val="center"/>
          </w:tcPr>
          <w:p w14:paraId="7D46AB05" w14:textId="45C8995A" w:rsidR="006D1CFC" w:rsidRPr="00BD7D28" w:rsidRDefault="00B85721"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75085191" w14:textId="77777777" w:rsidTr="006D1CFC">
        <w:tc>
          <w:tcPr>
            <w:tcW w:w="5382" w:type="dxa"/>
          </w:tcPr>
          <w:p w14:paraId="0A169C30" w14:textId="3F8FB079" w:rsidR="006D1CFC" w:rsidRPr="00BD7D28" w:rsidRDefault="006D1CFC" w:rsidP="006D1CFC">
            <w:pPr>
              <w:spacing w:line="240" w:lineRule="auto"/>
              <w:rPr>
                <w:rFonts w:ascii="Arial" w:eastAsia="Calibri" w:hAnsi="Arial" w:cs="Arial"/>
                <w:sz w:val="22"/>
                <w:lang w:val="en-GB"/>
              </w:rPr>
            </w:pPr>
            <w:r w:rsidRPr="00BD7D28">
              <w:rPr>
                <w:rFonts w:ascii="Arial" w:hAnsi="Arial" w:cs="Arial"/>
                <w:sz w:val="22"/>
              </w:rPr>
              <w:t xml:space="preserve">Based on active worsening of patient condition as defined by </w:t>
            </w:r>
            <w:r w:rsidR="00B811AE" w:rsidRPr="00BD7D28">
              <w:rPr>
                <w:rFonts w:ascii="Arial" w:hAnsi="Arial" w:cs="Arial"/>
                <w:sz w:val="22"/>
              </w:rPr>
              <w:t>a c</w:t>
            </w:r>
            <w:r w:rsidRPr="00BD7D28">
              <w:rPr>
                <w:rFonts w:ascii="Arial" w:hAnsi="Arial" w:cs="Arial"/>
                <w:sz w:val="22"/>
              </w:rPr>
              <w:t xml:space="preserve">ombination of </w:t>
            </w:r>
            <w:r w:rsidR="00B811AE" w:rsidRPr="00BD7D28">
              <w:rPr>
                <w:rFonts w:ascii="Arial" w:hAnsi="Arial" w:cs="Arial"/>
                <w:sz w:val="22"/>
              </w:rPr>
              <w:t xml:space="preserve">the </w:t>
            </w:r>
            <w:r w:rsidRPr="00BD7D28">
              <w:rPr>
                <w:rFonts w:ascii="Arial" w:hAnsi="Arial" w:cs="Arial"/>
                <w:sz w:val="22"/>
              </w:rPr>
              <w:t>above</w:t>
            </w:r>
          </w:p>
        </w:tc>
        <w:tc>
          <w:tcPr>
            <w:tcW w:w="1276" w:type="dxa"/>
            <w:vAlign w:val="center"/>
          </w:tcPr>
          <w:p w14:paraId="20728B85" w14:textId="4E006952" w:rsidR="006D1CFC" w:rsidRPr="00BD7D28" w:rsidRDefault="006D1CFC" w:rsidP="006D1CFC">
            <w:pPr>
              <w:spacing w:line="240" w:lineRule="auto"/>
              <w:jc w:val="center"/>
              <w:rPr>
                <w:rFonts w:ascii="Arial" w:eastAsia="Calibri" w:hAnsi="Arial" w:cs="Arial"/>
                <w:sz w:val="22"/>
                <w:lang w:val="en-GB"/>
              </w:rPr>
            </w:pPr>
            <w:r w:rsidRPr="00BD7D28">
              <w:rPr>
                <w:rFonts w:ascii="Arial" w:hAnsi="Arial" w:cs="Arial"/>
                <w:sz w:val="22"/>
              </w:rPr>
              <w:t>4.05</w:t>
            </w:r>
          </w:p>
        </w:tc>
        <w:tc>
          <w:tcPr>
            <w:tcW w:w="1417" w:type="dxa"/>
            <w:vAlign w:val="center"/>
          </w:tcPr>
          <w:p w14:paraId="655F3BFD" w14:textId="00D55FEF" w:rsidR="006D1CFC" w:rsidRPr="00BD7D28" w:rsidRDefault="006D1CFC" w:rsidP="006D1CFC">
            <w:pPr>
              <w:spacing w:line="240" w:lineRule="auto"/>
              <w:jc w:val="center"/>
              <w:rPr>
                <w:rFonts w:ascii="Arial" w:eastAsia="Calibri" w:hAnsi="Arial" w:cs="Arial"/>
                <w:sz w:val="22"/>
                <w:lang w:val="en-GB"/>
              </w:rPr>
            </w:pPr>
            <w:r w:rsidRPr="00BD7D28">
              <w:rPr>
                <w:rFonts w:ascii="Arial" w:hAnsi="Arial" w:cs="Arial"/>
                <w:sz w:val="22"/>
              </w:rPr>
              <w:t>0.49</w:t>
            </w:r>
          </w:p>
        </w:tc>
        <w:tc>
          <w:tcPr>
            <w:tcW w:w="1418" w:type="dxa"/>
            <w:vAlign w:val="center"/>
          </w:tcPr>
          <w:p w14:paraId="118D4E7A" w14:textId="0FB01A9E" w:rsidR="006D1CFC" w:rsidRPr="00BD7D28" w:rsidRDefault="00B85721"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6BFFB865" w14:textId="77777777" w:rsidTr="006D1CFC">
        <w:tc>
          <w:tcPr>
            <w:tcW w:w="5382" w:type="dxa"/>
          </w:tcPr>
          <w:p w14:paraId="60E30659" w14:textId="5BF11CF6" w:rsidR="006D1CFC" w:rsidRPr="00BD7D28" w:rsidRDefault="006D1CFC" w:rsidP="006D1CFC">
            <w:pPr>
              <w:spacing w:line="240" w:lineRule="auto"/>
              <w:rPr>
                <w:rFonts w:ascii="Arial" w:eastAsia="Calibri" w:hAnsi="Arial" w:cs="Arial"/>
                <w:sz w:val="22"/>
                <w:lang w:val="en-GB"/>
              </w:rPr>
            </w:pPr>
            <w:r w:rsidRPr="00BD7D28">
              <w:rPr>
                <w:rFonts w:ascii="Arial" w:hAnsi="Arial" w:cs="Arial"/>
                <w:sz w:val="22"/>
              </w:rPr>
              <w:t xml:space="preserve">Based on inability to continue CYC/MMF/TCZ due to </w:t>
            </w:r>
            <w:r w:rsidR="00B811AE" w:rsidRPr="00BD7D28">
              <w:rPr>
                <w:rFonts w:ascii="Arial" w:hAnsi="Arial" w:cs="Arial"/>
                <w:sz w:val="22"/>
              </w:rPr>
              <w:t>a</w:t>
            </w:r>
            <w:r w:rsidRPr="00BD7D28">
              <w:rPr>
                <w:rFonts w:ascii="Arial" w:hAnsi="Arial" w:cs="Arial"/>
                <w:sz w:val="22"/>
              </w:rPr>
              <w:t>dverse effects</w:t>
            </w:r>
          </w:p>
        </w:tc>
        <w:tc>
          <w:tcPr>
            <w:tcW w:w="1276" w:type="dxa"/>
            <w:vAlign w:val="center"/>
          </w:tcPr>
          <w:p w14:paraId="00775C14" w14:textId="40931448" w:rsidR="006D1CFC" w:rsidRPr="00BD7D28" w:rsidRDefault="006D1CFC" w:rsidP="006D1CFC">
            <w:pPr>
              <w:spacing w:line="240" w:lineRule="auto"/>
              <w:jc w:val="center"/>
              <w:rPr>
                <w:rFonts w:ascii="Arial" w:eastAsia="Calibri" w:hAnsi="Arial" w:cs="Arial"/>
                <w:sz w:val="22"/>
                <w:lang w:val="en-GB"/>
              </w:rPr>
            </w:pPr>
            <w:r w:rsidRPr="00BD7D28">
              <w:rPr>
                <w:rFonts w:ascii="Arial" w:hAnsi="Arial" w:cs="Arial"/>
                <w:sz w:val="22"/>
              </w:rPr>
              <w:t>3.14</w:t>
            </w:r>
          </w:p>
        </w:tc>
        <w:tc>
          <w:tcPr>
            <w:tcW w:w="1417" w:type="dxa"/>
            <w:vAlign w:val="center"/>
          </w:tcPr>
          <w:p w14:paraId="7E141346" w14:textId="657DE94E" w:rsidR="006D1CFC" w:rsidRPr="00BD7D28" w:rsidRDefault="006D1CFC" w:rsidP="006D1CFC">
            <w:pPr>
              <w:spacing w:line="240" w:lineRule="auto"/>
              <w:jc w:val="center"/>
              <w:rPr>
                <w:rFonts w:ascii="Arial" w:eastAsia="Calibri" w:hAnsi="Arial" w:cs="Arial"/>
                <w:sz w:val="22"/>
                <w:lang w:val="en-GB"/>
              </w:rPr>
            </w:pPr>
            <w:r w:rsidRPr="00BD7D28">
              <w:rPr>
                <w:rFonts w:ascii="Arial" w:hAnsi="Arial" w:cs="Arial"/>
                <w:sz w:val="22"/>
              </w:rPr>
              <w:t>0.94</w:t>
            </w:r>
          </w:p>
        </w:tc>
        <w:tc>
          <w:tcPr>
            <w:tcW w:w="1418" w:type="dxa"/>
            <w:vAlign w:val="center"/>
          </w:tcPr>
          <w:p w14:paraId="6334647B" w14:textId="164AC4B7" w:rsidR="006D1CFC" w:rsidRPr="00BD7D28" w:rsidRDefault="00B85721"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657052B1" w14:textId="77777777" w:rsidTr="006D1CFC">
        <w:tc>
          <w:tcPr>
            <w:tcW w:w="5382" w:type="dxa"/>
          </w:tcPr>
          <w:p w14:paraId="343DDE67" w14:textId="10E494A0" w:rsidR="006D1CFC" w:rsidRPr="00BD7D28" w:rsidRDefault="006D1CFC" w:rsidP="006D1CFC">
            <w:pPr>
              <w:spacing w:line="240" w:lineRule="auto"/>
              <w:rPr>
                <w:rFonts w:ascii="Arial" w:eastAsia="Calibri" w:hAnsi="Arial" w:cs="Arial"/>
                <w:sz w:val="22"/>
                <w:lang w:val="en-GB"/>
              </w:rPr>
            </w:pPr>
            <w:r w:rsidRPr="00BD7D28">
              <w:rPr>
                <w:rFonts w:ascii="Arial" w:hAnsi="Arial" w:cs="Arial"/>
                <w:sz w:val="22"/>
              </w:rPr>
              <w:t xml:space="preserve">Based on inability to continue CYC/MMF/TCZ due to </w:t>
            </w:r>
            <w:r w:rsidR="00B811AE" w:rsidRPr="00BD7D28">
              <w:rPr>
                <w:rFonts w:ascii="Arial" w:hAnsi="Arial" w:cs="Arial"/>
                <w:sz w:val="22"/>
              </w:rPr>
              <w:t>l</w:t>
            </w:r>
            <w:r w:rsidRPr="00BD7D28">
              <w:rPr>
                <w:rFonts w:ascii="Arial" w:hAnsi="Arial" w:cs="Arial"/>
                <w:sz w:val="22"/>
              </w:rPr>
              <w:t>ack of achievement of effective dose with CYC/MMF/TCZ</w:t>
            </w:r>
          </w:p>
        </w:tc>
        <w:tc>
          <w:tcPr>
            <w:tcW w:w="1276" w:type="dxa"/>
            <w:vAlign w:val="center"/>
          </w:tcPr>
          <w:p w14:paraId="4489ED4F" w14:textId="1609A41D" w:rsidR="006D1CFC" w:rsidRPr="00BD7D28" w:rsidRDefault="006D1CFC" w:rsidP="006D1CFC">
            <w:pPr>
              <w:spacing w:line="240" w:lineRule="auto"/>
              <w:jc w:val="center"/>
              <w:rPr>
                <w:rFonts w:ascii="Arial" w:eastAsia="Calibri" w:hAnsi="Arial" w:cs="Arial"/>
                <w:sz w:val="22"/>
                <w:lang w:val="en-GB"/>
              </w:rPr>
            </w:pPr>
            <w:r w:rsidRPr="00BD7D28">
              <w:rPr>
                <w:rFonts w:ascii="Arial" w:hAnsi="Arial" w:cs="Arial"/>
                <w:sz w:val="22"/>
              </w:rPr>
              <w:t>2.68</w:t>
            </w:r>
          </w:p>
        </w:tc>
        <w:tc>
          <w:tcPr>
            <w:tcW w:w="1417" w:type="dxa"/>
            <w:vAlign w:val="center"/>
          </w:tcPr>
          <w:p w14:paraId="7A61CC02" w14:textId="0AE9AC14" w:rsidR="006D1CFC" w:rsidRPr="00BD7D28" w:rsidRDefault="006D1CFC" w:rsidP="006D1CFC">
            <w:pPr>
              <w:spacing w:line="240" w:lineRule="auto"/>
              <w:jc w:val="center"/>
              <w:rPr>
                <w:rFonts w:ascii="Arial" w:eastAsia="Calibri" w:hAnsi="Arial" w:cs="Arial"/>
                <w:sz w:val="22"/>
                <w:lang w:val="en-GB"/>
              </w:rPr>
            </w:pPr>
            <w:r w:rsidRPr="00BD7D28">
              <w:rPr>
                <w:rFonts w:ascii="Arial" w:hAnsi="Arial" w:cs="Arial"/>
                <w:sz w:val="22"/>
              </w:rPr>
              <w:t>0.99</w:t>
            </w:r>
          </w:p>
        </w:tc>
        <w:tc>
          <w:tcPr>
            <w:tcW w:w="1418" w:type="dxa"/>
            <w:vAlign w:val="center"/>
          </w:tcPr>
          <w:p w14:paraId="14DC608A" w14:textId="3B5688EA" w:rsidR="006D1CFC" w:rsidRPr="00BD7D28" w:rsidRDefault="00B85721"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0F591A52" w14:textId="77777777" w:rsidTr="006D1CFC">
        <w:tc>
          <w:tcPr>
            <w:tcW w:w="5382" w:type="dxa"/>
          </w:tcPr>
          <w:p w14:paraId="6592D918" w14:textId="5D564AC9" w:rsidR="006D1CFC" w:rsidRPr="00BD7D28" w:rsidRDefault="006D1CFC" w:rsidP="006D1CFC">
            <w:pPr>
              <w:spacing w:line="240" w:lineRule="auto"/>
              <w:rPr>
                <w:rFonts w:ascii="Arial" w:eastAsia="Calibri" w:hAnsi="Arial" w:cs="Arial"/>
                <w:sz w:val="22"/>
                <w:lang w:val="en-GB"/>
              </w:rPr>
            </w:pPr>
            <w:r w:rsidRPr="00BD7D28">
              <w:rPr>
                <w:rFonts w:ascii="Arial" w:hAnsi="Arial" w:cs="Arial"/>
                <w:sz w:val="22"/>
              </w:rPr>
              <w:t xml:space="preserve">Based on inability to continue CYC/MMF/TCZ due to </w:t>
            </w:r>
            <w:r w:rsidR="00B811AE" w:rsidRPr="00BD7D28">
              <w:rPr>
                <w:rFonts w:ascii="Arial" w:hAnsi="Arial" w:cs="Arial"/>
                <w:sz w:val="22"/>
              </w:rPr>
              <w:t>p</w:t>
            </w:r>
            <w:r w:rsidRPr="00BD7D28">
              <w:rPr>
                <w:rFonts w:ascii="Arial" w:hAnsi="Arial" w:cs="Arial"/>
                <w:sz w:val="22"/>
              </w:rPr>
              <w:t>rolonged use</w:t>
            </w:r>
          </w:p>
        </w:tc>
        <w:tc>
          <w:tcPr>
            <w:tcW w:w="1276" w:type="dxa"/>
            <w:vAlign w:val="center"/>
          </w:tcPr>
          <w:p w14:paraId="4D9F53B2" w14:textId="2DEAFEA1" w:rsidR="006D1CFC" w:rsidRPr="00BD7D28" w:rsidRDefault="006D1CFC" w:rsidP="006D1CFC">
            <w:pPr>
              <w:spacing w:line="240" w:lineRule="auto"/>
              <w:jc w:val="center"/>
              <w:rPr>
                <w:rFonts w:ascii="Arial" w:eastAsia="Calibri" w:hAnsi="Arial" w:cs="Arial"/>
                <w:sz w:val="22"/>
                <w:lang w:val="en-GB"/>
              </w:rPr>
            </w:pPr>
            <w:r w:rsidRPr="00BD7D28">
              <w:rPr>
                <w:rFonts w:ascii="Arial" w:hAnsi="Arial" w:cs="Arial"/>
                <w:sz w:val="22"/>
              </w:rPr>
              <w:t>1.18</w:t>
            </w:r>
          </w:p>
        </w:tc>
        <w:tc>
          <w:tcPr>
            <w:tcW w:w="1417" w:type="dxa"/>
            <w:vAlign w:val="center"/>
          </w:tcPr>
          <w:p w14:paraId="745AB5AB" w14:textId="2B37244E" w:rsidR="006D1CFC" w:rsidRPr="00BD7D28" w:rsidRDefault="006D1CFC" w:rsidP="006D1CFC">
            <w:pPr>
              <w:spacing w:line="240" w:lineRule="auto"/>
              <w:jc w:val="center"/>
              <w:rPr>
                <w:rFonts w:ascii="Arial" w:eastAsia="Calibri" w:hAnsi="Arial" w:cs="Arial"/>
                <w:sz w:val="22"/>
                <w:lang w:val="en-GB"/>
              </w:rPr>
            </w:pPr>
            <w:r w:rsidRPr="00BD7D28">
              <w:rPr>
                <w:rFonts w:ascii="Arial" w:hAnsi="Arial" w:cs="Arial"/>
                <w:sz w:val="22"/>
              </w:rPr>
              <w:t>1.82</w:t>
            </w:r>
          </w:p>
        </w:tc>
        <w:tc>
          <w:tcPr>
            <w:tcW w:w="1418" w:type="dxa"/>
            <w:vAlign w:val="center"/>
          </w:tcPr>
          <w:p w14:paraId="56F85170" w14:textId="0987A20F" w:rsidR="006D1CFC" w:rsidRPr="00BD7D28" w:rsidRDefault="00B85721" w:rsidP="006D1CFC">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363CAAE1" w14:textId="77777777" w:rsidTr="00B85721">
        <w:tc>
          <w:tcPr>
            <w:tcW w:w="9493" w:type="dxa"/>
            <w:gridSpan w:val="4"/>
            <w:vAlign w:val="center"/>
          </w:tcPr>
          <w:p w14:paraId="30368297" w14:textId="5B07A6F6" w:rsidR="00B85721" w:rsidRPr="00BD7D28" w:rsidRDefault="00B85721" w:rsidP="00B85721">
            <w:pPr>
              <w:spacing w:line="240" w:lineRule="auto"/>
              <w:rPr>
                <w:rFonts w:ascii="Arial" w:eastAsia="Calibri" w:hAnsi="Arial" w:cs="Arial"/>
                <w:b/>
                <w:bCs/>
                <w:sz w:val="22"/>
                <w:lang w:val="en-GB"/>
              </w:rPr>
            </w:pPr>
            <w:r w:rsidRPr="00BD7D28">
              <w:rPr>
                <w:rFonts w:ascii="Arial" w:hAnsi="Arial" w:cs="Arial"/>
                <w:b/>
                <w:bCs/>
                <w:sz w:val="22"/>
              </w:rPr>
              <w:t>Nintedanib fits into the management of SSc-ILD as:</w:t>
            </w:r>
          </w:p>
        </w:tc>
      </w:tr>
      <w:tr w:rsidR="00BD7D28" w:rsidRPr="00BD7D28" w14:paraId="352A46FA" w14:textId="77777777" w:rsidTr="009C68BE">
        <w:tc>
          <w:tcPr>
            <w:tcW w:w="5382" w:type="dxa"/>
            <w:vAlign w:val="center"/>
          </w:tcPr>
          <w:p w14:paraId="751CD031" w14:textId="6414B7C2" w:rsidR="00B85721" w:rsidRPr="00BD7D28" w:rsidRDefault="00B85721" w:rsidP="00B85721">
            <w:pPr>
              <w:spacing w:line="240" w:lineRule="auto"/>
              <w:rPr>
                <w:rFonts w:ascii="Arial" w:hAnsi="Arial" w:cs="Arial"/>
                <w:sz w:val="22"/>
              </w:rPr>
            </w:pPr>
            <w:r w:rsidRPr="00BD7D28">
              <w:rPr>
                <w:rFonts w:ascii="Arial" w:hAnsi="Arial" w:cs="Arial"/>
                <w:sz w:val="22"/>
              </w:rPr>
              <w:t>Initial monotherapy in cases with significant lung fibrosis (e.g. &gt;10% total lung involvement on HRCT) with preserved FVC and DL</w:t>
            </w:r>
            <w:r w:rsidRPr="00BD7D28">
              <w:rPr>
                <w:rFonts w:ascii="Arial" w:hAnsi="Arial" w:cs="Arial"/>
                <w:sz w:val="22"/>
                <w:vertAlign w:val="subscript"/>
              </w:rPr>
              <w:t>CO</w:t>
            </w:r>
          </w:p>
        </w:tc>
        <w:tc>
          <w:tcPr>
            <w:tcW w:w="1276" w:type="dxa"/>
            <w:vAlign w:val="center"/>
          </w:tcPr>
          <w:p w14:paraId="6D6BD498" w14:textId="09DA6FDC" w:rsidR="00B85721" w:rsidRPr="00BD7D28" w:rsidRDefault="00B811AE" w:rsidP="00B85721">
            <w:pPr>
              <w:spacing w:line="240" w:lineRule="auto"/>
              <w:jc w:val="center"/>
              <w:rPr>
                <w:rFonts w:ascii="Arial" w:hAnsi="Arial" w:cs="Arial"/>
                <w:sz w:val="22"/>
              </w:rPr>
            </w:pPr>
            <w:r w:rsidRPr="00BD7D28">
              <w:rPr>
                <w:rFonts w:ascii="Verdana" w:hAnsi="Verdana" w:cs="Arial"/>
                <w:sz w:val="22"/>
              </w:rPr>
              <w:t>–</w:t>
            </w:r>
            <w:r w:rsidR="00B85721" w:rsidRPr="00BD7D28">
              <w:rPr>
                <w:rFonts w:ascii="Arial" w:hAnsi="Arial" w:cs="Arial"/>
                <w:sz w:val="22"/>
              </w:rPr>
              <w:t>1.55</w:t>
            </w:r>
          </w:p>
        </w:tc>
        <w:tc>
          <w:tcPr>
            <w:tcW w:w="1417" w:type="dxa"/>
            <w:vAlign w:val="center"/>
          </w:tcPr>
          <w:p w14:paraId="5CC7C187" w14:textId="175537C4" w:rsidR="00B85721" w:rsidRPr="00BD7D28" w:rsidRDefault="00B85721" w:rsidP="00B85721">
            <w:pPr>
              <w:spacing w:line="240" w:lineRule="auto"/>
              <w:jc w:val="center"/>
              <w:rPr>
                <w:rFonts w:ascii="Arial" w:hAnsi="Arial" w:cs="Arial"/>
                <w:sz w:val="22"/>
              </w:rPr>
            </w:pPr>
            <w:r w:rsidRPr="00BD7D28">
              <w:rPr>
                <w:rFonts w:ascii="Arial" w:hAnsi="Arial" w:cs="Arial"/>
                <w:sz w:val="22"/>
              </w:rPr>
              <w:t>1.22</w:t>
            </w:r>
          </w:p>
        </w:tc>
        <w:tc>
          <w:tcPr>
            <w:tcW w:w="1418" w:type="dxa"/>
            <w:vAlign w:val="center"/>
          </w:tcPr>
          <w:p w14:paraId="7658510D" w14:textId="5310EC24"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7C398C32" w14:textId="77777777" w:rsidTr="009C68BE">
        <w:tc>
          <w:tcPr>
            <w:tcW w:w="5382" w:type="dxa"/>
            <w:vAlign w:val="center"/>
          </w:tcPr>
          <w:p w14:paraId="2BCA1DB2" w14:textId="46C44AC8" w:rsidR="00B85721" w:rsidRPr="00BD7D28" w:rsidRDefault="00B85721" w:rsidP="00B85721">
            <w:pPr>
              <w:spacing w:line="240" w:lineRule="auto"/>
              <w:rPr>
                <w:rFonts w:ascii="Arial" w:hAnsi="Arial" w:cs="Arial"/>
                <w:sz w:val="22"/>
              </w:rPr>
            </w:pPr>
            <w:r w:rsidRPr="00BD7D28">
              <w:rPr>
                <w:rFonts w:ascii="Arial" w:hAnsi="Arial" w:cs="Arial"/>
                <w:sz w:val="22"/>
              </w:rPr>
              <w:t>Initial monotherapy in patients with contraindication to or problems tolerating immunosuppressive agents</w:t>
            </w:r>
          </w:p>
        </w:tc>
        <w:tc>
          <w:tcPr>
            <w:tcW w:w="1276" w:type="dxa"/>
            <w:vAlign w:val="center"/>
          </w:tcPr>
          <w:p w14:paraId="03E1FBF3" w14:textId="7375B4CB" w:rsidR="00B85721" w:rsidRPr="00BD7D28" w:rsidRDefault="00B85721" w:rsidP="00B85721">
            <w:pPr>
              <w:spacing w:line="240" w:lineRule="auto"/>
              <w:jc w:val="center"/>
              <w:rPr>
                <w:rFonts w:ascii="Arial" w:hAnsi="Arial" w:cs="Arial"/>
                <w:sz w:val="22"/>
              </w:rPr>
            </w:pPr>
            <w:r w:rsidRPr="00BD7D28">
              <w:rPr>
                <w:rFonts w:ascii="Arial" w:hAnsi="Arial" w:cs="Arial"/>
                <w:sz w:val="22"/>
              </w:rPr>
              <w:t>2.27</w:t>
            </w:r>
          </w:p>
        </w:tc>
        <w:tc>
          <w:tcPr>
            <w:tcW w:w="1417" w:type="dxa"/>
            <w:vAlign w:val="center"/>
          </w:tcPr>
          <w:p w14:paraId="0F8B5B4B" w14:textId="05A5BD4C" w:rsidR="00B85721" w:rsidRPr="00BD7D28" w:rsidRDefault="00B85721" w:rsidP="00B85721">
            <w:pPr>
              <w:spacing w:line="240" w:lineRule="auto"/>
              <w:jc w:val="center"/>
              <w:rPr>
                <w:rFonts w:ascii="Arial" w:hAnsi="Arial" w:cs="Arial"/>
                <w:sz w:val="22"/>
              </w:rPr>
            </w:pPr>
            <w:r w:rsidRPr="00BD7D28">
              <w:rPr>
                <w:rFonts w:ascii="Arial" w:hAnsi="Arial" w:cs="Arial"/>
                <w:sz w:val="22"/>
              </w:rPr>
              <w:t>1.80</w:t>
            </w:r>
          </w:p>
        </w:tc>
        <w:tc>
          <w:tcPr>
            <w:tcW w:w="1418" w:type="dxa"/>
            <w:vAlign w:val="center"/>
          </w:tcPr>
          <w:p w14:paraId="703A00B1" w14:textId="004BAFDB"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3430EF6B" w14:textId="77777777" w:rsidTr="009C68BE">
        <w:tc>
          <w:tcPr>
            <w:tcW w:w="5382" w:type="dxa"/>
            <w:vAlign w:val="center"/>
          </w:tcPr>
          <w:p w14:paraId="08888802" w14:textId="545DAED1" w:rsidR="00B85721" w:rsidRPr="00BD7D28" w:rsidRDefault="00B85721" w:rsidP="00B85721">
            <w:pPr>
              <w:spacing w:line="240" w:lineRule="auto"/>
              <w:rPr>
                <w:rFonts w:ascii="Arial" w:hAnsi="Arial" w:cs="Arial"/>
                <w:sz w:val="22"/>
              </w:rPr>
            </w:pPr>
            <w:r w:rsidRPr="00BD7D28">
              <w:rPr>
                <w:rFonts w:ascii="Arial" w:hAnsi="Arial" w:cs="Arial"/>
                <w:sz w:val="22"/>
              </w:rPr>
              <w:t>Initial monotherapy in patients with &gt;20% total lung involvement on HRCT, indicative of significant fibrosis</w:t>
            </w:r>
          </w:p>
        </w:tc>
        <w:tc>
          <w:tcPr>
            <w:tcW w:w="1276" w:type="dxa"/>
            <w:vAlign w:val="center"/>
          </w:tcPr>
          <w:p w14:paraId="78D66653" w14:textId="290864B0" w:rsidR="00B85721" w:rsidRPr="00BD7D28" w:rsidRDefault="00B85721" w:rsidP="00B85721">
            <w:pPr>
              <w:spacing w:line="240" w:lineRule="auto"/>
              <w:jc w:val="center"/>
              <w:rPr>
                <w:rFonts w:ascii="Arial" w:hAnsi="Arial" w:cs="Arial"/>
                <w:sz w:val="22"/>
              </w:rPr>
            </w:pPr>
            <w:r w:rsidRPr="00BD7D28">
              <w:rPr>
                <w:rFonts w:ascii="Arial" w:hAnsi="Arial" w:cs="Arial"/>
                <w:sz w:val="22"/>
              </w:rPr>
              <w:t>0.59</w:t>
            </w:r>
          </w:p>
        </w:tc>
        <w:tc>
          <w:tcPr>
            <w:tcW w:w="1417" w:type="dxa"/>
            <w:vAlign w:val="center"/>
          </w:tcPr>
          <w:p w14:paraId="542087CB" w14:textId="420B88D5" w:rsidR="00B85721" w:rsidRPr="00BD7D28" w:rsidRDefault="00B85721" w:rsidP="00B85721">
            <w:pPr>
              <w:spacing w:line="240" w:lineRule="auto"/>
              <w:jc w:val="center"/>
              <w:rPr>
                <w:rFonts w:ascii="Arial" w:hAnsi="Arial" w:cs="Arial"/>
                <w:sz w:val="22"/>
              </w:rPr>
            </w:pPr>
            <w:r w:rsidRPr="00BD7D28">
              <w:rPr>
                <w:rFonts w:ascii="Arial" w:hAnsi="Arial" w:cs="Arial"/>
                <w:sz w:val="22"/>
              </w:rPr>
              <w:t>2.26</w:t>
            </w:r>
          </w:p>
        </w:tc>
        <w:tc>
          <w:tcPr>
            <w:tcW w:w="1418" w:type="dxa"/>
            <w:vAlign w:val="center"/>
          </w:tcPr>
          <w:p w14:paraId="7F066A82" w14:textId="69090209"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5E805CA6" w14:textId="77777777" w:rsidTr="009C68BE">
        <w:tc>
          <w:tcPr>
            <w:tcW w:w="5382" w:type="dxa"/>
            <w:vAlign w:val="center"/>
          </w:tcPr>
          <w:p w14:paraId="3816DA3A" w14:textId="1C02115B" w:rsidR="00B85721" w:rsidRPr="00BD7D28" w:rsidRDefault="00B85721" w:rsidP="00B85721">
            <w:pPr>
              <w:spacing w:line="240" w:lineRule="auto"/>
              <w:rPr>
                <w:rFonts w:ascii="Arial" w:hAnsi="Arial" w:cs="Arial"/>
                <w:sz w:val="22"/>
              </w:rPr>
            </w:pPr>
            <w:r w:rsidRPr="00BD7D28">
              <w:rPr>
                <w:rFonts w:ascii="Arial" w:hAnsi="Arial" w:cs="Arial"/>
                <w:sz w:val="22"/>
              </w:rPr>
              <w:t>Initial monotherapy in patients with longstanding SSc (&gt;5 years) with ILD and evidence of progression for whom immunosuppression would not be recommended</w:t>
            </w:r>
          </w:p>
        </w:tc>
        <w:tc>
          <w:tcPr>
            <w:tcW w:w="1276" w:type="dxa"/>
            <w:vAlign w:val="center"/>
          </w:tcPr>
          <w:p w14:paraId="5FBEBA23" w14:textId="2C42492D" w:rsidR="00B85721" w:rsidRPr="00BD7D28" w:rsidRDefault="00B85721" w:rsidP="00B85721">
            <w:pPr>
              <w:spacing w:line="240" w:lineRule="auto"/>
              <w:jc w:val="center"/>
              <w:rPr>
                <w:rFonts w:ascii="Arial" w:hAnsi="Arial" w:cs="Arial"/>
                <w:sz w:val="22"/>
              </w:rPr>
            </w:pPr>
            <w:r w:rsidRPr="00BD7D28">
              <w:rPr>
                <w:rFonts w:ascii="Arial" w:hAnsi="Arial" w:cs="Arial"/>
                <w:sz w:val="22"/>
              </w:rPr>
              <w:t>3.05</w:t>
            </w:r>
          </w:p>
        </w:tc>
        <w:tc>
          <w:tcPr>
            <w:tcW w:w="1417" w:type="dxa"/>
            <w:vAlign w:val="center"/>
          </w:tcPr>
          <w:p w14:paraId="32F7AD1A" w14:textId="05FE055D" w:rsidR="00B85721" w:rsidRPr="00BD7D28" w:rsidRDefault="00B85721" w:rsidP="00B85721">
            <w:pPr>
              <w:spacing w:line="240" w:lineRule="auto"/>
              <w:jc w:val="center"/>
              <w:rPr>
                <w:rFonts w:ascii="Arial" w:hAnsi="Arial" w:cs="Arial"/>
                <w:sz w:val="22"/>
              </w:rPr>
            </w:pPr>
            <w:r w:rsidRPr="00BD7D28">
              <w:rPr>
                <w:rFonts w:ascii="Arial" w:hAnsi="Arial" w:cs="Arial"/>
                <w:sz w:val="22"/>
              </w:rPr>
              <w:t>1.21</w:t>
            </w:r>
          </w:p>
        </w:tc>
        <w:tc>
          <w:tcPr>
            <w:tcW w:w="1418" w:type="dxa"/>
            <w:vAlign w:val="center"/>
          </w:tcPr>
          <w:p w14:paraId="62B896DC" w14:textId="3CB54587"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41A3D616" w14:textId="77777777" w:rsidTr="009C68BE">
        <w:tc>
          <w:tcPr>
            <w:tcW w:w="5382" w:type="dxa"/>
            <w:vAlign w:val="center"/>
          </w:tcPr>
          <w:p w14:paraId="0CEB8817" w14:textId="4558F07E" w:rsidR="00B85721" w:rsidRPr="00BD7D28" w:rsidRDefault="00B85721" w:rsidP="00B85721">
            <w:pPr>
              <w:spacing w:line="240" w:lineRule="auto"/>
              <w:rPr>
                <w:rFonts w:ascii="Arial" w:hAnsi="Arial" w:cs="Arial"/>
                <w:sz w:val="22"/>
              </w:rPr>
            </w:pPr>
            <w:r w:rsidRPr="00BD7D28">
              <w:rPr>
                <w:rFonts w:ascii="Arial" w:hAnsi="Arial" w:cs="Arial"/>
                <w:sz w:val="22"/>
              </w:rPr>
              <w:t>Dual initial therapy in combination with MMF/CYC</w:t>
            </w:r>
          </w:p>
        </w:tc>
        <w:tc>
          <w:tcPr>
            <w:tcW w:w="1276" w:type="dxa"/>
            <w:vAlign w:val="center"/>
          </w:tcPr>
          <w:p w14:paraId="42D08105" w14:textId="000EFE33" w:rsidR="00B85721" w:rsidRPr="00BD7D28" w:rsidRDefault="00B85721" w:rsidP="00B85721">
            <w:pPr>
              <w:spacing w:line="240" w:lineRule="auto"/>
              <w:jc w:val="center"/>
              <w:rPr>
                <w:rFonts w:ascii="Arial" w:hAnsi="Arial" w:cs="Arial"/>
                <w:sz w:val="22"/>
              </w:rPr>
            </w:pPr>
            <w:r w:rsidRPr="00BD7D28">
              <w:rPr>
                <w:rFonts w:ascii="Arial" w:hAnsi="Arial" w:cs="Arial"/>
                <w:sz w:val="22"/>
              </w:rPr>
              <w:t>1.59</w:t>
            </w:r>
          </w:p>
        </w:tc>
        <w:tc>
          <w:tcPr>
            <w:tcW w:w="1417" w:type="dxa"/>
            <w:vAlign w:val="center"/>
          </w:tcPr>
          <w:p w14:paraId="53F26C2A" w14:textId="5A3A97A2" w:rsidR="00B85721" w:rsidRPr="00BD7D28" w:rsidRDefault="00B85721" w:rsidP="00B85721">
            <w:pPr>
              <w:spacing w:line="240" w:lineRule="auto"/>
              <w:jc w:val="center"/>
              <w:rPr>
                <w:rFonts w:ascii="Arial" w:hAnsi="Arial" w:cs="Arial"/>
                <w:sz w:val="22"/>
              </w:rPr>
            </w:pPr>
            <w:r w:rsidRPr="00BD7D28">
              <w:rPr>
                <w:rFonts w:ascii="Arial" w:hAnsi="Arial" w:cs="Arial"/>
                <w:sz w:val="22"/>
              </w:rPr>
              <w:t>1.50</w:t>
            </w:r>
          </w:p>
        </w:tc>
        <w:tc>
          <w:tcPr>
            <w:tcW w:w="1418" w:type="dxa"/>
            <w:vAlign w:val="center"/>
          </w:tcPr>
          <w:p w14:paraId="162C6ED0" w14:textId="5713506C"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06CF6EF7" w14:textId="77777777" w:rsidTr="009C68BE">
        <w:tc>
          <w:tcPr>
            <w:tcW w:w="5382" w:type="dxa"/>
            <w:vAlign w:val="center"/>
          </w:tcPr>
          <w:p w14:paraId="65A3C5C9" w14:textId="5EE0B54C" w:rsidR="00B85721" w:rsidRPr="00BD7D28" w:rsidRDefault="00B85721" w:rsidP="00B85721">
            <w:pPr>
              <w:spacing w:line="240" w:lineRule="auto"/>
              <w:rPr>
                <w:rFonts w:ascii="Arial" w:hAnsi="Arial" w:cs="Arial"/>
                <w:sz w:val="22"/>
              </w:rPr>
            </w:pPr>
            <w:r w:rsidRPr="00BD7D28">
              <w:rPr>
                <w:rFonts w:ascii="Arial" w:hAnsi="Arial" w:cs="Arial"/>
                <w:sz w:val="22"/>
              </w:rPr>
              <w:t>Dual initial therapy in combination with TCZ</w:t>
            </w:r>
          </w:p>
        </w:tc>
        <w:tc>
          <w:tcPr>
            <w:tcW w:w="1276" w:type="dxa"/>
            <w:vAlign w:val="center"/>
          </w:tcPr>
          <w:p w14:paraId="56E79672" w14:textId="6D980DF5" w:rsidR="00B85721" w:rsidRPr="00BD7D28" w:rsidRDefault="00B85721" w:rsidP="00B85721">
            <w:pPr>
              <w:spacing w:line="240" w:lineRule="auto"/>
              <w:jc w:val="center"/>
              <w:rPr>
                <w:rFonts w:ascii="Arial" w:hAnsi="Arial" w:cs="Arial"/>
                <w:sz w:val="22"/>
              </w:rPr>
            </w:pPr>
            <w:r w:rsidRPr="00BD7D28">
              <w:rPr>
                <w:rFonts w:ascii="Arial" w:hAnsi="Arial" w:cs="Arial"/>
                <w:sz w:val="22"/>
              </w:rPr>
              <w:t>-0.05</w:t>
            </w:r>
          </w:p>
        </w:tc>
        <w:tc>
          <w:tcPr>
            <w:tcW w:w="1417" w:type="dxa"/>
            <w:vAlign w:val="center"/>
          </w:tcPr>
          <w:p w14:paraId="0D8378DF" w14:textId="7D5C58AD" w:rsidR="00B85721" w:rsidRPr="00BD7D28" w:rsidRDefault="00B85721" w:rsidP="00B85721">
            <w:pPr>
              <w:spacing w:line="240" w:lineRule="auto"/>
              <w:jc w:val="center"/>
              <w:rPr>
                <w:rFonts w:ascii="Arial" w:hAnsi="Arial" w:cs="Arial"/>
                <w:sz w:val="22"/>
              </w:rPr>
            </w:pPr>
            <w:r w:rsidRPr="00BD7D28">
              <w:rPr>
                <w:rFonts w:ascii="Arial" w:hAnsi="Arial" w:cs="Arial"/>
                <w:sz w:val="22"/>
              </w:rPr>
              <w:t>2.19</w:t>
            </w:r>
          </w:p>
        </w:tc>
        <w:tc>
          <w:tcPr>
            <w:tcW w:w="1418" w:type="dxa"/>
            <w:vAlign w:val="center"/>
          </w:tcPr>
          <w:p w14:paraId="07C0B43E" w14:textId="305C5F8E"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6BDC1373" w14:textId="77777777" w:rsidTr="009C68BE">
        <w:tc>
          <w:tcPr>
            <w:tcW w:w="5382" w:type="dxa"/>
            <w:vAlign w:val="center"/>
          </w:tcPr>
          <w:p w14:paraId="43DBE47C" w14:textId="74E3229A" w:rsidR="00B85721" w:rsidRPr="00BD7D28" w:rsidRDefault="00B85721" w:rsidP="00B85721">
            <w:pPr>
              <w:spacing w:line="240" w:lineRule="auto"/>
              <w:rPr>
                <w:rFonts w:ascii="Arial" w:hAnsi="Arial" w:cs="Arial"/>
                <w:sz w:val="22"/>
              </w:rPr>
            </w:pPr>
            <w:r w:rsidRPr="00BD7D28">
              <w:rPr>
                <w:rFonts w:ascii="Arial" w:hAnsi="Arial" w:cs="Arial"/>
                <w:sz w:val="22"/>
              </w:rPr>
              <w:t>Add-on therapy after failure of MMF</w:t>
            </w:r>
          </w:p>
        </w:tc>
        <w:tc>
          <w:tcPr>
            <w:tcW w:w="1276" w:type="dxa"/>
            <w:vAlign w:val="center"/>
          </w:tcPr>
          <w:p w14:paraId="65D94369" w14:textId="48B369A7" w:rsidR="00B85721" w:rsidRPr="00BD7D28" w:rsidRDefault="00B85721" w:rsidP="00B85721">
            <w:pPr>
              <w:spacing w:line="240" w:lineRule="auto"/>
              <w:jc w:val="center"/>
              <w:rPr>
                <w:rFonts w:ascii="Arial" w:hAnsi="Arial" w:cs="Arial"/>
                <w:sz w:val="22"/>
              </w:rPr>
            </w:pPr>
            <w:r w:rsidRPr="00BD7D28">
              <w:rPr>
                <w:rFonts w:ascii="Arial" w:hAnsi="Arial" w:cs="Arial"/>
                <w:sz w:val="22"/>
              </w:rPr>
              <w:t>3.82</w:t>
            </w:r>
          </w:p>
        </w:tc>
        <w:tc>
          <w:tcPr>
            <w:tcW w:w="1417" w:type="dxa"/>
            <w:vAlign w:val="center"/>
          </w:tcPr>
          <w:p w14:paraId="5AFBEF3B" w14:textId="25E90150" w:rsidR="00B85721" w:rsidRPr="00BD7D28" w:rsidRDefault="00B85721" w:rsidP="00B85721">
            <w:pPr>
              <w:spacing w:line="240" w:lineRule="auto"/>
              <w:jc w:val="center"/>
              <w:rPr>
                <w:rFonts w:ascii="Arial" w:hAnsi="Arial" w:cs="Arial"/>
                <w:sz w:val="22"/>
              </w:rPr>
            </w:pPr>
            <w:r w:rsidRPr="00BD7D28">
              <w:rPr>
                <w:rFonts w:ascii="Arial" w:hAnsi="Arial" w:cs="Arial"/>
                <w:sz w:val="22"/>
              </w:rPr>
              <w:t>0.66</w:t>
            </w:r>
          </w:p>
        </w:tc>
        <w:tc>
          <w:tcPr>
            <w:tcW w:w="1418" w:type="dxa"/>
            <w:vAlign w:val="center"/>
          </w:tcPr>
          <w:p w14:paraId="0E158D58" w14:textId="009BAA06"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2BF8A102" w14:textId="77777777" w:rsidTr="009C68BE">
        <w:tc>
          <w:tcPr>
            <w:tcW w:w="5382" w:type="dxa"/>
            <w:vAlign w:val="center"/>
          </w:tcPr>
          <w:p w14:paraId="6E654D7C" w14:textId="7C45A630" w:rsidR="00B85721" w:rsidRPr="00BD7D28" w:rsidRDefault="00B85721" w:rsidP="00B85721">
            <w:pPr>
              <w:spacing w:line="240" w:lineRule="auto"/>
              <w:rPr>
                <w:rFonts w:ascii="Arial" w:hAnsi="Arial" w:cs="Arial"/>
                <w:sz w:val="22"/>
              </w:rPr>
            </w:pPr>
            <w:r w:rsidRPr="00BD7D28">
              <w:rPr>
                <w:rFonts w:ascii="Arial" w:hAnsi="Arial" w:cs="Arial"/>
                <w:sz w:val="22"/>
              </w:rPr>
              <w:t>Add-on therapy after failure of CYC</w:t>
            </w:r>
          </w:p>
        </w:tc>
        <w:tc>
          <w:tcPr>
            <w:tcW w:w="1276" w:type="dxa"/>
            <w:vAlign w:val="center"/>
          </w:tcPr>
          <w:p w14:paraId="3F5A797F" w14:textId="170575D4" w:rsidR="00B85721" w:rsidRPr="00BD7D28" w:rsidRDefault="00B85721" w:rsidP="00B85721">
            <w:pPr>
              <w:spacing w:line="240" w:lineRule="auto"/>
              <w:jc w:val="center"/>
              <w:rPr>
                <w:rFonts w:ascii="Arial" w:hAnsi="Arial" w:cs="Arial"/>
                <w:sz w:val="22"/>
              </w:rPr>
            </w:pPr>
            <w:r w:rsidRPr="00BD7D28">
              <w:rPr>
                <w:rFonts w:ascii="Arial" w:hAnsi="Arial" w:cs="Arial"/>
                <w:sz w:val="22"/>
              </w:rPr>
              <w:t>3.64</w:t>
            </w:r>
          </w:p>
        </w:tc>
        <w:tc>
          <w:tcPr>
            <w:tcW w:w="1417" w:type="dxa"/>
            <w:vAlign w:val="center"/>
          </w:tcPr>
          <w:p w14:paraId="0CF3D9D4" w14:textId="4785F931" w:rsidR="00B85721" w:rsidRPr="00BD7D28" w:rsidRDefault="00B85721" w:rsidP="00B85721">
            <w:pPr>
              <w:spacing w:line="240" w:lineRule="auto"/>
              <w:jc w:val="center"/>
              <w:rPr>
                <w:rFonts w:ascii="Arial" w:hAnsi="Arial" w:cs="Arial"/>
                <w:sz w:val="22"/>
              </w:rPr>
            </w:pPr>
            <w:r w:rsidRPr="00BD7D28">
              <w:rPr>
                <w:rFonts w:ascii="Arial" w:hAnsi="Arial" w:cs="Arial"/>
                <w:sz w:val="22"/>
              </w:rPr>
              <w:t>0.79</w:t>
            </w:r>
          </w:p>
        </w:tc>
        <w:tc>
          <w:tcPr>
            <w:tcW w:w="1418" w:type="dxa"/>
            <w:vAlign w:val="center"/>
          </w:tcPr>
          <w:p w14:paraId="01F84195" w14:textId="30F448CB"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773B8573" w14:textId="77777777" w:rsidTr="009C68BE">
        <w:tc>
          <w:tcPr>
            <w:tcW w:w="5382" w:type="dxa"/>
            <w:vAlign w:val="center"/>
          </w:tcPr>
          <w:p w14:paraId="55EDD4EB" w14:textId="417B826A" w:rsidR="00B85721" w:rsidRPr="00BD7D28" w:rsidRDefault="00B85721" w:rsidP="00B85721">
            <w:pPr>
              <w:spacing w:line="240" w:lineRule="auto"/>
              <w:rPr>
                <w:rFonts w:ascii="Arial" w:hAnsi="Arial" w:cs="Arial"/>
                <w:sz w:val="22"/>
              </w:rPr>
            </w:pPr>
            <w:r w:rsidRPr="00BD7D28">
              <w:rPr>
                <w:rFonts w:ascii="Arial" w:hAnsi="Arial" w:cs="Arial"/>
                <w:sz w:val="22"/>
              </w:rPr>
              <w:t>Add-on therapy after failure of TCZ</w:t>
            </w:r>
          </w:p>
        </w:tc>
        <w:tc>
          <w:tcPr>
            <w:tcW w:w="1276" w:type="dxa"/>
            <w:vAlign w:val="center"/>
          </w:tcPr>
          <w:p w14:paraId="200E1523" w14:textId="3A46FD3E" w:rsidR="00B85721" w:rsidRPr="00BD7D28" w:rsidRDefault="00B85721" w:rsidP="00B85721">
            <w:pPr>
              <w:spacing w:line="240" w:lineRule="auto"/>
              <w:jc w:val="center"/>
              <w:rPr>
                <w:rFonts w:ascii="Arial" w:hAnsi="Arial" w:cs="Arial"/>
                <w:sz w:val="22"/>
              </w:rPr>
            </w:pPr>
            <w:r w:rsidRPr="00BD7D28">
              <w:rPr>
                <w:rFonts w:ascii="Arial" w:hAnsi="Arial" w:cs="Arial"/>
                <w:sz w:val="22"/>
              </w:rPr>
              <w:t>3.00</w:t>
            </w:r>
          </w:p>
        </w:tc>
        <w:tc>
          <w:tcPr>
            <w:tcW w:w="1417" w:type="dxa"/>
            <w:vAlign w:val="center"/>
          </w:tcPr>
          <w:p w14:paraId="574DAA6B" w14:textId="506DFA1B" w:rsidR="00B85721" w:rsidRPr="00BD7D28" w:rsidRDefault="00B85721" w:rsidP="00B85721">
            <w:pPr>
              <w:spacing w:line="240" w:lineRule="auto"/>
              <w:jc w:val="center"/>
              <w:rPr>
                <w:rFonts w:ascii="Arial" w:hAnsi="Arial" w:cs="Arial"/>
                <w:sz w:val="22"/>
              </w:rPr>
            </w:pPr>
            <w:r w:rsidRPr="00BD7D28">
              <w:rPr>
                <w:rFonts w:ascii="Arial" w:hAnsi="Arial" w:cs="Arial"/>
                <w:sz w:val="22"/>
              </w:rPr>
              <w:t>1.93</w:t>
            </w:r>
          </w:p>
        </w:tc>
        <w:tc>
          <w:tcPr>
            <w:tcW w:w="1418" w:type="dxa"/>
            <w:vAlign w:val="center"/>
          </w:tcPr>
          <w:p w14:paraId="598FA861" w14:textId="26994F2B"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2A748BAA" w14:textId="77777777" w:rsidTr="009C68BE">
        <w:tc>
          <w:tcPr>
            <w:tcW w:w="5382" w:type="dxa"/>
            <w:vAlign w:val="center"/>
          </w:tcPr>
          <w:p w14:paraId="289B754C" w14:textId="541EC33C" w:rsidR="00B85721" w:rsidRPr="00BD7D28" w:rsidRDefault="00B85721" w:rsidP="00B85721">
            <w:pPr>
              <w:spacing w:line="240" w:lineRule="auto"/>
              <w:rPr>
                <w:rFonts w:ascii="Arial" w:hAnsi="Arial" w:cs="Arial"/>
                <w:sz w:val="22"/>
              </w:rPr>
            </w:pPr>
            <w:r w:rsidRPr="00BD7D28">
              <w:rPr>
                <w:rFonts w:ascii="Arial" w:hAnsi="Arial" w:cs="Arial"/>
                <w:sz w:val="22"/>
              </w:rPr>
              <w:t>Add-on therapy after failure of MMF and CYC</w:t>
            </w:r>
          </w:p>
        </w:tc>
        <w:tc>
          <w:tcPr>
            <w:tcW w:w="1276" w:type="dxa"/>
            <w:vAlign w:val="center"/>
          </w:tcPr>
          <w:p w14:paraId="6EEFBE72" w14:textId="3B34C3C4" w:rsidR="00B85721" w:rsidRPr="00BD7D28" w:rsidRDefault="00B85721" w:rsidP="00B85721">
            <w:pPr>
              <w:spacing w:line="240" w:lineRule="auto"/>
              <w:jc w:val="center"/>
              <w:rPr>
                <w:rFonts w:ascii="Arial" w:hAnsi="Arial" w:cs="Arial"/>
                <w:sz w:val="22"/>
              </w:rPr>
            </w:pPr>
            <w:r w:rsidRPr="00BD7D28">
              <w:rPr>
                <w:rFonts w:ascii="Arial" w:hAnsi="Arial" w:cs="Arial"/>
                <w:sz w:val="22"/>
              </w:rPr>
              <w:t>3.82</w:t>
            </w:r>
          </w:p>
        </w:tc>
        <w:tc>
          <w:tcPr>
            <w:tcW w:w="1417" w:type="dxa"/>
            <w:vAlign w:val="center"/>
          </w:tcPr>
          <w:p w14:paraId="7E6A1372" w14:textId="7247106A" w:rsidR="00B85721" w:rsidRPr="00BD7D28" w:rsidRDefault="00B85721" w:rsidP="00B85721">
            <w:pPr>
              <w:spacing w:line="240" w:lineRule="auto"/>
              <w:jc w:val="center"/>
              <w:rPr>
                <w:rFonts w:ascii="Arial" w:hAnsi="Arial" w:cs="Arial"/>
                <w:sz w:val="22"/>
              </w:rPr>
            </w:pPr>
            <w:r w:rsidRPr="00BD7D28">
              <w:rPr>
                <w:rFonts w:ascii="Arial" w:hAnsi="Arial" w:cs="Arial"/>
                <w:sz w:val="22"/>
              </w:rPr>
              <w:t>0.73</w:t>
            </w:r>
          </w:p>
        </w:tc>
        <w:tc>
          <w:tcPr>
            <w:tcW w:w="1418" w:type="dxa"/>
            <w:vAlign w:val="center"/>
          </w:tcPr>
          <w:p w14:paraId="4678FC51" w14:textId="627ED9AB"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44B1C73D" w14:textId="77777777" w:rsidTr="009C68BE">
        <w:tc>
          <w:tcPr>
            <w:tcW w:w="5382" w:type="dxa"/>
            <w:vAlign w:val="center"/>
          </w:tcPr>
          <w:p w14:paraId="78B381EC" w14:textId="73354360" w:rsidR="00B85721" w:rsidRPr="00BD7D28" w:rsidRDefault="00B85721" w:rsidP="00B85721">
            <w:pPr>
              <w:spacing w:line="240" w:lineRule="auto"/>
              <w:rPr>
                <w:rFonts w:ascii="Arial" w:hAnsi="Arial" w:cs="Arial"/>
                <w:sz w:val="22"/>
              </w:rPr>
            </w:pPr>
            <w:r w:rsidRPr="00BD7D28">
              <w:rPr>
                <w:rFonts w:ascii="Arial" w:hAnsi="Arial" w:cs="Arial"/>
                <w:sz w:val="22"/>
              </w:rPr>
              <w:t>Add-on therapy after failure of TCZ and CYC</w:t>
            </w:r>
          </w:p>
        </w:tc>
        <w:tc>
          <w:tcPr>
            <w:tcW w:w="1276" w:type="dxa"/>
            <w:vAlign w:val="center"/>
          </w:tcPr>
          <w:p w14:paraId="198C2177" w14:textId="5D66C05F" w:rsidR="00B85721" w:rsidRPr="00BD7D28" w:rsidRDefault="00B85721" w:rsidP="00B85721">
            <w:pPr>
              <w:spacing w:line="240" w:lineRule="auto"/>
              <w:jc w:val="center"/>
              <w:rPr>
                <w:rFonts w:ascii="Arial" w:hAnsi="Arial" w:cs="Arial"/>
                <w:sz w:val="22"/>
              </w:rPr>
            </w:pPr>
            <w:r w:rsidRPr="00BD7D28">
              <w:rPr>
                <w:rFonts w:ascii="Arial" w:hAnsi="Arial" w:cs="Arial"/>
                <w:sz w:val="22"/>
              </w:rPr>
              <w:t>3.59</w:t>
            </w:r>
          </w:p>
        </w:tc>
        <w:tc>
          <w:tcPr>
            <w:tcW w:w="1417" w:type="dxa"/>
            <w:vAlign w:val="center"/>
          </w:tcPr>
          <w:p w14:paraId="2FEC86E8" w14:textId="49EED826" w:rsidR="00B85721" w:rsidRPr="00BD7D28" w:rsidRDefault="00B85721" w:rsidP="00B85721">
            <w:pPr>
              <w:spacing w:line="240" w:lineRule="auto"/>
              <w:jc w:val="center"/>
              <w:rPr>
                <w:rFonts w:ascii="Arial" w:hAnsi="Arial" w:cs="Arial"/>
                <w:sz w:val="22"/>
              </w:rPr>
            </w:pPr>
            <w:r w:rsidRPr="00BD7D28">
              <w:rPr>
                <w:rFonts w:ascii="Arial" w:hAnsi="Arial" w:cs="Arial"/>
                <w:sz w:val="22"/>
              </w:rPr>
              <w:t>0.73</w:t>
            </w:r>
          </w:p>
        </w:tc>
        <w:tc>
          <w:tcPr>
            <w:tcW w:w="1418" w:type="dxa"/>
            <w:vAlign w:val="center"/>
          </w:tcPr>
          <w:p w14:paraId="2000405C" w14:textId="3771660A"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4E9D2DF7" w14:textId="77777777" w:rsidTr="009C68BE">
        <w:tc>
          <w:tcPr>
            <w:tcW w:w="5382" w:type="dxa"/>
            <w:vAlign w:val="center"/>
          </w:tcPr>
          <w:p w14:paraId="77EB2DF8" w14:textId="7EF9494C" w:rsidR="00B85721" w:rsidRPr="00BD7D28" w:rsidRDefault="00B85721" w:rsidP="00B85721">
            <w:pPr>
              <w:spacing w:line="240" w:lineRule="auto"/>
              <w:rPr>
                <w:rFonts w:ascii="Arial" w:hAnsi="Arial" w:cs="Arial"/>
                <w:sz w:val="22"/>
              </w:rPr>
            </w:pPr>
            <w:r w:rsidRPr="00BD7D28">
              <w:rPr>
                <w:rFonts w:ascii="Arial" w:hAnsi="Arial" w:cs="Arial"/>
                <w:sz w:val="22"/>
              </w:rPr>
              <w:t>Add-on therapy after failure of TCZ and MMF</w:t>
            </w:r>
          </w:p>
        </w:tc>
        <w:tc>
          <w:tcPr>
            <w:tcW w:w="1276" w:type="dxa"/>
            <w:vAlign w:val="center"/>
          </w:tcPr>
          <w:p w14:paraId="144F6AF3" w14:textId="3C7DF061" w:rsidR="00B85721" w:rsidRPr="00BD7D28" w:rsidRDefault="00B85721" w:rsidP="00B85721">
            <w:pPr>
              <w:spacing w:line="240" w:lineRule="auto"/>
              <w:jc w:val="center"/>
              <w:rPr>
                <w:rFonts w:ascii="Arial" w:hAnsi="Arial" w:cs="Arial"/>
                <w:sz w:val="22"/>
              </w:rPr>
            </w:pPr>
            <w:r w:rsidRPr="00BD7D28">
              <w:rPr>
                <w:rFonts w:ascii="Arial" w:hAnsi="Arial" w:cs="Arial"/>
                <w:sz w:val="22"/>
              </w:rPr>
              <w:t>3.64</w:t>
            </w:r>
          </w:p>
        </w:tc>
        <w:tc>
          <w:tcPr>
            <w:tcW w:w="1417" w:type="dxa"/>
            <w:vAlign w:val="center"/>
          </w:tcPr>
          <w:p w14:paraId="45C69676" w14:textId="467B982C" w:rsidR="00B85721" w:rsidRPr="00BD7D28" w:rsidRDefault="00B85721" w:rsidP="00B85721">
            <w:pPr>
              <w:spacing w:line="240" w:lineRule="auto"/>
              <w:jc w:val="center"/>
              <w:rPr>
                <w:rFonts w:ascii="Arial" w:hAnsi="Arial" w:cs="Arial"/>
                <w:sz w:val="22"/>
              </w:rPr>
            </w:pPr>
            <w:r w:rsidRPr="00BD7D28">
              <w:rPr>
                <w:rFonts w:ascii="Arial" w:hAnsi="Arial" w:cs="Arial"/>
                <w:sz w:val="22"/>
              </w:rPr>
              <w:t>0.66</w:t>
            </w:r>
          </w:p>
        </w:tc>
        <w:tc>
          <w:tcPr>
            <w:tcW w:w="1418" w:type="dxa"/>
            <w:vAlign w:val="center"/>
          </w:tcPr>
          <w:p w14:paraId="6E8710D2" w14:textId="14645D36"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0DE745C8" w14:textId="77777777" w:rsidTr="009C68BE">
        <w:tc>
          <w:tcPr>
            <w:tcW w:w="5382" w:type="dxa"/>
            <w:vAlign w:val="center"/>
          </w:tcPr>
          <w:p w14:paraId="48D0CDD7" w14:textId="54279551" w:rsidR="00B85721" w:rsidRPr="00BD7D28" w:rsidRDefault="00B85721" w:rsidP="00B85721">
            <w:pPr>
              <w:spacing w:line="240" w:lineRule="auto"/>
              <w:rPr>
                <w:rFonts w:ascii="Arial" w:hAnsi="Arial" w:cs="Arial"/>
                <w:sz w:val="22"/>
              </w:rPr>
            </w:pPr>
            <w:r w:rsidRPr="00BD7D28">
              <w:rPr>
                <w:rFonts w:ascii="Arial" w:hAnsi="Arial" w:cs="Arial"/>
                <w:sz w:val="22"/>
              </w:rPr>
              <w:t xml:space="preserve">Add-on therapy after failure of TCZ and </w:t>
            </w:r>
            <w:r w:rsidRPr="00BD7D28">
              <w:rPr>
                <w:rFonts w:ascii="Arial" w:hAnsi="Arial" w:cs="Arial"/>
                <w:sz w:val="22"/>
              </w:rPr>
              <w:br/>
              <w:t>MMF and CYC</w:t>
            </w:r>
          </w:p>
        </w:tc>
        <w:tc>
          <w:tcPr>
            <w:tcW w:w="1276" w:type="dxa"/>
            <w:vAlign w:val="center"/>
          </w:tcPr>
          <w:p w14:paraId="0D759DE8" w14:textId="0D981461" w:rsidR="00B85721" w:rsidRPr="00BD7D28" w:rsidRDefault="00B85721" w:rsidP="00B85721">
            <w:pPr>
              <w:spacing w:line="240" w:lineRule="auto"/>
              <w:jc w:val="center"/>
              <w:rPr>
                <w:rFonts w:ascii="Arial" w:hAnsi="Arial" w:cs="Arial"/>
                <w:sz w:val="22"/>
              </w:rPr>
            </w:pPr>
            <w:r w:rsidRPr="00BD7D28">
              <w:rPr>
                <w:rFonts w:ascii="Arial" w:hAnsi="Arial" w:cs="Arial"/>
                <w:sz w:val="22"/>
              </w:rPr>
              <w:t>3.64</w:t>
            </w:r>
          </w:p>
        </w:tc>
        <w:tc>
          <w:tcPr>
            <w:tcW w:w="1417" w:type="dxa"/>
            <w:vAlign w:val="center"/>
          </w:tcPr>
          <w:p w14:paraId="743776DD" w14:textId="1E527973" w:rsidR="00B85721" w:rsidRPr="00BD7D28" w:rsidRDefault="00B85721" w:rsidP="00B85721">
            <w:pPr>
              <w:spacing w:line="240" w:lineRule="auto"/>
              <w:jc w:val="center"/>
              <w:rPr>
                <w:rFonts w:ascii="Arial" w:hAnsi="Arial" w:cs="Arial"/>
                <w:sz w:val="22"/>
              </w:rPr>
            </w:pPr>
            <w:r w:rsidRPr="00BD7D28">
              <w:rPr>
                <w:rFonts w:ascii="Arial" w:hAnsi="Arial" w:cs="Arial"/>
                <w:sz w:val="22"/>
              </w:rPr>
              <w:t>0.58</w:t>
            </w:r>
          </w:p>
        </w:tc>
        <w:tc>
          <w:tcPr>
            <w:tcW w:w="1418" w:type="dxa"/>
            <w:vAlign w:val="center"/>
          </w:tcPr>
          <w:p w14:paraId="0ED7F539" w14:textId="32B935FF"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32A85BEB" w14:textId="77777777" w:rsidTr="009C68BE">
        <w:tc>
          <w:tcPr>
            <w:tcW w:w="5382" w:type="dxa"/>
            <w:vAlign w:val="center"/>
          </w:tcPr>
          <w:p w14:paraId="0AE62880" w14:textId="7FDB114C" w:rsidR="00B85721" w:rsidRPr="00BD7D28" w:rsidRDefault="00B85721" w:rsidP="00B85721">
            <w:pPr>
              <w:spacing w:line="240" w:lineRule="auto"/>
              <w:rPr>
                <w:rFonts w:ascii="Arial" w:hAnsi="Arial" w:cs="Arial"/>
                <w:sz w:val="22"/>
              </w:rPr>
            </w:pPr>
            <w:r w:rsidRPr="00BD7D28">
              <w:rPr>
                <w:rFonts w:ascii="Arial" w:hAnsi="Arial" w:cs="Arial"/>
                <w:sz w:val="22"/>
              </w:rPr>
              <w:t>Add-on therapy to MMF/CYC</w:t>
            </w:r>
          </w:p>
        </w:tc>
        <w:tc>
          <w:tcPr>
            <w:tcW w:w="1276" w:type="dxa"/>
            <w:vAlign w:val="center"/>
          </w:tcPr>
          <w:p w14:paraId="3AAC7B23" w14:textId="12338307" w:rsidR="00B85721" w:rsidRPr="00BD7D28" w:rsidRDefault="00B85721" w:rsidP="00B85721">
            <w:pPr>
              <w:spacing w:line="240" w:lineRule="auto"/>
              <w:jc w:val="center"/>
              <w:rPr>
                <w:rFonts w:ascii="Arial" w:hAnsi="Arial" w:cs="Arial"/>
                <w:sz w:val="22"/>
              </w:rPr>
            </w:pPr>
            <w:r w:rsidRPr="00BD7D28">
              <w:rPr>
                <w:rFonts w:ascii="Arial" w:hAnsi="Arial" w:cs="Arial"/>
                <w:sz w:val="22"/>
              </w:rPr>
              <w:t>3.77</w:t>
            </w:r>
          </w:p>
        </w:tc>
        <w:tc>
          <w:tcPr>
            <w:tcW w:w="1417" w:type="dxa"/>
            <w:vAlign w:val="center"/>
          </w:tcPr>
          <w:p w14:paraId="05FCAFE1" w14:textId="5D36651B" w:rsidR="00B85721" w:rsidRPr="00BD7D28" w:rsidRDefault="00B85721" w:rsidP="00B85721">
            <w:pPr>
              <w:spacing w:line="240" w:lineRule="auto"/>
              <w:jc w:val="center"/>
              <w:rPr>
                <w:rFonts w:ascii="Arial" w:hAnsi="Arial" w:cs="Arial"/>
                <w:sz w:val="22"/>
              </w:rPr>
            </w:pPr>
            <w:r w:rsidRPr="00BD7D28">
              <w:rPr>
                <w:rFonts w:ascii="Arial" w:hAnsi="Arial" w:cs="Arial"/>
                <w:sz w:val="22"/>
              </w:rPr>
              <w:t>0.81</w:t>
            </w:r>
          </w:p>
        </w:tc>
        <w:tc>
          <w:tcPr>
            <w:tcW w:w="1418" w:type="dxa"/>
            <w:vAlign w:val="center"/>
          </w:tcPr>
          <w:p w14:paraId="49F40D20" w14:textId="1D11210F"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6F53E1DD" w14:textId="77777777" w:rsidTr="009C68BE">
        <w:tc>
          <w:tcPr>
            <w:tcW w:w="5382" w:type="dxa"/>
            <w:vAlign w:val="center"/>
          </w:tcPr>
          <w:p w14:paraId="2611531F" w14:textId="000CD340" w:rsidR="00B85721" w:rsidRPr="00BD7D28" w:rsidRDefault="00B85721" w:rsidP="00B85721">
            <w:pPr>
              <w:spacing w:line="240" w:lineRule="auto"/>
              <w:rPr>
                <w:rFonts w:ascii="Arial" w:hAnsi="Arial" w:cs="Arial"/>
                <w:sz w:val="22"/>
              </w:rPr>
            </w:pPr>
            <w:r w:rsidRPr="00BD7D28">
              <w:rPr>
                <w:rFonts w:ascii="Arial" w:hAnsi="Arial" w:cs="Arial"/>
                <w:sz w:val="22"/>
              </w:rPr>
              <w:t>Add-on therapy to TCZ</w:t>
            </w:r>
          </w:p>
        </w:tc>
        <w:tc>
          <w:tcPr>
            <w:tcW w:w="1276" w:type="dxa"/>
            <w:vAlign w:val="center"/>
          </w:tcPr>
          <w:p w14:paraId="01AE94A6" w14:textId="0710EA63" w:rsidR="00B85721" w:rsidRPr="00BD7D28" w:rsidRDefault="00B85721" w:rsidP="00B85721">
            <w:pPr>
              <w:spacing w:line="240" w:lineRule="auto"/>
              <w:jc w:val="center"/>
              <w:rPr>
                <w:rFonts w:ascii="Arial" w:hAnsi="Arial" w:cs="Arial"/>
                <w:sz w:val="22"/>
              </w:rPr>
            </w:pPr>
            <w:r w:rsidRPr="00BD7D28">
              <w:rPr>
                <w:rFonts w:ascii="Arial" w:hAnsi="Arial" w:cs="Arial"/>
                <w:sz w:val="22"/>
              </w:rPr>
              <w:t>2.18</w:t>
            </w:r>
          </w:p>
        </w:tc>
        <w:tc>
          <w:tcPr>
            <w:tcW w:w="1417" w:type="dxa"/>
            <w:vAlign w:val="center"/>
          </w:tcPr>
          <w:p w14:paraId="21894341" w14:textId="2EFC8AEB" w:rsidR="00B85721" w:rsidRPr="00BD7D28" w:rsidRDefault="00B85721" w:rsidP="00B85721">
            <w:pPr>
              <w:spacing w:line="240" w:lineRule="auto"/>
              <w:jc w:val="center"/>
              <w:rPr>
                <w:rFonts w:ascii="Arial" w:hAnsi="Arial" w:cs="Arial"/>
                <w:sz w:val="22"/>
              </w:rPr>
            </w:pPr>
            <w:r w:rsidRPr="00BD7D28">
              <w:rPr>
                <w:rFonts w:ascii="Arial" w:hAnsi="Arial" w:cs="Arial"/>
                <w:sz w:val="22"/>
              </w:rPr>
              <w:t>2.26</w:t>
            </w:r>
          </w:p>
        </w:tc>
        <w:tc>
          <w:tcPr>
            <w:tcW w:w="1418" w:type="dxa"/>
            <w:vAlign w:val="center"/>
          </w:tcPr>
          <w:p w14:paraId="29E5C8C4" w14:textId="4068311A"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76C12498" w14:textId="77777777" w:rsidTr="00B85721">
        <w:tc>
          <w:tcPr>
            <w:tcW w:w="9493" w:type="dxa"/>
            <w:gridSpan w:val="4"/>
            <w:vAlign w:val="center"/>
          </w:tcPr>
          <w:p w14:paraId="6662C8E0" w14:textId="1660A003" w:rsidR="00B85721" w:rsidRPr="00BD7D28" w:rsidRDefault="00B85721" w:rsidP="00B85721">
            <w:pPr>
              <w:spacing w:line="240" w:lineRule="auto"/>
              <w:rPr>
                <w:rFonts w:ascii="Arial" w:eastAsia="Calibri" w:hAnsi="Arial" w:cs="Arial"/>
                <w:sz w:val="22"/>
                <w:lang w:val="en-GB"/>
              </w:rPr>
            </w:pPr>
            <w:r w:rsidRPr="00BD7D28">
              <w:rPr>
                <w:rFonts w:ascii="Arial" w:hAnsi="Arial" w:cs="Arial"/>
                <w:b/>
                <w:bCs/>
                <w:sz w:val="22"/>
              </w:rPr>
              <w:t xml:space="preserve">Use of </w:t>
            </w:r>
            <w:r w:rsidR="00B811AE" w:rsidRPr="00BD7D28">
              <w:rPr>
                <w:rFonts w:ascii="Arial" w:hAnsi="Arial" w:cs="Arial"/>
                <w:b/>
                <w:bCs/>
                <w:sz w:val="22"/>
              </w:rPr>
              <w:t>TCZ</w:t>
            </w:r>
          </w:p>
        </w:tc>
      </w:tr>
      <w:tr w:rsidR="00BD7D28" w:rsidRPr="00BD7D28" w14:paraId="6F878C7C" w14:textId="77777777" w:rsidTr="00B85721">
        <w:tc>
          <w:tcPr>
            <w:tcW w:w="9493" w:type="dxa"/>
            <w:gridSpan w:val="4"/>
            <w:vAlign w:val="center"/>
          </w:tcPr>
          <w:p w14:paraId="7468B228" w14:textId="7B196B51" w:rsidR="00B85721" w:rsidRPr="00BD7D28" w:rsidRDefault="00B85721" w:rsidP="00B85721">
            <w:pPr>
              <w:spacing w:line="240" w:lineRule="auto"/>
              <w:rPr>
                <w:rFonts w:ascii="Arial" w:hAnsi="Arial" w:cs="Arial"/>
                <w:b/>
                <w:bCs/>
                <w:sz w:val="22"/>
              </w:rPr>
            </w:pPr>
            <w:r w:rsidRPr="00BD7D28">
              <w:rPr>
                <w:rFonts w:ascii="Arial" w:hAnsi="Arial" w:cs="Arial"/>
                <w:b/>
                <w:bCs/>
                <w:sz w:val="22"/>
              </w:rPr>
              <w:t xml:space="preserve">I would use </w:t>
            </w:r>
            <w:r w:rsidR="00B811AE" w:rsidRPr="00BD7D28">
              <w:rPr>
                <w:rFonts w:ascii="Arial" w:hAnsi="Arial" w:cs="Arial"/>
                <w:b/>
                <w:bCs/>
                <w:sz w:val="22"/>
              </w:rPr>
              <w:t xml:space="preserve">TCZ </w:t>
            </w:r>
            <w:r w:rsidRPr="00BD7D28">
              <w:rPr>
                <w:rFonts w:ascii="Arial" w:hAnsi="Arial" w:cs="Arial"/>
                <w:b/>
                <w:bCs/>
                <w:sz w:val="22"/>
              </w:rPr>
              <w:t xml:space="preserve">for treating patients with SSc-ILD under the following </w:t>
            </w:r>
            <w:r w:rsidRPr="00BD7D28">
              <w:rPr>
                <w:rFonts w:ascii="Arial" w:hAnsi="Arial" w:cs="Arial"/>
                <w:b/>
                <w:bCs/>
                <w:sz w:val="22"/>
              </w:rPr>
              <w:br/>
              <w:t>clinical conditions:</w:t>
            </w:r>
          </w:p>
        </w:tc>
      </w:tr>
      <w:tr w:rsidR="00BD7D28" w:rsidRPr="00BD7D28" w14:paraId="504F173D" w14:textId="77777777" w:rsidTr="00721B20">
        <w:tc>
          <w:tcPr>
            <w:tcW w:w="5382" w:type="dxa"/>
          </w:tcPr>
          <w:p w14:paraId="1201C1FD" w14:textId="52FF4366" w:rsidR="00B85721" w:rsidRPr="00BD7D28" w:rsidRDefault="00B85721" w:rsidP="00B85721">
            <w:pPr>
              <w:spacing w:line="240" w:lineRule="auto"/>
              <w:rPr>
                <w:rFonts w:ascii="Arial" w:hAnsi="Arial" w:cs="Arial"/>
                <w:i/>
                <w:iCs/>
                <w:sz w:val="22"/>
              </w:rPr>
            </w:pPr>
            <w:r w:rsidRPr="00BD7D28">
              <w:rPr>
                <w:rFonts w:ascii="Arial" w:hAnsi="Arial" w:cs="Arial"/>
                <w:sz w:val="22"/>
              </w:rPr>
              <w:t>Patients with early SSc and ILD with progressive skin disease</w:t>
            </w:r>
          </w:p>
        </w:tc>
        <w:tc>
          <w:tcPr>
            <w:tcW w:w="1276" w:type="dxa"/>
            <w:vAlign w:val="center"/>
          </w:tcPr>
          <w:p w14:paraId="687BC613" w14:textId="25C97673" w:rsidR="00B85721" w:rsidRPr="00BD7D28" w:rsidRDefault="00B85721" w:rsidP="00B85721">
            <w:pPr>
              <w:spacing w:line="240" w:lineRule="auto"/>
              <w:jc w:val="center"/>
              <w:rPr>
                <w:rFonts w:ascii="Arial" w:hAnsi="Arial" w:cs="Arial"/>
                <w:sz w:val="22"/>
              </w:rPr>
            </w:pPr>
            <w:r w:rsidRPr="00BD7D28">
              <w:rPr>
                <w:rFonts w:ascii="Arial" w:hAnsi="Arial" w:cs="Arial"/>
                <w:sz w:val="22"/>
              </w:rPr>
              <w:t>1.45</w:t>
            </w:r>
          </w:p>
        </w:tc>
        <w:tc>
          <w:tcPr>
            <w:tcW w:w="1417" w:type="dxa"/>
            <w:vAlign w:val="center"/>
          </w:tcPr>
          <w:p w14:paraId="6F6AA576" w14:textId="3CD1DDD0" w:rsidR="00B85721" w:rsidRPr="00BD7D28" w:rsidRDefault="00B85721" w:rsidP="00B85721">
            <w:pPr>
              <w:spacing w:line="240" w:lineRule="auto"/>
              <w:jc w:val="center"/>
              <w:rPr>
                <w:rFonts w:ascii="Arial" w:hAnsi="Arial" w:cs="Arial"/>
                <w:sz w:val="22"/>
              </w:rPr>
            </w:pPr>
            <w:r w:rsidRPr="00BD7D28">
              <w:rPr>
                <w:rFonts w:ascii="Arial" w:hAnsi="Arial" w:cs="Arial"/>
                <w:sz w:val="22"/>
              </w:rPr>
              <w:t>2.13</w:t>
            </w:r>
          </w:p>
        </w:tc>
        <w:tc>
          <w:tcPr>
            <w:tcW w:w="1418" w:type="dxa"/>
            <w:vAlign w:val="center"/>
          </w:tcPr>
          <w:p w14:paraId="695A828C" w14:textId="07100776"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7AF9AF88" w14:textId="77777777" w:rsidTr="00721B20">
        <w:tc>
          <w:tcPr>
            <w:tcW w:w="5382" w:type="dxa"/>
          </w:tcPr>
          <w:p w14:paraId="41C87881" w14:textId="57CFE0C0" w:rsidR="00B85721" w:rsidRPr="00BD7D28" w:rsidRDefault="00B85721" w:rsidP="00B85721">
            <w:pPr>
              <w:spacing w:line="240" w:lineRule="auto"/>
              <w:rPr>
                <w:rFonts w:ascii="Arial" w:hAnsi="Arial" w:cs="Arial"/>
                <w:sz w:val="22"/>
              </w:rPr>
            </w:pPr>
            <w:r w:rsidRPr="00BD7D28">
              <w:rPr>
                <w:rFonts w:ascii="Arial" w:hAnsi="Arial" w:cs="Arial"/>
                <w:sz w:val="22"/>
              </w:rPr>
              <w:t>Patients with early SSc and ILD with anti-topoisomerase antibodies</w:t>
            </w:r>
          </w:p>
        </w:tc>
        <w:tc>
          <w:tcPr>
            <w:tcW w:w="1276" w:type="dxa"/>
            <w:vAlign w:val="center"/>
          </w:tcPr>
          <w:p w14:paraId="42C3D35E" w14:textId="5CEE18C3" w:rsidR="00B85721" w:rsidRPr="00BD7D28" w:rsidRDefault="00B85721" w:rsidP="00B85721">
            <w:pPr>
              <w:spacing w:line="240" w:lineRule="auto"/>
              <w:jc w:val="center"/>
              <w:rPr>
                <w:rFonts w:ascii="Arial" w:hAnsi="Arial" w:cs="Arial"/>
                <w:sz w:val="22"/>
              </w:rPr>
            </w:pPr>
            <w:r w:rsidRPr="00BD7D28">
              <w:rPr>
                <w:rFonts w:ascii="Arial" w:hAnsi="Arial" w:cs="Arial"/>
                <w:sz w:val="22"/>
              </w:rPr>
              <w:t>2.45</w:t>
            </w:r>
          </w:p>
        </w:tc>
        <w:tc>
          <w:tcPr>
            <w:tcW w:w="1417" w:type="dxa"/>
            <w:vAlign w:val="center"/>
          </w:tcPr>
          <w:p w14:paraId="6D908334" w14:textId="3538EA13" w:rsidR="00B85721" w:rsidRPr="00BD7D28" w:rsidRDefault="00B85721" w:rsidP="00B85721">
            <w:pPr>
              <w:spacing w:line="240" w:lineRule="auto"/>
              <w:jc w:val="center"/>
              <w:rPr>
                <w:rFonts w:ascii="Arial" w:hAnsi="Arial" w:cs="Arial"/>
                <w:sz w:val="22"/>
              </w:rPr>
            </w:pPr>
            <w:r w:rsidRPr="00BD7D28">
              <w:rPr>
                <w:rFonts w:ascii="Arial" w:hAnsi="Arial" w:cs="Arial"/>
                <w:sz w:val="22"/>
              </w:rPr>
              <w:t>1.01</w:t>
            </w:r>
          </w:p>
        </w:tc>
        <w:tc>
          <w:tcPr>
            <w:tcW w:w="1418" w:type="dxa"/>
            <w:vAlign w:val="center"/>
          </w:tcPr>
          <w:p w14:paraId="5C065BB9" w14:textId="11A9980F"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09EA46D6" w14:textId="77777777" w:rsidTr="00721B20">
        <w:tc>
          <w:tcPr>
            <w:tcW w:w="5382" w:type="dxa"/>
          </w:tcPr>
          <w:p w14:paraId="476AE1E4" w14:textId="7BAC43C6" w:rsidR="00B85721" w:rsidRPr="00BD7D28" w:rsidRDefault="00B85721" w:rsidP="00B85721">
            <w:pPr>
              <w:spacing w:line="240" w:lineRule="auto"/>
              <w:rPr>
                <w:rFonts w:ascii="Arial" w:hAnsi="Arial" w:cs="Arial"/>
                <w:sz w:val="22"/>
              </w:rPr>
            </w:pPr>
            <w:r w:rsidRPr="00BD7D28">
              <w:rPr>
                <w:rFonts w:ascii="Arial" w:hAnsi="Arial" w:cs="Arial"/>
                <w:sz w:val="22"/>
              </w:rPr>
              <w:t>Patients with early SSc and ILD with elevated acute-phase reactants</w:t>
            </w:r>
          </w:p>
        </w:tc>
        <w:tc>
          <w:tcPr>
            <w:tcW w:w="1276" w:type="dxa"/>
            <w:vAlign w:val="center"/>
          </w:tcPr>
          <w:p w14:paraId="6A68B3F4" w14:textId="1AB10070" w:rsidR="00B85721" w:rsidRPr="00BD7D28" w:rsidRDefault="00B85721" w:rsidP="00B85721">
            <w:pPr>
              <w:spacing w:line="240" w:lineRule="auto"/>
              <w:jc w:val="center"/>
              <w:rPr>
                <w:rFonts w:ascii="Arial" w:hAnsi="Arial" w:cs="Arial"/>
                <w:sz w:val="22"/>
              </w:rPr>
            </w:pPr>
            <w:r w:rsidRPr="00BD7D28">
              <w:rPr>
                <w:rFonts w:ascii="Arial" w:hAnsi="Arial" w:cs="Arial"/>
                <w:sz w:val="22"/>
              </w:rPr>
              <w:t>3.18</w:t>
            </w:r>
          </w:p>
        </w:tc>
        <w:tc>
          <w:tcPr>
            <w:tcW w:w="1417" w:type="dxa"/>
            <w:vAlign w:val="center"/>
          </w:tcPr>
          <w:p w14:paraId="4DCC8676" w14:textId="136A85C2" w:rsidR="00B85721" w:rsidRPr="00BD7D28" w:rsidRDefault="00B85721" w:rsidP="00B85721">
            <w:pPr>
              <w:spacing w:line="240" w:lineRule="auto"/>
              <w:jc w:val="center"/>
              <w:rPr>
                <w:rFonts w:ascii="Arial" w:hAnsi="Arial" w:cs="Arial"/>
                <w:sz w:val="22"/>
              </w:rPr>
            </w:pPr>
            <w:r w:rsidRPr="00BD7D28">
              <w:rPr>
                <w:rFonts w:ascii="Arial" w:hAnsi="Arial" w:cs="Arial"/>
                <w:sz w:val="22"/>
              </w:rPr>
              <w:t>0.96</w:t>
            </w:r>
          </w:p>
        </w:tc>
        <w:tc>
          <w:tcPr>
            <w:tcW w:w="1418" w:type="dxa"/>
            <w:vAlign w:val="center"/>
          </w:tcPr>
          <w:p w14:paraId="3A4F2925" w14:textId="4A3F4EEC"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1B1EE231" w14:textId="77777777" w:rsidTr="00721B20">
        <w:tc>
          <w:tcPr>
            <w:tcW w:w="5382" w:type="dxa"/>
          </w:tcPr>
          <w:p w14:paraId="3A139DCE" w14:textId="0AD843C7" w:rsidR="00B85721" w:rsidRPr="00BD7D28" w:rsidRDefault="00B85721" w:rsidP="00B85721">
            <w:pPr>
              <w:spacing w:line="240" w:lineRule="auto"/>
              <w:rPr>
                <w:rFonts w:ascii="Arial" w:hAnsi="Arial" w:cs="Arial"/>
                <w:sz w:val="22"/>
              </w:rPr>
            </w:pPr>
            <w:r w:rsidRPr="00BD7D28">
              <w:rPr>
                <w:rFonts w:ascii="Arial" w:hAnsi="Arial" w:cs="Arial"/>
                <w:sz w:val="22"/>
              </w:rPr>
              <w:t>Any patient with early SSc and ILD</w:t>
            </w:r>
          </w:p>
        </w:tc>
        <w:tc>
          <w:tcPr>
            <w:tcW w:w="1276" w:type="dxa"/>
            <w:vAlign w:val="center"/>
          </w:tcPr>
          <w:p w14:paraId="1D99AC53" w14:textId="62E8B88D" w:rsidR="00B85721" w:rsidRPr="00BD7D28" w:rsidRDefault="00CC23A0" w:rsidP="00B85721">
            <w:pPr>
              <w:spacing w:line="240" w:lineRule="auto"/>
              <w:jc w:val="center"/>
              <w:rPr>
                <w:rFonts w:ascii="Arial" w:hAnsi="Arial" w:cs="Arial"/>
                <w:sz w:val="22"/>
              </w:rPr>
            </w:pPr>
            <w:r w:rsidRPr="00BD7D28">
              <w:rPr>
                <w:rFonts w:ascii="Verdana" w:hAnsi="Verdana" w:cs="Arial"/>
                <w:sz w:val="22"/>
              </w:rPr>
              <w:t>–</w:t>
            </w:r>
            <w:r w:rsidR="00B85721" w:rsidRPr="00BD7D28">
              <w:rPr>
                <w:rFonts w:ascii="Arial" w:hAnsi="Arial" w:cs="Arial"/>
                <w:sz w:val="22"/>
              </w:rPr>
              <w:t>0.23</w:t>
            </w:r>
          </w:p>
        </w:tc>
        <w:tc>
          <w:tcPr>
            <w:tcW w:w="1417" w:type="dxa"/>
            <w:vAlign w:val="center"/>
          </w:tcPr>
          <w:p w14:paraId="2B74A061" w14:textId="71FA961E" w:rsidR="00B85721" w:rsidRPr="00BD7D28" w:rsidRDefault="00B85721" w:rsidP="00B85721">
            <w:pPr>
              <w:spacing w:line="240" w:lineRule="auto"/>
              <w:jc w:val="center"/>
              <w:rPr>
                <w:rFonts w:ascii="Arial" w:hAnsi="Arial" w:cs="Arial"/>
                <w:sz w:val="22"/>
              </w:rPr>
            </w:pPr>
            <w:r w:rsidRPr="00BD7D28">
              <w:rPr>
                <w:rFonts w:ascii="Arial" w:hAnsi="Arial" w:cs="Arial"/>
                <w:sz w:val="22"/>
              </w:rPr>
              <w:t>2.18</w:t>
            </w:r>
          </w:p>
        </w:tc>
        <w:tc>
          <w:tcPr>
            <w:tcW w:w="1418" w:type="dxa"/>
            <w:vAlign w:val="center"/>
          </w:tcPr>
          <w:p w14:paraId="343973DE" w14:textId="79C38999"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4EA4468D" w14:textId="77777777" w:rsidTr="00721B20">
        <w:tc>
          <w:tcPr>
            <w:tcW w:w="5382" w:type="dxa"/>
          </w:tcPr>
          <w:p w14:paraId="4CEA20E0" w14:textId="0F33707C" w:rsidR="00B85721" w:rsidRPr="00BD7D28" w:rsidRDefault="00B85721" w:rsidP="00B85721">
            <w:pPr>
              <w:spacing w:line="240" w:lineRule="auto"/>
              <w:rPr>
                <w:rFonts w:ascii="Arial" w:hAnsi="Arial" w:cs="Arial"/>
                <w:sz w:val="22"/>
              </w:rPr>
            </w:pPr>
            <w:r w:rsidRPr="00BD7D28">
              <w:rPr>
                <w:rFonts w:ascii="Arial" w:hAnsi="Arial" w:cs="Arial"/>
                <w:sz w:val="22"/>
              </w:rPr>
              <w:t>Patients with clinical ILD (according to symptoms, HRCT, FVC and/or DL</w:t>
            </w:r>
            <w:r w:rsidRPr="00BD7D28">
              <w:rPr>
                <w:rFonts w:ascii="Arial" w:hAnsi="Arial" w:cs="Arial"/>
                <w:sz w:val="22"/>
                <w:vertAlign w:val="subscript"/>
              </w:rPr>
              <w:t>CO</w:t>
            </w:r>
            <w:r w:rsidRPr="00BD7D28">
              <w:rPr>
                <w:rFonts w:ascii="Arial" w:hAnsi="Arial" w:cs="Arial"/>
                <w:sz w:val="22"/>
              </w:rPr>
              <w:t>) with active extrapulmonary manifestations</w:t>
            </w:r>
          </w:p>
        </w:tc>
        <w:tc>
          <w:tcPr>
            <w:tcW w:w="1276" w:type="dxa"/>
            <w:vAlign w:val="center"/>
          </w:tcPr>
          <w:p w14:paraId="4CFC20F1" w14:textId="436EEFAE" w:rsidR="00B85721" w:rsidRPr="00BD7D28" w:rsidRDefault="00B85721" w:rsidP="00B85721">
            <w:pPr>
              <w:spacing w:line="240" w:lineRule="auto"/>
              <w:jc w:val="center"/>
              <w:rPr>
                <w:rFonts w:ascii="Arial" w:hAnsi="Arial" w:cs="Arial"/>
                <w:sz w:val="22"/>
              </w:rPr>
            </w:pPr>
            <w:r w:rsidRPr="00BD7D28">
              <w:rPr>
                <w:rFonts w:ascii="Arial" w:hAnsi="Arial" w:cs="Arial"/>
                <w:sz w:val="22"/>
              </w:rPr>
              <w:t>0.32</w:t>
            </w:r>
          </w:p>
        </w:tc>
        <w:tc>
          <w:tcPr>
            <w:tcW w:w="1417" w:type="dxa"/>
            <w:vAlign w:val="center"/>
          </w:tcPr>
          <w:p w14:paraId="7F88A925" w14:textId="11EDCD9D" w:rsidR="00B85721" w:rsidRPr="00BD7D28" w:rsidRDefault="00B85721" w:rsidP="00B85721">
            <w:pPr>
              <w:spacing w:line="240" w:lineRule="auto"/>
              <w:jc w:val="center"/>
              <w:rPr>
                <w:rFonts w:ascii="Arial" w:hAnsi="Arial" w:cs="Arial"/>
                <w:sz w:val="22"/>
              </w:rPr>
            </w:pPr>
            <w:r w:rsidRPr="00BD7D28">
              <w:rPr>
                <w:rFonts w:ascii="Arial" w:hAnsi="Arial" w:cs="Arial"/>
                <w:sz w:val="22"/>
              </w:rPr>
              <w:t>2.10</w:t>
            </w:r>
          </w:p>
        </w:tc>
        <w:tc>
          <w:tcPr>
            <w:tcW w:w="1418" w:type="dxa"/>
            <w:vAlign w:val="center"/>
          </w:tcPr>
          <w:p w14:paraId="38CDEA5A" w14:textId="5D82B8ED"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4FC9922E" w14:textId="77777777" w:rsidTr="00721B20">
        <w:tc>
          <w:tcPr>
            <w:tcW w:w="5382" w:type="dxa"/>
          </w:tcPr>
          <w:p w14:paraId="72334EC1" w14:textId="02F9BF90" w:rsidR="00B85721" w:rsidRPr="00BD7D28" w:rsidRDefault="00B85721" w:rsidP="00B85721">
            <w:pPr>
              <w:spacing w:line="240" w:lineRule="auto"/>
              <w:rPr>
                <w:rFonts w:ascii="Arial" w:hAnsi="Arial" w:cs="Arial"/>
                <w:sz w:val="22"/>
              </w:rPr>
            </w:pPr>
            <w:r w:rsidRPr="00BD7D28">
              <w:rPr>
                <w:rFonts w:ascii="Arial" w:hAnsi="Arial" w:cs="Arial"/>
                <w:sz w:val="22"/>
              </w:rPr>
              <w:t>Patients with clinical ILD (according to symptoms, HRCT, FVC and/or DL</w:t>
            </w:r>
            <w:r w:rsidRPr="00BD7D28">
              <w:rPr>
                <w:rFonts w:ascii="Arial" w:hAnsi="Arial" w:cs="Arial"/>
                <w:sz w:val="22"/>
                <w:vertAlign w:val="subscript"/>
              </w:rPr>
              <w:t>CO</w:t>
            </w:r>
            <w:r w:rsidRPr="00BD7D28">
              <w:rPr>
                <w:rFonts w:ascii="Arial" w:hAnsi="Arial" w:cs="Arial"/>
                <w:sz w:val="22"/>
              </w:rPr>
              <w:t>) with quiescent extrapulmonary manifestations</w:t>
            </w:r>
          </w:p>
        </w:tc>
        <w:tc>
          <w:tcPr>
            <w:tcW w:w="1276" w:type="dxa"/>
            <w:vAlign w:val="center"/>
          </w:tcPr>
          <w:p w14:paraId="35613FC5" w14:textId="4236AA6A" w:rsidR="00B85721" w:rsidRPr="00BD7D28" w:rsidRDefault="00B85721" w:rsidP="00B85721">
            <w:pPr>
              <w:spacing w:line="240" w:lineRule="auto"/>
              <w:jc w:val="center"/>
              <w:rPr>
                <w:rFonts w:ascii="Arial" w:hAnsi="Arial" w:cs="Arial"/>
                <w:sz w:val="22"/>
              </w:rPr>
            </w:pPr>
            <w:r w:rsidRPr="00BD7D28">
              <w:rPr>
                <w:rFonts w:ascii="Arial" w:hAnsi="Arial" w:cs="Arial"/>
                <w:sz w:val="22"/>
              </w:rPr>
              <w:t>0.77</w:t>
            </w:r>
          </w:p>
        </w:tc>
        <w:tc>
          <w:tcPr>
            <w:tcW w:w="1417" w:type="dxa"/>
            <w:vAlign w:val="center"/>
          </w:tcPr>
          <w:p w14:paraId="6ED83391" w14:textId="463479B4" w:rsidR="00B85721" w:rsidRPr="00BD7D28" w:rsidRDefault="00B85721" w:rsidP="00B85721">
            <w:pPr>
              <w:spacing w:line="240" w:lineRule="auto"/>
              <w:jc w:val="center"/>
              <w:rPr>
                <w:rFonts w:ascii="Arial" w:hAnsi="Arial" w:cs="Arial"/>
                <w:sz w:val="22"/>
              </w:rPr>
            </w:pPr>
            <w:r w:rsidRPr="00BD7D28">
              <w:rPr>
                <w:rFonts w:ascii="Arial" w:hAnsi="Arial" w:cs="Arial"/>
                <w:sz w:val="22"/>
              </w:rPr>
              <w:t>2.02</w:t>
            </w:r>
          </w:p>
        </w:tc>
        <w:tc>
          <w:tcPr>
            <w:tcW w:w="1418" w:type="dxa"/>
            <w:vAlign w:val="center"/>
          </w:tcPr>
          <w:p w14:paraId="773F3B0E" w14:textId="7AFD5029"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2A83EC98" w14:textId="77777777" w:rsidTr="00721B20">
        <w:tc>
          <w:tcPr>
            <w:tcW w:w="5382" w:type="dxa"/>
          </w:tcPr>
          <w:p w14:paraId="4C5A5B7B" w14:textId="22183FEA" w:rsidR="00B85721" w:rsidRPr="00BD7D28" w:rsidRDefault="00B85721" w:rsidP="00B85721">
            <w:pPr>
              <w:spacing w:line="240" w:lineRule="auto"/>
              <w:rPr>
                <w:rFonts w:ascii="Arial" w:hAnsi="Arial" w:cs="Arial"/>
                <w:sz w:val="22"/>
              </w:rPr>
            </w:pPr>
            <w:r w:rsidRPr="00BD7D28">
              <w:rPr>
                <w:rFonts w:ascii="Arial" w:hAnsi="Arial" w:cs="Arial"/>
                <w:sz w:val="22"/>
              </w:rPr>
              <w:t>Patients with progressive ILD despite antifibrotic therapy</w:t>
            </w:r>
          </w:p>
        </w:tc>
        <w:tc>
          <w:tcPr>
            <w:tcW w:w="1276" w:type="dxa"/>
            <w:vAlign w:val="center"/>
          </w:tcPr>
          <w:p w14:paraId="417461A3" w14:textId="1758AC6E" w:rsidR="00B85721" w:rsidRPr="00BD7D28" w:rsidRDefault="00B85721" w:rsidP="00B85721">
            <w:pPr>
              <w:spacing w:line="240" w:lineRule="auto"/>
              <w:jc w:val="center"/>
              <w:rPr>
                <w:rFonts w:ascii="Arial" w:hAnsi="Arial" w:cs="Arial"/>
                <w:sz w:val="22"/>
              </w:rPr>
            </w:pPr>
            <w:r w:rsidRPr="00BD7D28">
              <w:rPr>
                <w:rFonts w:ascii="Arial" w:hAnsi="Arial" w:cs="Arial"/>
                <w:sz w:val="22"/>
              </w:rPr>
              <w:t>1.14</w:t>
            </w:r>
          </w:p>
        </w:tc>
        <w:tc>
          <w:tcPr>
            <w:tcW w:w="1417" w:type="dxa"/>
            <w:vAlign w:val="center"/>
          </w:tcPr>
          <w:p w14:paraId="28D28FE5" w14:textId="3FDBC92F" w:rsidR="00B85721" w:rsidRPr="00BD7D28" w:rsidRDefault="00B85721" w:rsidP="00B85721">
            <w:pPr>
              <w:spacing w:line="240" w:lineRule="auto"/>
              <w:jc w:val="center"/>
              <w:rPr>
                <w:rFonts w:ascii="Arial" w:hAnsi="Arial" w:cs="Arial"/>
                <w:sz w:val="22"/>
              </w:rPr>
            </w:pPr>
            <w:r w:rsidRPr="00BD7D28">
              <w:rPr>
                <w:rFonts w:ascii="Arial" w:hAnsi="Arial" w:cs="Arial"/>
                <w:sz w:val="22"/>
              </w:rPr>
              <w:t>2.27</w:t>
            </w:r>
          </w:p>
        </w:tc>
        <w:tc>
          <w:tcPr>
            <w:tcW w:w="1418" w:type="dxa"/>
            <w:vAlign w:val="center"/>
          </w:tcPr>
          <w:p w14:paraId="30E70A53" w14:textId="62F91C98"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3E01238F" w14:textId="77777777" w:rsidTr="00721B20">
        <w:tc>
          <w:tcPr>
            <w:tcW w:w="5382" w:type="dxa"/>
          </w:tcPr>
          <w:p w14:paraId="66E28154" w14:textId="4CBE0CE0" w:rsidR="00B85721" w:rsidRPr="00BD7D28" w:rsidRDefault="00B85721" w:rsidP="00B85721">
            <w:pPr>
              <w:spacing w:line="240" w:lineRule="auto"/>
              <w:rPr>
                <w:rFonts w:ascii="Arial" w:hAnsi="Arial" w:cs="Arial"/>
                <w:sz w:val="22"/>
              </w:rPr>
            </w:pPr>
            <w:r w:rsidRPr="00BD7D28">
              <w:rPr>
                <w:rFonts w:ascii="Arial" w:hAnsi="Arial" w:cs="Arial"/>
                <w:sz w:val="22"/>
              </w:rPr>
              <w:t>Patients with progressive ILD despite immunosuppressive therapy (MMF/CYC)</w:t>
            </w:r>
          </w:p>
        </w:tc>
        <w:tc>
          <w:tcPr>
            <w:tcW w:w="1276" w:type="dxa"/>
            <w:vAlign w:val="center"/>
          </w:tcPr>
          <w:p w14:paraId="1A8863E9" w14:textId="3200C4BE" w:rsidR="00B85721" w:rsidRPr="00BD7D28" w:rsidRDefault="00B85721" w:rsidP="00B85721">
            <w:pPr>
              <w:spacing w:line="240" w:lineRule="auto"/>
              <w:jc w:val="center"/>
              <w:rPr>
                <w:rFonts w:ascii="Arial" w:hAnsi="Arial" w:cs="Arial"/>
                <w:sz w:val="22"/>
              </w:rPr>
            </w:pPr>
            <w:r w:rsidRPr="00BD7D28">
              <w:rPr>
                <w:rFonts w:ascii="Arial" w:hAnsi="Arial" w:cs="Arial"/>
                <w:sz w:val="22"/>
              </w:rPr>
              <w:t>1.59</w:t>
            </w:r>
          </w:p>
        </w:tc>
        <w:tc>
          <w:tcPr>
            <w:tcW w:w="1417" w:type="dxa"/>
            <w:vAlign w:val="center"/>
          </w:tcPr>
          <w:p w14:paraId="7D6DA6CD" w14:textId="62887EEB" w:rsidR="00B85721" w:rsidRPr="00BD7D28" w:rsidRDefault="00B85721" w:rsidP="00B85721">
            <w:pPr>
              <w:spacing w:line="240" w:lineRule="auto"/>
              <w:jc w:val="center"/>
              <w:rPr>
                <w:rFonts w:ascii="Arial" w:hAnsi="Arial" w:cs="Arial"/>
                <w:sz w:val="22"/>
              </w:rPr>
            </w:pPr>
            <w:r w:rsidRPr="00BD7D28">
              <w:rPr>
                <w:rFonts w:ascii="Arial" w:hAnsi="Arial" w:cs="Arial"/>
                <w:sz w:val="22"/>
              </w:rPr>
              <w:t>2.17</w:t>
            </w:r>
          </w:p>
        </w:tc>
        <w:tc>
          <w:tcPr>
            <w:tcW w:w="1418" w:type="dxa"/>
            <w:vAlign w:val="center"/>
          </w:tcPr>
          <w:p w14:paraId="72A4F969" w14:textId="09CADC0C"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281D7BF0" w14:textId="77777777" w:rsidTr="00721B20">
        <w:tc>
          <w:tcPr>
            <w:tcW w:w="5382" w:type="dxa"/>
          </w:tcPr>
          <w:p w14:paraId="25A96786" w14:textId="0E285B9D" w:rsidR="00B85721" w:rsidRPr="00BD7D28" w:rsidRDefault="00B85721" w:rsidP="00B85721">
            <w:pPr>
              <w:spacing w:line="240" w:lineRule="auto"/>
              <w:rPr>
                <w:rFonts w:ascii="Arial" w:hAnsi="Arial" w:cs="Arial"/>
                <w:sz w:val="22"/>
              </w:rPr>
            </w:pPr>
            <w:r w:rsidRPr="00BD7D28">
              <w:rPr>
                <w:rFonts w:ascii="Arial" w:hAnsi="Arial" w:cs="Arial"/>
                <w:sz w:val="22"/>
              </w:rPr>
              <w:t>Patients with progressive ILD in combination with MMF/CYC</w:t>
            </w:r>
          </w:p>
        </w:tc>
        <w:tc>
          <w:tcPr>
            <w:tcW w:w="1276" w:type="dxa"/>
            <w:vAlign w:val="center"/>
          </w:tcPr>
          <w:p w14:paraId="6EF53374" w14:textId="3D4F5D11" w:rsidR="00B85721" w:rsidRPr="00BD7D28" w:rsidRDefault="00B85721" w:rsidP="00B85721">
            <w:pPr>
              <w:spacing w:line="240" w:lineRule="auto"/>
              <w:jc w:val="center"/>
              <w:rPr>
                <w:rFonts w:ascii="Arial" w:hAnsi="Arial" w:cs="Arial"/>
                <w:sz w:val="22"/>
              </w:rPr>
            </w:pPr>
            <w:r w:rsidRPr="00BD7D28">
              <w:rPr>
                <w:rFonts w:ascii="Arial" w:hAnsi="Arial" w:cs="Arial"/>
                <w:sz w:val="22"/>
              </w:rPr>
              <w:t>0.18</w:t>
            </w:r>
          </w:p>
        </w:tc>
        <w:tc>
          <w:tcPr>
            <w:tcW w:w="1417" w:type="dxa"/>
            <w:vAlign w:val="center"/>
          </w:tcPr>
          <w:p w14:paraId="4FC3D6AF" w14:textId="28B23682" w:rsidR="00B85721" w:rsidRPr="00BD7D28" w:rsidRDefault="00B85721" w:rsidP="00B85721">
            <w:pPr>
              <w:spacing w:line="240" w:lineRule="auto"/>
              <w:jc w:val="center"/>
              <w:rPr>
                <w:rFonts w:ascii="Arial" w:hAnsi="Arial" w:cs="Arial"/>
                <w:sz w:val="22"/>
              </w:rPr>
            </w:pPr>
            <w:r w:rsidRPr="00BD7D28">
              <w:rPr>
                <w:rFonts w:ascii="Arial" w:hAnsi="Arial" w:cs="Arial"/>
                <w:sz w:val="22"/>
              </w:rPr>
              <w:t>2.02</w:t>
            </w:r>
          </w:p>
        </w:tc>
        <w:tc>
          <w:tcPr>
            <w:tcW w:w="1418" w:type="dxa"/>
            <w:vAlign w:val="center"/>
          </w:tcPr>
          <w:p w14:paraId="270FE6FF" w14:textId="46687041"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0711892C" w14:textId="77777777" w:rsidTr="00721B20">
        <w:tc>
          <w:tcPr>
            <w:tcW w:w="5382" w:type="dxa"/>
          </w:tcPr>
          <w:p w14:paraId="25828E5B" w14:textId="46C82417" w:rsidR="00B85721" w:rsidRPr="00BD7D28" w:rsidRDefault="00B85721" w:rsidP="00B85721">
            <w:pPr>
              <w:spacing w:line="240" w:lineRule="auto"/>
              <w:rPr>
                <w:rFonts w:ascii="Arial" w:hAnsi="Arial" w:cs="Arial"/>
                <w:sz w:val="22"/>
              </w:rPr>
            </w:pPr>
            <w:r w:rsidRPr="00BD7D28">
              <w:rPr>
                <w:rFonts w:ascii="Arial" w:hAnsi="Arial" w:cs="Arial"/>
                <w:sz w:val="22"/>
              </w:rPr>
              <w:t>Patients with progressive ILD in combination with antifibrotics</w:t>
            </w:r>
          </w:p>
        </w:tc>
        <w:tc>
          <w:tcPr>
            <w:tcW w:w="1276" w:type="dxa"/>
            <w:vAlign w:val="center"/>
          </w:tcPr>
          <w:p w14:paraId="1C9BEF16" w14:textId="071D6EA9" w:rsidR="00B85721" w:rsidRPr="00BD7D28" w:rsidRDefault="00B85721" w:rsidP="00B85721">
            <w:pPr>
              <w:spacing w:line="240" w:lineRule="auto"/>
              <w:jc w:val="center"/>
              <w:rPr>
                <w:rFonts w:ascii="Arial" w:hAnsi="Arial" w:cs="Arial"/>
                <w:sz w:val="22"/>
              </w:rPr>
            </w:pPr>
            <w:r w:rsidRPr="00BD7D28">
              <w:rPr>
                <w:rFonts w:ascii="Arial" w:hAnsi="Arial" w:cs="Arial"/>
                <w:sz w:val="22"/>
              </w:rPr>
              <w:t>1.82</w:t>
            </w:r>
          </w:p>
        </w:tc>
        <w:tc>
          <w:tcPr>
            <w:tcW w:w="1417" w:type="dxa"/>
            <w:vAlign w:val="center"/>
          </w:tcPr>
          <w:p w14:paraId="252FD10C" w14:textId="0F2AF6E1" w:rsidR="00B85721" w:rsidRPr="00BD7D28" w:rsidRDefault="00B85721" w:rsidP="00B85721">
            <w:pPr>
              <w:spacing w:line="240" w:lineRule="auto"/>
              <w:jc w:val="center"/>
              <w:rPr>
                <w:rFonts w:ascii="Arial" w:hAnsi="Arial" w:cs="Arial"/>
                <w:sz w:val="22"/>
              </w:rPr>
            </w:pPr>
            <w:r w:rsidRPr="00BD7D28">
              <w:rPr>
                <w:rFonts w:ascii="Arial" w:hAnsi="Arial" w:cs="Arial"/>
                <w:sz w:val="22"/>
              </w:rPr>
              <w:t>2.63</w:t>
            </w:r>
          </w:p>
        </w:tc>
        <w:tc>
          <w:tcPr>
            <w:tcW w:w="1418" w:type="dxa"/>
            <w:vAlign w:val="center"/>
          </w:tcPr>
          <w:p w14:paraId="367379B9" w14:textId="2FA75AC9"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0E7A0FB0" w14:textId="77777777" w:rsidTr="00721B20">
        <w:tc>
          <w:tcPr>
            <w:tcW w:w="5382" w:type="dxa"/>
          </w:tcPr>
          <w:p w14:paraId="46BF54D4" w14:textId="7BB88BBB" w:rsidR="00B85721" w:rsidRPr="00BD7D28" w:rsidRDefault="00B85721" w:rsidP="00B85721">
            <w:pPr>
              <w:spacing w:line="240" w:lineRule="auto"/>
              <w:rPr>
                <w:rFonts w:ascii="Arial" w:hAnsi="Arial" w:cs="Arial"/>
                <w:sz w:val="22"/>
              </w:rPr>
            </w:pPr>
            <w:r w:rsidRPr="00BD7D28">
              <w:rPr>
                <w:rFonts w:ascii="Arial" w:hAnsi="Arial" w:cs="Arial"/>
                <w:sz w:val="22"/>
              </w:rPr>
              <w:t>Patients who have contraindications to or are unable to tolerate immunosuppression (CYC/MMF)</w:t>
            </w:r>
          </w:p>
        </w:tc>
        <w:tc>
          <w:tcPr>
            <w:tcW w:w="1276" w:type="dxa"/>
            <w:vAlign w:val="center"/>
          </w:tcPr>
          <w:p w14:paraId="35262DDF" w14:textId="71D578FF" w:rsidR="00B85721" w:rsidRPr="00BD7D28" w:rsidRDefault="00B85721" w:rsidP="00B85721">
            <w:pPr>
              <w:spacing w:line="240" w:lineRule="auto"/>
              <w:jc w:val="center"/>
              <w:rPr>
                <w:rFonts w:ascii="Arial" w:hAnsi="Arial" w:cs="Arial"/>
                <w:sz w:val="22"/>
              </w:rPr>
            </w:pPr>
            <w:r w:rsidRPr="00BD7D28">
              <w:rPr>
                <w:rFonts w:ascii="Arial" w:hAnsi="Arial" w:cs="Arial"/>
                <w:sz w:val="22"/>
              </w:rPr>
              <w:t>1.95</w:t>
            </w:r>
          </w:p>
        </w:tc>
        <w:tc>
          <w:tcPr>
            <w:tcW w:w="1417" w:type="dxa"/>
            <w:vAlign w:val="center"/>
          </w:tcPr>
          <w:p w14:paraId="14BA8A39" w14:textId="258FB66A" w:rsidR="00B85721" w:rsidRPr="00BD7D28" w:rsidRDefault="00B85721" w:rsidP="00B85721">
            <w:pPr>
              <w:spacing w:line="240" w:lineRule="auto"/>
              <w:jc w:val="center"/>
              <w:rPr>
                <w:rFonts w:ascii="Arial" w:hAnsi="Arial" w:cs="Arial"/>
                <w:sz w:val="22"/>
              </w:rPr>
            </w:pPr>
            <w:r w:rsidRPr="00BD7D28">
              <w:rPr>
                <w:rFonts w:ascii="Arial" w:hAnsi="Arial" w:cs="Arial"/>
                <w:sz w:val="22"/>
              </w:rPr>
              <w:t>2.10</w:t>
            </w:r>
          </w:p>
        </w:tc>
        <w:tc>
          <w:tcPr>
            <w:tcW w:w="1418" w:type="dxa"/>
            <w:vAlign w:val="center"/>
          </w:tcPr>
          <w:p w14:paraId="535567C0" w14:textId="42529D72"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3A197E79" w14:textId="77777777" w:rsidTr="00721B20">
        <w:tc>
          <w:tcPr>
            <w:tcW w:w="5382" w:type="dxa"/>
          </w:tcPr>
          <w:p w14:paraId="40EDF9EB" w14:textId="7F15AA7D" w:rsidR="00B85721" w:rsidRPr="00BD7D28" w:rsidRDefault="00B85721" w:rsidP="00B85721">
            <w:pPr>
              <w:spacing w:line="240" w:lineRule="auto"/>
              <w:rPr>
                <w:rFonts w:ascii="Arial" w:hAnsi="Arial" w:cs="Arial"/>
                <w:sz w:val="22"/>
              </w:rPr>
            </w:pPr>
            <w:r w:rsidRPr="00BD7D28">
              <w:rPr>
                <w:rFonts w:ascii="Arial" w:hAnsi="Arial" w:cs="Arial"/>
                <w:sz w:val="22"/>
              </w:rPr>
              <w:t>Patients who have contraindications to or are unable to tolerate antifibrotics</w:t>
            </w:r>
          </w:p>
        </w:tc>
        <w:tc>
          <w:tcPr>
            <w:tcW w:w="1276" w:type="dxa"/>
            <w:vAlign w:val="center"/>
          </w:tcPr>
          <w:p w14:paraId="04997BCD" w14:textId="7D3A8900" w:rsidR="00B85721" w:rsidRPr="00BD7D28" w:rsidRDefault="00B85721" w:rsidP="00B85721">
            <w:pPr>
              <w:spacing w:line="240" w:lineRule="auto"/>
              <w:jc w:val="center"/>
              <w:rPr>
                <w:rFonts w:ascii="Arial" w:hAnsi="Arial" w:cs="Arial"/>
                <w:sz w:val="22"/>
              </w:rPr>
            </w:pPr>
            <w:r w:rsidRPr="00BD7D28">
              <w:rPr>
                <w:rFonts w:ascii="Arial" w:hAnsi="Arial" w:cs="Arial"/>
                <w:sz w:val="22"/>
              </w:rPr>
              <w:t>2.00</w:t>
            </w:r>
          </w:p>
        </w:tc>
        <w:tc>
          <w:tcPr>
            <w:tcW w:w="1417" w:type="dxa"/>
            <w:vAlign w:val="center"/>
          </w:tcPr>
          <w:p w14:paraId="0F2F0945" w14:textId="49A6AE20" w:rsidR="00B85721" w:rsidRPr="00BD7D28" w:rsidRDefault="00B85721" w:rsidP="00B85721">
            <w:pPr>
              <w:spacing w:line="240" w:lineRule="auto"/>
              <w:jc w:val="center"/>
              <w:rPr>
                <w:rFonts w:ascii="Arial" w:hAnsi="Arial" w:cs="Arial"/>
                <w:sz w:val="22"/>
              </w:rPr>
            </w:pPr>
            <w:r w:rsidRPr="00BD7D28">
              <w:rPr>
                <w:rFonts w:ascii="Arial" w:hAnsi="Arial" w:cs="Arial"/>
                <w:sz w:val="22"/>
              </w:rPr>
              <w:t>2.43</w:t>
            </w:r>
          </w:p>
        </w:tc>
        <w:tc>
          <w:tcPr>
            <w:tcW w:w="1418" w:type="dxa"/>
            <w:vAlign w:val="center"/>
          </w:tcPr>
          <w:p w14:paraId="1A834C79" w14:textId="766F02BD"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4F2ED093" w14:textId="77777777" w:rsidTr="00721B20">
        <w:tc>
          <w:tcPr>
            <w:tcW w:w="5382" w:type="dxa"/>
          </w:tcPr>
          <w:p w14:paraId="2E830E55" w14:textId="52048519" w:rsidR="00B85721" w:rsidRPr="00BD7D28" w:rsidRDefault="00B85721" w:rsidP="00B85721">
            <w:pPr>
              <w:spacing w:line="240" w:lineRule="auto"/>
              <w:rPr>
                <w:rFonts w:ascii="Arial" w:hAnsi="Arial" w:cs="Arial"/>
                <w:sz w:val="22"/>
              </w:rPr>
            </w:pPr>
            <w:r w:rsidRPr="00BD7D28">
              <w:rPr>
                <w:rFonts w:ascii="Arial" w:hAnsi="Arial" w:cs="Arial"/>
                <w:sz w:val="22"/>
              </w:rPr>
              <w:t>In combination with immunosuppressive agents (MMF/CYC) for patients with aggressive ILD, advanced disease at initial presentation, or significant disease progression</w:t>
            </w:r>
          </w:p>
        </w:tc>
        <w:tc>
          <w:tcPr>
            <w:tcW w:w="1276" w:type="dxa"/>
            <w:vAlign w:val="center"/>
          </w:tcPr>
          <w:p w14:paraId="74C9A927" w14:textId="1272E6ED" w:rsidR="00B85721" w:rsidRPr="00BD7D28" w:rsidRDefault="00B85721" w:rsidP="00B85721">
            <w:pPr>
              <w:spacing w:line="240" w:lineRule="auto"/>
              <w:jc w:val="center"/>
              <w:rPr>
                <w:rFonts w:ascii="Arial" w:hAnsi="Arial" w:cs="Arial"/>
                <w:sz w:val="22"/>
              </w:rPr>
            </w:pPr>
            <w:r w:rsidRPr="00BD7D28">
              <w:rPr>
                <w:rFonts w:ascii="Arial" w:hAnsi="Arial" w:cs="Arial"/>
                <w:sz w:val="22"/>
              </w:rPr>
              <w:t>0.68</w:t>
            </w:r>
          </w:p>
        </w:tc>
        <w:tc>
          <w:tcPr>
            <w:tcW w:w="1417" w:type="dxa"/>
            <w:vAlign w:val="center"/>
          </w:tcPr>
          <w:p w14:paraId="776B28A6" w14:textId="5D11D994" w:rsidR="00B85721" w:rsidRPr="00BD7D28" w:rsidRDefault="00B85721" w:rsidP="00B85721">
            <w:pPr>
              <w:spacing w:line="240" w:lineRule="auto"/>
              <w:jc w:val="center"/>
              <w:rPr>
                <w:rFonts w:ascii="Arial" w:hAnsi="Arial" w:cs="Arial"/>
                <w:sz w:val="22"/>
              </w:rPr>
            </w:pPr>
            <w:r w:rsidRPr="00BD7D28">
              <w:rPr>
                <w:rFonts w:ascii="Arial" w:hAnsi="Arial" w:cs="Arial"/>
                <w:sz w:val="22"/>
              </w:rPr>
              <w:t>2.19</w:t>
            </w:r>
          </w:p>
        </w:tc>
        <w:tc>
          <w:tcPr>
            <w:tcW w:w="1418" w:type="dxa"/>
            <w:vAlign w:val="center"/>
          </w:tcPr>
          <w:p w14:paraId="65036B0D" w14:textId="1BC9152F"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7D36A896" w14:textId="77777777" w:rsidTr="00721B20">
        <w:tc>
          <w:tcPr>
            <w:tcW w:w="5382" w:type="dxa"/>
          </w:tcPr>
          <w:p w14:paraId="33799A1E" w14:textId="34EE8924" w:rsidR="00B85721" w:rsidRPr="00BD7D28" w:rsidRDefault="00B85721" w:rsidP="00B85721">
            <w:pPr>
              <w:spacing w:line="240" w:lineRule="auto"/>
              <w:rPr>
                <w:rFonts w:ascii="Arial" w:hAnsi="Arial" w:cs="Arial"/>
                <w:sz w:val="22"/>
              </w:rPr>
            </w:pPr>
            <w:r w:rsidRPr="00BD7D28">
              <w:rPr>
                <w:rFonts w:ascii="Arial" w:hAnsi="Arial" w:cs="Arial"/>
                <w:sz w:val="22"/>
              </w:rPr>
              <w:t>In combination with antifibrotics for patients with aggressive ILD, advanced disease at initial presentation, or significant disease progression</w:t>
            </w:r>
          </w:p>
        </w:tc>
        <w:tc>
          <w:tcPr>
            <w:tcW w:w="1276" w:type="dxa"/>
            <w:vAlign w:val="center"/>
          </w:tcPr>
          <w:p w14:paraId="5B1A2CEA" w14:textId="3E0FED4A" w:rsidR="00B85721" w:rsidRPr="00BD7D28" w:rsidRDefault="00B85721" w:rsidP="00B85721">
            <w:pPr>
              <w:spacing w:line="240" w:lineRule="auto"/>
              <w:jc w:val="center"/>
              <w:rPr>
                <w:rFonts w:ascii="Arial" w:hAnsi="Arial" w:cs="Arial"/>
                <w:sz w:val="22"/>
              </w:rPr>
            </w:pPr>
            <w:r w:rsidRPr="00BD7D28">
              <w:rPr>
                <w:rFonts w:ascii="Arial" w:hAnsi="Arial" w:cs="Arial"/>
                <w:sz w:val="22"/>
              </w:rPr>
              <w:t>1.55</w:t>
            </w:r>
          </w:p>
        </w:tc>
        <w:tc>
          <w:tcPr>
            <w:tcW w:w="1417" w:type="dxa"/>
            <w:vAlign w:val="center"/>
          </w:tcPr>
          <w:p w14:paraId="1639F9CE" w14:textId="040F071A" w:rsidR="00B85721" w:rsidRPr="00BD7D28" w:rsidRDefault="00B85721" w:rsidP="00B85721">
            <w:pPr>
              <w:spacing w:line="240" w:lineRule="auto"/>
              <w:jc w:val="center"/>
              <w:rPr>
                <w:rFonts w:ascii="Arial" w:hAnsi="Arial" w:cs="Arial"/>
                <w:sz w:val="22"/>
              </w:rPr>
            </w:pPr>
            <w:r w:rsidRPr="00BD7D28">
              <w:rPr>
                <w:rFonts w:ascii="Arial" w:hAnsi="Arial" w:cs="Arial"/>
                <w:sz w:val="22"/>
              </w:rPr>
              <w:t>2.11</w:t>
            </w:r>
          </w:p>
        </w:tc>
        <w:tc>
          <w:tcPr>
            <w:tcW w:w="1418" w:type="dxa"/>
            <w:vAlign w:val="center"/>
          </w:tcPr>
          <w:p w14:paraId="493123C9" w14:textId="0C3E5DC1"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7EFD0061" w14:textId="77777777" w:rsidTr="00721B20">
        <w:tc>
          <w:tcPr>
            <w:tcW w:w="5382" w:type="dxa"/>
          </w:tcPr>
          <w:p w14:paraId="592EAB8C" w14:textId="4B047A4E" w:rsidR="00B85721" w:rsidRPr="00BD7D28" w:rsidRDefault="00B85721" w:rsidP="00B85721">
            <w:pPr>
              <w:spacing w:line="240" w:lineRule="auto"/>
              <w:rPr>
                <w:rFonts w:ascii="Arial" w:hAnsi="Arial" w:cs="Arial"/>
                <w:sz w:val="22"/>
              </w:rPr>
            </w:pPr>
            <w:r w:rsidRPr="00BD7D28">
              <w:rPr>
                <w:rFonts w:ascii="Arial" w:hAnsi="Arial" w:cs="Arial"/>
                <w:sz w:val="22"/>
              </w:rPr>
              <w:t>Any patient with CTD with clinically significant or worsening ILD</w:t>
            </w:r>
          </w:p>
        </w:tc>
        <w:tc>
          <w:tcPr>
            <w:tcW w:w="1276" w:type="dxa"/>
            <w:vAlign w:val="center"/>
          </w:tcPr>
          <w:p w14:paraId="6E7805E8" w14:textId="14FCE951" w:rsidR="00B85721" w:rsidRPr="00BD7D28" w:rsidRDefault="00CC23A0" w:rsidP="00B85721">
            <w:pPr>
              <w:spacing w:line="240" w:lineRule="auto"/>
              <w:jc w:val="center"/>
              <w:rPr>
                <w:rFonts w:ascii="Arial" w:hAnsi="Arial" w:cs="Arial"/>
                <w:sz w:val="22"/>
              </w:rPr>
            </w:pPr>
            <w:r w:rsidRPr="00BD7D28">
              <w:rPr>
                <w:rFonts w:ascii="Verdana" w:hAnsi="Verdana" w:cs="Arial"/>
                <w:sz w:val="22"/>
              </w:rPr>
              <w:t>–</w:t>
            </w:r>
            <w:r w:rsidR="00B85721" w:rsidRPr="00BD7D28">
              <w:rPr>
                <w:rFonts w:ascii="Arial" w:hAnsi="Arial" w:cs="Arial"/>
                <w:sz w:val="22"/>
              </w:rPr>
              <w:t>0.50</w:t>
            </w:r>
          </w:p>
        </w:tc>
        <w:tc>
          <w:tcPr>
            <w:tcW w:w="1417" w:type="dxa"/>
            <w:vAlign w:val="center"/>
          </w:tcPr>
          <w:p w14:paraId="0D8777BE" w14:textId="529F358D" w:rsidR="00B85721" w:rsidRPr="00BD7D28" w:rsidRDefault="00B85721" w:rsidP="00B85721">
            <w:pPr>
              <w:spacing w:line="240" w:lineRule="auto"/>
              <w:jc w:val="center"/>
              <w:rPr>
                <w:rFonts w:ascii="Arial" w:hAnsi="Arial" w:cs="Arial"/>
                <w:sz w:val="22"/>
              </w:rPr>
            </w:pPr>
            <w:r w:rsidRPr="00BD7D28">
              <w:rPr>
                <w:rFonts w:ascii="Arial" w:hAnsi="Arial" w:cs="Arial"/>
                <w:sz w:val="22"/>
              </w:rPr>
              <w:t>2.06</w:t>
            </w:r>
          </w:p>
        </w:tc>
        <w:tc>
          <w:tcPr>
            <w:tcW w:w="1418" w:type="dxa"/>
            <w:vAlign w:val="center"/>
          </w:tcPr>
          <w:p w14:paraId="21095B37" w14:textId="4F9F78FF"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125C5F8D" w14:textId="77777777" w:rsidTr="00721B20">
        <w:tc>
          <w:tcPr>
            <w:tcW w:w="5382" w:type="dxa"/>
          </w:tcPr>
          <w:p w14:paraId="79F2803B" w14:textId="30C9EDF7" w:rsidR="00B85721" w:rsidRPr="00BD7D28" w:rsidRDefault="00B85721" w:rsidP="00B85721">
            <w:pPr>
              <w:spacing w:line="240" w:lineRule="auto"/>
              <w:rPr>
                <w:rFonts w:ascii="Arial" w:hAnsi="Arial" w:cs="Arial"/>
                <w:sz w:val="22"/>
              </w:rPr>
            </w:pPr>
            <w:r w:rsidRPr="00BD7D28">
              <w:rPr>
                <w:rFonts w:ascii="Arial" w:hAnsi="Arial" w:cs="Arial"/>
                <w:sz w:val="22"/>
              </w:rPr>
              <w:t xml:space="preserve">Based on lack of effective response or improvement with immunosuppressive agents (MMF/CYC) or antifibrotics as defined by </w:t>
            </w:r>
            <w:r w:rsidR="00CC23A0" w:rsidRPr="00BD7D28">
              <w:rPr>
                <w:rFonts w:ascii="Arial" w:hAnsi="Arial" w:cs="Arial"/>
                <w:sz w:val="22"/>
              </w:rPr>
              <w:t>l</w:t>
            </w:r>
            <w:r w:rsidRPr="00BD7D28">
              <w:rPr>
                <w:rFonts w:ascii="Arial" w:hAnsi="Arial" w:cs="Arial"/>
                <w:sz w:val="22"/>
              </w:rPr>
              <w:t>ack of symptom improvement</w:t>
            </w:r>
          </w:p>
        </w:tc>
        <w:tc>
          <w:tcPr>
            <w:tcW w:w="1276" w:type="dxa"/>
            <w:vAlign w:val="center"/>
          </w:tcPr>
          <w:p w14:paraId="672E5024" w14:textId="7AA45369" w:rsidR="00B85721" w:rsidRPr="00BD7D28" w:rsidRDefault="00B85721" w:rsidP="00B85721">
            <w:pPr>
              <w:spacing w:line="240" w:lineRule="auto"/>
              <w:jc w:val="center"/>
              <w:rPr>
                <w:rFonts w:ascii="Arial" w:hAnsi="Arial" w:cs="Arial"/>
                <w:sz w:val="22"/>
              </w:rPr>
            </w:pPr>
            <w:r w:rsidRPr="00BD7D28">
              <w:rPr>
                <w:rFonts w:ascii="Arial" w:hAnsi="Arial" w:cs="Arial"/>
                <w:sz w:val="22"/>
              </w:rPr>
              <w:t>0.64</w:t>
            </w:r>
          </w:p>
        </w:tc>
        <w:tc>
          <w:tcPr>
            <w:tcW w:w="1417" w:type="dxa"/>
            <w:vAlign w:val="center"/>
          </w:tcPr>
          <w:p w14:paraId="76C566E4" w14:textId="0D20DB1C" w:rsidR="00B85721" w:rsidRPr="00BD7D28" w:rsidRDefault="00B85721" w:rsidP="00B85721">
            <w:pPr>
              <w:spacing w:line="240" w:lineRule="auto"/>
              <w:jc w:val="center"/>
              <w:rPr>
                <w:rFonts w:ascii="Arial" w:hAnsi="Arial" w:cs="Arial"/>
                <w:sz w:val="22"/>
              </w:rPr>
            </w:pPr>
            <w:r w:rsidRPr="00BD7D28">
              <w:rPr>
                <w:rFonts w:ascii="Arial" w:hAnsi="Arial" w:cs="Arial"/>
                <w:sz w:val="22"/>
              </w:rPr>
              <w:t>2.13</w:t>
            </w:r>
          </w:p>
        </w:tc>
        <w:tc>
          <w:tcPr>
            <w:tcW w:w="1418" w:type="dxa"/>
            <w:vAlign w:val="center"/>
          </w:tcPr>
          <w:p w14:paraId="0E0935A9" w14:textId="33F1BE35"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66A838A2" w14:textId="77777777" w:rsidTr="00721B20">
        <w:tc>
          <w:tcPr>
            <w:tcW w:w="5382" w:type="dxa"/>
          </w:tcPr>
          <w:p w14:paraId="35F1E210" w14:textId="1641EB5B" w:rsidR="00B85721" w:rsidRPr="00BD7D28" w:rsidRDefault="00B85721" w:rsidP="00B85721">
            <w:pPr>
              <w:spacing w:line="240" w:lineRule="auto"/>
              <w:rPr>
                <w:rFonts w:ascii="Arial" w:hAnsi="Arial" w:cs="Arial"/>
                <w:sz w:val="22"/>
              </w:rPr>
            </w:pPr>
            <w:r w:rsidRPr="00BD7D28">
              <w:rPr>
                <w:rFonts w:ascii="Arial" w:hAnsi="Arial" w:cs="Arial"/>
                <w:sz w:val="22"/>
              </w:rPr>
              <w:t xml:space="preserve">Based on lack of effective response or improvement with immunosuppressive agents (MMF/CYC) or antifibrotics as defined by </w:t>
            </w:r>
            <w:r w:rsidR="00CC23A0" w:rsidRPr="00BD7D28">
              <w:rPr>
                <w:rFonts w:ascii="Arial" w:hAnsi="Arial" w:cs="Arial"/>
                <w:sz w:val="22"/>
              </w:rPr>
              <w:t>l</w:t>
            </w:r>
            <w:r w:rsidRPr="00BD7D28">
              <w:rPr>
                <w:rFonts w:ascii="Arial" w:hAnsi="Arial" w:cs="Arial"/>
                <w:sz w:val="22"/>
              </w:rPr>
              <w:t>ack of improvement of ILD on HRCT</w:t>
            </w:r>
          </w:p>
        </w:tc>
        <w:tc>
          <w:tcPr>
            <w:tcW w:w="1276" w:type="dxa"/>
            <w:vAlign w:val="center"/>
          </w:tcPr>
          <w:p w14:paraId="1B7A3DDB" w14:textId="11C6A253" w:rsidR="00B85721" w:rsidRPr="00BD7D28" w:rsidRDefault="00B85721" w:rsidP="00B85721">
            <w:pPr>
              <w:spacing w:line="240" w:lineRule="auto"/>
              <w:jc w:val="center"/>
              <w:rPr>
                <w:rFonts w:ascii="Arial" w:hAnsi="Arial" w:cs="Arial"/>
                <w:sz w:val="22"/>
              </w:rPr>
            </w:pPr>
            <w:r w:rsidRPr="00BD7D28">
              <w:rPr>
                <w:rFonts w:ascii="Arial" w:hAnsi="Arial" w:cs="Arial"/>
                <w:sz w:val="22"/>
              </w:rPr>
              <w:t>1.14</w:t>
            </w:r>
          </w:p>
        </w:tc>
        <w:tc>
          <w:tcPr>
            <w:tcW w:w="1417" w:type="dxa"/>
            <w:vAlign w:val="center"/>
          </w:tcPr>
          <w:p w14:paraId="3BA3BD52" w14:textId="0C4E0041" w:rsidR="00B85721" w:rsidRPr="00BD7D28" w:rsidRDefault="00B85721" w:rsidP="00B85721">
            <w:pPr>
              <w:spacing w:line="240" w:lineRule="auto"/>
              <w:jc w:val="center"/>
              <w:rPr>
                <w:rFonts w:ascii="Arial" w:hAnsi="Arial" w:cs="Arial"/>
                <w:sz w:val="22"/>
              </w:rPr>
            </w:pPr>
            <w:r w:rsidRPr="00BD7D28">
              <w:rPr>
                <w:rFonts w:ascii="Arial" w:hAnsi="Arial" w:cs="Arial"/>
                <w:sz w:val="22"/>
              </w:rPr>
              <w:t>2.27</w:t>
            </w:r>
          </w:p>
        </w:tc>
        <w:tc>
          <w:tcPr>
            <w:tcW w:w="1418" w:type="dxa"/>
            <w:vAlign w:val="center"/>
          </w:tcPr>
          <w:p w14:paraId="13A2C690" w14:textId="5C1ABC7C"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748487D4" w14:textId="77777777" w:rsidTr="00721B20">
        <w:tc>
          <w:tcPr>
            <w:tcW w:w="5382" w:type="dxa"/>
          </w:tcPr>
          <w:p w14:paraId="443628D3" w14:textId="566392AE" w:rsidR="00B85721" w:rsidRPr="00BD7D28" w:rsidRDefault="00B85721" w:rsidP="00B85721">
            <w:pPr>
              <w:spacing w:line="240" w:lineRule="auto"/>
              <w:rPr>
                <w:rFonts w:ascii="Arial" w:hAnsi="Arial" w:cs="Arial"/>
                <w:sz w:val="22"/>
              </w:rPr>
            </w:pPr>
            <w:r w:rsidRPr="00BD7D28">
              <w:rPr>
                <w:rFonts w:ascii="Arial" w:hAnsi="Arial" w:cs="Arial"/>
                <w:sz w:val="22"/>
              </w:rPr>
              <w:t xml:space="preserve">Based on lack of effective response or improvement with immunosuppressive agents (MMF/CYC) or antifibrotics as defined by </w:t>
            </w:r>
            <w:r w:rsidR="00CC23A0" w:rsidRPr="00BD7D28">
              <w:rPr>
                <w:rFonts w:ascii="Arial" w:hAnsi="Arial" w:cs="Arial"/>
                <w:sz w:val="22"/>
              </w:rPr>
              <w:t>l</w:t>
            </w:r>
            <w:r w:rsidRPr="00BD7D28">
              <w:rPr>
                <w:rFonts w:ascii="Arial" w:hAnsi="Arial" w:cs="Arial"/>
                <w:sz w:val="22"/>
              </w:rPr>
              <w:t>ack of improvement of lung function</w:t>
            </w:r>
          </w:p>
        </w:tc>
        <w:tc>
          <w:tcPr>
            <w:tcW w:w="1276" w:type="dxa"/>
            <w:vAlign w:val="center"/>
          </w:tcPr>
          <w:p w14:paraId="6CC90A14" w14:textId="0CB38F77" w:rsidR="00B85721" w:rsidRPr="00BD7D28" w:rsidRDefault="00B85721" w:rsidP="00B85721">
            <w:pPr>
              <w:spacing w:line="240" w:lineRule="auto"/>
              <w:jc w:val="center"/>
              <w:rPr>
                <w:rFonts w:ascii="Arial" w:hAnsi="Arial" w:cs="Arial"/>
                <w:sz w:val="22"/>
              </w:rPr>
            </w:pPr>
            <w:r w:rsidRPr="00BD7D28">
              <w:rPr>
                <w:rFonts w:ascii="Arial" w:hAnsi="Arial" w:cs="Arial"/>
                <w:sz w:val="22"/>
              </w:rPr>
              <w:t>1.50</w:t>
            </w:r>
          </w:p>
        </w:tc>
        <w:tc>
          <w:tcPr>
            <w:tcW w:w="1417" w:type="dxa"/>
            <w:vAlign w:val="center"/>
          </w:tcPr>
          <w:p w14:paraId="7794A2E3" w14:textId="5F936D9F" w:rsidR="00B85721" w:rsidRPr="00BD7D28" w:rsidRDefault="00B85721" w:rsidP="00B85721">
            <w:pPr>
              <w:spacing w:line="240" w:lineRule="auto"/>
              <w:jc w:val="center"/>
              <w:rPr>
                <w:rFonts w:ascii="Arial" w:hAnsi="Arial" w:cs="Arial"/>
                <w:sz w:val="22"/>
              </w:rPr>
            </w:pPr>
            <w:r w:rsidRPr="00BD7D28">
              <w:rPr>
                <w:rFonts w:ascii="Arial" w:hAnsi="Arial" w:cs="Arial"/>
                <w:sz w:val="22"/>
              </w:rPr>
              <w:t>2.37</w:t>
            </w:r>
          </w:p>
        </w:tc>
        <w:tc>
          <w:tcPr>
            <w:tcW w:w="1418" w:type="dxa"/>
            <w:vAlign w:val="center"/>
          </w:tcPr>
          <w:p w14:paraId="1C39E7F6" w14:textId="1484C381"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22EB00EA" w14:textId="77777777" w:rsidTr="00721B20">
        <w:tc>
          <w:tcPr>
            <w:tcW w:w="5382" w:type="dxa"/>
          </w:tcPr>
          <w:p w14:paraId="277CD272" w14:textId="077D5B30" w:rsidR="00B85721" w:rsidRPr="00BD7D28" w:rsidRDefault="00B85721" w:rsidP="00B85721">
            <w:pPr>
              <w:spacing w:line="240" w:lineRule="auto"/>
              <w:rPr>
                <w:rFonts w:ascii="Arial" w:hAnsi="Arial" w:cs="Arial"/>
                <w:sz w:val="22"/>
              </w:rPr>
            </w:pPr>
            <w:r w:rsidRPr="00BD7D28">
              <w:rPr>
                <w:rFonts w:ascii="Arial" w:hAnsi="Arial" w:cs="Arial"/>
                <w:sz w:val="22"/>
              </w:rPr>
              <w:t xml:space="preserve">Based on lack of effective response or improvement with immunosuppressive agents (MMF/CYC) or antifibrotics as defined by </w:t>
            </w:r>
            <w:r w:rsidR="00CC23A0" w:rsidRPr="00BD7D28">
              <w:rPr>
                <w:rFonts w:ascii="Arial" w:hAnsi="Arial" w:cs="Arial"/>
                <w:sz w:val="22"/>
              </w:rPr>
              <w:t>a</w:t>
            </w:r>
            <w:r w:rsidRPr="00BD7D28">
              <w:rPr>
                <w:rFonts w:ascii="Arial" w:hAnsi="Arial" w:cs="Arial"/>
                <w:sz w:val="22"/>
              </w:rPr>
              <w:t xml:space="preserve"> combination of the above</w:t>
            </w:r>
          </w:p>
        </w:tc>
        <w:tc>
          <w:tcPr>
            <w:tcW w:w="1276" w:type="dxa"/>
            <w:vAlign w:val="center"/>
          </w:tcPr>
          <w:p w14:paraId="7AA23308" w14:textId="7CE95125" w:rsidR="00B85721" w:rsidRPr="00BD7D28" w:rsidRDefault="00B85721" w:rsidP="00B85721">
            <w:pPr>
              <w:spacing w:line="240" w:lineRule="auto"/>
              <w:jc w:val="center"/>
              <w:rPr>
                <w:rFonts w:ascii="Arial" w:hAnsi="Arial" w:cs="Arial"/>
                <w:sz w:val="22"/>
              </w:rPr>
            </w:pPr>
            <w:r w:rsidRPr="00BD7D28">
              <w:rPr>
                <w:rFonts w:ascii="Arial" w:hAnsi="Arial" w:cs="Arial"/>
                <w:sz w:val="22"/>
              </w:rPr>
              <w:t>1.82</w:t>
            </w:r>
          </w:p>
        </w:tc>
        <w:tc>
          <w:tcPr>
            <w:tcW w:w="1417" w:type="dxa"/>
            <w:vAlign w:val="center"/>
          </w:tcPr>
          <w:p w14:paraId="3B8CAF05" w14:textId="1DDAFA25" w:rsidR="00B85721" w:rsidRPr="00BD7D28" w:rsidRDefault="00B85721" w:rsidP="00B85721">
            <w:pPr>
              <w:spacing w:line="240" w:lineRule="auto"/>
              <w:jc w:val="center"/>
              <w:rPr>
                <w:rFonts w:ascii="Arial" w:hAnsi="Arial" w:cs="Arial"/>
                <w:sz w:val="22"/>
              </w:rPr>
            </w:pPr>
            <w:r w:rsidRPr="00BD7D28">
              <w:rPr>
                <w:rFonts w:ascii="Arial" w:hAnsi="Arial" w:cs="Arial"/>
                <w:sz w:val="22"/>
              </w:rPr>
              <w:t>2.36</w:t>
            </w:r>
          </w:p>
        </w:tc>
        <w:tc>
          <w:tcPr>
            <w:tcW w:w="1418" w:type="dxa"/>
            <w:vAlign w:val="center"/>
          </w:tcPr>
          <w:p w14:paraId="1F232910" w14:textId="444CF90B"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714A5E20" w14:textId="77777777" w:rsidTr="00721B20">
        <w:tc>
          <w:tcPr>
            <w:tcW w:w="5382" w:type="dxa"/>
          </w:tcPr>
          <w:p w14:paraId="3FFE370A" w14:textId="3758EFA1" w:rsidR="00B85721" w:rsidRPr="00BD7D28" w:rsidRDefault="00B85721" w:rsidP="00B85721">
            <w:pPr>
              <w:spacing w:line="240" w:lineRule="auto"/>
              <w:rPr>
                <w:rFonts w:ascii="Arial" w:hAnsi="Arial" w:cs="Arial"/>
                <w:sz w:val="22"/>
              </w:rPr>
            </w:pPr>
            <w:r w:rsidRPr="00BD7D28">
              <w:rPr>
                <w:rFonts w:ascii="Arial" w:hAnsi="Arial" w:cs="Arial"/>
                <w:sz w:val="22"/>
              </w:rPr>
              <w:t xml:space="preserve">Based on active worsening of patient condition as defined by </w:t>
            </w:r>
            <w:r w:rsidR="00CC23A0" w:rsidRPr="00BD7D28">
              <w:rPr>
                <w:rFonts w:ascii="Arial" w:hAnsi="Arial" w:cs="Arial"/>
                <w:sz w:val="22"/>
              </w:rPr>
              <w:t>w</w:t>
            </w:r>
            <w:r w:rsidRPr="00BD7D28">
              <w:rPr>
                <w:rFonts w:ascii="Arial" w:hAnsi="Arial" w:cs="Arial"/>
                <w:sz w:val="22"/>
              </w:rPr>
              <w:t>orsening of symptoms</w:t>
            </w:r>
          </w:p>
        </w:tc>
        <w:tc>
          <w:tcPr>
            <w:tcW w:w="1276" w:type="dxa"/>
            <w:vAlign w:val="center"/>
          </w:tcPr>
          <w:p w14:paraId="169246C4" w14:textId="1121E8AE" w:rsidR="00B85721" w:rsidRPr="00BD7D28" w:rsidRDefault="00B85721" w:rsidP="00B85721">
            <w:pPr>
              <w:spacing w:line="240" w:lineRule="auto"/>
              <w:jc w:val="center"/>
              <w:rPr>
                <w:rFonts w:ascii="Arial" w:hAnsi="Arial" w:cs="Arial"/>
                <w:sz w:val="22"/>
              </w:rPr>
            </w:pPr>
            <w:r w:rsidRPr="00BD7D28">
              <w:rPr>
                <w:rFonts w:ascii="Arial" w:hAnsi="Arial" w:cs="Arial"/>
                <w:sz w:val="22"/>
              </w:rPr>
              <w:t>0.73</w:t>
            </w:r>
          </w:p>
        </w:tc>
        <w:tc>
          <w:tcPr>
            <w:tcW w:w="1417" w:type="dxa"/>
            <w:vAlign w:val="center"/>
          </w:tcPr>
          <w:p w14:paraId="04B17AC3" w14:textId="5CE8185A" w:rsidR="00B85721" w:rsidRPr="00BD7D28" w:rsidRDefault="00B85721" w:rsidP="00B85721">
            <w:pPr>
              <w:spacing w:line="240" w:lineRule="auto"/>
              <w:jc w:val="center"/>
              <w:rPr>
                <w:rFonts w:ascii="Arial" w:hAnsi="Arial" w:cs="Arial"/>
                <w:sz w:val="22"/>
              </w:rPr>
            </w:pPr>
            <w:r w:rsidRPr="00BD7D28">
              <w:rPr>
                <w:rFonts w:ascii="Arial" w:hAnsi="Arial" w:cs="Arial"/>
                <w:sz w:val="22"/>
              </w:rPr>
              <w:t>1.83</w:t>
            </w:r>
          </w:p>
        </w:tc>
        <w:tc>
          <w:tcPr>
            <w:tcW w:w="1418" w:type="dxa"/>
            <w:vAlign w:val="center"/>
          </w:tcPr>
          <w:p w14:paraId="27BF4F1A" w14:textId="57FAE8EC"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1804DDE0" w14:textId="77777777" w:rsidTr="00721B20">
        <w:tc>
          <w:tcPr>
            <w:tcW w:w="5382" w:type="dxa"/>
          </w:tcPr>
          <w:p w14:paraId="722284DF" w14:textId="628365D7" w:rsidR="00B85721" w:rsidRPr="00BD7D28" w:rsidRDefault="00B85721" w:rsidP="00B85721">
            <w:pPr>
              <w:spacing w:line="240" w:lineRule="auto"/>
              <w:rPr>
                <w:rFonts w:ascii="Arial" w:hAnsi="Arial" w:cs="Arial"/>
                <w:sz w:val="22"/>
              </w:rPr>
            </w:pPr>
            <w:r w:rsidRPr="00BD7D28">
              <w:rPr>
                <w:rFonts w:ascii="Arial" w:hAnsi="Arial" w:cs="Arial"/>
                <w:sz w:val="22"/>
              </w:rPr>
              <w:t xml:space="preserve">Based on active worsening of patient condition as defined by </w:t>
            </w:r>
            <w:r w:rsidR="00CC23A0" w:rsidRPr="00BD7D28">
              <w:rPr>
                <w:rFonts w:ascii="Arial" w:hAnsi="Arial" w:cs="Arial"/>
                <w:sz w:val="22"/>
              </w:rPr>
              <w:t>w</w:t>
            </w:r>
            <w:r w:rsidRPr="00BD7D28">
              <w:rPr>
                <w:rFonts w:ascii="Arial" w:hAnsi="Arial" w:cs="Arial"/>
                <w:sz w:val="22"/>
              </w:rPr>
              <w:t>orsening of ILD on HRCT</w:t>
            </w:r>
          </w:p>
        </w:tc>
        <w:tc>
          <w:tcPr>
            <w:tcW w:w="1276" w:type="dxa"/>
            <w:vAlign w:val="center"/>
          </w:tcPr>
          <w:p w14:paraId="31504B5C" w14:textId="3105BF3D" w:rsidR="00B85721" w:rsidRPr="00BD7D28" w:rsidRDefault="00B85721" w:rsidP="00B85721">
            <w:pPr>
              <w:spacing w:line="240" w:lineRule="auto"/>
              <w:jc w:val="center"/>
              <w:rPr>
                <w:rFonts w:ascii="Arial" w:hAnsi="Arial" w:cs="Arial"/>
                <w:sz w:val="22"/>
              </w:rPr>
            </w:pPr>
            <w:r w:rsidRPr="00BD7D28">
              <w:rPr>
                <w:rFonts w:ascii="Arial" w:hAnsi="Arial" w:cs="Arial"/>
                <w:sz w:val="22"/>
              </w:rPr>
              <w:t>1.64</w:t>
            </w:r>
          </w:p>
        </w:tc>
        <w:tc>
          <w:tcPr>
            <w:tcW w:w="1417" w:type="dxa"/>
            <w:vAlign w:val="center"/>
          </w:tcPr>
          <w:p w14:paraId="7067D512" w14:textId="448641E7" w:rsidR="00B85721" w:rsidRPr="00BD7D28" w:rsidRDefault="00B85721" w:rsidP="00B85721">
            <w:pPr>
              <w:spacing w:line="240" w:lineRule="auto"/>
              <w:jc w:val="center"/>
              <w:rPr>
                <w:rFonts w:ascii="Arial" w:hAnsi="Arial" w:cs="Arial"/>
                <w:sz w:val="22"/>
              </w:rPr>
            </w:pPr>
            <w:r w:rsidRPr="00BD7D28">
              <w:rPr>
                <w:rFonts w:ascii="Arial" w:hAnsi="Arial" w:cs="Arial"/>
                <w:sz w:val="22"/>
              </w:rPr>
              <w:t>2.32</w:t>
            </w:r>
          </w:p>
        </w:tc>
        <w:tc>
          <w:tcPr>
            <w:tcW w:w="1418" w:type="dxa"/>
            <w:vAlign w:val="center"/>
          </w:tcPr>
          <w:p w14:paraId="5A660CC6" w14:textId="4FC67BFA"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7592FB98" w14:textId="77777777" w:rsidTr="00721B20">
        <w:tc>
          <w:tcPr>
            <w:tcW w:w="5382" w:type="dxa"/>
          </w:tcPr>
          <w:p w14:paraId="69C8FF7B" w14:textId="65BC96F0" w:rsidR="00B85721" w:rsidRPr="00BD7D28" w:rsidRDefault="00B85721" w:rsidP="00B85721">
            <w:pPr>
              <w:spacing w:line="240" w:lineRule="auto"/>
              <w:rPr>
                <w:rFonts w:ascii="Arial" w:hAnsi="Arial" w:cs="Arial"/>
                <w:sz w:val="22"/>
              </w:rPr>
            </w:pPr>
            <w:r w:rsidRPr="00BD7D28">
              <w:rPr>
                <w:rFonts w:ascii="Arial" w:hAnsi="Arial" w:cs="Arial"/>
                <w:sz w:val="22"/>
              </w:rPr>
              <w:t xml:space="preserve">Based on active worsening of patient condition as defined by </w:t>
            </w:r>
            <w:r w:rsidR="00CC23A0" w:rsidRPr="00BD7D28">
              <w:rPr>
                <w:rFonts w:ascii="Arial" w:hAnsi="Arial" w:cs="Arial"/>
                <w:sz w:val="22"/>
              </w:rPr>
              <w:t>w</w:t>
            </w:r>
            <w:r w:rsidRPr="00BD7D28">
              <w:rPr>
                <w:rFonts w:ascii="Arial" w:hAnsi="Arial" w:cs="Arial"/>
                <w:sz w:val="22"/>
              </w:rPr>
              <w:t>orsening of lung function</w:t>
            </w:r>
          </w:p>
        </w:tc>
        <w:tc>
          <w:tcPr>
            <w:tcW w:w="1276" w:type="dxa"/>
            <w:vAlign w:val="center"/>
          </w:tcPr>
          <w:p w14:paraId="5EFE0B71" w14:textId="5CA4BE47" w:rsidR="00B85721" w:rsidRPr="00BD7D28" w:rsidRDefault="00B85721" w:rsidP="00B85721">
            <w:pPr>
              <w:spacing w:line="240" w:lineRule="auto"/>
              <w:jc w:val="center"/>
              <w:rPr>
                <w:rFonts w:ascii="Arial" w:hAnsi="Arial" w:cs="Arial"/>
                <w:sz w:val="22"/>
              </w:rPr>
            </w:pPr>
            <w:r w:rsidRPr="00BD7D28">
              <w:rPr>
                <w:rFonts w:ascii="Arial" w:hAnsi="Arial" w:cs="Arial"/>
                <w:sz w:val="22"/>
              </w:rPr>
              <w:t>2.23</w:t>
            </w:r>
          </w:p>
        </w:tc>
        <w:tc>
          <w:tcPr>
            <w:tcW w:w="1417" w:type="dxa"/>
            <w:vAlign w:val="center"/>
          </w:tcPr>
          <w:p w14:paraId="5309CE42" w14:textId="37248A00" w:rsidR="00B85721" w:rsidRPr="00BD7D28" w:rsidRDefault="00B85721" w:rsidP="00B85721">
            <w:pPr>
              <w:spacing w:line="240" w:lineRule="auto"/>
              <w:jc w:val="center"/>
              <w:rPr>
                <w:rFonts w:ascii="Arial" w:hAnsi="Arial" w:cs="Arial"/>
                <w:sz w:val="22"/>
              </w:rPr>
            </w:pPr>
            <w:r w:rsidRPr="00BD7D28">
              <w:rPr>
                <w:rFonts w:ascii="Arial" w:hAnsi="Arial" w:cs="Arial"/>
                <w:sz w:val="22"/>
              </w:rPr>
              <w:t>2.18</w:t>
            </w:r>
          </w:p>
        </w:tc>
        <w:tc>
          <w:tcPr>
            <w:tcW w:w="1418" w:type="dxa"/>
            <w:vAlign w:val="center"/>
          </w:tcPr>
          <w:p w14:paraId="3A3A9C82" w14:textId="0C8F0249"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27D7FF64" w14:textId="77777777" w:rsidTr="00721B20">
        <w:tc>
          <w:tcPr>
            <w:tcW w:w="5382" w:type="dxa"/>
          </w:tcPr>
          <w:p w14:paraId="5EE50107" w14:textId="46035323" w:rsidR="00B85721" w:rsidRPr="00BD7D28" w:rsidRDefault="00B85721" w:rsidP="00B85721">
            <w:pPr>
              <w:spacing w:line="240" w:lineRule="auto"/>
              <w:rPr>
                <w:rFonts w:ascii="Arial" w:hAnsi="Arial" w:cs="Arial"/>
                <w:sz w:val="22"/>
              </w:rPr>
            </w:pPr>
            <w:r w:rsidRPr="00BD7D28">
              <w:rPr>
                <w:rFonts w:ascii="Arial" w:hAnsi="Arial" w:cs="Arial"/>
                <w:sz w:val="22"/>
              </w:rPr>
              <w:t xml:space="preserve">Based on active worsening of patient condition as defined by </w:t>
            </w:r>
            <w:r w:rsidR="00CC23A0" w:rsidRPr="00BD7D28">
              <w:rPr>
                <w:rFonts w:ascii="Arial" w:hAnsi="Arial" w:cs="Arial"/>
                <w:sz w:val="22"/>
              </w:rPr>
              <w:t>a c</w:t>
            </w:r>
            <w:r w:rsidRPr="00BD7D28">
              <w:rPr>
                <w:rFonts w:ascii="Arial" w:hAnsi="Arial" w:cs="Arial"/>
                <w:sz w:val="22"/>
              </w:rPr>
              <w:t xml:space="preserve">ombination of </w:t>
            </w:r>
            <w:r w:rsidR="00CC23A0" w:rsidRPr="00BD7D28">
              <w:rPr>
                <w:rFonts w:ascii="Arial" w:hAnsi="Arial" w:cs="Arial"/>
                <w:sz w:val="22"/>
              </w:rPr>
              <w:t xml:space="preserve">the </w:t>
            </w:r>
            <w:r w:rsidRPr="00BD7D28">
              <w:rPr>
                <w:rFonts w:ascii="Arial" w:hAnsi="Arial" w:cs="Arial"/>
                <w:sz w:val="22"/>
              </w:rPr>
              <w:t>above</w:t>
            </w:r>
          </w:p>
        </w:tc>
        <w:tc>
          <w:tcPr>
            <w:tcW w:w="1276" w:type="dxa"/>
            <w:vAlign w:val="center"/>
          </w:tcPr>
          <w:p w14:paraId="12655046" w14:textId="15E842A4" w:rsidR="00B85721" w:rsidRPr="00BD7D28" w:rsidRDefault="00B85721" w:rsidP="00B85721">
            <w:pPr>
              <w:spacing w:line="240" w:lineRule="auto"/>
              <w:jc w:val="center"/>
              <w:rPr>
                <w:rFonts w:ascii="Arial" w:hAnsi="Arial" w:cs="Arial"/>
                <w:sz w:val="22"/>
              </w:rPr>
            </w:pPr>
            <w:r w:rsidRPr="00BD7D28">
              <w:rPr>
                <w:rFonts w:ascii="Arial" w:hAnsi="Arial" w:cs="Arial"/>
                <w:sz w:val="22"/>
              </w:rPr>
              <w:t>2.36</w:t>
            </w:r>
          </w:p>
        </w:tc>
        <w:tc>
          <w:tcPr>
            <w:tcW w:w="1417" w:type="dxa"/>
            <w:vAlign w:val="center"/>
          </w:tcPr>
          <w:p w14:paraId="53C54207" w14:textId="0A515763" w:rsidR="00B85721" w:rsidRPr="00BD7D28" w:rsidRDefault="00B85721" w:rsidP="00B85721">
            <w:pPr>
              <w:spacing w:line="240" w:lineRule="auto"/>
              <w:jc w:val="center"/>
              <w:rPr>
                <w:rFonts w:ascii="Arial" w:hAnsi="Arial" w:cs="Arial"/>
                <w:sz w:val="22"/>
              </w:rPr>
            </w:pPr>
            <w:r w:rsidRPr="00BD7D28">
              <w:rPr>
                <w:rFonts w:ascii="Arial" w:hAnsi="Arial" w:cs="Arial"/>
                <w:sz w:val="22"/>
              </w:rPr>
              <w:t>2.22</w:t>
            </w:r>
          </w:p>
        </w:tc>
        <w:tc>
          <w:tcPr>
            <w:tcW w:w="1418" w:type="dxa"/>
            <w:vAlign w:val="center"/>
          </w:tcPr>
          <w:p w14:paraId="5182F403" w14:textId="6557638A"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66C27E9D" w14:textId="77777777" w:rsidTr="00721B20">
        <w:tc>
          <w:tcPr>
            <w:tcW w:w="5382" w:type="dxa"/>
          </w:tcPr>
          <w:p w14:paraId="112FC2FB" w14:textId="7C9AA010" w:rsidR="00B85721" w:rsidRPr="00BD7D28" w:rsidRDefault="00B85721" w:rsidP="00B85721">
            <w:pPr>
              <w:spacing w:line="240" w:lineRule="auto"/>
              <w:rPr>
                <w:rFonts w:ascii="Arial" w:hAnsi="Arial" w:cs="Arial"/>
                <w:sz w:val="22"/>
              </w:rPr>
            </w:pPr>
            <w:r w:rsidRPr="00BD7D28">
              <w:rPr>
                <w:rFonts w:ascii="Arial" w:hAnsi="Arial" w:cs="Arial"/>
                <w:sz w:val="22"/>
              </w:rPr>
              <w:t xml:space="preserve">Based on inability to continue CYC/MMF/antifibrotics due to </w:t>
            </w:r>
            <w:r w:rsidR="00CC23A0" w:rsidRPr="00BD7D28">
              <w:rPr>
                <w:rFonts w:ascii="Arial" w:hAnsi="Arial" w:cs="Arial"/>
                <w:sz w:val="22"/>
              </w:rPr>
              <w:t>a</w:t>
            </w:r>
            <w:r w:rsidRPr="00BD7D28">
              <w:rPr>
                <w:rFonts w:ascii="Arial" w:hAnsi="Arial" w:cs="Arial"/>
                <w:sz w:val="22"/>
              </w:rPr>
              <w:t>dverse effects</w:t>
            </w:r>
          </w:p>
        </w:tc>
        <w:tc>
          <w:tcPr>
            <w:tcW w:w="1276" w:type="dxa"/>
            <w:vAlign w:val="center"/>
          </w:tcPr>
          <w:p w14:paraId="7057C0EB" w14:textId="29AD1F84" w:rsidR="00B85721" w:rsidRPr="00BD7D28" w:rsidRDefault="00B85721" w:rsidP="00B85721">
            <w:pPr>
              <w:spacing w:line="240" w:lineRule="auto"/>
              <w:jc w:val="center"/>
              <w:rPr>
                <w:rFonts w:ascii="Arial" w:hAnsi="Arial" w:cs="Arial"/>
                <w:sz w:val="22"/>
              </w:rPr>
            </w:pPr>
            <w:r w:rsidRPr="00BD7D28">
              <w:rPr>
                <w:rFonts w:ascii="Arial" w:hAnsi="Arial" w:cs="Arial"/>
                <w:sz w:val="22"/>
              </w:rPr>
              <w:t>2.59</w:t>
            </w:r>
          </w:p>
        </w:tc>
        <w:tc>
          <w:tcPr>
            <w:tcW w:w="1417" w:type="dxa"/>
            <w:vAlign w:val="center"/>
          </w:tcPr>
          <w:p w14:paraId="7190D7E0" w14:textId="719EDEDF" w:rsidR="00B85721" w:rsidRPr="00BD7D28" w:rsidRDefault="00B85721" w:rsidP="00B85721">
            <w:pPr>
              <w:spacing w:line="240" w:lineRule="auto"/>
              <w:jc w:val="center"/>
              <w:rPr>
                <w:rFonts w:ascii="Arial" w:hAnsi="Arial" w:cs="Arial"/>
                <w:sz w:val="22"/>
              </w:rPr>
            </w:pPr>
            <w:r w:rsidRPr="00BD7D28">
              <w:rPr>
                <w:rFonts w:ascii="Arial" w:hAnsi="Arial" w:cs="Arial"/>
                <w:sz w:val="22"/>
              </w:rPr>
              <w:t>1.97</w:t>
            </w:r>
          </w:p>
        </w:tc>
        <w:tc>
          <w:tcPr>
            <w:tcW w:w="1418" w:type="dxa"/>
            <w:vAlign w:val="center"/>
          </w:tcPr>
          <w:p w14:paraId="5CB6AAC7" w14:textId="738D7895"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1E3C2A3A" w14:textId="77777777" w:rsidTr="00721B20">
        <w:tc>
          <w:tcPr>
            <w:tcW w:w="5382" w:type="dxa"/>
          </w:tcPr>
          <w:p w14:paraId="647BCD4B" w14:textId="13D8B5A8" w:rsidR="00B85721" w:rsidRPr="00BD7D28" w:rsidRDefault="00B85721" w:rsidP="00B85721">
            <w:pPr>
              <w:spacing w:line="240" w:lineRule="auto"/>
              <w:rPr>
                <w:rFonts w:ascii="Arial" w:hAnsi="Arial" w:cs="Arial"/>
                <w:sz w:val="22"/>
              </w:rPr>
            </w:pPr>
            <w:r w:rsidRPr="00BD7D28">
              <w:rPr>
                <w:rFonts w:ascii="Arial" w:hAnsi="Arial" w:cs="Arial"/>
                <w:sz w:val="22"/>
              </w:rPr>
              <w:t xml:space="preserve">Based on inability to continue CYC/MMF/antifibrotics due to </w:t>
            </w:r>
            <w:r w:rsidR="00CC23A0" w:rsidRPr="00BD7D28">
              <w:rPr>
                <w:rFonts w:ascii="Arial" w:hAnsi="Arial" w:cs="Arial"/>
                <w:sz w:val="22"/>
              </w:rPr>
              <w:t>l</w:t>
            </w:r>
            <w:r w:rsidRPr="00BD7D28">
              <w:rPr>
                <w:rFonts w:ascii="Arial" w:hAnsi="Arial" w:cs="Arial"/>
                <w:sz w:val="22"/>
              </w:rPr>
              <w:t>ack of achievement of effective dose with CYC/MMF/antifibrotics</w:t>
            </w:r>
          </w:p>
        </w:tc>
        <w:tc>
          <w:tcPr>
            <w:tcW w:w="1276" w:type="dxa"/>
            <w:vAlign w:val="center"/>
          </w:tcPr>
          <w:p w14:paraId="7C7F9554" w14:textId="1E2ECCD3" w:rsidR="00B85721" w:rsidRPr="00BD7D28" w:rsidRDefault="00B85721" w:rsidP="00B85721">
            <w:pPr>
              <w:spacing w:line="240" w:lineRule="auto"/>
              <w:jc w:val="center"/>
              <w:rPr>
                <w:rFonts w:ascii="Arial" w:hAnsi="Arial" w:cs="Arial"/>
                <w:sz w:val="22"/>
              </w:rPr>
            </w:pPr>
            <w:r w:rsidRPr="00BD7D28">
              <w:rPr>
                <w:rFonts w:ascii="Arial" w:hAnsi="Arial" w:cs="Arial"/>
                <w:sz w:val="22"/>
              </w:rPr>
              <w:t>2.45</w:t>
            </w:r>
          </w:p>
        </w:tc>
        <w:tc>
          <w:tcPr>
            <w:tcW w:w="1417" w:type="dxa"/>
            <w:vAlign w:val="center"/>
          </w:tcPr>
          <w:p w14:paraId="4590A49C" w14:textId="04748536" w:rsidR="00B85721" w:rsidRPr="00BD7D28" w:rsidRDefault="00B85721" w:rsidP="00B85721">
            <w:pPr>
              <w:spacing w:line="240" w:lineRule="auto"/>
              <w:jc w:val="center"/>
              <w:rPr>
                <w:rFonts w:ascii="Arial" w:hAnsi="Arial" w:cs="Arial"/>
                <w:sz w:val="22"/>
              </w:rPr>
            </w:pPr>
            <w:r w:rsidRPr="00BD7D28">
              <w:rPr>
                <w:rFonts w:ascii="Arial" w:hAnsi="Arial" w:cs="Arial"/>
                <w:sz w:val="22"/>
              </w:rPr>
              <w:t>2.20</w:t>
            </w:r>
          </w:p>
        </w:tc>
        <w:tc>
          <w:tcPr>
            <w:tcW w:w="1418" w:type="dxa"/>
            <w:vAlign w:val="center"/>
          </w:tcPr>
          <w:p w14:paraId="5907E07E" w14:textId="1557E631"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0C69B1A7" w14:textId="77777777" w:rsidTr="00721B20">
        <w:tc>
          <w:tcPr>
            <w:tcW w:w="5382" w:type="dxa"/>
          </w:tcPr>
          <w:p w14:paraId="547CA4BD" w14:textId="33C776F6" w:rsidR="00B85721" w:rsidRPr="00BD7D28" w:rsidRDefault="00B85721" w:rsidP="00B85721">
            <w:pPr>
              <w:spacing w:line="240" w:lineRule="auto"/>
              <w:rPr>
                <w:rFonts w:ascii="Arial" w:hAnsi="Arial" w:cs="Arial"/>
                <w:sz w:val="22"/>
              </w:rPr>
            </w:pPr>
            <w:r w:rsidRPr="00BD7D28">
              <w:rPr>
                <w:rFonts w:ascii="Arial" w:hAnsi="Arial" w:cs="Arial"/>
                <w:sz w:val="22"/>
              </w:rPr>
              <w:t xml:space="preserve">Based on inability to continue CYC/MMF/antifibrotics due to </w:t>
            </w:r>
            <w:r w:rsidR="00CC23A0" w:rsidRPr="00BD7D28">
              <w:rPr>
                <w:rFonts w:ascii="Arial" w:hAnsi="Arial" w:cs="Arial"/>
                <w:sz w:val="22"/>
              </w:rPr>
              <w:t>p</w:t>
            </w:r>
            <w:r w:rsidRPr="00BD7D28">
              <w:rPr>
                <w:rFonts w:ascii="Arial" w:hAnsi="Arial" w:cs="Arial"/>
                <w:sz w:val="22"/>
              </w:rPr>
              <w:t>rolonged use</w:t>
            </w:r>
          </w:p>
        </w:tc>
        <w:tc>
          <w:tcPr>
            <w:tcW w:w="1276" w:type="dxa"/>
            <w:vAlign w:val="center"/>
          </w:tcPr>
          <w:p w14:paraId="4CC8C90B" w14:textId="68003D1E" w:rsidR="00B85721" w:rsidRPr="00BD7D28" w:rsidRDefault="00B85721" w:rsidP="00B85721">
            <w:pPr>
              <w:spacing w:line="240" w:lineRule="auto"/>
              <w:jc w:val="center"/>
              <w:rPr>
                <w:rFonts w:ascii="Arial" w:hAnsi="Arial" w:cs="Arial"/>
                <w:sz w:val="22"/>
              </w:rPr>
            </w:pPr>
            <w:r w:rsidRPr="00BD7D28">
              <w:rPr>
                <w:rFonts w:ascii="Arial" w:hAnsi="Arial" w:cs="Arial"/>
                <w:sz w:val="22"/>
              </w:rPr>
              <w:t>1.09</w:t>
            </w:r>
          </w:p>
        </w:tc>
        <w:tc>
          <w:tcPr>
            <w:tcW w:w="1417" w:type="dxa"/>
            <w:vAlign w:val="center"/>
          </w:tcPr>
          <w:p w14:paraId="4DD5886E" w14:textId="6C35A2A1" w:rsidR="00B85721" w:rsidRPr="00BD7D28" w:rsidRDefault="00B85721" w:rsidP="00B85721">
            <w:pPr>
              <w:spacing w:line="240" w:lineRule="auto"/>
              <w:jc w:val="center"/>
              <w:rPr>
                <w:rFonts w:ascii="Arial" w:hAnsi="Arial" w:cs="Arial"/>
                <w:sz w:val="22"/>
              </w:rPr>
            </w:pPr>
            <w:r w:rsidRPr="00BD7D28">
              <w:rPr>
                <w:rFonts w:ascii="Arial" w:hAnsi="Arial" w:cs="Arial"/>
                <w:sz w:val="22"/>
              </w:rPr>
              <w:t>2.02</w:t>
            </w:r>
          </w:p>
        </w:tc>
        <w:tc>
          <w:tcPr>
            <w:tcW w:w="1418" w:type="dxa"/>
            <w:vAlign w:val="center"/>
          </w:tcPr>
          <w:p w14:paraId="13DFD136" w14:textId="6826953A"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448CE9E9" w14:textId="77777777" w:rsidTr="00B85721">
        <w:tc>
          <w:tcPr>
            <w:tcW w:w="9493" w:type="dxa"/>
            <w:gridSpan w:val="4"/>
            <w:vAlign w:val="center"/>
          </w:tcPr>
          <w:p w14:paraId="4207E946" w14:textId="5AD66495" w:rsidR="00B85721" w:rsidRPr="00BD7D28" w:rsidRDefault="00B85721" w:rsidP="00B85721">
            <w:pPr>
              <w:spacing w:line="240" w:lineRule="auto"/>
              <w:rPr>
                <w:rFonts w:ascii="Arial" w:eastAsia="Calibri" w:hAnsi="Arial" w:cs="Arial"/>
                <w:b/>
                <w:bCs/>
                <w:sz w:val="22"/>
                <w:lang w:val="en-GB"/>
              </w:rPr>
            </w:pPr>
            <w:r w:rsidRPr="00BD7D28">
              <w:rPr>
                <w:rFonts w:ascii="Arial" w:hAnsi="Arial" w:cs="Arial"/>
                <w:b/>
                <w:bCs/>
                <w:sz w:val="22"/>
              </w:rPr>
              <w:t>TCZ fits into the management of SSc-ILD as:</w:t>
            </w:r>
          </w:p>
        </w:tc>
      </w:tr>
      <w:tr w:rsidR="00BD7D28" w:rsidRPr="00BD7D28" w14:paraId="731AC9E4" w14:textId="77777777" w:rsidTr="00721B20">
        <w:tc>
          <w:tcPr>
            <w:tcW w:w="5382" w:type="dxa"/>
          </w:tcPr>
          <w:p w14:paraId="0F2C24CF" w14:textId="1CFD1F39" w:rsidR="00B85721" w:rsidRPr="00BD7D28" w:rsidRDefault="00B85721" w:rsidP="00B85721">
            <w:pPr>
              <w:spacing w:line="240" w:lineRule="auto"/>
              <w:rPr>
                <w:rFonts w:ascii="Arial" w:hAnsi="Arial" w:cs="Arial"/>
                <w:sz w:val="22"/>
              </w:rPr>
            </w:pPr>
            <w:r w:rsidRPr="00BD7D28">
              <w:rPr>
                <w:rFonts w:ascii="Arial" w:hAnsi="Arial" w:cs="Arial"/>
                <w:sz w:val="22"/>
              </w:rPr>
              <w:t>Initial monotherapy in patients with contraindication to or problems tolerating antifibrotics</w:t>
            </w:r>
          </w:p>
        </w:tc>
        <w:tc>
          <w:tcPr>
            <w:tcW w:w="1276" w:type="dxa"/>
            <w:vAlign w:val="center"/>
          </w:tcPr>
          <w:p w14:paraId="2B8CD525" w14:textId="438C94BE" w:rsidR="00B85721" w:rsidRPr="00BD7D28" w:rsidRDefault="00444511" w:rsidP="00B85721">
            <w:pPr>
              <w:spacing w:line="240" w:lineRule="auto"/>
              <w:jc w:val="center"/>
              <w:rPr>
                <w:rFonts w:ascii="Arial" w:hAnsi="Arial" w:cs="Arial"/>
                <w:sz w:val="22"/>
              </w:rPr>
            </w:pPr>
            <w:r w:rsidRPr="00BD7D28">
              <w:rPr>
                <w:rFonts w:ascii="Verdana" w:hAnsi="Verdana" w:cs="Arial"/>
                <w:sz w:val="22"/>
              </w:rPr>
              <w:t>–</w:t>
            </w:r>
            <w:r w:rsidR="00B85721" w:rsidRPr="00BD7D28">
              <w:rPr>
                <w:rFonts w:ascii="Arial" w:hAnsi="Arial" w:cs="Arial"/>
                <w:sz w:val="22"/>
              </w:rPr>
              <w:t>0.36</w:t>
            </w:r>
          </w:p>
        </w:tc>
        <w:tc>
          <w:tcPr>
            <w:tcW w:w="1417" w:type="dxa"/>
            <w:vAlign w:val="center"/>
          </w:tcPr>
          <w:p w14:paraId="54D9ABE8" w14:textId="5FCD3525" w:rsidR="00B85721" w:rsidRPr="00BD7D28" w:rsidRDefault="00B85721" w:rsidP="00B85721">
            <w:pPr>
              <w:spacing w:line="240" w:lineRule="auto"/>
              <w:jc w:val="center"/>
              <w:rPr>
                <w:rFonts w:ascii="Arial" w:hAnsi="Arial" w:cs="Arial"/>
                <w:sz w:val="22"/>
              </w:rPr>
            </w:pPr>
            <w:r w:rsidRPr="00BD7D28">
              <w:rPr>
                <w:rFonts w:ascii="Arial" w:hAnsi="Arial" w:cs="Arial"/>
                <w:sz w:val="22"/>
              </w:rPr>
              <w:t>2.04</w:t>
            </w:r>
          </w:p>
        </w:tc>
        <w:tc>
          <w:tcPr>
            <w:tcW w:w="1418" w:type="dxa"/>
            <w:vAlign w:val="center"/>
          </w:tcPr>
          <w:p w14:paraId="3DA4B75A" w14:textId="1A6CB2C0" w:rsidR="00B85721" w:rsidRPr="00BD7D28" w:rsidRDefault="00B85721"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43CACEAA" w14:textId="77777777" w:rsidTr="00721B20">
        <w:tc>
          <w:tcPr>
            <w:tcW w:w="5382" w:type="dxa"/>
          </w:tcPr>
          <w:p w14:paraId="63220149" w14:textId="5667313D" w:rsidR="00B85721" w:rsidRPr="00BD7D28" w:rsidRDefault="00B85721" w:rsidP="00B85721">
            <w:pPr>
              <w:spacing w:line="240" w:lineRule="auto"/>
              <w:rPr>
                <w:rFonts w:ascii="Arial" w:hAnsi="Arial" w:cs="Arial"/>
                <w:sz w:val="22"/>
              </w:rPr>
            </w:pPr>
            <w:r w:rsidRPr="00BD7D28">
              <w:rPr>
                <w:rFonts w:ascii="Arial" w:hAnsi="Arial" w:cs="Arial"/>
                <w:sz w:val="22"/>
              </w:rPr>
              <w:t>Initial monotherapy in patients with contraindication to or problems tolerating immunosuppressive agents (CYC/MMF)</w:t>
            </w:r>
          </w:p>
        </w:tc>
        <w:tc>
          <w:tcPr>
            <w:tcW w:w="1276" w:type="dxa"/>
            <w:vAlign w:val="center"/>
          </w:tcPr>
          <w:p w14:paraId="2A984448" w14:textId="4FD8D710" w:rsidR="00B85721" w:rsidRPr="00BD7D28" w:rsidRDefault="00B85721" w:rsidP="00B85721">
            <w:pPr>
              <w:spacing w:line="240" w:lineRule="auto"/>
              <w:jc w:val="center"/>
              <w:rPr>
                <w:rFonts w:ascii="Arial" w:hAnsi="Arial" w:cs="Arial"/>
                <w:sz w:val="22"/>
              </w:rPr>
            </w:pPr>
            <w:r w:rsidRPr="00BD7D28">
              <w:rPr>
                <w:rFonts w:ascii="Arial" w:hAnsi="Arial" w:cs="Arial"/>
                <w:sz w:val="22"/>
              </w:rPr>
              <w:t>1.68</w:t>
            </w:r>
          </w:p>
        </w:tc>
        <w:tc>
          <w:tcPr>
            <w:tcW w:w="1417" w:type="dxa"/>
            <w:vAlign w:val="center"/>
          </w:tcPr>
          <w:p w14:paraId="2E80542D" w14:textId="4CBF5BDA" w:rsidR="00B85721" w:rsidRPr="00BD7D28" w:rsidRDefault="00B85721" w:rsidP="00B85721">
            <w:pPr>
              <w:spacing w:line="240" w:lineRule="auto"/>
              <w:jc w:val="center"/>
              <w:rPr>
                <w:rFonts w:ascii="Arial" w:hAnsi="Arial" w:cs="Arial"/>
                <w:sz w:val="22"/>
              </w:rPr>
            </w:pPr>
            <w:r w:rsidRPr="00BD7D28">
              <w:rPr>
                <w:rFonts w:ascii="Arial" w:hAnsi="Arial" w:cs="Arial"/>
                <w:sz w:val="22"/>
              </w:rPr>
              <w:t>2.03</w:t>
            </w:r>
          </w:p>
        </w:tc>
        <w:tc>
          <w:tcPr>
            <w:tcW w:w="1418" w:type="dxa"/>
            <w:vAlign w:val="center"/>
          </w:tcPr>
          <w:p w14:paraId="0C2A09E8" w14:textId="7BE4DE52" w:rsidR="00B85721" w:rsidRPr="00BD7D28" w:rsidRDefault="004F7917"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592CBBF4" w14:textId="77777777" w:rsidTr="00721B20">
        <w:tc>
          <w:tcPr>
            <w:tcW w:w="5382" w:type="dxa"/>
          </w:tcPr>
          <w:p w14:paraId="7BFBB41C" w14:textId="2433761B" w:rsidR="00B85721" w:rsidRPr="00BD7D28" w:rsidRDefault="00B85721" w:rsidP="00B85721">
            <w:pPr>
              <w:spacing w:line="240" w:lineRule="auto"/>
              <w:rPr>
                <w:rFonts w:ascii="Arial" w:hAnsi="Arial" w:cs="Arial"/>
                <w:sz w:val="22"/>
              </w:rPr>
            </w:pPr>
            <w:r w:rsidRPr="00BD7D28">
              <w:rPr>
                <w:rFonts w:ascii="Arial" w:hAnsi="Arial" w:cs="Arial"/>
                <w:sz w:val="22"/>
              </w:rPr>
              <w:t>Initial monotherapy in patients with any SSc-ILD</w:t>
            </w:r>
          </w:p>
        </w:tc>
        <w:tc>
          <w:tcPr>
            <w:tcW w:w="1276" w:type="dxa"/>
            <w:vAlign w:val="center"/>
          </w:tcPr>
          <w:p w14:paraId="02399508" w14:textId="339D3F93" w:rsidR="00B85721" w:rsidRPr="00BD7D28" w:rsidRDefault="00444511" w:rsidP="00B85721">
            <w:pPr>
              <w:spacing w:line="240" w:lineRule="auto"/>
              <w:jc w:val="center"/>
              <w:rPr>
                <w:rFonts w:ascii="Arial" w:hAnsi="Arial" w:cs="Arial"/>
                <w:sz w:val="22"/>
              </w:rPr>
            </w:pPr>
            <w:r w:rsidRPr="00BD7D28">
              <w:rPr>
                <w:rFonts w:ascii="Verdana" w:hAnsi="Verdana" w:cs="Arial"/>
                <w:sz w:val="22"/>
              </w:rPr>
              <w:t>–</w:t>
            </w:r>
            <w:r w:rsidR="00B85721" w:rsidRPr="00BD7D28">
              <w:rPr>
                <w:rFonts w:ascii="Arial" w:hAnsi="Arial" w:cs="Arial"/>
                <w:sz w:val="22"/>
              </w:rPr>
              <w:t>1.09</w:t>
            </w:r>
          </w:p>
        </w:tc>
        <w:tc>
          <w:tcPr>
            <w:tcW w:w="1417" w:type="dxa"/>
            <w:vAlign w:val="center"/>
          </w:tcPr>
          <w:p w14:paraId="7617007C" w14:textId="620C9FAE" w:rsidR="00B85721" w:rsidRPr="00BD7D28" w:rsidRDefault="00B85721" w:rsidP="00B85721">
            <w:pPr>
              <w:spacing w:line="240" w:lineRule="auto"/>
              <w:jc w:val="center"/>
              <w:rPr>
                <w:rFonts w:ascii="Arial" w:hAnsi="Arial" w:cs="Arial"/>
                <w:sz w:val="22"/>
              </w:rPr>
            </w:pPr>
            <w:r w:rsidRPr="00BD7D28">
              <w:rPr>
                <w:rFonts w:ascii="Arial" w:hAnsi="Arial" w:cs="Arial"/>
                <w:sz w:val="22"/>
              </w:rPr>
              <w:t>2.20</w:t>
            </w:r>
          </w:p>
        </w:tc>
        <w:tc>
          <w:tcPr>
            <w:tcW w:w="1418" w:type="dxa"/>
            <w:vAlign w:val="center"/>
          </w:tcPr>
          <w:p w14:paraId="6B7A982C" w14:textId="1631EF18" w:rsidR="00B85721" w:rsidRPr="00BD7D28" w:rsidRDefault="004F7917"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21180A54" w14:textId="77777777" w:rsidTr="00721B20">
        <w:tc>
          <w:tcPr>
            <w:tcW w:w="5382" w:type="dxa"/>
          </w:tcPr>
          <w:p w14:paraId="1CA78220" w14:textId="3250EF24" w:rsidR="00B85721" w:rsidRPr="00BD7D28" w:rsidRDefault="00B85721" w:rsidP="00B85721">
            <w:pPr>
              <w:spacing w:line="240" w:lineRule="auto"/>
              <w:rPr>
                <w:rFonts w:ascii="Arial" w:hAnsi="Arial" w:cs="Arial"/>
                <w:sz w:val="22"/>
              </w:rPr>
            </w:pPr>
            <w:r w:rsidRPr="00BD7D28">
              <w:rPr>
                <w:rFonts w:ascii="Arial" w:hAnsi="Arial" w:cs="Arial"/>
                <w:sz w:val="22"/>
              </w:rPr>
              <w:t>Initial monotherapy in patients with early SSc and ILD</w:t>
            </w:r>
          </w:p>
        </w:tc>
        <w:tc>
          <w:tcPr>
            <w:tcW w:w="1276" w:type="dxa"/>
            <w:vAlign w:val="center"/>
          </w:tcPr>
          <w:p w14:paraId="6137B98C" w14:textId="329CC25F" w:rsidR="00B85721" w:rsidRPr="00BD7D28" w:rsidRDefault="00444511" w:rsidP="00B85721">
            <w:pPr>
              <w:spacing w:line="240" w:lineRule="auto"/>
              <w:jc w:val="center"/>
              <w:rPr>
                <w:rFonts w:ascii="Arial" w:hAnsi="Arial" w:cs="Arial"/>
                <w:sz w:val="22"/>
              </w:rPr>
            </w:pPr>
            <w:r w:rsidRPr="00BD7D28">
              <w:rPr>
                <w:rFonts w:ascii="Verdana" w:hAnsi="Verdana" w:cs="Arial"/>
                <w:sz w:val="22"/>
              </w:rPr>
              <w:t>–</w:t>
            </w:r>
            <w:r w:rsidR="00B85721" w:rsidRPr="00BD7D28">
              <w:rPr>
                <w:rFonts w:ascii="Arial" w:hAnsi="Arial" w:cs="Arial"/>
                <w:sz w:val="22"/>
              </w:rPr>
              <w:t>0.05</w:t>
            </w:r>
          </w:p>
        </w:tc>
        <w:tc>
          <w:tcPr>
            <w:tcW w:w="1417" w:type="dxa"/>
            <w:vAlign w:val="center"/>
          </w:tcPr>
          <w:p w14:paraId="31D62B58" w14:textId="37CFA3E2" w:rsidR="00B85721" w:rsidRPr="00BD7D28" w:rsidRDefault="00B85721" w:rsidP="00B85721">
            <w:pPr>
              <w:spacing w:line="240" w:lineRule="auto"/>
              <w:jc w:val="center"/>
              <w:rPr>
                <w:rFonts w:ascii="Arial" w:hAnsi="Arial" w:cs="Arial"/>
                <w:sz w:val="22"/>
              </w:rPr>
            </w:pPr>
            <w:r w:rsidRPr="00BD7D28">
              <w:rPr>
                <w:rFonts w:ascii="Arial" w:hAnsi="Arial" w:cs="Arial"/>
                <w:sz w:val="22"/>
              </w:rPr>
              <w:t>2.08</w:t>
            </w:r>
          </w:p>
        </w:tc>
        <w:tc>
          <w:tcPr>
            <w:tcW w:w="1418" w:type="dxa"/>
            <w:vAlign w:val="center"/>
          </w:tcPr>
          <w:p w14:paraId="00498FA3" w14:textId="14AE3693" w:rsidR="00B85721" w:rsidRPr="00BD7D28" w:rsidRDefault="004F7917"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25698191" w14:textId="77777777" w:rsidTr="00721B20">
        <w:tc>
          <w:tcPr>
            <w:tcW w:w="5382" w:type="dxa"/>
          </w:tcPr>
          <w:p w14:paraId="408967AB" w14:textId="5B9C6E5E" w:rsidR="00B85721" w:rsidRPr="00BD7D28" w:rsidRDefault="00B85721" w:rsidP="00B85721">
            <w:pPr>
              <w:spacing w:line="240" w:lineRule="auto"/>
              <w:rPr>
                <w:rFonts w:ascii="Arial" w:hAnsi="Arial" w:cs="Arial"/>
                <w:sz w:val="22"/>
              </w:rPr>
            </w:pPr>
            <w:r w:rsidRPr="00BD7D28">
              <w:rPr>
                <w:rFonts w:ascii="Arial" w:hAnsi="Arial" w:cs="Arial"/>
                <w:sz w:val="22"/>
              </w:rPr>
              <w:t>Dual initial therapy in combination with antifibrotics</w:t>
            </w:r>
          </w:p>
        </w:tc>
        <w:tc>
          <w:tcPr>
            <w:tcW w:w="1276" w:type="dxa"/>
            <w:vAlign w:val="center"/>
          </w:tcPr>
          <w:p w14:paraId="725AE3E9" w14:textId="56506F17" w:rsidR="00B85721" w:rsidRPr="00BD7D28" w:rsidRDefault="00444511" w:rsidP="00B85721">
            <w:pPr>
              <w:spacing w:line="240" w:lineRule="auto"/>
              <w:jc w:val="center"/>
              <w:rPr>
                <w:rFonts w:ascii="Arial" w:hAnsi="Arial" w:cs="Arial"/>
                <w:sz w:val="22"/>
              </w:rPr>
            </w:pPr>
            <w:r w:rsidRPr="00BD7D28">
              <w:rPr>
                <w:rFonts w:ascii="Verdana" w:hAnsi="Verdana" w:cs="Arial"/>
                <w:sz w:val="22"/>
              </w:rPr>
              <w:t>–</w:t>
            </w:r>
            <w:r w:rsidR="00B85721" w:rsidRPr="00BD7D28">
              <w:rPr>
                <w:rFonts w:ascii="Arial" w:hAnsi="Arial" w:cs="Arial"/>
                <w:sz w:val="22"/>
              </w:rPr>
              <w:t>0.32</w:t>
            </w:r>
          </w:p>
        </w:tc>
        <w:tc>
          <w:tcPr>
            <w:tcW w:w="1417" w:type="dxa"/>
            <w:vAlign w:val="center"/>
          </w:tcPr>
          <w:p w14:paraId="23E644DA" w14:textId="7166C21B" w:rsidR="00B85721" w:rsidRPr="00BD7D28" w:rsidRDefault="00B85721" w:rsidP="00B85721">
            <w:pPr>
              <w:spacing w:line="240" w:lineRule="auto"/>
              <w:jc w:val="center"/>
              <w:rPr>
                <w:rFonts w:ascii="Arial" w:hAnsi="Arial" w:cs="Arial"/>
                <w:sz w:val="22"/>
              </w:rPr>
            </w:pPr>
            <w:r w:rsidRPr="00BD7D28">
              <w:rPr>
                <w:rFonts w:ascii="Arial" w:hAnsi="Arial" w:cs="Arial"/>
                <w:sz w:val="22"/>
              </w:rPr>
              <w:t>2.10</w:t>
            </w:r>
          </w:p>
        </w:tc>
        <w:tc>
          <w:tcPr>
            <w:tcW w:w="1418" w:type="dxa"/>
            <w:vAlign w:val="center"/>
          </w:tcPr>
          <w:p w14:paraId="53EC258D" w14:textId="7A706A7C" w:rsidR="00B85721" w:rsidRPr="00BD7D28" w:rsidRDefault="004F7917"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71F949F2" w14:textId="77777777" w:rsidTr="00721B20">
        <w:tc>
          <w:tcPr>
            <w:tcW w:w="5382" w:type="dxa"/>
          </w:tcPr>
          <w:p w14:paraId="40D37ADF" w14:textId="0396CE37" w:rsidR="00B85721" w:rsidRPr="00BD7D28" w:rsidRDefault="00B85721" w:rsidP="00B85721">
            <w:pPr>
              <w:spacing w:line="240" w:lineRule="auto"/>
              <w:rPr>
                <w:rFonts w:ascii="Arial" w:hAnsi="Arial" w:cs="Arial"/>
                <w:sz w:val="22"/>
              </w:rPr>
            </w:pPr>
            <w:r w:rsidRPr="00BD7D28">
              <w:rPr>
                <w:rFonts w:ascii="Arial" w:hAnsi="Arial" w:cs="Arial"/>
                <w:sz w:val="22"/>
              </w:rPr>
              <w:t>Dual initial therapy in combination with MMF/CYC</w:t>
            </w:r>
          </w:p>
        </w:tc>
        <w:tc>
          <w:tcPr>
            <w:tcW w:w="1276" w:type="dxa"/>
            <w:vAlign w:val="center"/>
          </w:tcPr>
          <w:p w14:paraId="0C1D83AC" w14:textId="66C2A1BD" w:rsidR="00B85721" w:rsidRPr="00BD7D28" w:rsidRDefault="00444511" w:rsidP="00B85721">
            <w:pPr>
              <w:spacing w:line="240" w:lineRule="auto"/>
              <w:jc w:val="center"/>
              <w:rPr>
                <w:rFonts w:ascii="Arial" w:hAnsi="Arial" w:cs="Arial"/>
                <w:sz w:val="22"/>
              </w:rPr>
            </w:pPr>
            <w:r w:rsidRPr="00BD7D28">
              <w:rPr>
                <w:rFonts w:ascii="Verdana" w:hAnsi="Verdana" w:cs="Arial"/>
                <w:sz w:val="22"/>
              </w:rPr>
              <w:t>–</w:t>
            </w:r>
            <w:r w:rsidR="00B85721" w:rsidRPr="00BD7D28">
              <w:rPr>
                <w:rFonts w:ascii="Arial" w:hAnsi="Arial" w:cs="Arial"/>
                <w:sz w:val="22"/>
              </w:rPr>
              <w:t>0.68</w:t>
            </w:r>
          </w:p>
        </w:tc>
        <w:tc>
          <w:tcPr>
            <w:tcW w:w="1417" w:type="dxa"/>
            <w:vAlign w:val="center"/>
          </w:tcPr>
          <w:p w14:paraId="63511BF9" w14:textId="67CC9BDD" w:rsidR="00B85721" w:rsidRPr="00BD7D28" w:rsidRDefault="00B85721" w:rsidP="00B85721">
            <w:pPr>
              <w:spacing w:line="240" w:lineRule="auto"/>
              <w:jc w:val="center"/>
              <w:rPr>
                <w:rFonts w:ascii="Arial" w:hAnsi="Arial" w:cs="Arial"/>
                <w:sz w:val="22"/>
              </w:rPr>
            </w:pPr>
            <w:r w:rsidRPr="00BD7D28">
              <w:rPr>
                <w:rFonts w:ascii="Arial" w:hAnsi="Arial" w:cs="Arial"/>
                <w:sz w:val="22"/>
              </w:rPr>
              <w:t>1.76</w:t>
            </w:r>
          </w:p>
        </w:tc>
        <w:tc>
          <w:tcPr>
            <w:tcW w:w="1418" w:type="dxa"/>
            <w:vAlign w:val="center"/>
          </w:tcPr>
          <w:p w14:paraId="39AB0C07" w14:textId="45B20305" w:rsidR="00B85721" w:rsidRPr="00BD7D28" w:rsidRDefault="004F7917"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5F0E4EEB" w14:textId="77777777" w:rsidTr="00721B20">
        <w:tc>
          <w:tcPr>
            <w:tcW w:w="5382" w:type="dxa"/>
          </w:tcPr>
          <w:p w14:paraId="759DB4DE" w14:textId="42F6644A" w:rsidR="00B85721" w:rsidRPr="00BD7D28" w:rsidRDefault="00B85721" w:rsidP="00B85721">
            <w:pPr>
              <w:spacing w:line="240" w:lineRule="auto"/>
              <w:rPr>
                <w:rFonts w:ascii="Arial" w:hAnsi="Arial" w:cs="Arial"/>
                <w:sz w:val="22"/>
              </w:rPr>
            </w:pPr>
            <w:r w:rsidRPr="00BD7D28">
              <w:rPr>
                <w:rFonts w:ascii="Arial" w:hAnsi="Arial" w:cs="Arial"/>
                <w:sz w:val="22"/>
              </w:rPr>
              <w:t>Add-on therapy after failure of MMF as initial therapy, before changing MMF to CYC</w:t>
            </w:r>
          </w:p>
        </w:tc>
        <w:tc>
          <w:tcPr>
            <w:tcW w:w="1276" w:type="dxa"/>
            <w:vAlign w:val="center"/>
          </w:tcPr>
          <w:p w14:paraId="3E309FA3" w14:textId="01723956" w:rsidR="00B85721" w:rsidRPr="00BD7D28" w:rsidRDefault="00B85721" w:rsidP="00B85721">
            <w:pPr>
              <w:spacing w:line="240" w:lineRule="auto"/>
              <w:jc w:val="center"/>
              <w:rPr>
                <w:rFonts w:ascii="Arial" w:hAnsi="Arial" w:cs="Arial"/>
                <w:sz w:val="22"/>
              </w:rPr>
            </w:pPr>
            <w:r w:rsidRPr="00BD7D28">
              <w:rPr>
                <w:rFonts w:ascii="Arial" w:hAnsi="Arial" w:cs="Arial"/>
                <w:sz w:val="22"/>
              </w:rPr>
              <w:t>1.95</w:t>
            </w:r>
          </w:p>
        </w:tc>
        <w:tc>
          <w:tcPr>
            <w:tcW w:w="1417" w:type="dxa"/>
            <w:vAlign w:val="center"/>
          </w:tcPr>
          <w:p w14:paraId="6A68F4C6" w14:textId="160E528A" w:rsidR="00B85721" w:rsidRPr="00BD7D28" w:rsidRDefault="00B85721" w:rsidP="00B85721">
            <w:pPr>
              <w:spacing w:line="240" w:lineRule="auto"/>
              <w:jc w:val="center"/>
              <w:rPr>
                <w:rFonts w:ascii="Arial" w:hAnsi="Arial" w:cs="Arial"/>
                <w:sz w:val="22"/>
              </w:rPr>
            </w:pPr>
            <w:r w:rsidRPr="00BD7D28">
              <w:rPr>
                <w:rFonts w:ascii="Arial" w:hAnsi="Arial" w:cs="Arial"/>
                <w:sz w:val="22"/>
              </w:rPr>
              <w:t>1.89</w:t>
            </w:r>
          </w:p>
        </w:tc>
        <w:tc>
          <w:tcPr>
            <w:tcW w:w="1418" w:type="dxa"/>
            <w:vAlign w:val="center"/>
          </w:tcPr>
          <w:p w14:paraId="5783317C" w14:textId="592AA6EA" w:rsidR="00B85721" w:rsidRPr="00BD7D28" w:rsidRDefault="004F7917"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4DD9329F" w14:textId="77777777" w:rsidTr="00721B20">
        <w:tc>
          <w:tcPr>
            <w:tcW w:w="5382" w:type="dxa"/>
          </w:tcPr>
          <w:p w14:paraId="36C198C2" w14:textId="2077DE6C" w:rsidR="00B85721" w:rsidRPr="00BD7D28" w:rsidRDefault="00B85721" w:rsidP="00B85721">
            <w:pPr>
              <w:spacing w:line="240" w:lineRule="auto"/>
              <w:rPr>
                <w:rFonts w:ascii="Arial" w:hAnsi="Arial" w:cs="Arial"/>
                <w:sz w:val="22"/>
              </w:rPr>
            </w:pPr>
            <w:r w:rsidRPr="00BD7D28">
              <w:rPr>
                <w:rFonts w:ascii="Arial" w:hAnsi="Arial" w:cs="Arial"/>
                <w:sz w:val="22"/>
              </w:rPr>
              <w:t>Replacement therapy following failure of MMF as initial therapy, before changing to CYC</w:t>
            </w:r>
          </w:p>
        </w:tc>
        <w:tc>
          <w:tcPr>
            <w:tcW w:w="1276" w:type="dxa"/>
            <w:vAlign w:val="center"/>
          </w:tcPr>
          <w:p w14:paraId="3C0E0A3E" w14:textId="319C94DA" w:rsidR="00B85721" w:rsidRPr="00BD7D28" w:rsidRDefault="00B85721" w:rsidP="00B85721">
            <w:pPr>
              <w:spacing w:line="240" w:lineRule="auto"/>
              <w:jc w:val="center"/>
              <w:rPr>
                <w:rFonts w:ascii="Arial" w:hAnsi="Arial" w:cs="Arial"/>
                <w:sz w:val="22"/>
              </w:rPr>
            </w:pPr>
            <w:r w:rsidRPr="00BD7D28">
              <w:rPr>
                <w:rFonts w:ascii="Arial" w:hAnsi="Arial" w:cs="Arial"/>
                <w:sz w:val="22"/>
              </w:rPr>
              <w:t>2.14</w:t>
            </w:r>
          </w:p>
        </w:tc>
        <w:tc>
          <w:tcPr>
            <w:tcW w:w="1417" w:type="dxa"/>
            <w:vAlign w:val="center"/>
          </w:tcPr>
          <w:p w14:paraId="01ABB61B" w14:textId="5F072AD6" w:rsidR="00B85721" w:rsidRPr="00BD7D28" w:rsidRDefault="00B85721" w:rsidP="00B85721">
            <w:pPr>
              <w:spacing w:line="240" w:lineRule="auto"/>
              <w:jc w:val="center"/>
              <w:rPr>
                <w:rFonts w:ascii="Arial" w:hAnsi="Arial" w:cs="Arial"/>
                <w:sz w:val="22"/>
              </w:rPr>
            </w:pPr>
            <w:r w:rsidRPr="00BD7D28">
              <w:rPr>
                <w:rFonts w:ascii="Arial" w:hAnsi="Arial" w:cs="Arial"/>
                <w:sz w:val="22"/>
              </w:rPr>
              <w:t>2.03</w:t>
            </w:r>
          </w:p>
        </w:tc>
        <w:tc>
          <w:tcPr>
            <w:tcW w:w="1418" w:type="dxa"/>
            <w:vAlign w:val="center"/>
          </w:tcPr>
          <w:p w14:paraId="3375EB86" w14:textId="54523F84" w:rsidR="00B85721" w:rsidRPr="00BD7D28" w:rsidRDefault="004F7917"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602A727A" w14:textId="77777777" w:rsidTr="00721B20">
        <w:tc>
          <w:tcPr>
            <w:tcW w:w="5382" w:type="dxa"/>
          </w:tcPr>
          <w:p w14:paraId="24DFDB0B" w14:textId="5776AD20" w:rsidR="00B85721" w:rsidRPr="00BD7D28" w:rsidRDefault="00B85721" w:rsidP="00B85721">
            <w:pPr>
              <w:spacing w:line="240" w:lineRule="auto"/>
              <w:rPr>
                <w:rFonts w:ascii="Arial" w:hAnsi="Arial" w:cs="Arial"/>
                <w:sz w:val="22"/>
              </w:rPr>
            </w:pPr>
            <w:r w:rsidRPr="00BD7D28">
              <w:rPr>
                <w:rFonts w:ascii="Arial" w:hAnsi="Arial" w:cs="Arial"/>
                <w:sz w:val="22"/>
              </w:rPr>
              <w:t>Add-on therapy after failure of CYC as initial therapy</w:t>
            </w:r>
          </w:p>
        </w:tc>
        <w:tc>
          <w:tcPr>
            <w:tcW w:w="1276" w:type="dxa"/>
            <w:vAlign w:val="center"/>
          </w:tcPr>
          <w:p w14:paraId="3AE2FBE1" w14:textId="7EDC99A9" w:rsidR="00B85721" w:rsidRPr="00BD7D28" w:rsidRDefault="00B85721" w:rsidP="00B85721">
            <w:pPr>
              <w:spacing w:line="240" w:lineRule="auto"/>
              <w:jc w:val="center"/>
              <w:rPr>
                <w:rFonts w:ascii="Arial" w:hAnsi="Arial" w:cs="Arial"/>
                <w:sz w:val="22"/>
              </w:rPr>
            </w:pPr>
            <w:r w:rsidRPr="00BD7D28">
              <w:rPr>
                <w:rFonts w:ascii="Arial" w:hAnsi="Arial" w:cs="Arial"/>
                <w:sz w:val="22"/>
              </w:rPr>
              <w:t>0.45</w:t>
            </w:r>
          </w:p>
        </w:tc>
        <w:tc>
          <w:tcPr>
            <w:tcW w:w="1417" w:type="dxa"/>
            <w:vAlign w:val="center"/>
          </w:tcPr>
          <w:p w14:paraId="30E5BA22" w14:textId="6FFFDDF4" w:rsidR="00B85721" w:rsidRPr="00BD7D28" w:rsidRDefault="00B85721" w:rsidP="00B85721">
            <w:pPr>
              <w:spacing w:line="240" w:lineRule="auto"/>
              <w:jc w:val="center"/>
              <w:rPr>
                <w:rFonts w:ascii="Arial" w:hAnsi="Arial" w:cs="Arial"/>
                <w:sz w:val="22"/>
              </w:rPr>
            </w:pPr>
            <w:r w:rsidRPr="00BD7D28">
              <w:rPr>
                <w:rFonts w:ascii="Arial" w:hAnsi="Arial" w:cs="Arial"/>
                <w:sz w:val="22"/>
              </w:rPr>
              <w:t>2.09</w:t>
            </w:r>
          </w:p>
        </w:tc>
        <w:tc>
          <w:tcPr>
            <w:tcW w:w="1418" w:type="dxa"/>
            <w:vAlign w:val="center"/>
          </w:tcPr>
          <w:p w14:paraId="78228A8E" w14:textId="725B82FE" w:rsidR="00B85721" w:rsidRPr="00BD7D28" w:rsidRDefault="004F7917"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1713BA67" w14:textId="77777777" w:rsidTr="00721B20">
        <w:tc>
          <w:tcPr>
            <w:tcW w:w="5382" w:type="dxa"/>
          </w:tcPr>
          <w:p w14:paraId="4E48B195" w14:textId="6AE2B14B" w:rsidR="00B85721" w:rsidRPr="00BD7D28" w:rsidRDefault="00B85721" w:rsidP="00B85721">
            <w:pPr>
              <w:spacing w:line="240" w:lineRule="auto"/>
              <w:rPr>
                <w:rFonts w:ascii="Arial" w:hAnsi="Arial" w:cs="Arial"/>
                <w:sz w:val="22"/>
              </w:rPr>
            </w:pPr>
            <w:r w:rsidRPr="00BD7D28">
              <w:rPr>
                <w:rFonts w:ascii="Arial" w:hAnsi="Arial" w:cs="Arial"/>
                <w:sz w:val="22"/>
              </w:rPr>
              <w:t>Add-on therapy after failure of antifibrotics</w:t>
            </w:r>
          </w:p>
        </w:tc>
        <w:tc>
          <w:tcPr>
            <w:tcW w:w="1276" w:type="dxa"/>
            <w:vAlign w:val="center"/>
          </w:tcPr>
          <w:p w14:paraId="55D17367" w14:textId="15B88D13" w:rsidR="00B85721" w:rsidRPr="00BD7D28" w:rsidRDefault="00B85721" w:rsidP="00B85721">
            <w:pPr>
              <w:spacing w:line="240" w:lineRule="auto"/>
              <w:jc w:val="center"/>
              <w:rPr>
                <w:rFonts w:ascii="Arial" w:hAnsi="Arial" w:cs="Arial"/>
                <w:sz w:val="22"/>
              </w:rPr>
            </w:pPr>
            <w:r w:rsidRPr="00BD7D28">
              <w:rPr>
                <w:rFonts w:ascii="Arial" w:hAnsi="Arial" w:cs="Arial"/>
                <w:sz w:val="22"/>
              </w:rPr>
              <w:t>0.91</w:t>
            </w:r>
          </w:p>
        </w:tc>
        <w:tc>
          <w:tcPr>
            <w:tcW w:w="1417" w:type="dxa"/>
            <w:vAlign w:val="center"/>
          </w:tcPr>
          <w:p w14:paraId="5F4511D4" w14:textId="6408CB12" w:rsidR="00B85721" w:rsidRPr="00BD7D28" w:rsidRDefault="00B85721" w:rsidP="00B85721">
            <w:pPr>
              <w:spacing w:line="240" w:lineRule="auto"/>
              <w:jc w:val="center"/>
              <w:rPr>
                <w:rFonts w:ascii="Arial" w:hAnsi="Arial" w:cs="Arial"/>
                <w:sz w:val="22"/>
              </w:rPr>
            </w:pPr>
            <w:r w:rsidRPr="00BD7D28">
              <w:rPr>
                <w:rFonts w:ascii="Arial" w:hAnsi="Arial" w:cs="Arial"/>
                <w:sz w:val="22"/>
              </w:rPr>
              <w:t>2.07</w:t>
            </w:r>
          </w:p>
        </w:tc>
        <w:tc>
          <w:tcPr>
            <w:tcW w:w="1418" w:type="dxa"/>
            <w:vAlign w:val="center"/>
          </w:tcPr>
          <w:p w14:paraId="77C9E2EE" w14:textId="3BBD3486" w:rsidR="00B85721" w:rsidRPr="00BD7D28" w:rsidRDefault="004F7917"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7DC4012B" w14:textId="77777777" w:rsidTr="00721B20">
        <w:tc>
          <w:tcPr>
            <w:tcW w:w="5382" w:type="dxa"/>
          </w:tcPr>
          <w:p w14:paraId="31B7C8B2" w14:textId="636DBF16" w:rsidR="00B85721" w:rsidRPr="00BD7D28" w:rsidRDefault="00B85721" w:rsidP="00B85721">
            <w:pPr>
              <w:spacing w:line="240" w:lineRule="auto"/>
              <w:rPr>
                <w:rFonts w:ascii="Arial" w:hAnsi="Arial" w:cs="Arial"/>
                <w:sz w:val="22"/>
              </w:rPr>
            </w:pPr>
            <w:r w:rsidRPr="00BD7D28">
              <w:rPr>
                <w:rFonts w:ascii="Arial" w:hAnsi="Arial" w:cs="Arial"/>
                <w:sz w:val="22"/>
              </w:rPr>
              <w:t>Add-on therapy after failure of MMF and CYC</w:t>
            </w:r>
          </w:p>
        </w:tc>
        <w:tc>
          <w:tcPr>
            <w:tcW w:w="1276" w:type="dxa"/>
            <w:vAlign w:val="center"/>
          </w:tcPr>
          <w:p w14:paraId="729B2A74" w14:textId="0448A190" w:rsidR="00B85721" w:rsidRPr="00BD7D28" w:rsidRDefault="00B85721" w:rsidP="00B85721">
            <w:pPr>
              <w:spacing w:line="240" w:lineRule="auto"/>
              <w:jc w:val="center"/>
              <w:rPr>
                <w:rFonts w:ascii="Arial" w:hAnsi="Arial" w:cs="Arial"/>
                <w:sz w:val="22"/>
              </w:rPr>
            </w:pPr>
            <w:r w:rsidRPr="00BD7D28">
              <w:rPr>
                <w:rFonts w:ascii="Arial" w:hAnsi="Arial" w:cs="Arial"/>
                <w:sz w:val="22"/>
              </w:rPr>
              <w:t>1.64</w:t>
            </w:r>
          </w:p>
        </w:tc>
        <w:tc>
          <w:tcPr>
            <w:tcW w:w="1417" w:type="dxa"/>
            <w:vAlign w:val="center"/>
          </w:tcPr>
          <w:p w14:paraId="45B8A385" w14:textId="716ABA5F" w:rsidR="00B85721" w:rsidRPr="00BD7D28" w:rsidRDefault="00B85721" w:rsidP="00B85721">
            <w:pPr>
              <w:spacing w:line="240" w:lineRule="auto"/>
              <w:jc w:val="center"/>
              <w:rPr>
                <w:rFonts w:ascii="Arial" w:hAnsi="Arial" w:cs="Arial"/>
                <w:sz w:val="22"/>
              </w:rPr>
            </w:pPr>
            <w:r w:rsidRPr="00BD7D28">
              <w:rPr>
                <w:rFonts w:ascii="Arial" w:hAnsi="Arial" w:cs="Arial"/>
                <w:sz w:val="22"/>
              </w:rPr>
              <w:t>1.97</w:t>
            </w:r>
          </w:p>
        </w:tc>
        <w:tc>
          <w:tcPr>
            <w:tcW w:w="1418" w:type="dxa"/>
            <w:vAlign w:val="center"/>
          </w:tcPr>
          <w:p w14:paraId="5765F710" w14:textId="6494C208" w:rsidR="00B85721" w:rsidRPr="00BD7D28" w:rsidRDefault="004F7917" w:rsidP="00B85721">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71CE5175" w14:textId="77777777" w:rsidTr="00721B20">
        <w:tc>
          <w:tcPr>
            <w:tcW w:w="5382" w:type="dxa"/>
          </w:tcPr>
          <w:p w14:paraId="7613FBD2" w14:textId="1DAE0931" w:rsidR="004F7917" w:rsidRPr="00BD7D28" w:rsidRDefault="004F7917" w:rsidP="004F7917">
            <w:pPr>
              <w:spacing w:line="240" w:lineRule="auto"/>
              <w:rPr>
                <w:rFonts w:ascii="Arial" w:hAnsi="Arial" w:cs="Arial"/>
                <w:sz w:val="22"/>
              </w:rPr>
            </w:pPr>
            <w:r w:rsidRPr="00BD7D28">
              <w:rPr>
                <w:rFonts w:ascii="Arial" w:hAnsi="Arial" w:cs="Arial"/>
                <w:sz w:val="22"/>
              </w:rPr>
              <w:t>Add-on therapy after failure of MMF and antifibrotics</w:t>
            </w:r>
          </w:p>
        </w:tc>
        <w:tc>
          <w:tcPr>
            <w:tcW w:w="1276" w:type="dxa"/>
            <w:vAlign w:val="center"/>
          </w:tcPr>
          <w:p w14:paraId="77B09834" w14:textId="38A36675" w:rsidR="004F7917" w:rsidRPr="00BD7D28" w:rsidRDefault="004F7917" w:rsidP="004F7917">
            <w:pPr>
              <w:spacing w:line="240" w:lineRule="auto"/>
              <w:jc w:val="center"/>
              <w:rPr>
                <w:rFonts w:ascii="Arial" w:hAnsi="Arial" w:cs="Arial"/>
                <w:sz w:val="22"/>
              </w:rPr>
            </w:pPr>
            <w:r w:rsidRPr="00BD7D28">
              <w:rPr>
                <w:rFonts w:ascii="Arial" w:hAnsi="Arial" w:cs="Arial"/>
                <w:sz w:val="22"/>
              </w:rPr>
              <w:t>1.64</w:t>
            </w:r>
          </w:p>
        </w:tc>
        <w:tc>
          <w:tcPr>
            <w:tcW w:w="1417" w:type="dxa"/>
            <w:vAlign w:val="center"/>
          </w:tcPr>
          <w:p w14:paraId="4CCBF8E7" w14:textId="6F9E5F2F" w:rsidR="004F7917" w:rsidRPr="00BD7D28" w:rsidRDefault="004F7917" w:rsidP="004F7917">
            <w:pPr>
              <w:spacing w:line="240" w:lineRule="auto"/>
              <w:jc w:val="center"/>
              <w:rPr>
                <w:rFonts w:ascii="Arial" w:hAnsi="Arial" w:cs="Arial"/>
                <w:sz w:val="22"/>
              </w:rPr>
            </w:pPr>
            <w:r w:rsidRPr="00BD7D28">
              <w:rPr>
                <w:rFonts w:ascii="Arial" w:hAnsi="Arial" w:cs="Arial"/>
                <w:sz w:val="22"/>
              </w:rPr>
              <w:t>1.97</w:t>
            </w:r>
          </w:p>
        </w:tc>
        <w:tc>
          <w:tcPr>
            <w:tcW w:w="1418" w:type="dxa"/>
            <w:vAlign w:val="center"/>
          </w:tcPr>
          <w:p w14:paraId="4818930E" w14:textId="39AD49AD" w:rsidR="004F7917" w:rsidRPr="00BD7D28" w:rsidRDefault="004F7917" w:rsidP="004F7917">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2EB9A052" w14:textId="77777777" w:rsidTr="00721B20">
        <w:tc>
          <w:tcPr>
            <w:tcW w:w="5382" w:type="dxa"/>
          </w:tcPr>
          <w:p w14:paraId="012D0D1B" w14:textId="22482655" w:rsidR="004F7917" w:rsidRPr="00BD7D28" w:rsidRDefault="004F7917" w:rsidP="004F7917">
            <w:pPr>
              <w:spacing w:line="240" w:lineRule="auto"/>
              <w:rPr>
                <w:rFonts w:ascii="Arial" w:hAnsi="Arial" w:cs="Arial"/>
                <w:sz w:val="22"/>
              </w:rPr>
            </w:pPr>
            <w:r w:rsidRPr="00BD7D28">
              <w:rPr>
                <w:rFonts w:ascii="Arial" w:hAnsi="Arial" w:cs="Arial"/>
                <w:sz w:val="22"/>
              </w:rPr>
              <w:t>Add-on therapy after failure of CYC and antifibrotics</w:t>
            </w:r>
          </w:p>
        </w:tc>
        <w:tc>
          <w:tcPr>
            <w:tcW w:w="1276" w:type="dxa"/>
            <w:vAlign w:val="center"/>
          </w:tcPr>
          <w:p w14:paraId="385C74FD" w14:textId="44F35BBA" w:rsidR="004F7917" w:rsidRPr="00BD7D28" w:rsidRDefault="004F7917" w:rsidP="004F7917">
            <w:pPr>
              <w:spacing w:line="240" w:lineRule="auto"/>
              <w:jc w:val="center"/>
              <w:rPr>
                <w:rFonts w:ascii="Arial" w:hAnsi="Arial" w:cs="Arial"/>
                <w:sz w:val="22"/>
              </w:rPr>
            </w:pPr>
            <w:r w:rsidRPr="00BD7D28">
              <w:rPr>
                <w:rFonts w:ascii="Arial" w:hAnsi="Arial" w:cs="Arial"/>
                <w:sz w:val="22"/>
              </w:rPr>
              <w:t>1.32</w:t>
            </w:r>
          </w:p>
        </w:tc>
        <w:tc>
          <w:tcPr>
            <w:tcW w:w="1417" w:type="dxa"/>
            <w:vAlign w:val="center"/>
          </w:tcPr>
          <w:p w14:paraId="4E00DFE2" w14:textId="4712C809" w:rsidR="004F7917" w:rsidRPr="00BD7D28" w:rsidRDefault="004F7917" w:rsidP="004F7917">
            <w:pPr>
              <w:spacing w:line="240" w:lineRule="auto"/>
              <w:jc w:val="center"/>
              <w:rPr>
                <w:rFonts w:ascii="Arial" w:hAnsi="Arial" w:cs="Arial"/>
                <w:sz w:val="22"/>
              </w:rPr>
            </w:pPr>
            <w:r w:rsidRPr="00BD7D28">
              <w:rPr>
                <w:rFonts w:ascii="Arial" w:hAnsi="Arial" w:cs="Arial"/>
                <w:sz w:val="22"/>
              </w:rPr>
              <w:t>1.99</w:t>
            </w:r>
          </w:p>
        </w:tc>
        <w:tc>
          <w:tcPr>
            <w:tcW w:w="1418" w:type="dxa"/>
            <w:vAlign w:val="center"/>
          </w:tcPr>
          <w:p w14:paraId="1299BB78" w14:textId="47F0416C" w:rsidR="004F7917" w:rsidRPr="00BD7D28" w:rsidRDefault="004F7917" w:rsidP="004F7917">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4DD477C6" w14:textId="77777777" w:rsidTr="00721B20">
        <w:tc>
          <w:tcPr>
            <w:tcW w:w="5382" w:type="dxa"/>
          </w:tcPr>
          <w:p w14:paraId="6B4E2B9F" w14:textId="6B03CF27" w:rsidR="004F7917" w:rsidRPr="00BD7D28" w:rsidRDefault="004F7917" w:rsidP="004F7917">
            <w:pPr>
              <w:spacing w:line="240" w:lineRule="auto"/>
              <w:rPr>
                <w:rFonts w:ascii="Arial" w:hAnsi="Arial" w:cs="Arial"/>
                <w:sz w:val="22"/>
              </w:rPr>
            </w:pPr>
            <w:r w:rsidRPr="00BD7D28">
              <w:rPr>
                <w:rFonts w:ascii="Arial" w:hAnsi="Arial" w:cs="Arial"/>
                <w:sz w:val="22"/>
              </w:rPr>
              <w:t>Add-on therapy after failure of MMF and CYC and antifibrotics</w:t>
            </w:r>
          </w:p>
        </w:tc>
        <w:tc>
          <w:tcPr>
            <w:tcW w:w="1276" w:type="dxa"/>
            <w:vAlign w:val="center"/>
          </w:tcPr>
          <w:p w14:paraId="30EC737D" w14:textId="0C2EFE69" w:rsidR="004F7917" w:rsidRPr="00BD7D28" w:rsidRDefault="004F7917" w:rsidP="004F7917">
            <w:pPr>
              <w:spacing w:line="240" w:lineRule="auto"/>
              <w:jc w:val="center"/>
              <w:rPr>
                <w:rFonts w:ascii="Arial" w:hAnsi="Arial" w:cs="Arial"/>
                <w:sz w:val="22"/>
              </w:rPr>
            </w:pPr>
            <w:r w:rsidRPr="00BD7D28">
              <w:rPr>
                <w:rFonts w:ascii="Arial" w:hAnsi="Arial" w:cs="Arial"/>
                <w:sz w:val="22"/>
              </w:rPr>
              <w:t>1.59</w:t>
            </w:r>
          </w:p>
        </w:tc>
        <w:tc>
          <w:tcPr>
            <w:tcW w:w="1417" w:type="dxa"/>
            <w:vAlign w:val="center"/>
          </w:tcPr>
          <w:p w14:paraId="7A175EA5" w14:textId="01E2C3B6" w:rsidR="004F7917" w:rsidRPr="00BD7D28" w:rsidRDefault="004F7917" w:rsidP="004F7917">
            <w:pPr>
              <w:spacing w:line="240" w:lineRule="auto"/>
              <w:jc w:val="center"/>
              <w:rPr>
                <w:rFonts w:ascii="Arial" w:hAnsi="Arial" w:cs="Arial"/>
                <w:sz w:val="22"/>
              </w:rPr>
            </w:pPr>
            <w:r w:rsidRPr="00BD7D28">
              <w:rPr>
                <w:rFonts w:ascii="Arial" w:hAnsi="Arial" w:cs="Arial"/>
                <w:sz w:val="22"/>
              </w:rPr>
              <w:t>2.13</w:t>
            </w:r>
          </w:p>
        </w:tc>
        <w:tc>
          <w:tcPr>
            <w:tcW w:w="1418" w:type="dxa"/>
            <w:vAlign w:val="center"/>
          </w:tcPr>
          <w:p w14:paraId="6D96D0C8" w14:textId="670AA253" w:rsidR="004F7917" w:rsidRPr="00BD7D28" w:rsidRDefault="004F7917" w:rsidP="004F7917">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110BE3FB" w14:textId="77777777" w:rsidTr="00721B20">
        <w:tc>
          <w:tcPr>
            <w:tcW w:w="5382" w:type="dxa"/>
          </w:tcPr>
          <w:p w14:paraId="543AFC0C" w14:textId="1035DC7F" w:rsidR="004F7917" w:rsidRPr="00BD7D28" w:rsidRDefault="004F7917" w:rsidP="004F7917">
            <w:pPr>
              <w:spacing w:line="240" w:lineRule="auto"/>
              <w:rPr>
                <w:rFonts w:ascii="Arial" w:hAnsi="Arial" w:cs="Arial"/>
                <w:sz w:val="22"/>
              </w:rPr>
            </w:pPr>
            <w:r w:rsidRPr="00BD7D28">
              <w:rPr>
                <w:rFonts w:ascii="Arial" w:hAnsi="Arial" w:cs="Arial"/>
                <w:sz w:val="22"/>
              </w:rPr>
              <w:t>Add-on therapy to MMF/CYC</w:t>
            </w:r>
          </w:p>
        </w:tc>
        <w:tc>
          <w:tcPr>
            <w:tcW w:w="1276" w:type="dxa"/>
            <w:vAlign w:val="center"/>
          </w:tcPr>
          <w:p w14:paraId="75E4400F" w14:textId="7D58A31D" w:rsidR="004F7917" w:rsidRPr="00BD7D28" w:rsidRDefault="004F7917" w:rsidP="004F7917">
            <w:pPr>
              <w:spacing w:line="240" w:lineRule="auto"/>
              <w:jc w:val="center"/>
              <w:rPr>
                <w:rFonts w:ascii="Arial" w:hAnsi="Arial" w:cs="Arial"/>
                <w:sz w:val="22"/>
              </w:rPr>
            </w:pPr>
            <w:r w:rsidRPr="00BD7D28">
              <w:rPr>
                <w:rFonts w:ascii="Arial" w:hAnsi="Arial" w:cs="Arial"/>
                <w:sz w:val="22"/>
              </w:rPr>
              <w:t>0.91</w:t>
            </w:r>
          </w:p>
        </w:tc>
        <w:tc>
          <w:tcPr>
            <w:tcW w:w="1417" w:type="dxa"/>
            <w:vAlign w:val="center"/>
          </w:tcPr>
          <w:p w14:paraId="507A6846" w14:textId="4C768B77" w:rsidR="004F7917" w:rsidRPr="00BD7D28" w:rsidRDefault="004F7917" w:rsidP="004F7917">
            <w:pPr>
              <w:spacing w:line="240" w:lineRule="auto"/>
              <w:jc w:val="center"/>
              <w:rPr>
                <w:rFonts w:ascii="Arial" w:hAnsi="Arial" w:cs="Arial"/>
                <w:sz w:val="22"/>
              </w:rPr>
            </w:pPr>
            <w:r w:rsidRPr="00BD7D28">
              <w:rPr>
                <w:rFonts w:ascii="Arial" w:hAnsi="Arial" w:cs="Arial"/>
                <w:sz w:val="22"/>
              </w:rPr>
              <w:t>1.87</w:t>
            </w:r>
          </w:p>
        </w:tc>
        <w:tc>
          <w:tcPr>
            <w:tcW w:w="1418" w:type="dxa"/>
            <w:vAlign w:val="center"/>
          </w:tcPr>
          <w:p w14:paraId="02FF23C5" w14:textId="1E023F0B" w:rsidR="004F7917" w:rsidRPr="00BD7D28" w:rsidRDefault="004F7917" w:rsidP="004F7917">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242F60A4" w14:textId="77777777" w:rsidTr="00721B20">
        <w:tc>
          <w:tcPr>
            <w:tcW w:w="5382" w:type="dxa"/>
          </w:tcPr>
          <w:p w14:paraId="332D6FD5" w14:textId="489B31B2" w:rsidR="004F7917" w:rsidRPr="00BD7D28" w:rsidRDefault="004F7917" w:rsidP="004F7917">
            <w:pPr>
              <w:spacing w:line="240" w:lineRule="auto"/>
              <w:rPr>
                <w:rFonts w:ascii="Arial" w:hAnsi="Arial" w:cs="Arial"/>
                <w:sz w:val="22"/>
              </w:rPr>
            </w:pPr>
            <w:r w:rsidRPr="00BD7D28">
              <w:rPr>
                <w:rFonts w:ascii="Arial" w:hAnsi="Arial" w:cs="Arial"/>
                <w:sz w:val="22"/>
              </w:rPr>
              <w:t>Add-on therapy to antifibrotics</w:t>
            </w:r>
          </w:p>
        </w:tc>
        <w:tc>
          <w:tcPr>
            <w:tcW w:w="1276" w:type="dxa"/>
            <w:vAlign w:val="center"/>
          </w:tcPr>
          <w:p w14:paraId="7127FF1D" w14:textId="04CE4366" w:rsidR="004F7917" w:rsidRPr="00BD7D28" w:rsidRDefault="004F7917" w:rsidP="004F7917">
            <w:pPr>
              <w:spacing w:line="240" w:lineRule="auto"/>
              <w:jc w:val="center"/>
              <w:rPr>
                <w:rFonts w:ascii="Arial" w:hAnsi="Arial" w:cs="Arial"/>
                <w:sz w:val="22"/>
              </w:rPr>
            </w:pPr>
            <w:r w:rsidRPr="00BD7D28">
              <w:rPr>
                <w:rFonts w:ascii="Arial" w:hAnsi="Arial" w:cs="Arial"/>
                <w:sz w:val="22"/>
              </w:rPr>
              <w:t>1.36</w:t>
            </w:r>
          </w:p>
        </w:tc>
        <w:tc>
          <w:tcPr>
            <w:tcW w:w="1417" w:type="dxa"/>
            <w:vAlign w:val="center"/>
          </w:tcPr>
          <w:p w14:paraId="2672F957" w14:textId="77FC4956" w:rsidR="004F7917" w:rsidRPr="00BD7D28" w:rsidRDefault="004F7917" w:rsidP="004F7917">
            <w:pPr>
              <w:spacing w:line="240" w:lineRule="auto"/>
              <w:jc w:val="center"/>
              <w:rPr>
                <w:rFonts w:ascii="Arial" w:hAnsi="Arial" w:cs="Arial"/>
                <w:sz w:val="22"/>
              </w:rPr>
            </w:pPr>
            <w:r w:rsidRPr="00BD7D28">
              <w:rPr>
                <w:rFonts w:ascii="Arial" w:hAnsi="Arial" w:cs="Arial"/>
                <w:sz w:val="22"/>
              </w:rPr>
              <w:t>2.08</w:t>
            </w:r>
          </w:p>
        </w:tc>
        <w:tc>
          <w:tcPr>
            <w:tcW w:w="1418" w:type="dxa"/>
            <w:vAlign w:val="center"/>
          </w:tcPr>
          <w:p w14:paraId="23D4578C" w14:textId="57394A42" w:rsidR="004F7917" w:rsidRPr="00BD7D28" w:rsidRDefault="004F7917" w:rsidP="004F7917">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6F5C0366" w14:textId="77777777" w:rsidTr="00425E06">
        <w:tc>
          <w:tcPr>
            <w:tcW w:w="9493" w:type="dxa"/>
            <w:gridSpan w:val="4"/>
          </w:tcPr>
          <w:p w14:paraId="43E62667" w14:textId="52202E2D" w:rsidR="004F7917" w:rsidRPr="00BD7D28" w:rsidRDefault="004F7917" w:rsidP="004F7917">
            <w:pPr>
              <w:spacing w:line="240" w:lineRule="auto"/>
              <w:rPr>
                <w:rFonts w:ascii="Arial" w:eastAsia="Calibri" w:hAnsi="Arial" w:cs="Arial"/>
                <w:b/>
                <w:bCs/>
                <w:sz w:val="22"/>
                <w:lang w:val="en-GB"/>
              </w:rPr>
            </w:pPr>
            <w:r w:rsidRPr="00BD7D28">
              <w:rPr>
                <w:rFonts w:ascii="Arial" w:hAnsi="Arial" w:cs="Arial"/>
                <w:b/>
                <w:bCs/>
                <w:sz w:val="22"/>
              </w:rPr>
              <w:t>What is your typical/target dose for nintedanib?</w:t>
            </w:r>
          </w:p>
        </w:tc>
      </w:tr>
      <w:tr w:rsidR="00BD7D28" w:rsidRPr="00BD7D28" w14:paraId="0BC3E2D8" w14:textId="77777777" w:rsidTr="00721B20">
        <w:tc>
          <w:tcPr>
            <w:tcW w:w="5382" w:type="dxa"/>
          </w:tcPr>
          <w:p w14:paraId="38FF031A" w14:textId="25DC8CEF" w:rsidR="004F7917" w:rsidRPr="00BD7D28" w:rsidRDefault="004F7917" w:rsidP="004F7917">
            <w:pPr>
              <w:spacing w:line="240" w:lineRule="auto"/>
              <w:rPr>
                <w:rFonts w:ascii="Arial" w:hAnsi="Arial" w:cs="Arial"/>
                <w:sz w:val="22"/>
              </w:rPr>
            </w:pPr>
            <w:r w:rsidRPr="00BD7D28">
              <w:rPr>
                <w:rFonts w:ascii="Arial" w:hAnsi="Arial" w:cs="Arial"/>
                <w:sz w:val="22"/>
              </w:rPr>
              <w:t>I do not utilize nintedanib</w:t>
            </w:r>
          </w:p>
        </w:tc>
        <w:tc>
          <w:tcPr>
            <w:tcW w:w="1276" w:type="dxa"/>
            <w:vAlign w:val="center"/>
          </w:tcPr>
          <w:p w14:paraId="2A26DC21" w14:textId="63E1FF10" w:rsidR="004F7917" w:rsidRPr="00BD7D28" w:rsidRDefault="003F7653" w:rsidP="004F7917">
            <w:pPr>
              <w:spacing w:line="240" w:lineRule="auto"/>
              <w:jc w:val="center"/>
              <w:rPr>
                <w:rFonts w:ascii="Arial" w:hAnsi="Arial" w:cs="Arial"/>
                <w:sz w:val="22"/>
              </w:rPr>
            </w:pPr>
            <w:r w:rsidRPr="00BD7D28">
              <w:rPr>
                <w:rFonts w:ascii="Verdana" w:hAnsi="Verdana" w:cs="Arial"/>
                <w:sz w:val="22"/>
              </w:rPr>
              <w:t>–</w:t>
            </w:r>
            <w:r w:rsidR="004F7917" w:rsidRPr="00BD7D28">
              <w:rPr>
                <w:rFonts w:ascii="Arial" w:hAnsi="Arial" w:cs="Arial"/>
                <w:sz w:val="22"/>
              </w:rPr>
              <w:t>4.73</w:t>
            </w:r>
          </w:p>
        </w:tc>
        <w:tc>
          <w:tcPr>
            <w:tcW w:w="1417" w:type="dxa"/>
            <w:vAlign w:val="center"/>
          </w:tcPr>
          <w:p w14:paraId="2FD7B61B" w14:textId="3303E28E" w:rsidR="004F7917" w:rsidRPr="00BD7D28" w:rsidRDefault="004F7917" w:rsidP="004F7917">
            <w:pPr>
              <w:spacing w:line="240" w:lineRule="auto"/>
              <w:jc w:val="center"/>
              <w:rPr>
                <w:rFonts w:ascii="Arial" w:hAnsi="Arial" w:cs="Arial"/>
                <w:sz w:val="22"/>
              </w:rPr>
            </w:pPr>
            <w:r w:rsidRPr="00BD7D28">
              <w:rPr>
                <w:rFonts w:ascii="Arial" w:hAnsi="Arial" w:cs="Arial"/>
                <w:sz w:val="22"/>
              </w:rPr>
              <w:t>0.55</w:t>
            </w:r>
          </w:p>
        </w:tc>
        <w:tc>
          <w:tcPr>
            <w:tcW w:w="1418" w:type="dxa"/>
            <w:vAlign w:val="center"/>
          </w:tcPr>
          <w:p w14:paraId="0171F4AB" w14:textId="33A14200" w:rsidR="004F7917" w:rsidRPr="00BD7D28" w:rsidRDefault="004F7917" w:rsidP="004F7917">
            <w:pPr>
              <w:spacing w:line="240" w:lineRule="auto"/>
              <w:jc w:val="center"/>
              <w:rPr>
                <w:rFonts w:ascii="Arial" w:eastAsia="Calibri" w:hAnsi="Arial" w:cs="Arial"/>
                <w:sz w:val="22"/>
                <w:lang w:val="en-GB"/>
              </w:rPr>
            </w:pPr>
            <w:r w:rsidRPr="00BD7D28">
              <w:rPr>
                <w:rFonts w:ascii="Arial" w:eastAsia="Calibri" w:hAnsi="Arial" w:cs="Arial"/>
                <w:sz w:val="22"/>
                <w:lang w:val="en-GB"/>
              </w:rPr>
              <w:t>Against</w:t>
            </w:r>
          </w:p>
        </w:tc>
      </w:tr>
      <w:tr w:rsidR="00BD7D28" w:rsidRPr="00BD7D28" w14:paraId="4547347B" w14:textId="77777777" w:rsidTr="00721B20">
        <w:tc>
          <w:tcPr>
            <w:tcW w:w="5382" w:type="dxa"/>
          </w:tcPr>
          <w:p w14:paraId="47149DBB" w14:textId="57B52EEB" w:rsidR="004F7917" w:rsidRPr="00BD7D28" w:rsidRDefault="004F7917" w:rsidP="004F7917">
            <w:pPr>
              <w:spacing w:line="240" w:lineRule="auto"/>
              <w:rPr>
                <w:rFonts w:ascii="Arial" w:hAnsi="Arial" w:cs="Arial"/>
                <w:sz w:val="22"/>
              </w:rPr>
            </w:pPr>
            <w:r w:rsidRPr="00BD7D28">
              <w:rPr>
                <w:rFonts w:ascii="Arial" w:hAnsi="Arial" w:cs="Arial"/>
                <w:sz w:val="22"/>
              </w:rPr>
              <w:t>100 mg twice daily</w:t>
            </w:r>
          </w:p>
        </w:tc>
        <w:tc>
          <w:tcPr>
            <w:tcW w:w="1276" w:type="dxa"/>
            <w:vAlign w:val="center"/>
          </w:tcPr>
          <w:p w14:paraId="7CF3E1CD" w14:textId="5CD5DE36" w:rsidR="004F7917" w:rsidRPr="00BD7D28" w:rsidRDefault="004F7917" w:rsidP="004F7917">
            <w:pPr>
              <w:spacing w:line="240" w:lineRule="auto"/>
              <w:jc w:val="center"/>
              <w:rPr>
                <w:rFonts w:ascii="Arial" w:hAnsi="Arial" w:cs="Arial"/>
                <w:sz w:val="22"/>
              </w:rPr>
            </w:pPr>
            <w:r w:rsidRPr="00BD7D28">
              <w:rPr>
                <w:rFonts w:ascii="Arial" w:hAnsi="Arial" w:cs="Arial"/>
                <w:sz w:val="22"/>
              </w:rPr>
              <w:t>0.50</w:t>
            </w:r>
          </w:p>
        </w:tc>
        <w:tc>
          <w:tcPr>
            <w:tcW w:w="1417" w:type="dxa"/>
            <w:vAlign w:val="center"/>
          </w:tcPr>
          <w:p w14:paraId="332A71A1" w14:textId="13BAAC97" w:rsidR="004F7917" w:rsidRPr="00BD7D28" w:rsidRDefault="004F7917" w:rsidP="004F7917">
            <w:pPr>
              <w:spacing w:line="240" w:lineRule="auto"/>
              <w:jc w:val="center"/>
              <w:rPr>
                <w:rFonts w:ascii="Arial" w:hAnsi="Arial" w:cs="Arial"/>
                <w:sz w:val="22"/>
              </w:rPr>
            </w:pPr>
            <w:r w:rsidRPr="00BD7D28">
              <w:rPr>
                <w:rFonts w:ascii="Arial" w:hAnsi="Arial" w:cs="Arial"/>
                <w:sz w:val="22"/>
              </w:rPr>
              <w:t>2.24</w:t>
            </w:r>
          </w:p>
        </w:tc>
        <w:tc>
          <w:tcPr>
            <w:tcW w:w="1418" w:type="dxa"/>
            <w:vAlign w:val="center"/>
          </w:tcPr>
          <w:p w14:paraId="7E560693" w14:textId="5A8C7F50" w:rsidR="004F7917" w:rsidRPr="00BD7D28" w:rsidRDefault="004F7917" w:rsidP="004F7917">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25F1418C" w14:textId="77777777" w:rsidTr="00721B20">
        <w:tc>
          <w:tcPr>
            <w:tcW w:w="5382" w:type="dxa"/>
          </w:tcPr>
          <w:p w14:paraId="7DC635F9" w14:textId="336C57B3" w:rsidR="004F7917" w:rsidRPr="00BD7D28" w:rsidRDefault="004F7917" w:rsidP="004F7917">
            <w:pPr>
              <w:spacing w:line="240" w:lineRule="auto"/>
              <w:rPr>
                <w:rFonts w:ascii="Arial" w:hAnsi="Arial" w:cs="Arial"/>
                <w:sz w:val="22"/>
              </w:rPr>
            </w:pPr>
            <w:r w:rsidRPr="00BD7D28">
              <w:rPr>
                <w:rFonts w:ascii="Arial" w:hAnsi="Arial" w:cs="Arial"/>
                <w:sz w:val="22"/>
              </w:rPr>
              <w:t>150 mg twice daily</w:t>
            </w:r>
          </w:p>
        </w:tc>
        <w:tc>
          <w:tcPr>
            <w:tcW w:w="1276" w:type="dxa"/>
            <w:vAlign w:val="center"/>
          </w:tcPr>
          <w:p w14:paraId="38119E2C" w14:textId="5E6D3E93" w:rsidR="004F7917" w:rsidRPr="00BD7D28" w:rsidRDefault="004F7917" w:rsidP="004F7917">
            <w:pPr>
              <w:spacing w:line="240" w:lineRule="auto"/>
              <w:jc w:val="center"/>
              <w:rPr>
                <w:rFonts w:ascii="Arial" w:hAnsi="Arial" w:cs="Arial"/>
                <w:sz w:val="22"/>
              </w:rPr>
            </w:pPr>
            <w:r w:rsidRPr="00BD7D28">
              <w:rPr>
                <w:rFonts w:ascii="Arial" w:hAnsi="Arial" w:cs="Arial"/>
                <w:sz w:val="22"/>
              </w:rPr>
              <w:t>4.68</w:t>
            </w:r>
          </w:p>
        </w:tc>
        <w:tc>
          <w:tcPr>
            <w:tcW w:w="1417" w:type="dxa"/>
            <w:vAlign w:val="center"/>
          </w:tcPr>
          <w:p w14:paraId="16EDDC9F" w14:textId="2006715C" w:rsidR="004F7917" w:rsidRPr="00BD7D28" w:rsidRDefault="004F7917" w:rsidP="004F7917">
            <w:pPr>
              <w:spacing w:line="240" w:lineRule="auto"/>
              <w:jc w:val="center"/>
              <w:rPr>
                <w:rFonts w:ascii="Arial" w:hAnsi="Arial" w:cs="Arial"/>
                <w:sz w:val="22"/>
              </w:rPr>
            </w:pPr>
            <w:r w:rsidRPr="00BD7D28">
              <w:rPr>
                <w:rFonts w:ascii="Arial" w:hAnsi="Arial" w:cs="Arial"/>
                <w:sz w:val="22"/>
              </w:rPr>
              <w:t>0.57</w:t>
            </w:r>
          </w:p>
        </w:tc>
        <w:tc>
          <w:tcPr>
            <w:tcW w:w="1418" w:type="dxa"/>
            <w:vAlign w:val="center"/>
          </w:tcPr>
          <w:p w14:paraId="3E35830C" w14:textId="72C5EEBA" w:rsidR="004F7917" w:rsidRPr="00BD7D28" w:rsidRDefault="004F7917" w:rsidP="004F7917">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66CEC439" w14:textId="77777777" w:rsidTr="004F7917">
        <w:tc>
          <w:tcPr>
            <w:tcW w:w="9493" w:type="dxa"/>
            <w:gridSpan w:val="4"/>
            <w:vAlign w:val="center"/>
          </w:tcPr>
          <w:p w14:paraId="3D0E408A" w14:textId="60B9964B" w:rsidR="004F7917" w:rsidRPr="00BD7D28" w:rsidRDefault="004F7917" w:rsidP="004F7917">
            <w:pPr>
              <w:spacing w:line="240" w:lineRule="auto"/>
              <w:rPr>
                <w:rFonts w:ascii="Arial" w:eastAsia="Calibri" w:hAnsi="Arial" w:cs="Arial"/>
                <w:b/>
                <w:bCs/>
                <w:sz w:val="22"/>
                <w:lang w:val="en-GB"/>
              </w:rPr>
            </w:pPr>
            <w:r w:rsidRPr="00BD7D28">
              <w:rPr>
                <w:rFonts w:ascii="Arial" w:hAnsi="Arial" w:cs="Arial"/>
                <w:b/>
                <w:bCs/>
                <w:sz w:val="22"/>
              </w:rPr>
              <w:t>What is your typical/target dose for TCZ?</w:t>
            </w:r>
          </w:p>
        </w:tc>
      </w:tr>
      <w:tr w:rsidR="00BD7D28" w:rsidRPr="00BD7D28" w14:paraId="2A5CA13B" w14:textId="77777777" w:rsidTr="00721B20">
        <w:tc>
          <w:tcPr>
            <w:tcW w:w="5382" w:type="dxa"/>
          </w:tcPr>
          <w:p w14:paraId="65EAE133" w14:textId="03EC2CC2" w:rsidR="004F7917" w:rsidRPr="00BD7D28" w:rsidRDefault="004F7917" w:rsidP="004F7917">
            <w:pPr>
              <w:spacing w:line="240" w:lineRule="auto"/>
              <w:rPr>
                <w:rFonts w:ascii="Arial" w:hAnsi="Arial" w:cs="Arial"/>
                <w:sz w:val="22"/>
              </w:rPr>
            </w:pPr>
            <w:r w:rsidRPr="00BD7D28">
              <w:rPr>
                <w:rFonts w:ascii="Arial" w:hAnsi="Arial" w:cs="Arial"/>
                <w:sz w:val="22"/>
              </w:rPr>
              <w:t>I do not utilize TCZ</w:t>
            </w:r>
          </w:p>
        </w:tc>
        <w:tc>
          <w:tcPr>
            <w:tcW w:w="1276" w:type="dxa"/>
            <w:vAlign w:val="center"/>
          </w:tcPr>
          <w:p w14:paraId="7ECE57D6" w14:textId="7002F11C" w:rsidR="004F7917" w:rsidRPr="00BD7D28" w:rsidRDefault="003F7653" w:rsidP="004F7917">
            <w:pPr>
              <w:spacing w:line="240" w:lineRule="auto"/>
              <w:jc w:val="center"/>
              <w:rPr>
                <w:rFonts w:ascii="Arial" w:hAnsi="Arial" w:cs="Arial"/>
                <w:sz w:val="22"/>
              </w:rPr>
            </w:pPr>
            <w:r w:rsidRPr="00BD7D28">
              <w:rPr>
                <w:rFonts w:ascii="Verdana" w:hAnsi="Verdana" w:cs="Arial"/>
                <w:sz w:val="22"/>
              </w:rPr>
              <w:t>–</w:t>
            </w:r>
            <w:r w:rsidR="004F7917" w:rsidRPr="00BD7D28">
              <w:rPr>
                <w:rFonts w:ascii="Arial" w:hAnsi="Arial" w:cs="Arial"/>
                <w:sz w:val="22"/>
              </w:rPr>
              <w:t>3.36</w:t>
            </w:r>
          </w:p>
        </w:tc>
        <w:tc>
          <w:tcPr>
            <w:tcW w:w="1417" w:type="dxa"/>
            <w:vAlign w:val="center"/>
          </w:tcPr>
          <w:p w14:paraId="4D0CA5AD" w14:textId="708F4A6F" w:rsidR="004F7917" w:rsidRPr="00BD7D28" w:rsidRDefault="004F7917" w:rsidP="004F7917">
            <w:pPr>
              <w:spacing w:line="240" w:lineRule="auto"/>
              <w:jc w:val="center"/>
              <w:rPr>
                <w:rFonts w:ascii="Arial" w:hAnsi="Arial" w:cs="Arial"/>
                <w:sz w:val="22"/>
              </w:rPr>
            </w:pPr>
            <w:r w:rsidRPr="00BD7D28">
              <w:rPr>
                <w:rFonts w:ascii="Arial" w:hAnsi="Arial" w:cs="Arial"/>
                <w:sz w:val="22"/>
              </w:rPr>
              <w:t>1.89</w:t>
            </w:r>
          </w:p>
        </w:tc>
        <w:tc>
          <w:tcPr>
            <w:tcW w:w="1418" w:type="dxa"/>
            <w:vAlign w:val="center"/>
          </w:tcPr>
          <w:p w14:paraId="793CBE47" w14:textId="2A76FFE8" w:rsidR="004F7917" w:rsidRPr="00BD7D28" w:rsidRDefault="004F7917" w:rsidP="004F7917">
            <w:pPr>
              <w:spacing w:line="240" w:lineRule="auto"/>
              <w:jc w:val="center"/>
              <w:rPr>
                <w:rFonts w:ascii="Arial" w:eastAsia="Calibri" w:hAnsi="Arial" w:cs="Arial"/>
                <w:sz w:val="22"/>
                <w:lang w:val="en-GB"/>
              </w:rPr>
            </w:pPr>
            <w:r w:rsidRPr="00BD7D28">
              <w:rPr>
                <w:rFonts w:ascii="Arial" w:eastAsia="Calibri" w:hAnsi="Arial" w:cs="Arial"/>
                <w:sz w:val="22"/>
                <w:lang w:val="en-GB"/>
              </w:rPr>
              <w:t>Against</w:t>
            </w:r>
          </w:p>
        </w:tc>
      </w:tr>
      <w:tr w:rsidR="00BD7D28" w:rsidRPr="00BD7D28" w14:paraId="33EF61E2" w14:textId="77777777" w:rsidTr="00721B20">
        <w:tc>
          <w:tcPr>
            <w:tcW w:w="5382" w:type="dxa"/>
          </w:tcPr>
          <w:p w14:paraId="69C8FC11" w14:textId="3BE8B961" w:rsidR="004F7917" w:rsidRPr="00BD7D28" w:rsidRDefault="004F7917" w:rsidP="004F7917">
            <w:pPr>
              <w:spacing w:line="240" w:lineRule="auto"/>
              <w:rPr>
                <w:rFonts w:ascii="Arial" w:hAnsi="Arial" w:cs="Arial"/>
                <w:sz w:val="22"/>
              </w:rPr>
            </w:pPr>
            <w:r w:rsidRPr="00BD7D28">
              <w:rPr>
                <w:rFonts w:ascii="Arial" w:hAnsi="Arial" w:cs="Arial"/>
                <w:sz w:val="22"/>
              </w:rPr>
              <w:t>162 mg/week</w:t>
            </w:r>
          </w:p>
        </w:tc>
        <w:tc>
          <w:tcPr>
            <w:tcW w:w="1276" w:type="dxa"/>
            <w:vAlign w:val="center"/>
          </w:tcPr>
          <w:p w14:paraId="5E7B0259" w14:textId="48B5EC50" w:rsidR="004F7917" w:rsidRPr="00BD7D28" w:rsidRDefault="004F7917" w:rsidP="004F7917">
            <w:pPr>
              <w:spacing w:line="240" w:lineRule="auto"/>
              <w:jc w:val="center"/>
              <w:rPr>
                <w:rFonts w:ascii="Arial" w:hAnsi="Arial" w:cs="Arial"/>
                <w:sz w:val="22"/>
              </w:rPr>
            </w:pPr>
            <w:r w:rsidRPr="00BD7D28">
              <w:rPr>
                <w:rFonts w:ascii="Arial" w:hAnsi="Arial" w:cs="Arial"/>
                <w:sz w:val="22"/>
              </w:rPr>
              <w:t>4.18</w:t>
            </w:r>
          </w:p>
        </w:tc>
        <w:tc>
          <w:tcPr>
            <w:tcW w:w="1417" w:type="dxa"/>
            <w:vAlign w:val="center"/>
          </w:tcPr>
          <w:p w14:paraId="3015F8EF" w14:textId="06378C50" w:rsidR="004F7917" w:rsidRPr="00BD7D28" w:rsidRDefault="004F7917" w:rsidP="004F7917">
            <w:pPr>
              <w:spacing w:line="240" w:lineRule="auto"/>
              <w:jc w:val="center"/>
              <w:rPr>
                <w:rFonts w:ascii="Arial" w:hAnsi="Arial" w:cs="Arial"/>
                <w:sz w:val="22"/>
              </w:rPr>
            </w:pPr>
            <w:r w:rsidRPr="00BD7D28">
              <w:rPr>
                <w:rFonts w:ascii="Arial" w:hAnsi="Arial" w:cs="Arial"/>
                <w:sz w:val="22"/>
              </w:rPr>
              <w:t>1.44</w:t>
            </w:r>
          </w:p>
        </w:tc>
        <w:tc>
          <w:tcPr>
            <w:tcW w:w="1418" w:type="dxa"/>
            <w:vAlign w:val="center"/>
          </w:tcPr>
          <w:p w14:paraId="55FBB22E" w14:textId="556F71DF" w:rsidR="004F7917" w:rsidRPr="00BD7D28" w:rsidRDefault="004F7917" w:rsidP="004F7917">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27D0D682" w14:textId="77777777" w:rsidTr="00585B65">
        <w:tc>
          <w:tcPr>
            <w:tcW w:w="9493" w:type="dxa"/>
            <w:gridSpan w:val="4"/>
          </w:tcPr>
          <w:p w14:paraId="4BB6330A" w14:textId="705BD618" w:rsidR="004F7917" w:rsidRPr="00BD7D28" w:rsidRDefault="004F7917" w:rsidP="004F7917">
            <w:pPr>
              <w:spacing w:line="240" w:lineRule="auto"/>
              <w:rPr>
                <w:rFonts w:ascii="Arial" w:eastAsia="Calibri" w:hAnsi="Arial" w:cs="Arial"/>
                <w:b/>
                <w:bCs/>
                <w:sz w:val="22"/>
                <w:lang w:val="en-GB"/>
              </w:rPr>
            </w:pPr>
            <w:r w:rsidRPr="00BD7D28">
              <w:rPr>
                <w:rFonts w:ascii="Arial" w:hAnsi="Arial" w:cs="Arial"/>
                <w:b/>
                <w:bCs/>
                <w:sz w:val="22"/>
              </w:rPr>
              <w:t>When do you screen for pulmonary hypertension in patients with SSc-ILD?</w:t>
            </w:r>
          </w:p>
        </w:tc>
      </w:tr>
      <w:tr w:rsidR="00BD7D28" w:rsidRPr="00BD7D28" w14:paraId="74258C86" w14:textId="77777777" w:rsidTr="00721B20">
        <w:tc>
          <w:tcPr>
            <w:tcW w:w="5382" w:type="dxa"/>
          </w:tcPr>
          <w:p w14:paraId="4CB1DE78" w14:textId="192C0D22" w:rsidR="004F7917" w:rsidRPr="00BD7D28" w:rsidRDefault="004F7917" w:rsidP="004F7917">
            <w:pPr>
              <w:spacing w:line="240" w:lineRule="auto"/>
              <w:rPr>
                <w:rFonts w:ascii="Arial" w:hAnsi="Arial" w:cs="Arial"/>
                <w:sz w:val="22"/>
              </w:rPr>
            </w:pPr>
            <w:r w:rsidRPr="00BD7D28">
              <w:rPr>
                <w:rFonts w:ascii="Arial" w:hAnsi="Arial" w:cs="Arial"/>
                <w:sz w:val="22"/>
              </w:rPr>
              <w:t>I do not screen for pulmonary hypertension</w:t>
            </w:r>
          </w:p>
        </w:tc>
        <w:tc>
          <w:tcPr>
            <w:tcW w:w="1276" w:type="dxa"/>
            <w:vAlign w:val="center"/>
          </w:tcPr>
          <w:p w14:paraId="5EB06F85" w14:textId="5FD5EF2B" w:rsidR="004F7917" w:rsidRPr="00BD7D28" w:rsidRDefault="003F7653" w:rsidP="004F7917">
            <w:pPr>
              <w:spacing w:line="240" w:lineRule="auto"/>
              <w:jc w:val="center"/>
              <w:rPr>
                <w:rFonts w:ascii="Arial" w:hAnsi="Arial" w:cs="Arial"/>
                <w:sz w:val="22"/>
              </w:rPr>
            </w:pPr>
            <w:r w:rsidRPr="00BD7D28">
              <w:rPr>
                <w:rFonts w:ascii="Verdana" w:hAnsi="Verdana" w:cs="Arial"/>
                <w:sz w:val="22"/>
              </w:rPr>
              <w:t>–</w:t>
            </w:r>
            <w:r w:rsidR="004F7917" w:rsidRPr="00BD7D28">
              <w:rPr>
                <w:rFonts w:ascii="Arial" w:hAnsi="Arial" w:cs="Arial"/>
                <w:sz w:val="22"/>
              </w:rPr>
              <w:t>4.77</w:t>
            </w:r>
          </w:p>
        </w:tc>
        <w:tc>
          <w:tcPr>
            <w:tcW w:w="1417" w:type="dxa"/>
            <w:vAlign w:val="center"/>
          </w:tcPr>
          <w:p w14:paraId="31B3178F" w14:textId="1439050E" w:rsidR="004F7917" w:rsidRPr="00BD7D28" w:rsidRDefault="004F7917" w:rsidP="004F7917">
            <w:pPr>
              <w:spacing w:line="240" w:lineRule="auto"/>
              <w:jc w:val="center"/>
              <w:rPr>
                <w:rFonts w:ascii="Arial" w:hAnsi="Arial" w:cs="Arial"/>
                <w:sz w:val="22"/>
              </w:rPr>
            </w:pPr>
            <w:r w:rsidRPr="00BD7D28">
              <w:rPr>
                <w:rFonts w:ascii="Arial" w:hAnsi="Arial" w:cs="Arial"/>
                <w:sz w:val="22"/>
              </w:rPr>
              <w:t>0.53</w:t>
            </w:r>
          </w:p>
        </w:tc>
        <w:tc>
          <w:tcPr>
            <w:tcW w:w="1418" w:type="dxa"/>
            <w:vAlign w:val="center"/>
          </w:tcPr>
          <w:p w14:paraId="3E9BA569" w14:textId="383EAD9C" w:rsidR="004F7917" w:rsidRPr="00BD7D28" w:rsidRDefault="004F7917" w:rsidP="004F7917">
            <w:pPr>
              <w:spacing w:line="240" w:lineRule="auto"/>
              <w:jc w:val="center"/>
              <w:rPr>
                <w:rFonts w:ascii="Arial" w:eastAsia="Calibri" w:hAnsi="Arial" w:cs="Arial"/>
                <w:sz w:val="22"/>
                <w:lang w:val="en-GB"/>
              </w:rPr>
            </w:pPr>
            <w:r w:rsidRPr="00BD7D28">
              <w:rPr>
                <w:rFonts w:ascii="Arial" w:eastAsia="Calibri" w:hAnsi="Arial" w:cs="Arial"/>
                <w:sz w:val="22"/>
                <w:lang w:val="en-GB"/>
              </w:rPr>
              <w:t>Against</w:t>
            </w:r>
          </w:p>
        </w:tc>
      </w:tr>
      <w:tr w:rsidR="00BD7D28" w:rsidRPr="00BD7D28" w14:paraId="2E2D2EA7" w14:textId="77777777" w:rsidTr="00721B20">
        <w:tc>
          <w:tcPr>
            <w:tcW w:w="5382" w:type="dxa"/>
          </w:tcPr>
          <w:p w14:paraId="2C86ADE6" w14:textId="16639131" w:rsidR="004F7917" w:rsidRPr="00BD7D28" w:rsidRDefault="004F7917" w:rsidP="004F7917">
            <w:pPr>
              <w:spacing w:line="240" w:lineRule="auto"/>
              <w:rPr>
                <w:rFonts w:ascii="Arial" w:hAnsi="Arial" w:cs="Arial"/>
                <w:sz w:val="22"/>
              </w:rPr>
            </w:pPr>
            <w:r w:rsidRPr="00BD7D28">
              <w:rPr>
                <w:rFonts w:ascii="Arial" w:hAnsi="Arial" w:cs="Arial"/>
                <w:sz w:val="22"/>
              </w:rPr>
              <w:t>At every patient consultation</w:t>
            </w:r>
          </w:p>
        </w:tc>
        <w:tc>
          <w:tcPr>
            <w:tcW w:w="1276" w:type="dxa"/>
            <w:vAlign w:val="center"/>
          </w:tcPr>
          <w:p w14:paraId="45CA0F6B" w14:textId="2D453697" w:rsidR="004F7917" w:rsidRPr="00BD7D28" w:rsidRDefault="003F7653" w:rsidP="004F7917">
            <w:pPr>
              <w:spacing w:line="240" w:lineRule="auto"/>
              <w:jc w:val="center"/>
              <w:rPr>
                <w:rFonts w:ascii="Arial" w:hAnsi="Arial" w:cs="Arial"/>
                <w:sz w:val="22"/>
              </w:rPr>
            </w:pPr>
            <w:r w:rsidRPr="00BD7D28">
              <w:rPr>
                <w:rFonts w:ascii="Verdana" w:hAnsi="Verdana" w:cs="Arial"/>
                <w:sz w:val="22"/>
              </w:rPr>
              <w:t>–</w:t>
            </w:r>
            <w:r w:rsidR="004F7917" w:rsidRPr="00BD7D28">
              <w:rPr>
                <w:rFonts w:ascii="Arial" w:hAnsi="Arial" w:cs="Arial"/>
                <w:sz w:val="22"/>
              </w:rPr>
              <w:t>0.14</w:t>
            </w:r>
          </w:p>
        </w:tc>
        <w:tc>
          <w:tcPr>
            <w:tcW w:w="1417" w:type="dxa"/>
            <w:vAlign w:val="center"/>
          </w:tcPr>
          <w:p w14:paraId="73BE64EB" w14:textId="2F9A54B5" w:rsidR="004F7917" w:rsidRPr="00BD7D28" w:rsidRDefault="004F7917" w:rsidP="004F7917">
            <w:pPr>
              <w:spacing w:line="240" w:lineRule="auto"/>
              <w:jc w:val="center"/>
              <w:rPr>
                <w:rFonts w:ascii="Arial" w:hAnsi="Arial" w:cs="Arial"/>
                <w:sz w:val="22"/>
              </w:rPr>
            </w:pPr>
            <w:r w:rsidRPr="00BD7D28">
              <w:rPr>
                <w:rFonts w:ascii="Arial" w:hAnsi="Arial" w:cs="Arial"/>
                <w:sz w:val="22"/>
              </w:rPr>
              <w:t>2.51</w:t>
            </w:r>
          </w:p>
        </w:tc>
        <w:tc>
          <w:tcPr>
            <w:tcW w:w="1418" w:type="dxa"/>
            <w:vAlign w:val="center"/>
          </w:tcPr>
          <w:p w14:paraId="6A327E89" w14:textId="5B278B00" w:rsidR="004F7917" w:rsidRPr="00BD7D28" w:rsidRDefault="004F7917" w:rsidP="004F7917">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2821CBA2" w14:textId="77777777" w:rsidTr="00721B20">
        <w:tc>
          <w:tcPr>
            <w:tcW w:w="5382" w:type="dxa"/>
          </w:tcPr>
          <w:p w14:paraId="2D34AEAE" w14:textId="338DBDF9" w:rsidR="004F7917" w:rsidRPr="00BD7D28" w:rsidRDefault="004F7917" w:rsidP="004F7917">
            <w:pPr>
              <w:spacing w:line="240" w:lineRule="auto"/>
              <w:rPr>
                <w:rFonts w:ascii="Arial" w:hAnsi="Arial" w:cs="Arial"/>
                <w:sz w:val="22"/>
              </w:rPr>
            </w:pPr>
            <w:r w:rsidRPr="00BD7D28">
              <w:rPr>
                <w:rFonts w:ascii="Arial" w:hAnsi="Arial" w:cs="Arial"/>
                <w:sz w:val="22"/>
              </w:rPr>
              <w:t>Once per year</w:t>
            </w:r>
          </w:p>
        </w:tc>
        <w:tc>
          <w:tcPr>
            <w:tcW w:w="1276" w:type="dxa"/>
            <w:vAlign w:val="center"/>
          </w:tcPr>
          <w:p w14:paraId="591E205A" w14:textId="5FBDD52B" w:rsidR="004F7917" w:rsidRPr="00BD7D28" w:rsidRDefault="004F7917" w:rsidP="004F7917">
            <w:pPr>
              <w:spacing w:line="240" w:lineRule="auto"/>
              <w:jc w:val="center"/>
              <w:rPr>
                <w:rFonts w:ascii="Arial" w:hAnsi="Arial" w:cs="Arial"/>
                <w:sz w:val="22"/>
              </w:rPr>
            </w:pPr>
            <w:r w:rsidRPr="00BD7D28">
              <w:rPr>
                <w:rFonts w:ascii="Arial" w:hAnsi="Arial" w:cs="Arial"/>
                <w:sz w:val="22"/>
              </w:rPr>
              <w:t>4.41</w:t>
            </w:r>
          </w:p>
        </w:tc>
        <w:tc>
          <w:tcPr>
            <w:tcW w:w="1417" w:type="dxa"/>
            <w:vAlign w:val="center"/>
          </w:tcPr>
          <w:p w14:paraId="73CC000C" w14:textId="10A7B90D" w:rsidR="004F7917" w:rsidRPr="00BD7D28" w:rsidRDefault="004F7917" w:rsidP="004F7917">
            <w:pPr>
              <w:spacing w:line="240" w:lineRule="auto"/>
              <w:jc w:val="center"/>
              <w:rPr>
                <w:rFonts w:ascii="Arial" w:hAnsi="Arial" w:cs="Arial"/>
                <w:sz w:val="22"/>
              </w:rPr>
            </w:pPr>
            <w:r w:rsidRPr="00BD7D28">
              <w:rPr>
                <w:rFonts w:ascii="Arial" w:hAnsi="Arial" w:cs="Arial"/>
                <w:sz w:val="22"/>
              </w:rPr>
              <w:t>0.85</w:t>
            </w:r>
          </w:p>
        </w:tc>
        <w:tc>
          <w:tcPr>
            <w:tcW w:w="1418" w:type="dxa"/>
            <w:vAlign w:val="center"/>
          </w:tcPr>
          <w:p w14:paraId="742AC704" w14:textId="73883730" w:rsidR="004F7917" w:rsidRPr="00BD7D28" w:rsidRDefault="004F7917" w:rsidP="004F7917">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74D78166" w14:textId="77777777" w:rsidTr="00721B20">
        <w:tc>
          <w:tcPr>
            <w:tcW w:w="5382" w:type="dxa"/>
          </w:tcPr>
          <w:p w14:paraId="1C8D2E9B" w14:textId="534BFCE5" w:rsidR="004F7917" w:rsidRPr="00BD7D28" w:rsidRDefault="004F7917" w:rsidP="004F7917">
            <w:pPr>
              <w:spacing w:line="240" w:lineRule="auto"/>
              <w:rPr>
                <w:rFonts w:ascii="Arial" w:hAnsi="Arial" w:cs="Arial"/>
                <w:sz w:val="22"/>
              </w:rPr>
            </w:pPr>
            <w:r w:rsidRPr="00BD7D28">
              <w:rPr>
                <w:rFonts w:ascii="Arial" w:hAnsi="Arial" w:cs="Arial"/>
                <w:sz w:val="22"/>
              </w:rPr>
              <w:t xml:space="preserve">Every </w:t>
            </w:r>
            <w:r w:rsidR="003F7653" w:rsidRPr="00BD7D28">
              <w:rPr>
                <w:rFonts w:ascii="Arial" w:hAnsi="Arial" w:cs="Arial"/>
                <w:sz w:val="22"/>
              </w:rPr>
              <w:t xml:space="preserve">2 </w:t>
            </w:r>
            <w:r w:rsidRPr="00BD7D28">
              <w:rPr>
                <w:rFonts w:ascii="Arial" w:hAnsi="Arial" w:cs="Arial"/>
                <w:sz w:val="22"/>
              </w:rPr>
              <w:t>years</w:t>
            </w:r>
          </w:p>
        </w:tc>
        <w:tc>
          <w:tcPr>
            <w:tcW w:w="1276" w:type="dxa"/>
            <w:vAlign w:val="center"/>
          </w:tcPr>
          <w:p w14:paraId="6F41B996" w14:textId="3C909024" w:rsidR="004F7917" w:rsidRPr="00BD7D28" w:rsidRDefault="004F7917" w:rsidP="004F7917">
            <w:pPr>
              <w:spacing w:line="240" w:lineRule="auto"/>
              <w:jc w:val="center"/>
              <w:rPr>
                <w:rFonts w:ascii="Arial" w:hAnsi="Arial" w:cs="Arial"/>
                <w:sz w:val="22"/>
              </w:rPr>
            </w:pPr>
            <w:r w:rsidRPr="00BD7D28">
              <w:rPr>
                <w:rFonts w:ascii="Arial" w:hAnsi="Arial" w:cs="Arial"/>
                <w:sz w:val="22"/>
              </w:rPr>
              <w:t>0.32</w:t>
            </w:r>
          </w:p>
        </w:tc>
        <w:tc>
          <w:tcPr>
            <w:tcW w:w="1417" w:type="dxa"/>
            <w:vAlign w:val="center"/>
          </w:tcPr>
          <w:p w14:paraId="4779A20F" w14:textId="10F67B10" w:rsidR="004F7917" w:rsidRPr="00BD7D28" w:rsidRDefault="004F7917" w:rsidP="004F7917">
            <w:pPr>
              <w:spacing w:line="240" w:lineRule="auto"/>
              <w:jc w:val="center"/>
              <w:rPr>
                <w:rFonts w:ascii="Arial" w:hAnsi="Arial" w:cs="Arial"/>
                <w:sz w:val="22"/>
              </w:rPr>
            </w:pPr>
            <w:r w:rsidRPr="00BD7D28">
              <w:rPr>
                <w:rFonts w:ascii="Arial" w:hAnsi="Arial" w:cs="Arial"/>
                <w:sz w:val="22"/>
              </w:rPr>
              <w:t>2.48</w:t>
            </w:r>
          </w:p>
        </w:tc>
        <w:tc>
          <w:tcPr>
            <w:tcW w:w="1418" w:type="dxa"/>
            <w:vAlign w:val="center"/>
          </w:tcPr>
          <w:p w14:paraId="204AE8F3" w14:textId="3C0DF244" w:rsidR="004F7917" w:rsidRPr="00BD7D28" w:rsidRDefault="004F7917" w:rsidP="004F7917">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642FFB70" w14:textId="77777777" w:rsidTr="00721B20">
        <w:tc>
          <w:tcPr>
            <w:tcW w:w="5382" w:type="dxa"/>
          </w:tcPr>
          <w:p w14:paraId="7F71965A" w14:textId="1FCDD799" w:rsidR="004F7917" w:rsidRPr="00BD7D28" w:rsidRDefault="004F7917" w:rsidP="004F7917">
            <w:pPr>
              <w:spacing w:line="240" w:lineRule="auto"/>
              <w:rPr>
                <w:rFonts w:ascii="Arial" w:hAnsi="Arial" w:cs="Arial"/>
                <w:sz w:val="22"/>
              </w:rPr>
            </w:pPr>
            <w:r w:rsidRPr="00BD7D28">
              <w:rPr>
                <w:rFonts w:ascii="Arial" w:hAnsi="Arial" w:cs="Arial"/>
                <w:sz w:val="22"/>
              </w:rPr>
              <w:t>I routinely screen for pulmonary hypertension</w:t>
            </w:r>
          </w:p>
        </w:tc>
        <w:tc>
          <w:tcPr>
            <w:tcW w:w="1276" w:type="dxa"/>
            <w:vAlign w:val="center"/>
          </w:tcPr>
          <w:p w14:paraId="43A20444" w14:textId="36D4CF3E" w:rsidR="004F7917" w:rsidRPr="00BD7D28" w:rsidRDefault="004F7917" w:rsidP="004F7917">
            <w:pPr>
              <w:spacing w:line="240" w:lineRule="auto"/>
              <w:jc w:val="center"/>
              <w:rPr>
                <w:rFonts w:ascii="Arial" w:hAnsi="Arial" w:cs="Arial"/>
                <w:sz w:val="22"/>
              </w:rPr>
            </w:pPr>
            <w:r w:rsidRPr="00BD7D28">
              <w:rPr>
                <w:rFonts w:ascii="Arial" w:hAnsi="Arial" w:cs="Arial"/>
                <w:sz w:val="22"/>
              </w:rPr>
              <w:t>4.59</w:t>
            </w:r>
          </w:p>
        </w:tc>
        <w:tc>
          <w:tcPr>
            <w:tcW w:w="1417" w:type="dxa"/>
            <w:vAlign w:val="center"/>
          </w:tcPr>
          <w:p w14:paraId="398A6B10" w14:textId="1D1F3C04" w:rsidR="004F7917" w:rsidRPr="00BD7D28" w:rsidRDefault="004F7917" w:rsidP="004F7917">
            <w:pPr>
              <w:spacing w:line="240" w:lineRule="auto"/>
              <w:jc w:val="center"/>
              <w:rPr>
                <w:rFonts w:ascii="Arial" w:hAnsi="Arial" w:cs="Arial"/>
                <w:sz w:val="22"/>
              </w:rPr>
            </w:pPr>
            <w:r w:rsidRPr="00BD7D28">
              <w:rPr>
                <w:rFonts w:ascii="Arial" w:hAnsi="Arial" w:cs="Arial"/>
                <w:sz w:val="22"/>
              </w:rPr>
              <w:t>0.73</w:t>
            </w:r>
          </w:p>
        </w:tc>
        <w:tc>
          <w:tcPr>
            <w:tcW w:w="1418" w:type="dxa"/>
            <w:vAlign w:val="center"/>
          </w:tcPr>
          <w:p w14:paraId="0E3A0DCC" w14:textId="51A9E3D0" w:rsidR="004F7917" w:rsidRPr="00BD7D28" w:rsidRDefault="004F7917" w:rsidP="004F7917">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r w:rsidR="00BD7D28" w:rsidRPr="00BD7D28" w14:paraId="5DAA8B81" w14:textId="77777777" w:rsidTr="00721B20">
        <w:tc>
          <w:tcPr>
            <w:tcW w:w="5382" w:type="dxa"/>
          </w:tcPr>
          <w:p w14:paraId="1BF0BD41" w14:textId="72B6C97F" w:rsidR="004F7917" w:rsidRPr="00BD7D28" w:rsidRDefault="004F7917" w:rsidP="004F7917">
            <w:pPr>
              <w:spacing w:line="240" w:lineRule="auto"/>
              <w:rPr>
                <w:rFonts w:ascii="Arial" w:hAnsi="Arial" w:cs="Arial"/>
                <w:sz w:val="22"/>
              </w:rPr>
            </w:pPr>
            <w:r w:rsidRPr="00BD7D28">
              <w:rPr>
                <w:rFonts w:ascii="Arial" w:hAnsi="Arial" w:cs="Arial"/>
                <w:sz w:val="22"/>
              </w:rPr>
              <w:t>I screen for pulmonary hypertension in patients aged &gt;50 years</w:t>
            </w:r>
          </w:p>
        </w:tc>
        <w:tc>
          <w:tcPr>
            <w:tcW w:w="1276" w:type="dxa"/>
            <w:vAlign w:val="center"/>
          </w:tcPr>
          <w:p w14:paraId="7D9927F3" w14:textId="695D1415" w:rsidR="004F7917" w:rsidRPr="00BD7D28" w:rsidRDefault="004F7917" w:rsidP="004F7917">
            <w:pPr>
              <w:spacing w:line="240" w:lineRule="auto"/>
              <w:jc w:val="center"/>
              <w:rPr>
                <w:rFonts w:ascii="Arial" w:hAnsi="Arial" w:cs="Arial"/>
                <w:sz w:val="22"/>
              </w:rPr>
            </w:pPr>
            <w:r w:rsidRPr="00BD7D28">
              <w:rPr>
                <w:rFonts w:ascii="Arial" w:hAnsi="Arial" w:cs="Arial"/>
                <w:sz w:val="22"/>
              </w:rPr>
              <w:t>2.00</w:t>
            </w:r>
          </w:p>
        </w:tc>
        <w:tc>
          <w:tcPr>
            <w:tcW w:w="1417" w:type="dxa"/>
            <w:vAlign w:val="center"/>
          </w:tcPr>
          <w:p w14:paraId="779E7E19" w14:textId="32D848B7" w:rsidR="004F7917" w:rsidRPr="00BD7D28" w:rsidRDefault="004F7917" w:rsidP="004F7917">
            <w:pPr>
              <w:spacing w:line="240" w:lineRule="auto"/>
              <w:jc w:val="center"/>
              <w:rPr>
                <w:rFonts w:ascii="Arial" w:hAnsi="Arial" w:cs="Arial"/>
                <w:sz w:val="22"/>
              </w:rPr>
            </w:pPr>
            <w:r w:rsidRPr="00BD7D28">
              <w:rPr>
                <w:rFonts w:ascii="Arial" w:hAnsi="Arial" w:cs="Arial"/>
                <w:sz w:val="22"/>
              </w:rPr>
              <w:t>2.29</w:t>
            </w:r>
          </w:p>
        </w:tc>
        <w:tc>
          <w:tcPr>
            <w:tcW w:w="1418" w:type="dxa"/>
            <w:vAlign w:val="center"/>
          </w:tcPr>
          <w:p w14:paraId="165889C8" w14:textId="6D08939C" w:rsidR="004F7917" w:rsidRPr="00BD7D28" w:rsidRDefault="004F7917" w:rsidP="004F7917">
            <w:pPr>
              <w:spacing w:line="240" w:lineRule="auto"/>
              <w:jc w:val="center"/>
              <w:rPr>
                <w:rFonts w:ascii="Arial" w:eastAsia="Calibri" w:hAnsi="Arial" w:cs="Arial"/>
                <w:sz w:val="22"/>
                <w:lang w:val="en-GB"/>
              </w:rPr>
            </w:pPr>
            <w:r w:rsidRPr="00BD7D28">
              <w:rPr>
                <w:rFonts w:ascii="Arial" w:eastAsia="Calibri" w:hAnsi="Arial" w:cs="Arial"/>
                <w:sz w:val="22"/>
                <w:lang w:val="en-GB"/>
              </w:rPr>
              <w:t>No</w:t>
            </w:r>
          </w:p>
        </w:tc>
      </w:tr>
      <w:tr w:rsidR="00BD7D28" w:rsidRPr="00BD7D28" w14:paraId="76A946EA" w14:textId="77777777" w:rsidTr="00721B20">
        <w:tc>
          <w:tcPr>
            <w:tcW w:w="5382" w:type="dxa"/>
          </w:tcPr>
          <w:p w14:paraId="60A4D69F" w14:textId="2531C651" w:rsidR="004F7917" w:rsidRPr="00BD7D28" w:rsidRDefault="004F7917" w:rsidP="004F7917">
            <w:pPr>
              <w:spacing w:line="240" w:lineRule="auto"/>
              <w:rPr>
                <w:rFonts w:ascii="Arial" w:hAnsi="Arial" w:cs="Arial"/>
                <w:sz w:val="22"/>
              </w:rPr>
            </w:pPr>
            <w:r w:rsidRPr="00BD7D28">
              <w:rPr>
                <w:rFonts w:ascii="Arial" w:hAnsi="Arial" w:cs="Arial"/>
                <w:sz w:val="22"/>
              </w:rPr>
              <w:t xml:space="preserve">I screen for </w:t>
            </w:r>
            <w:r w:rsidR="003F7653" w:rsidRPr="00BD7D28">
              <w:rPr>
                <w:rFonts w:ascii="Arial" w:hAnsi="Arial" w:cs="Arial"/>
                <w:sz w:val="22"/>
              </w:rPr>
              <w:t xml:space="preserve">pulmonary hypertension </w:t>
            </w:r>
            <w:r w:rsidRPr="00BD7D28">
              <w:rPr>
                <w:rFonts w:ascii="Arial" w:hAnsi="Arial" w:cs="Arial"/>
                <w:sz w:val="22"/>
              </w:rPr>
              <w:t>when shortness of breath is not explained by progression of ILD</w:t>
            </w:r>
          </w:p>
        </w:tc>
        <w:tc>
          <w:tcPr>
            <w:tcW w:w="1276" w:type="dxa"/>
            <w:vAlign w:val="center"/>
          </w:tcPr>
          <w:p w14:paraId="2ECA89A6" w14:textId="7AA1780E" w:rsidR="004F7917" w:rsidRPr="00BD7D28" w:rsidRDefault="004F7917" w:rsidP="004F7917">
            <w:pPr>
              <w:spacing w:line="240" w:lineRule="auto"/>
              <w:jc w:val="center"/>
              <w:rPr>
                <w:rFonts w:ascii="Arial" w:hAnsi="Arial" w:cs="Arial"/>
                <w:sz w:val="22"/>
              </w:rPr>
            </w:pPr>
            <w:r w:rsidRPr="00BD7D28">
              <w:rPr>
                <w:rFonts w:ascii="Arial" w:hAnsi="Arial" w:cs="Arial"/>
                <w:sz w:val="22"/>
              </w:rPr>
              <w:t>4.86</w:t>
            </w:r>
          </w:p>
        </w:tc>
        <w:tc>
          <w:tcPr>
            <w:tcW w:w="1417" w:type="dxa"/>
            <w:vAlign w:val="center"/>
          </w:tcPr>
          <w:p w14:paraId="2B0F70C2" w14:textId="1F87A839" w:rsidR="004F7917" w:rsidRPr="00BD7D28" w:rsidRDefault="004F7917" w:rsidP="004F7917">
            <w:pPr>
              <w:spacing w:line="240" w:lineRule="auto"/>
              <w:jc w:val="center"/>
              <w:rPr>
                <w:rFonts w:ascii="Arial" w:hAnsi="Arial" w:cs="Arial"/>
                <w:sz w:val="22"/>
              </w:rPr>
            </w:pPr>
            <w:r w:rsidRPr="00BD7D28">
              <w:rPr>
                <w:rFonts w:ascii="Arial" w:hAnsi="Arial" w:cs="Arial"/>
                <w:sz w:val="22"/>
              </w:rPr>
              <w:t>0.47</w:t>
            </w:r>
          </w:p>
        </w:tc>
        <w:tc>
          <w:tcPr>
            <w:tcW w:w="1418" w:type="dxa"/>
            <w:vAlign w:val="center"/>
          </w:tcPr>
          <w:p w14:paraId="0A6598F3" w14:textId="3CDB5551" w:rsidR="004F7917" w:rsidRPr="00BD7D28" w:rsidRDefault="004F7917" w:rsidP="004F7917">
            <w:pPr>
              <w:spacing w:line="240" w:lineRule="auto"/>
              <w:jc w:val="center"/>
              <w:rPr>
                <w:rFonts w:ascii="Arial" w:eastAsia="Calibri" w:hAnsi="Arial" w:cs="Arial"/>
                <w:sz w:val="22"/>
                <w:lang w:val="en-GB"/>
              </w:rPr>
            </w:pPr>
            <w:r w:rsidRPr="00BD7D28">
              <w:rPr>
                <w:rFonts w:ascii="Arial" w:eastAsia="Calibri" w:hAnsi="Arial" w:cs="Arial"/>
                <w:sz w:val="22"/>
                <w:lang w:val="en-GB"/>
              </w:rPr>
              <w:t>For</w:t>
            </w:r>
          </w:p>
        </w:tc>
      </w:tr>
    </w:tbl>
    <w:p w14:paraId="34A79486" w14:textId="6CCE24B4" w:rsidR="00573A25" w:rsidRPr="00185E9F" w:rsidRDefault="009B4702" w:rsidP="002243AF">
      <w:pPr>
        <w:rPr>
          <w:rFonts w:ascii="Arial" w:hAnsi="Arial" w:cs="Arial"/>
          <w:sz w:val="22"/>
          <w:szCs w:val="28"/>
        </w:rPr>
      </w:pPr>
      <w:r w:rsidRPr="00BD7D28">
        <w:rPr>
          <w:rFonts w:ascii="Arial" w:hAnsi="Arial" w:cs="Arial"/>
          <w:sz w:val="22"/>
          <w:szCs w:val="28"/>
        </w:rPr>
        <w:t xml:space="preserve">CTD, connective tissue disease; </w:t>
      </w:r>
      <w:r w:rsidR="003F7653" w:rsidRPr="00BD7D28">
        <w:rPr>
          <w:rFonts w:ascii="Arial" w:hAnsi="Arial" w:cs="Arial"/>
          <w:sz w:val="22"/>
          <w:szCs w:val="28"/>
        </w:rPr>
        <w:t xml:space="preserve">CYC, cyclophosphamide; DLCO, diffusing capacity of the lungs for carbon monoxide; FCV, forced vital capacity; HRCT, high-resolution computed tomography; ILD, interstitial lung disease; MMF, mycophenolate mofetil; </w:t>
      </w:r>
      <w:r w:rsidR="005F2450" w:rsidRPr="00BD7D28">
        <w:rPr>
          <w:rFonts w:ascii="Arial" w:hAnsi="Arial" w:cs="Arial"/>
          <w:sz w:val="22"/>
          <w:szCs w:val="28"/>
        </w:rPr>
        <w:t xml:space="preserve">SD, standard deviation; </w:t>
      </w:r>
      <w:r w:rsidR="003F7653" w:rsidRPr="00BD7D28">
        <w:rPr>
          <w:rFonts w:ascii="Arial" w:hAnsi="Arial" w:cs="Arial"/>
          <w:sz w:val="22"/>
          <w:szCs w:val="28"/>
        </w:rPr>
        <w:t>SSc, systemic sclerosis; TCZ, tocilizumab</w:t>
      </w:r>
      <w:r w:rsidR="005F2450" w:rsidRPr="00BD7D28">
        <w:rPr>
          <w:rFonts w:ascii="Arial" w:hAnsi="Arial" w:cs="Arial"/>
          <w:sz w:val="22"/>
          <w:szCs w:val="28"/>
        </w:rPr>
        <w:t>.</w:t>
      </w:r>
    </w:p>
    <w:sectPr w:rsidR="00573A25" w:rsidRPr="00185E9F" w:rsidSect="00D70CCC">
      <w:footerReference w:type="default" r:id="rId11"/>
      <w:type w:val="continuous"/>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57A8A" w14:textId="77777777" w:rsidR="0090036E" w:rsidRDefault="0090036E" w:rsidP="00051B2F">
      <w:pPr>
        <w:spacing w:line="240" w:lineRule="auto"/>
      </w:pPr>
      <w:r>
        <w:separator/>
      </w:r>
    </w:p>
  </w:endnote>
  <w:endnote w:type="continuationSeparator" w:id="0">
    <w:p w14:paraId="38830DC7" w14:textId="77777777" w:rsidR="0090036E" w:rsidRDefault="0090036E" w:rsidP="00051B2F">
      <w:pPr>
        <w:spacing w:line="240" w:lineRule="auto"/>
      </w:pPr>
      <w:r>
        <w:continuationSeparator/>
      </w:r>
    </w:p>
  </w:endnote>
  <w:endnote w:type="continuationNotice" w:id="1">
    <w:p w14:paraId="215F1D9D" w14:textId="77777777" w:rsidR="0090036E" w:rsidRDefault="009003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inion">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297204"/>
      <w:docPartObj>
        <w:docPartGallery w:val="Page Numbers (Bottom of Page)"/>
        <w:docPartUnique/>
      </w:docPartObj>
    </w:sdtPr>
    <w:sdtEndPr>
      <w:rPr>
        <w:noProof/>
      </w:rPr>
    </w:sdtEndPr>
    <w:sdtContent>
      <w:p w14:paraId="27B002B2" w14:textId="77777777" w:rsidR="006A05E4" w:rsidRDefault="006A05E4">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26643291" w14:textId="77777777" w:rsidR="006A05E4" w:rsidRDefault="006A0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77DC2" w14:textId="77777777" w:rsidR="0090036E" w:rsidRDefault="0090036E" w:rsidP="00051B2F">
      <w:pPr>
        <w:spacing w:line="240" w:lineRule="auto"/>
      </w:pPr>
      <w:r>
        <w:separator/>
      </w:r>
    </w:p>
  </w:footnote>
  <w:footnote w:type="continuationSeparator" w:id="0">
    <w:p w14:paraId="12974516" w14:textId="77777777" w:rsidR="0090036E" w:rsidRDefault="0090036E" w:rsidP="00051B2F">
      <w:pPr>
        <w:spacing w:line="240" w:lineRule="auto"/>
      </w:pPr>
      <w:r>
        <w:continuationSeparator/>
      </w:r>
    </w:p>
  </w:footnote>
  <w:footnote w:type="continuationNotice" w:id="1">
    <w:p w14:paraId="1313EB09" w14:textId="77777777" w:rsidR="0090036E" w:rsidRDefault="0090036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123"/>
    <w:multiLevelType w:val="hybridMultilevel"/>
    <w:tmpl w:val="DCB24816"/>
    <w:lvl w:ilvl="0" w:tplc="5A54B310">
      <w:start w:val="1"/>
      <w:numFmt w:val="decimal"/>
      <w:lvlText w:val="%1."/>
      <w:lvlJc w:val="left"/>
      <w:pPr>
        <w:ind w:left="1080" w:hanging="72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7471E1"/>
    <w:multiLevelType w:val="hybridMultilevel"/>
    <w:tmpl w:val="32427A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1E486A"/>
    <w:multiLevelType w:val="hybridMultilevel"/>
    <w:tmpl w:val="A7026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84905"/>
    <w:multiLevelType w:val="hybridMultilevel"/>
    <w:tmpl w:val="0A2690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BFC683E"/>
    <w:multiLevelType w:val="hybridMultilevel"/>
    <w:tmpl w:val="B592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50F0C"/>
    <w:multiLevelType w:val="hybridMultilevel"/>
    <w:tmpl w:val="028E6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47FCE"/>
    <w:multiLevelType w:val="hybridMultilevel"/>
    <w:tmpl w:val="E3F84608"/>
    <w:lvl w:ilvl="0" w:tplc="76E0E3A6">
      <w:numFmt w:val="bullet"/>
      <w:lvlText w:val="•"/>
      <w:lvlJc w:val="left"/>
      <w:pPr>
        <w:ind w:left="1080" w:hanging="72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13549D1"/>
    <w:multiLevelType w:val="hybridMultilevel"/>
    <w:tmpl w:val="2B224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F6133"/>
    <w:multiLevelType w:val="hybridMultilevel"/>
    <w:tmpl w:val="0EBC99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1983678"/>
    <w:multiLevelType w:val="hybridMultilevel"/>
    <w:tmpl w:val="97D0B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4A62E5"/>
    <w:multiLevelType w:val="hybridMultilevel"/>
    <w:tmpl w:val="8076BF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6DC289E"/>
    <w:multiLevelType w:val="hybridMultilevel"/>
    <w:tmpl w:val="C8FE45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8482842"/>
    <w:multiLevelType w:val="multilevel"/>
    <w:tmpl w:val="267CE430"/>
    <w:lvl w:ilvl="0">
      <w:start w:val="1"/>
      <w:numFmt w:val="none"/>
      <w:pStyle w:val="OutlineL2"/>
      <w:suff w:val="nothing"/>
      <w:lvlText w:val=""/>
      <w:lvlJc w:val="left"/>
      <w:pPr>
        <w:ind w:left="0" w:firstLine="0"/>
      </w:pPr>
      <w:rPr>
        <w:rFonts w:hint="default"/>
      </w:rPr>
    </w:lvl>
    <w:lvl w:ilvl="1">
      <w:start w:val="1"/>
      <w:numFmt w:val="bullet"/>
      <w:pStyle w:val="OutlineL1"/>
      <w:lvlText w:val=""/>
      <w:lvlJc w:val="left"/>
      <w:pPr>
        <w:ind w:left="720" w:hanging="360"/>
      </w:pPr>
      <w:rPr>
        <w:rFonts w:ascii="Symbol" w:hAnsi="Symbol" w:hint="default"/>
      </w:rPr>
    </w:lvl>
    <w:lvl w:ilvl="2">
      <w:start w:val="1"/>
      <w:numFmt w:val="bullet"/>
      <w:pStyle w:val="OutlineL1"/>
      <w:lvlText w:val="–"/>
      <w:lvlJc w:val="left"/>
      <w:pPr>
        <w:tabs>
          <w:tab w:val="num" w:pos="1080"/>
        </w:tabs>
        <w:ind w:left="1080" w:hanging="360"/>
      </w:pPr>
      <w:rPr>
        <w:rFonts w:ascii="Arial" w:hAnsi="Arial" w:hint="default"/>
      </w:rPr>
    </w:lvl>
    <w:lvl w:ilvl="3">
      <w:start w:val="1"/>
      <w:numFmt w:val="bullet"/>
      <w:pStyle w:val="OutlineL3"/>
      <w:lvlText w:val="o"/>
      <w:lvlJc w:val="left"/>
      <w:pPr>
        <w:ind w:left="144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DA50F5"/>
    <w:multiLevelType w:val="hybridMultilevel"/>
    <w:tmpl w:val="95682918"/>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4" w15:restartNumberingAfterBreak="0">
    <w:nsid w:val="1E205BF5"/>
    <w:multiLevelType w:val="hybridMultilevel"/>
    <w:tmpl w:val="14927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F3B08"/>
    <w:multiLevelType w:val="hybridMultilevel"/>
    <w:tmpl w:val="D528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35615B"/>
    <w:multiLevelType w:val="hybridMultilevel"/>
    <w:tmpl w:val="5ECC55A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6FB19D8"/>
    <w:multiLevelType w:val="hybridMultilevel"/>
    <w:tmpl w:val="546E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A6016"/>
    <w:multiLevelType w:val="hybridMultilevel"/>
    <w:tmpl w:val="F3FCB618"/>
    <w:lvl w:ilvl="0" w:tplc="64CC3B00">
      <w:start w:val="1"/>
      <w:numFmt w:val="bullet"/>
      <w:lvlText w:val="•"/>
      <w:lvlJc w:val="left"/>
      <w:pPr>
        <w:tabs>
          <w:tab w:val="num" w:pos="720"/>
        </w:tabs>
        <w:ind w:left="720" w:hanging="360"/>
      </w:pPr>
      <w:rPr>
        <w:rFonts w:ascii="Arial" w:hAnsi="Arial" w:hint="default"/>
      </w:rPr>
    </w:lvl>
    <w:lvl w:ilvl="1" w:tplc="BCE4FDDE">
      <w:start w:val="1"/>
      <w:numFmt w:val="bullet"/>
      <w:lvlText w:val="•"/>
      <w:lvlJc w:val="left"/>
      <w:pPr>
        <w:tabs>
          <w:tab w:val="num" w:pos="1440"/>
        </w:tabs>
        <w:ind w:left="1440" w:hanging="360"/>
      </w:pPr>
      <w:rPr>
        <w:rFonts w:ascii="Arial" w:hAnsi="Arial" w:hint="default"/>
      </w:rPr>
    </w:lvl>
    <w:lvl w:ilvl="2" w:tplc="CE182DB0" w:tentative="1">
      <w:start w:val="1"/>
      <w:numFmt w:val="bullet"/>
      <w:lvlText w:val="•"/>
      <w:lvlJc w:val="left"/>
      <w:pPr>
        <w:tabs>
          <w:tab w:val="num" w:pos="2160"/>
        </w:tabs>
        <w:ind w:left="2160" w:hanging="360"/>
      </w:pPr>
      <w:rPr>
        <w:rFonts w:ascii="Arial" w:hAnsi="Arial" w:hint="default"/>
      </w:rPr>
    </w:lvl>
    <w:lvl w:ilvl="3" w:tplc="04FA6688" w:tentative="1">
      <w:start w:val="1"/>
      <w:numFmt w:val="bullet"/>
      <w:lvlText w:val="•"/>
      <w:lvlJc w:val="left"/>
      <w:pPr>
        <w:tabs>
          <w:tab w:val="num" w:pos="2880"/>
        </w:tabs>
        <w:ind w:left="2880" w:hanging="360"/>
      </w:pPr>
      <w:rPr>
        <w:rFonts w:ascii="Arial" w:hAnsi="Arial" w:hint="default"/>
      </w:rPr>
    </w:lvl>
    <w:lvl w:ilvl="4" w:tplc="D1C62ED4" w:tentative="1">
      <w:start w:val="1"/>
      <w:numFmt w:val="bullet"/>
      <w:lvlText w:val="•"/>
      <w:lvlJc w:val="left"/>
      <w:pPr>
        <w:tabs>
          <w:tab w:val="num" w:pos="3600"/>
        </w:tabs>
        <w:ind w:left="3600" w:hanging="360"/>
      </w:pPr>
      <w:rPr>
        <w:rFonts w:ascii="Arial" w:hAnsi="Arial" w:hint="default"/>
      </w:rPr>
    </w:lvl>
    <w:lvl w:ilvl="5" w:tplc="F8B4B87A" w:tentative="1">
      <w:start w:val="1"/>
      <w:numFmt w:val="bullet"/>
      <w:lvlText w:val="•"/>
      <w:lvlJc w:val="left"/>
      <w:pPr>
        <w:tabs>
          <w:tab w:val="num" w:pos="4320"/>
        </w:tabs>
        <w:ind w:left="4320" w:hanging="360"/>
      </w:pPr>
      <w:rPr>
        <w:rFonts w:ascii="Arial" w:hAnsi="Arial" w:hint="default"/>
      </w:rPr>
    </w:lvl>
    <w:lvl w:ilvl="6" w:tplc="CB7E245C" w:tentative="1">
      <w:start w:val="1"/>
      <w:numFmt w:val="bullet"/>
      <w:lvlText w:val="•"/>
      <w:lvlJc w:val="left"/>
      <w:pPr>
        <w:tabs>
          <w:tab w:val="num" w:pos="5040"/>
        </w:tabs>
        <w:ind w:left="5040" w:hanging="360"/>
      </w:pPr>
      <w:rPr>
        <w:rFonts w:ascii="Arial" w:hAnsi="Arial" w:hint="default"/>
      </w:rPr>
    </w:lvl>
    <w:lvl w:ilvl="7" w:tplc="2CD67D22" w:tentative="1">
      <w:start w:val="1"/>
      <w:numFmt w:val="bullet"/>
      <w:lvlText w:val="•"/>
      <w:lvlJc w:val="left"/>
      <w:pPr>
        <w:tabs>
          <w:tab w:val="num" w:pos="5760"/>
        </w:tabs>
        <w:ind w:left="5760" w:hanging="360"/>
      </w:pPr>
      <w:rPr>
        <w:rFonts w:ascii="Arial" w:hAnsi="Arial" w:hint="default"/>
      </w:rPr>
    </w:lvl>
    <w:lvl w:ilvl="8" w:tplc="1EF61A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684FFD"/>
    <w:multiLevelType w:val="hybridMultilevel"/>
    <w:tmpl w:val="B6B60AA6"/>
    <w:lvl w:ilvl="0" w:tplc="9376B6A6">
      <w:start w:val="1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D546B"/>
    <w:multiLevelType w:val="multilevel"/>
    <w:tmpl w:val="C9E8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A92C49"/>
    <w:multiLevelType w:val="hybridMultilevel"/>
    <w:tmpl w:val="6770A9FA"/>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22" w15:restartNumberingAfterBreak="0">
    <w:nsid w:val="4F8E2EA4"/>
    <w:multiLevelType w:val="hybridMultilevel"/>
    <w:tmpl w:val="0B54025A"/>
    <w:lvl w:ilvl="0" w:tplc="6C64C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B1119"/>
    <w:multiLevelType w:val="hybridMultilevel"/>
    <w:tmpl w:val="64E062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55F695E"/>
    <w:multiLevelType w:val="hybridMultilevel"/>
    <w:tmpl w:val="4476AE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69E27E5"/>
    <w:multiLevelType w:val="hybridMultilevel"/>
    <w:tmpl w:val="ECB21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A233D"/>
    <w:multiLevelType w:val="hybridMultilevel"/>
    <w:tmpl w:val="9C3C39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800" w:hanging="72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A7D4854"/>
    <w:multiLevelType w:val="hybridMultilevel"/>
    <w:tmpl w:val="8B9EB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421BB"/>
    <w:multiLevelType w:val="hybridMultilevel"/>
    <w:tmpl w:val="5B4AB0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2290612"/>
    <w:multiLevelType w:val="hybridMultilevel"/>
    <w:tmpl w:val="5AA4D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51866"/>
    <w:multiLevelType w:val="hybridMultilevel"/>
    <w:tmpl w:val="25349D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10B765B"/>
    <w:multiLevelType w:val="hybridMultilevel"/>
    <w:tmpl w:val="A7A869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52F50C6"/>
    <w:multiLevelType w:val="hybridMultilevel"/>
    <w:tmpl w:val="FAECBA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6"/>
  </w:num>
  <w:num w:numId="4">
    <w:abstractNumId w:val="24"/>
  </w:num>
  <w:num w:numId="5">
    <w:abstractNumId w:val="11"/>
  </w:num>
  <w:num w:numId="6">
    <w:abstractNumId w:val="10"/>
  </w:num>
  <w:num w:numId="7">
    <w:abstractNumId w:val="28"/>
  </w:num>
  <w:num w:numId="8">
    <w:abstractNumId w:val="30"/>
  </w:num>
  <w:num w:numId="9">
    <w:abstractNumId w:val="12"/>
  </w:num>
  <w:num w:numId="10">
    <w:abstractNumId w:val="8"/>
  </w:num>
  <w:num w:numId="11">
    <w:abstractNumId w:val="3"/>
  </w:num>
  <w:num w:numId="12">
    <w:abstractNumId w:val="16"/>
  </w:num>
  <w:num w:numId="13">
    <w:abstractNumId w:val="13"/>
  </w:num>
  <w:num w:numId="14">
    <w:abstractNumId w:val="21"/>
  </w:num>
  <w:num w:numId="15">
    <w:abstractNumId w:val="4"/>
  </w:num>
  <w:num w:numId="16">
    <w:abstractNumId w:val="15"/>
  </w:num>
  <w:num w:numId="17">
    <w:abstractNumId w:val="17"/>
  </w:num>
  <w:num w:numId="18">
    <w:abstractNumId w:val="9"/>
  </w:num>
  <w:num w:numId="19">
    <w:abstractNumId w:val="7"/>
  </w:num>
  <w:num w:numId="20">
    <w:abstractNumId w:val="29"/>
  </w:num>
  <w:num w:numId="21">
    <w:abstractNumId w:val="14"/>
  </w:num>
  <w:num w:numId="22">
    <w:abstractNumId w:val="25"/>
  </w:num>
  <w:num w:numId="23">
    <w:abstractNumId w:val="5"/>
  </w:num>
  <w:num w:numId="24">
    <w:abstractNumId w:val="2"/>
  </w:num>
  <w:num w:numId="25">
    <w:abstractNumId w:val="1"/>
  </w:num>
  <w:num w:numId="26">
    <w:abstractNumId w:val="31"/>
  </w:num>
  <w:num w:numId="27">
    <w:abstractNumId w:val="18"/>
  </w:num>
  <w:num w:numId="28">
    <w:abstractNumId w:val="22"/>
  </w:num>
  <w:num w:numId="29">
    <w:abstractNumId w:val="27"/>
  </w:num>
  <w:num w:numId="30">
    <w:abstractNumId w:val="20"/>
  </w:num>
  <w:num w:numId="31">
    <w:abstractNumId w:val="32"/>
  </w:num>
  <w:num w:numId="32">
    <w:abstractNumId w:val="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Respiratory Research&lt;/Style&gt;&lt;LeftDelim&gt;{&lt;/LeftDelim&gt;&lt;RightDelim&gt;}&lt;/RightDelim&gt;&lt;FontName&gt;Arial&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rr5f5a2pkwefpvedrwrpwtdtdr0eere2z0at&quot;&gt;BIILDPubs@nucleusglobalteams.com&lt;record-ids&gt;&lt;item&gt;29588&lt;/item&gt;&lt;item&gt;33791&lt;/item&gt;&lt;item&gt;33792&lt;/item&gt;&lt;item&gt;33954&lt;/item&gt;&lt;item&gt;34030&lt;/item&gt;&lt;item&gt;34056&lt;/item&gt;&lt;item&gt;34158&lt;/item&gt;&lt;item&gt;34197&lt;/item&gt;&lt;item&gt;34327&lt;/item&gt;&lt;item&gt;34475&lt;/item&gt;&lt;item&gt;34553&lt;/item&gt;&lt;item&gt;34555&lt;/item&gt;&lt;item&gt;34636&lt;/item&gt;&lt;item&gt;34769&lt;/item&gt;&lt;item&gt;34993&lt;/item&gt;&lt;item&gt;35109&lt;/item&gt;&lt;item&gt;35110&lt;/item&gt;&lt;item&gt;35243&lt;/item&gt;&lt;item&gt;35311&lt;/item&gt;&lt;item&gt;35320&lt;/item&gt;&lt;item&gt;35337&lt;/item&gt;&lt;item&gt;35382&lt;/item&gt;&lt;item&gt;35443&lt;/item&gt;&lt;item&gt;35445&lt;/item&gt;&lt;item&gt;35506&lt;/item&gt;&lt;item&gt;35511&lt;/item&gt;&lt;item&gt;35517&lt;/item&gt;&lt;item&gt;35519&lt;/item&gt;&lt;item&gt;35550&lt;/item&gt;&lt;item&gt;35579&lt;/item&gt;&lt;item&gt;35653&lt;/item&gt;&lt;item&gt;35979&lt;/item&gt;&lt;item&gt;36291&lt;/item&gt;&lt;item&gt;38677&lt;/item&gt;&lt;item&gt;43466&lt;/item&gt;&lt;item&gt;43480&lt;/item&gt;&lt;item&gt;43481&lt;/item&gt;&lt;/record-ids&gt;&lt;/item&gt;&lt;/Libraries&gt;"/>
  </w:docVars>
  <w:rsids>
    <w:rsidRoot w:val="00126B24"/>
    <w:rsid w:val="000006A3"/>
    <w:rsid w:val="00000F68"/>
    <w:rsid w:val="000022DD"/>
    <w:rsid w:val="00004C70"/>
    <w:rsid w:val="00004D5B"/>
    <w:rsid w:val="00004F48"/>
    <w:rsid w:val="000061B5"/>
    <w:rsid w:val="000067EA"/>
    <w:rsid w:val="0000692D"/>
    <w:rsid w:val="00007245"/>
    <w:rsid w:val="000075FE"/>
    <w:rsid w:val="000077F6"/>
    <w:rsid w:val="000103F9"/>
    <w:rsid w:val="00010494"/>
    <w:rsid w:val="00010614"/>
    <w:rsid w:val="000114C6"/>
    <w:rsid w:val="000117D5"/>
    <w:rsid w:val="0001268A"/>
    <w:rsid w:val="000130E3"/>
    <w:rsid w:val="00013AD4"/>
    <w:rsid w:val="00014FB9"/>
    <w:rsid w:val="000154C0"/>
    <w:rsid w:val="00015A7D"/>
    <w:rsid w:val="0001616A"/>
    <w:rsid w:val="000162E7"/>
    <w:rsid w:val="00016351"/>
    <w:rsid w:val="000169BF"/>
    <w:rsid w:val="00016A82"/>
    <w:rsid w:val="00017271"/>
    <w:rsid w:val="000179D0"/>
    <w:rsid w:val="000204BC"/>
    <w:rsid w:val="0002054E"/>
    <w:rsid w:val="00020915"/>
    <w:rsid w:val="00020C71"/>
    <w:rsid w:val="0002155C"/>
    <w:rsid w:val="00021A00"/>
    <w:rsid w:val="00021E33"/>
    <w:rsid w:val="00021FAD"/>
    <w:rsid w:val="0002248C"/>
    <w:rsid w:val="00022E61"/>
    <w:rsid w:val="000230EB"/>
    <w:rsid w:val="0002572E"/>
    <w:rsid w:val="00025F37"/>
    <w:rsid w:val="00026B05"/>
    <w:rsid w:val="000270C1"/>
    <w:rsid w:val="00027BA3"/>
    <w:rsid w:val="0003040E"/>
    <w:rsid w:val="00030559"/>
    <w:rsid w:val="00030901"/>
    <w:rsid w:val="00032184"/>
    <w:rsid w:val="0003233D"/>
    <w:rsid w:val="00032A42"/>
    <w:rsid w:val="00032EAE"/>
    <w:rsid w:val="000333BA"/>
    <w:rsid w:val="00033F81"/>
    <w:rsid w:val="0003402C"/>
    <w:rsid w:val="0003430A"/>
    <w:rsid w:val="00034386"/>
    <w:rsid w:val="0003447F"/>
    <w:rsid w:val="000344CE"/>
    <w:rsid w:val="00034D56"/>
    <w:rsid w:val="00034DE9"/>
    <w:rsid w:val="00034FCA"/>
    <w:rsid w:val="00036610"/>
    <w:rsid w:val="0003687F"/>
    <w:rsid w:val="0003717D"/>
    <w:rsid w:val="00037725"/>
    <w:rsid w:val="00037A58"/>
    <w:rsid w:val="0004029A"/>
    <w:rsid w:val="0004061D"/>
    <w:rsid w:val="000411CF"/>
    <w:rsid w:val="0004164A"/>
    <w:rsid w:val="0004248A"/>
    <w:rsid w:val="00042B09"/>
    <w:rsid w:val="00043347"/>
    <w:rsid w:val="00043573"/>
    <w:rsid w:val="00043C6F"/>
    <w:rsid w:val="00044DBC"/>
    <w:rsid w:val="00045056"/>
    <w:rsid w:val="00045109"/>
    <w:rsid w:val="0004551C"/>
    <w:rsid w:val="00045567"/>
    <w:rsid w:val="00046411"/>
    <w:rsid w:val="00047ECF"/>
    <w:rsid w:val="000501D7"/>
    <w:rsid w:val="000504D1"/>
    <w:rsid w:val="00050503"/>
    <w:rsid w:val="00050DEE"/>
    <w:rsid w:val="00051B2F"/>
    <w:rsid w:val="00051CEB"/>
    <w:rsid w:val="0005222E"/>
    <w:rsid w:val="00052DF7"/>
    <w:rsid w:val="00052F7C"/>
    <w:rsid w:val="00053B98"/>
    <w:rsid w:val="00054AA6"/>
    <w:rsid w:val="00054BD0"/>
    <w:rsid w:val="00055FD4"/>
    <w:rsid w:val="00056887"/>
    <w:rsid w:val="00057945"/>
    <w:rsid w:val="000600F0"/>
    <w:rsid w:val="0006029F"/>
    <w:rsid w:val="00061200"/>
    <w:rsid w:val="00061D23"/>
    <w:rsid w:val="00061DD1"/>
    <w:rsid w:val="00061FB6"/>
    <w:rsid w:val="0006206E"/>
    <w:rsid w:val="000629FD"/>
    <w:rsid w:val="00062BFD"/>
    <w:rsid w:val="00065086"/>
    <w:rsid w:val="00065E3F"/>
    <w:rsid w:val="0006681C"/>
    <w:rsid w:val="00066FEA"/>
    <w:rsid w:val="000670F9"/>
    <w:rsid w:val="00067208"/>
    <w:rsid w:val="000677BC"/>
    <w:rsid w:val="000678F7"/>
    <w:rsid w:val="00067A7C"/>
    <w:rsid w:val="0007025E"/>
    <w:rsid w:val="000703A5"/>
    <w:rsid w:val="000710CB"/>
    <w:rsid w:val="00071530"/>
    <w:rsid w:val="00072323"/>
    <w:rsid w:val="000734DA"/>
    <w:rsid w:val="00074C2A"/>
    <w:rsid w:val="00074D16"/>
    <w:rsid w:val="00076319"/>
    <w:rsid w:val="0007681C"/>
    <w:rsid w:val="0007684D"/>
    <w:rsid w:val="000771B8"/>
    <w:rsid w:val="000775EB"/>
    <w:rsid w:val="00077E6B"/>
    <w:rsid w:val="00080046"/>
    <w:rsid w:val="00080B7C"/>
    <w:rsid w:val="00080D62"/>
    <w:rsid w:val="00081445"/>
    <w:rsid w:val="000818F9"/>
    <w:rsid w:val="00082B5A"/>
    <w:rsid w:val="00083087"/>
    <w:rsid w:val="000836A8"/>
    <w:rsid w:val="00083C06"/>
    <w:rsid w:val="00084547"/>
    <w:rsid w:val="00084EEB"/>
    <w:rsid w:val="00085470"/>
    <w:rsid w:val="00085870"/>
    <w:rsid w:val="00086038"/>
    <w:rsid w:val="000862FF"/>
    <w:rsid w:val="000863B7"/>
    <w:rsid w:val="00087169"/>
    <w:rsid w:val="00087202"/>
    <w:rsid w:val="00087720"/>
    <w:rsid w:val="00087A24"/>
    <w:rsid w:val="00087DDF"/>
    <w:rsid w:val="0009038A"/>
    <w:rsid w:val="000903E6"/>
    <w:rsid w:val="00090471"/>
    <w:rsid w:val="00091047"/>
    <w:rsid w:val="00092609"/>
    <w:rsid w:val="00092A8A"/>
    <w:rsid w:val="000930F6"/>
    <w:rsid w:val="000930F9"/>
    <w:rsid w:val="000933B7"/>
    <w:rsid w:val="000938A6"/>
    <w:rsid w:val="00093CE2"/>
    <w:rsid w:val="000947B4"/>
    <w:rsid w:val="00095405"/>
    <w:rsid w:val="00095BA5"/>
    <w:rsid w:val="00096176"/>
    <w:rsid w:val="0009617A"/>
    <w:rsid w:val="00096981"/>
    <w:rsid w:val="00096BA6"/>
    <w:rsid w:val="00096E29"/>
    <w:rsid w:val="000974B7"/>
    <w:rsid w:val="00097551"/>
    <w:rsid w:val="00097A89"/>
    <w:rsid w:val="000A1F85"/>
    <w:rsid w:val="000A2645"/>
    <w:rsid w:val="000A2CE8"/>
    <w:rsid w:val="000A3C01"/>
    <w:rsid w:val="000A3D10"/>
    <w:rsid w:val="000A6722"/>
    <w:rsid w:val="000A6DEC"/>
    <w:rsid w:val="000A6F81"/>
    <w:rsid w:val="000A7123"/>
    <w:rsid w:val="000A7D72"/>
    <w:rsid w:val="000A7F0E"/>
    <w:rsid w:val="000B006E"/>
    <w:rsid w:val="000B0586"/>
    <w:rsid w:val="000B0898"/>
    <w:rsid w:val="000B0DE5"/>
    <w:rsid w:val="000B1411"/>
    <w:rsid w:val="000B1834"/>
    <w:rsid w:val="000B2088"/>
    <w:rsid w:val="000B21CC"/>
    <w:rsid w:val="000B2436"/>
    <w:rsid w:val="000B282A"/>
    <w:rsid w:val="000B3EB1"/>
    <w:rsid w:val="000B48E3"/>
    <w:rsid w:val="000B49E6"/>
    <w:rsid w:val="000B4D06"/>
    <w:rsid w:val="000B4FEE"/>
    <w:rsid w:val="000B574E"/>
    <w:rsid w:val="000B5B6A"/>
    <w:rsid w:val="000B62E0"/>
    <w:rsid w:val="000B65CF"/>
    <w:rsid w:val="000B75E3"/>
    <w:rsid w:val="000B7615"/>
    <w:rsid w:val="000B7A58"/>
    <w:rsid w:val="000C0008"/>
    <w:rsid w:val="000C093B"/>
    <w:rsid w:val="000C09AC"/>
    <w:rsid w:val="000C1044"/>
    <w:rsid w:val="000C1551"/>
    <w:rsid w:val="000C201E"/>
    <w:rsid w:val="000C21C3"/>
    <w:rsid w:val="000C2E3E"/>
    <w:rsid w:val="000C310F"/>
    <w:rsid w:val="000C34F8"/>
    <w:rsid w:val="000C4555"/>
    <w:rsid w:val="000C53CD"/>
    <w:rsid w:val="000C5796"/>
    <w:rsid w:val="000C59F8"/>
    <w:rsid w:val="000C5D12"/>
    <w:rsid w:val="000C5DC7"/>
    <w:rsid w:val="000C5DE9"/>
    <w:rsid w:val="000C63F2"/>
    <w:rsid w:val="000C6896"/>
    <w:rsid w:val="000C695F"/>
    <w:rsid w:val="000C6A69"/>
    <w:rsid w:val="000C74A9"/>
    <w:rsid w:val="000D051C"/>
    <w:rsid w:val="000D0F17"/>
    <w:rsid w:val="000D1369"/>
    <w:rsid w:val="000D1553"/>
    <w:rsid w:val="000D21F5"/>
    <w:rsid w:val="000D26F9"/>
    <w:rsid w:val="000D2833"/>
    <w:rsid w:val="000D28A7"/>
    <w:rsid w:val="000D3067"/>
    <w:rsid w:val="000D3116"/>
    <w:rsid w:val="000D3533"/>
    <w:rsid w:val="000D43F1"/>
    <w:rsid w:val="000D4C1C"/>
    <w:rsid w:val="000D54BD"/>
    <w:rsid w:val="000D57DE"/>
    <w:rsid w:val="000D5AD6"/>
    <w:rsid w:val="000D6280"/>
    <w:rsid w:val="000D6336"/>
    <w:rsid w:val="000D6466"/>
    <w:rsid w:val="000D660A"/>
    <w:rsid w:val="000D6C5A"/>
    <w:rsid w:val="000D7660"/>
    <w:rsid w:val="000D7A8F"/>
    <w:rsid w:val="000D7D2A"/>
    <w:rsid w:val="000E0105"/>
    <w:rsid w:val="000E07DC"/>
    <w:rsid w:val="000E0C67"/>
    <w:rsid w:val="000E0D97"/>
    <w:rsid w:val="000E146F"/>
    <w:rsid w:val="000E1A76"/>
    <w:rsid w:val="000E245E"/>
    <w:rsid w:val="000E2617"/>
    <w:rsid w:val="000E28AB"/>
    <w:rsid w:val="000E2A80"/>
    <w:rsid w:val="000E3173"/>
    <w:rsid w:val="000E386D"/>
    <w:rsid w:val="000E453D"/>
    <w:rsid w:val="000E4C70"/>
    <w:rsid w:val="000E4EF0"/>
    <w:rsid w:val="000E5A41"/>
    <w:rsid w:val="000E5B21"/>
    <w:rsid w:val="000E5C2D"/>
    <w:rsid w:val="000E5E95"/>
    <w:rsid w:val="000E67B0"/>
    <w:rsid w:val="000E67C3"/>
    <w:rsid w:val="000E6D38"/>
    <w:rsid w:val="000E6E84"/>
    <w:rsid w:val="000E6EC2"/>
    <w:rsid w:val="000F05CE"/>
    <w:rsid w:val="000F11CF"/>
    <w:rsid w:val="000F1421"/>
    <w:rsid w:val="000F1D99"/>
    <w:rsid w:val="000F20F3"/>
    <w:rsid w:val="000F2F00"/>
    <w:rsid w:val="000F3199"/>
    <w:rsid w:val="000F3B4C"/>
    <w:rsid w:val="000F49D4"/>
    <w:rsid w:val="000F4C0A"/>
    <w:rsid w:val="000F5510"/>
    <w:rsid w:val="000F5E07"/>
    <w:rsid w:val="000F7E33"/>
    <w:rsid w:val="001003B3"/>
    <w:rsid w:val="001010D1"/>
    <w:rsid w:val="00101572"/>
    <w:rsid w:val="00101E40"/>
    <w:rsid w:val="0010220D"/>
    <w:rsid w:val="001027B5"/>
    <w:rsid w:val="00102AA8"/>
    <w:rsid w:val="0010369B"/>
    <w:rsid w:val="001036F9"/>
    <w:rsid w:val="0010405D"/>
    <w:rsid w:val="001048AC"/>
    <w:rsid w:val="0010507F"/>
    <w:rsid w:val="001055C4"/>
    <w:rsid w:val="001055DA"/>
    <w:rsid w:val="00105F42"/>
    <w:rsid w:val="001062DD"/>
    <w:rsid w:val="001064A2"/>
    <w:rsid w:val="00106DC6"/>
    <w:rsid w:val="001079A3"/>
    <w:rsid w:val="00107F7E"/>
    <w:rsid w:val="00111366"/>
    <w:rsid w:val="0011177A"/>
    <w:rsid w:val="001117FF"/>
    <w:rsid w:val="00111A2E"/>
    <w:rsid w:val="001125CB"/>
    <w:rsid w:val="00112986"/>
    <w:rsid w:val="001129BD"/>
    <w:rsid w:val="00113C0E"/>
    <w:rsid w:val="00113F2A"/>
    <w:rsid w:val="001140BE"/>
    <w:rsid w:val="001141D3"/>
    <w:rsid w:val="001151A1"/>
    <w:rsid w:val="001169C6"/>
    <w:rsid w:val="00116D15"/>
    <w:rsid w:val="00117340"/>
    <w:rsid w:val="0012159E"/>
    <w:rsid w:val="0012166B"/>
    <w:rsid w:val="001246F4"/>
    <w:rsid w:val="0012476A"/>
    <w:rsid w:val="00126118"/>
    <w:rsid w:val="001266AE"/>
    <w:rsid w:val="00126B24"/>
    <w:rsid w:val="0012749D"/>
    <w:rsid w:val="001301A1"/>
    <w:rsid w:val="0013103B"/>
    <w:rsid w:val="001324CD"/>
    <w:rsid w:val="001327DC"/>
    <w:rsid w:val="001336A1"/>
    <w:rsid w:val="00133D06"/>
    <w:rsid w:val="00134F84"/>
    <w:rsid w:val="0013609A"/>
    <w:rsid w:val="00136340"/>
    <w:rsid w:val="00136522"/>
    <w:rsid w:val="00136595"/>
    <w:rsid w:val="00136765"/>
    <w:rsid w:val="00136A9C"/>
    <w:rsid w:val="0013722E"/>
    <w:rsid w:val="00137E4F"/>
    <w:rsid w:val="00140073"/>
    <w:rsid w:val="00140F01"/>
    <w:rsid w:val="00141012"/>
    <w:rsid w:val="00141FC8"/>
    <w:rsid w:val="00142079"/>
    <w:rsid w:val="00142182"/>
    <w:rsid w:val="00142B87"/>
    <w:rsid w:val="00142DC0"/>
    <w:rsid w:val="00143197"/>
    <w:rsid w:val="00143F10"/>
    <w:rsid w:val="00145030"/>
    <w:rsid w:val="00145C78"/>
    <w:rsid w:val="00146586"/>
    <w:rsid w:val="00146AA9"/>
    <w:rsid w:val="00147BB9"/>
    <w:rsid w:val="00147ED8"/>
    <w:rsid w:val="00150AC8"/>
    <w:rsid w:val="00151803"/>
    <w:rsid w:val="00151BB3"/>
    <w:rsid w:val="00152061"/>
    <w:rsid w:val="00152240"/>
    <w:rsid w:val="0015298B"/>
    <w:rsid w:val="00152DB9"/>
    <w:rsid w:val="00153641"/>
    <w:rsid w:val="00153BE7"/>
    <w:rsid w:val="00154EEB"/>
    <w:rsid w:val="00155335"/>
    <w:rsid w:val="0015646F"/>
    <w:rsid w:val="001568BF"/>
    <w:rsid w:val="00157898"/>
    <w:rsid w:val="00157C57"/>
    <w:rsid w:val="00160BC6"/>
    <w:rsid w:val="00161523"/>
    <w:rsid w:val="0016209D"/>
    <w:rsid w:val="0016220E"/>
    <w:rsid w:val="00162B20"/>
    <w:rsid w:val="00162FB2"/>
    <w:rsid w:val="00163642"/>
    <w:rsid w:val="00163859"/>
    <w:rsid w:val="00163D90"/>
    <w:rsid w:val="00163E28"/>
    <w:rsid w:val="001641E2"/>
    <w:rsid w:val="00164282"/>
    <w:rsid w:val="00164A1C"/>
    <w:rsid w:val="0016585D"/>
    <w:rsid w:val="00165DAE"/>
    <w:rsid w:val="0016638D"/>
    <w:rsid w:val="00166904"/>
    <w:rsid w:val="0016781B"/>
    <w:rsid w:val="0017068D"/>
    <w:rsid w:val="00170892"/>
    <w:rsid w:val="00171099"/>
    <w:rsid w:val="0017291F"/>
    <w:rsid w:val="00175B8C"/>
    <w:rsid w:val="00176240"/>
    <w:rsid w:val="00176FB1"/>
    <w:rsid w:val="00177954"/>
    <w:rsid w:val="001801CD"/>
    <w:rsid w:val="001804BD"/>
    <w:rsid w:val="00180FA2"/>
    <w:rsid w:val="00181873"/>
    <w:rsid w:val="00181C8C"/>
    <w:rsid w:val="001824D5"/>
    <w:rsid w:val="001827BA"/>
    <w:rsid w:val="0018288D"/>
    <w:rsid w:val="00182915"/>
    <w:rsid w:val="00182945"/>
    <w:rsid w:val="001835E8"/>
    <w:rsid w:val="00183A17"/>
    <w:rsid w:val="0018481E"/>
    <w:rsid w:val="00184E12"/>
    <w:rsid w:val="00184EA9"/>
    <w:rsid w:val="001856B2"/>
    <w:rsid w:val="00185928"/>
    <w:rsid w:val="00185E9F"/>
    <w:rsid w:val="001861D9"/>
    <w:rsid w:val="00186271"/>
    <w:rsid w:val="00187007"/>
    <w:rsid w:val="001875F9"/>
    <w:rsid w:val="0018776D"/>
    <w:rsid w:val="001878F9"/>
    <w:rsid w:val="00187CA9"/>
    <w:rsid w:val="00187E84"/>
    <w:rsid w:val="00191864"/>
    <w:rsid w:val="00191BFF"/>
    <w:rsid w:val="00191DA9"/>
    <w:rsid w:val="0019212E"/>
    <w:rsid w:val="0019228E"/>
    <w:rsid w:val="0019381E"/>
    <w:rsid w:val="0019464C"/>
    <w:rsid w:val="0019476A"/>
    <w:rsid w:val="001948E0"/>
    <w:rsid w:val="0019562A"/>
    <w:rsid w:val="00195644"/>
    <w:rsid w:val="0019701D"/>
    <w:rsid w:val="00197B9C"/>
    <w:rsid w:val="00197F36"/>
    <w:rsid w:val="001A06A6"/>
    <w:rsid w:val="001A10C0"/>
    <w:rsid w:val="001A13BF"/>
    <w:rsid w:val="001A15BE"/>
    <w:rsid w:val="001A1AC8"/>
    <w:rsid w:val="001A28E4"/>
    <w:rsid w:val="001A2EAF"/>
    <w:rsid w:val="001A3024"/>
    <w:rsid w:val="001A3BB3"/>
    <w:rsid w:val="001A564B"/>
    <w:rsid w:val="001A5C02"/>
    <w:rsid w:val="001A608D"/>
    <w:rsid w:val="001A6972"/>
    <w:rsid w:val="001A6DF7"/>
    <w:rsid w:val="001A6E57"/>
    <w:rsid w:val="001A7135"/>
    <w:rsid w:val="001A77EB"/>
    <w:rsid w:val="001A7918"/>
    <w:rsid w:val="001A7C10"/>
    <w:rsid w:val="001B03AB"/>
    <w:rsid w:val="001B08F7"/>
    <w:rsid w:val="001B094B"/>
    <w:rsid w:val="001B1327"/>
    <w:rsid w:val="001B14C5"/>
    <w:rsid w:val="001B1763"/>
    <w:rsid w:val="001B1884"/>
    <w:rsid w:val="001B19C1"/>
    <w:rsid w:val="001B2020"/>
    <w:rsid w:val="001B2C25"/>
    <w:rsid w:val="001B4EAF"/>
    <w:rsid w:val="001B5522"/>
    <w:rsid w:val="001B5573"/>
    <w:rsid w:val="001B5B24"/>
    <w:rsid w:val="001B5C33"/>
    <w:rsid w:val="001B5F8C"/>
    <w:rsid w:val="001B63A0"/>
    <w:rsid w:val="001B63F3"/>
    <w:rsid w:val="001B6BFA"/>
    <w:rsid w:val="001B6EB6"/>
    <w:rsid w:val="001C0534"/>
    <w:rsid w:val="001C100E"/>
    <w:rsid w:val="001C14FD"/>
    <w:rsid w:val="001C17D7"/>
    <w:rsid w:val="001C1808"/>
    <w:rsid w:val="001C23AF"/>
    <w:rsid w:val="001C27B7"/>
    <w:rsid w:val="001C2B6D"/>
    <w:rsid w:val="001C305B"/>
    <w:rsid w:val="001C4241"/>
    <w:rsid w:val="001C4B16"/>
    <w:rsid w:val="001C4DDF"/>
    <w:rsid w:val="001C52E6"/>
    <w:rsid w:val="001C5DE9"/>
    <w:rsid w:val="001C6EFF"/>
    <w:rsid w:val="001C7A4A"/>
    <w:rsid w:val="001D00C6"/>
    <w:rsid w:val="001D021D"/>
    <w:rsid w:val="001D0821"/>
    <w:rsid w:val="001D0A65"/>
    <w:rsid w:val="001D1160"/>
    <w:rsid w:val="001D1586"/>
    <w:rsid w:val="001D1BC1"/>
    <w:rsid w:val="001D23E7"/>
    <w:rsid w:val="001D24BA"/>
    <w:rsid w:val="001D2B04"/>
    <w:rsid w:val="001D360A"/>
    <w:rsid w:val="001D371E"/>
    <w:rsid w:val="001D3E15"/>
    <w:rsid w:val="001D48C1"/>
    <w:rsid w:val="001D4D82"/>
    <w:rsid w:val="001D5A95"/>
    <w:rsid w:val="001D5E6E"/>
    <w:rsid w:val="001D5F9F"/>
    <w:rsid w:val="001D72E5"/>
    <w:rsid w:val="001D76B9"/>
    <w:rsid w:val="001D7B85"/>
    <w:rsid w:val="001E20D4"/>
    <w:rsid w:val="001E327F"/>
    <w:rsid w:val="001E33AB"/>
    <w:rsid w:val="001E3665"/>
    <w:rsid w:val="001E36B4"/>
    <w:rsid w:val="001E4005"/>
    <w:rsid w:val="001E51EF"/>
    <w:rsid w:val="001E534E"/>
    <w:rsid w:val="001E5E2F"/>
    <w:rsid w:val="001E5E6A"/>
    <w:rsid w:val="001E6BB7"/>
    <w:rsid w:val="001E70CB"/>
    <w:rsid w:val="001E7464"/>
    <w:rsid w:val="001F05F7"/>
    <w:rsid w:val="001F0D39"/>
    <w:rsid w:val="001F0E6E"/>
    <w:rsid w:val="001F0F12"/>
    <w:rsid w:val="001F1B00"/>
    <w:rsid w:val="001F2B8C"/>
    <w:rsid w:val="001F2D40"/>
    <w:rsid w:val="001F2EEE"/>
    <w:rsid w:val="001F3199"/>
    <w:rsid w:val="001F3422"/>
    <w:rsid w:val="001F4169"/>
    <w:rsid w:val="001F4BD2"/>
    <w:rsid w:val="001F5003"/>
    <w:rsid w:val="001F53B8"/>
    <w:rsid w:val="001F60A3"/>
    <w:rsid w:val="001F666F"/>
    <w:rsid w:val="001F7030"/>
    <w:rsid w:val="001F7417"/>
    <w:rsid w:val="001F748E"/>
    <w:rsid w:val="001F7675"/>
    <w:rsid w:val="001F7DFA"/>
    <w:rsid w:val="00200174"/>
    <w:rsid w:val="0020083C"/>
    <w:rsid w:val="00200EE4"/>
    <w:rsid w:val="002026EB"/>
    <w:rsid w:val="002036FC"/>
    <w:rsid w:val="00204293"/>
    <w:rsid w:val="00205378"/>
    <w:rsid w:val="00205960"/>
    <w:rsid w:val="00205E2D"/>
    <w:rsid w:val="00206050"/>
    <w:rsid w:val="002078C8"/>
    <w:rsid w:val="00207A46"/>
    <w:rsid w:val="00207F02"/>
    <w:rsid w:val="002107BD"/>
    <w:rsid w:val="0021133B"/>
    <w:rsid w:val="002117D6"/>
    <w:rsid w:val="002121D7"/>
    <w:rsid w:val="002128AD"/>
    <w:rsid w:val="00212D83"/>
    <w:rsid w:val="0021435C"/>
    <w:rsid w:val="00214824"/>
    <w:rsid w:val="00215441"/>
    <w:rsid w:val="00216253"/>
    <w:rsid w:val="00216D93"/>
    <w:rsid w:val="002179C0"/>
    <w:rsid w:val="002213C1"/>
    <w:rsid w:val="0022177E"/>
    <w:rsid w:val="00222330"/>
    <w:rsid w:val="00222A44"/>
    <w:rsid w:val="00222E4C"/>
    <w:rsid w:val="00222F74"/>
    <w:rsid w:val="002233B3"/>
    <w:rsid w:val="00223935"/>
    <w:rsid w:val="00223B83"/>
    <w:rsid w:val="00223DA4"/>
    <w:rsid w:val="002240A4"/>
    <w:rsid w:val="002243AF"/>
    <w:rsid w:val="00224919"/>
    <w:rsid w:val="00224CED"/>
    <w:rsid w:val="00224FD1"/>
    <w:rsid w:val="00225182"/>
    <w:rsid w:val="00227109"/>
    <w:rsid w:val="002275D9"/>
    <w:rsid w:val="002301D0"/>
    <w:rsid w:val="00230469"/>
    <w:rsid w:val="00230C8B"/>
    <w:rsid w:val="00231929"/>
    <w:rsid w:val="00232208"/>
    <w:rsid w:val="00232EFA"/>
    <w:rsid w:val="002335CD"/>
    <w:rsid w:val="002338A1"/>
    <w:rsid w:val="002347D0"/>
    <w:rsid w:val="00235323"/>
    <w:rsid w:val="00235874"/>
    <w:rsid w:val="002358D3"/>
    <w:rsid w:val="00235C95"/>
    <w:rsid w:val="00236B2D"/>
    <w:rsid w:val="00236F75"/>
    <w:rsid w:val="00237BD8"/>
    <w:rsid w:val="0024008E"/>
    <w:rsid w:val="00240170"/>
    <w:rsid w:val="0024051B"/>
    <w:rsid w:val="00240746"/>
    <w:rsid w:val="00240765"/>
    <w:rsid w:val="002411D0"/>
    <w:rsid w:val="00241A8C"/>
    <w:rsid w:val="00241B37"/>
    <w:rsid w:val="002420E6"/>
    <w:rsid w:val="0024269B"/>
    <w:rsid w:val="002435DA"/>
    <w:rsid w:val="002445BB"/>
    <w:rsid w:val="002447D1"/>
    <w:rsid w:val="00244F54"/>
    <w:rsid w:val="002478DA"/>
    <w:rsid w:val="0024796A"/>
    <w:rsid w:val="00250461"/>
    <w:rsid w:val="0025048D"/>
    <w:rsid w:val="00250C5D"/>
    <w:rsid w:val="00250E79"/>
    <w:rsid w:val="00252B6E"/>
    <w:rsid w:val="00252EDD"/>
    <w:rsid w:val="00253466"/>
    <w:rsid w:val="00253B18"/>
    <w:rsid w:val="00253B8D"/>
    <w:rsid w:val="002545D7"/>
    <w:rsid w:val="00254EFF"/>
    <w:rsid w:val="00255BF0"/>
    <w:rsid w:val="00255FA5"/>
    <w:rsid w:val="0025607E"/>
    <w:rsid w:val="002568B8"/>
    <w:rsid w:val="00256DB0"/>
    <w:rsid w:val="00257ABE"/>
    <w:rsid w:val="00257DF5"/>
    <w:rsid w:val="00257FB7"/>
    <w:rsid w:val="00260C68"/>
    <w:rsid w:val="00260CDF"/>
    <w:rsid w:val="00260EA3"/>
    <w:rsid w:val="002619EB"/>
    <w:rsid w:val="00262952"/>
    <w:rsid w:val="00262CCD"/>
    <w:rsid w:val="002634C5"/>
    <w:rsid w:val="0026388D"/>
    <w:rsid w:val="00263BE8"/>
    <w:rsid w:val="00263CED"/>
    <w:rsid w:val="002640FA"/>
    <w:rsid w:val="002641A0"/>
    <w:rsid w:val="002642BC"/>
    <w:rsid w:val="00264AB4"/>
    <w:rsid w:val="002651A8"/>
    <w:rsid w:val="002651DB"/>
    <w:rsid w:val="002700EA"/>
    <w:rsid w:val="00270489"/>
    <w:rsid w:val="0027048F"/>
    <w:rsid w:val="0027050B"/>
    <w:rsid w:val="00270595"/>
    <w:rsid w:val="00270E16"/>
    <w:rsid w:val="00272750"/>
    <w:rsid w:val="00272D67"/>
    <w:rsid w:val="00273107"/>
    <w:rsid w:val="00273662"/>
    <w:rsid w:val="002736DD"/>
    <w:rsid w:val="00273FBF"/>
    <w:rsid w:val="0027524B"/>
    <w:rsid w:val="00275943"/>
    <w:rsid w:val="0027699E"/>
    <w:rsid w:val="00276B70"/>
    <w:rsid w:val="00277B68"/>
    <w:rsid w:val="00280A19"/>
    <w:rsid w:val="002812CF"/>
    <w:rsid w:val="00283659"/>
    <w:rsid w:val="00283755"/>
    <w:rsid w:val="0028389D"/>
    <w:rsid w:val="00283F84"/>
    <w:rsid w:val="00284189"/>
    <w:rsid w:val="002846E3"/>
    <w:rsid w:val="002848CC"/>
    <w:rsid w:val="00284F98"/>
    <w:rsid w:val="002860CD"/>
    <w:rsid w:val="00286991"/>
    <w:rsid w:val="00287C68"/>
    <w:rsid w:val="00287EF8"/>
    <w:rsid w:val="0029041A"/>
    <w:rsid w:val="0029082D"/>
    <w:rsid w:val="00290986"/>
    <w:rsid w:val="00290BBC"/>
    <w:rsid w:val="00292BF6"/>
    <w:rsid w:val="002942B5"/>
    <w:rsid w:val="002943A6"/>
    <w:rsid w:val="0029471A"/>
    <w:rsid w:val="00294C64"/>
    <w:rsid w:val="00296147"/>
    <w:rsid w:val="0029627F"/>
    <w:rsid w:val="00297819"/>
    <w:rsid w:val="00297A75"/>
    <w:rsid w:val="002A0201"/>
    <w:rsid w:val="002A1249"/>
    <w:rsid w:val="002A1A0D"/>
    <w:rsid w:val="002A1F27"/>
    <w:rsid w:val="002A2FB2"/>
    <w:rsid w:val="002A3B97"/>
    <w:rsid w:val="002A4016"/>
    <w:rsid w:val="002A4753"/>
    <w:rsid w:val="002A4CBA"/>
    <w:rsid w:val="002A4E17"/>
    <w:rsid w:val="002A58A6"/>
    <w:rsid w:val="002A5A88"/>
    <w:rsid w:val="002A5A89"/>
    <w:rsid w:val="002A5F30"/>
    <w:rsid w:val="002A61E6"/>
    <w:rsid w:val="002A6514"/>
    <w:rsid w:val="002A6BD2"/>
    <w:rsid w:val="002A793E"/>
    <w:rsid w:val="002A7D0C"/>
    <w:rsid w:val="002A7EED"/>
    <w:rsid w:val="002A7F1F"/>
    <w:rsid w:val="002B0583"/>
    <w:rsid w:val="002B08C1"/>
    <w:rsid w:val="002B0B28"/>
    <w:rsid w:val="002B0CD8"/>
    <w:rsid w:val="002B18ED"/>
    <w:rsid w:val="002B22CC"/>
    <w:rsid w:val="002B267F"/>
    <w:rsid w:val="002B318E"/>
    <w:rsid w:val="002B41FB"/>
    <w:rsid w:val="002B4468"/>
    <w:rsid w:val="002B46B8"/>
    <w:rsid w:val="002B55DC"/>
    <w:rsid w:val="002B5CE6"/>
    <w:rsid w:val="002B7022"/>
    <w:rsid w:val="002C0A5E"/>
    <w:rsid w:val="002C0ECB"/>
    <w:rsid w:val="002C1747"/>
    <w:rsid w:val="002C1BFD"/>
    <w:rsid w:val="002C1C54"/>
    <w:rsid w:val="002C22F0"/>
    <w:rsid w:val="002C2EF6"/>
    <w:rsid w:val="002C3414"/>
    <w:rsid w:val="002C3504"/>
    <w:rsid w:val="002C3921"/>
    <w:rsid w:val="002C44BA"/>
    <w:rsid w:val="002C4DCC"/>
    <w:rsid w:val="002C5EC5"/>
    <w:rsid w:val="002C65E8"/>
    <w:rsid w:val="002C691D"/>
    <w:rsid w:val="002C6ADA"/>
    <w:rsid w:val="002C6C26"/>
    <w:rsid w:val="002C725B"/>
    <w:rsid w:val="002C7B05"/>
    <w:rsid w:val="002D069B"/>
    <w:rsid w:val="002D0C93"/>
    <w:rsid w:val="002D115C"/>
    <w:rsid w:val="002D16CE"/>
    <w:rsid w:val="002D1781"/>
    <w:rsid w:val="002D3224"/>
    <w:rsid w:val="002D3A5E"/>
    <w:rsid w:val="002D4677"/>
    <w:rsid w:val="002D49E2"/>
    <w:rsid w:val="002D5FDE"/>
    <w:rsid w:val="002D6701"/>
    <w:rsid w:val="002D6E57"/>
    <w:rsid w:val="002D7150"/>
    <w:rsid w:val="002E0729"/>
    <w:rsid w:val="002E07EC"/>
    <w:rsid w:val="002E07FF"/>
    <w:rsid w:val="002E1069"/>
    <w:rsid w:val="002E1EE7"/>
    <w:rsid w:val="002E2F66"/>
    <w:rsid w:val="002E3571"/>
    <w:rsid w:val="002E37C0"/>
    <w:rsid w:val="002E3F48"/>
    <w:rsid w:val="002E44FD"/>
    <w:rsid w:val="002E4BCC"/>
    <w:rsid w:val="002E4FE4"/>
    <w:rsid w:val="002E5D4F"/>
    <w:rsid w:val="002E631B"/>
    <w:rsid w:val="002E674E"/>
    <w:rsid w:val="002E79D5"/>
    <w:rsid w:val="002F1731"/>
    <w:rsid w:val="002F2AF4"/>
    <w:rsid w:val="002F375A"/>
    <w:rsid w:val="002F43E1"/>
    <w:rsid w:val="002F4574"/>
    <w:rsid w:val="002F4585"/>
    <w:rsid w:val="002F4AC1"/>
    <w:rsid w:val="002F4C0F"/>
    <w:rsid w:val="002F4CE3"/>
    <w:rsid w:val="002F5AB4"/>
    <w:rsid w:val="002F6C18"/>
    <w:rsid w:val="002F75C7"/>
    <w:rsid w:val="00300024"/>
    <w:rsid w:val="00300B4F"/>
    <w:rsid w:val="00300C54"/>
    <w:rsid w:val="00301548"/>
    <w:rsid w:val="003016F5"/>
    <w:rsid w:val="00302409"/>
    <w:rsid w:val="00302FD4"/>
    <w:rsid w:val="00303441"/>
    <w:rsid w:val="00303C8E"/>
    <w:rsid w:val="00303FBD"/>
    <w:rsid w:val="00305431"/>
    <w:rsid w:val="00305B6C"/>
    <w:rsid w:val="00305B93"/>
    <w:rsid w:val="00305D31"/>
    <w:rsid w:val="0030606F"/>
    <w:rsid w:val="003068B9"/>
    <w:rsid w:val="003070E0"/>
    <w:rsid w:val="003077DA"/>
    <w:rsid w:val="00307A4B"/>
    <w:rsid w:val="00307EBA"/>
    <w:rsid w:val="00307EC7"/>
    <w:rsid w:val="0031078B"/>
    <w:rsid w:val="00311E77"/>
    <w:rsid w:val="00312331"/>
    <w:rsid w:val="00312B44"/>
    <w:rsid w:val="0031317D"/>
    <w:rsid w:val="00313BE5"/>
    <w:rsid w:val="00316BAA"/>
    <w:rsid w:val="00316BF7"/>
    <w:rsid w:val="00317C4E"/>
    <w:rsid w:val="0032056B"/>
    <w:rsid w:val="003209AE"/>
    <w:rsid w:val="00320F95"/>
    <w:rsid w:val="003210EF"/>
    <w:rsid w:val="00321BE4"/>
    <w:rsid w:val="0032264C"/>
    <w:rsid w:val="00322856"/>
    <w:rsid w:val="00322D4F"/>
    <w:rsid w:val="00323189"/>
    <w:rsid w:val="00323745"/>
    <w:rsid w:val="00323AC1"/>
    <w:rsid w:val="00324E63"/>
    <w:rsid w:val="00324EEB"/>
    <w:rsid w:val="0032597D"/>
    <w:rsid w:val="0032664F"/>
    <w:rsid w:val="00327C51"/>
    <w:rsid w:val="0033026E"/>
    <w:rsid w:val="003309D9"/>
    <w:rsid w:val="0033105A"/>
    <w:rsid w:val="003315BF"/>
    <w:rsid w:val="003315D4"/>
    <w:rsid w:val="00332D7D"/>
    <w:rsid w:val="00332F04"/>
    <w:rsid w:val="003330CE"/>
    <w:rsid w:val="003331F5"/>
    <w:rsid w:val="003341F4"/>
    <w:rsid w:val="00334488"/>
    <w:rsid w:val="0033468B"/>
    <w:rsid w:val="0033550D"/>
    <w:rsid w:val="003355C4"/>
    <w:rsid w:val="003363F6"/>
    <w:rsid w:val="00337DC7"/>
    <w:rsid w:val="00337EF4"/>
    <w:rsid w:val="003406F1"/>
    <w:rsid w:val="00340A2F"/>
    <w:rsid w:val="003413CA"/>
    <w:rsid w:val="00341561"/>
    <w:rsid w:val="00341646"/>
    <w:rsid w:val="00341EEC"/>
    <w:rsid w:val="003428F2"/>
    <w:rsid w:val="0034345B"/>
    <w:rsid w:val="0034386F"/>
    <w:rsid w:val="00344D5C"/>
    <w:rsid w:val="003453DD"/>
    <w:rsid w:val="00345934"/>
    <w:rsid w:val="00346456"/>
    <w:rsid w:val="003468D0"/>
    <w:rsid w:val="00346ECE"/>
    <w:rsid w:val="00347395"/>
    <w:rsid w:val="00347A84"/>
    <w:rsid w:val="00347AA5"/>
    <w:rsid w:val="00347B84"/>
    <w:rsid w:val="003505A7"/>
    <w:rsid w:val="00350B52"/>
    <w:rsid w:val="0035135F"/>
    <w:rsid w:val="00351399"/>
    <w:rsid w:val="00352119"/>
    <w:rsid w:val="003523C3"/>
    <w:rsid w:val="003523FB"/>
    <w:rsid w:val="00352755"/>
    <w:rsid w:val="00352886"/>
    <w:rsid w:val="00353765"/>
    <w:rsid w:val="00353B56"/>
    <w:rsid w:val="00353CF3"/>
    <w:rsid w:val="003544C5"/>
    <w:rsid w:val="00355186"/>
    <w:rsid w:val="003552CC"/>
    <w:rsid w:val="00355554"/>
    <w:rsid w:val="003555B6"/>
    <w:rsid w:val="0035595C"/>
    <w:rsid w:val="00356128"/>
    <w:rsid w:val="00356768"/>
    <w:rsid w:val="00356ACE"/>
    <w:rsid w:val="00356B2F"/>
    <w:rsid w:val="003576E9"/>
    <w:rsid w:val="0036079B"/>
    <w:rsid w:val="003607A3"/>
    <w:rsid w:val="003607E0"/>
    <w:rsid w:val="00360D6F"/>
    <w:rsid w:val="00360E40"/>
    <w:rsid w:val="00361349"/>
    <w:rsid w:val="003625AF"/>
    <w:rsid w:val="00362894"/>
    <w:rsid w:val="00364300"/>
    <w:rsid w:val="00366110"/>
    <w:rsid w:val="0036633B"/>
    <w:rsid w:val="003668E9"/>
    <w:rsid w:val="00366C55"/>
    <w:rsid w:val="00366E7E"/>
    <w:rsid w:val="00367185"/>
    <w:rsid w:val="00367C9F"/>
    <w:rsid w:val="003711F3"/>
    <w:rsid w:val="0037167B"/>
    <w:rsid w:val="00371BD8"/>
    <w:rsid w:val="00372784"/>
    <w:rsid w:val="00372947"/>
    <w:rsid w:val="00373D39"/>
    <w:rsid w:val="00374181"/>
    <w:rsid w:val="0037474C"/>
    <w:rsid w:val="00375007"/>
    <w:rsid w:val="00375500"/>
    <w:rsid w:val="00375A58"/>
    <w:rsid w:val="00376B6E"/>
    <w:rsid w:val="00376DCB"/>
    <w:rsid w:val="003770AE"/>
    <w:rsid w:val="00377393"/>
    <w:rsid w:val="003804CD"/>
    <w:rsid w:val="00380E35"/>
    <w:rsid w:val="00380E61"/>
    <w:rsid w:val="003815E5"/>
    <w:rsid w:val="00383DC5"/>
    <w:rsid w:val="00384BA2"/>
    <w:rsid w:val="003850AB"/>
    <w:rsid w:val="003854BD"/>
    <w:rsid w:val="0038575C"/>
    <w:rsid w:val="00385ADA"/>
    <w:rsid w:val="00385E53"/>
    <w:rsid w:val="0038602E"/>
    <w:rsid w:val="00386AB8"/>
    <w:rsid w:val="0038718E"/>
    <w:rsid w:val="00387296"/>
    <w:rsid w:val="0038767B"/>
    <w:rsid w:val="00387706"/>
    <w:rsid w:val="00387764"/>
    <w:rsid w:val="003905F4"/>
    <w:rsid w:val="0039086C"/>
    <w:rsid w:val="00391002"/>
    <w:rsid w:val="00391617"/>
    <w:rsid w:val="00391918"/>
    <w:rsid w:val="00391A52"/>
    <w:rsid w:val="00391BD2"/>
    <w:rsid w:val="00392876"/>
    <w:rsid w:val="003942E6"/>
    <w:rsid w:val="003946C2"/>
    <w:rsid w:val="00394ADC"/>
    <w:rsid w:val="00395263"/>
    <w:rsid w:val="0039538A"/>
    <w:rsid w:val="00396256"/>
    <w:rsid w:val="00396E32"/>
    <w:rsid w:val="00397024"/>
    <w:rsid w:val="003973DD"/>
    <w:rsid w:val="00397BD5"/>
    <w:rsid w:val="003A09E1"/>
    <w:rsid w:val="003A0D50"/>
    <w:rsid w:val="003A1E38"/>
    <w:rsid w:val="003A223E"/>
    <w:rsid w:val="003A280F"/>
    <w:rsid w:val="003A29C2"/>
    <w:rsid w:val="003A36C0"/>
    <w:rsid w:val="003A39DE"/>
    <w:rsid w:val="003A3C20"/>
    <w:rsid w:val="003A3F82"/>
    <w:rsid w:val="003A449F"/>
    <w:rsid w:val="003A48A5"/>
    <w:rsid w:val="003A48E5"/>
    <w:rsid w:val="003A5BE0"/>
    <w:rsid w:val="003A647D"/>
    <w:rsid w:val="003A6A19"/>
    <w:rsid w:val="003A6B1C"/>
    <w:rsid w:val="003B00F0"/>
    <w:rsid w:val="003B1B94"/>
    <w:rsid w:val="003B1E62"/>
    <w:rsid w:val="003B23C5"/>
    <w:rsid w:val="003B2A7F"/>
    <w:rsid w:val="003B2C2F"/>
    <w:rsid w:val="003B34EA"/>
    <w:rsid w:val="003B45E9"/>
    <w:rsid w:val="003B5191"/>
    <w:rsid w:val="003B57BB"/>
    <w:rsid w:val="003B58BE"/>
    <w:rsid w:val="003B5C87"/>
    <w:rsid w:val="003B5F18"/>
    <w:rsid w:val="003B60FD"/>
    <w:rsid w:val="003B6662"/>
    <w:rsid w:val="003B6895"/>
    <w:rsid w:val="003B6CA3"/>
    <w:rsid w:val="003B6FAD"/>
    <w:rsid w:val="003B7414"/>
    <w:rsid w:val="003C0050"/>
    <w:rsid w:val="003C031D"/>
    <w:rsid w:val="003C0AD6"/>
    <w:rsid w:val="003C0B9F"/>
    <w:rsid w:val="003C1EFC"/>
    <w:rsid w:val="003C2058"/>
    <w:rsid w:val="003C2435"/>
    <w:rsid w:val="003C243B"/>
    <w:rsid w:val="003C251C"/>
    <w:rsid w:val="003C30E1"/>
    <w:rsid w:val="003C4460"/>
    <w:rsid w:val="003C4A69"/>
    <w:rsid w:val="003C5A39"/>
    <w:rsid w:val="003C64CE"/>
    <w:rsid w:val="003C6BF2"/>
    <w:rsid w:val="003C6C4C"/>
    <w:rsid w:val="003C6F64"/>
    <w:rsid w:val="003C7049"/>
    <w:rsid w:val="003C70E3"/>
    <w:rsid w:val="003C722D"/>
    <w:rsid w:val="003C75C4"/>
    <w:rsid w:val="003C783B"/>
    <w:rsid w:val="003C7A88"/>
    <w:rsid w:val="003C7FCD"/>
    <w:rsid w:val="003D009D"/>
    <w:rsid w:val="003D0865"/>
    <w:rsid w:val="003D0A95"/>
    <w:rsid w:val="003D0FB4"/>
    <w:rsid w:val="003D1D66"/>
    <w:rsid w:val="003D282A"/>
    <w:rsid w:val="003D307E"/>
    <w:rsid w:val="003D536F"/>
    <w:rsid w:val="003D6285"/>
    <w:rsid w:val="003D7CFB"/>
    <w:rsid w:val="003E048F"/>
    <w:rsid w:val="003E189A"/>
    <w:rsid w:val="003E1D03"/>
    <w:rsid w:val="003E23D9"/>
    <w:rsid w:val="003E259B"/>
    <w:rsid w:val="003E2865"/>
    <w:rsid w:val="003E28F7"/>
    <w:rsid w:val="003E2B73"/>
    <w:rsid w:val="003E38C9"/>
    <w:rsid w:val="003E3BBB"/>
    <w:rsid w:val="003E3FA1"/>
    <w:rsid w:val="003E4051"/>
    <w:rsid w:val="003E469E"/>
    <w:rsid w:val="003E4C8B"/>
    <w:rsid w:val="003E4F76"/>
    <w:rsid w:val="003E53B1"/>
    <w:rsid w:val="003E5590"/>
    <w:rsid w:val="003E5928"/>
    <w:rsid w:val="003E611E"/>
    <w:rsid w:val="003E7042"/>
    <w:rsid w:val="003E711D"/>
    <w:rsid w:val="003E7820"/>
    <w:rsid w:val="003E7AF7"/>
    <w:rsid w:val="003E7EFA"/>
    <w:rsid w:val="003F03E1"/>
    <w:rsid w:val="003F15C3"/>
    <w:rsid w:val="003F1BC1"/>
    <w:rsid w:val="003F20E7"/>
    <w:rsid w:val="003F350D"/>
    <w:rsid w:val="003F5609"/>
    <w:rsid w:val="003F59A7"/>
    <w:rsid w:val="003F66E1"/>
    <w:rsid w:val="003F68DC"/>
    <w:rsid w:val="003F6B6B"/>
    <w:rsid w:val="003F6D95"/>
    <w:rsid w:val="003F6D9F"/>
    <w:rsid w:val="003F71F0"/>
    <w:rsid w:val="003F7653"/>
    <w:rsid w:val="003F7E3C"/>
    <w:rsid w:val="00400336"/>
    <w:rsid w:val="004003BD"/>
    <w:rsid w:val="004008E3"/>
    <w:rsid w:val="00401102"/>
    <w:rsid w:val="0040284C"/>
    <w:rsid w:val="004028E4"/>
    <w:rsid w:val="004028F4"/>
    <w:rsid w:val="00403955"/>
    <w:rsid w:val="004046E7"/>
    <w:rsid w:val="00404A96"/>
    <w:rsid w:val="004059F1"/>
    <w:rsid w:val="00405B79"/>
    <w:rsid w:val="00406BC9"/>
    <w:rsid w:val="00406D9F"/>
    <w:rsid w:val="00407FED"/>
    <w:rsid w:val="00410268"/>
    <w:rsid w:val="00410518"/>
    <w:rsid w:val="00410538"/>
    <w:rsid w:val="00411193"/>
    <w:rsid w:val="004112CC"/>
    <w:rsid w:val="00411607"/>
    <w:rsid w:val="004126C3"/>
    <w:rsid w:val="0041288D"/>
    <w:rsid w:val="004129B8"/>
    <w:rsid w:val="00412BAB"/>
    <w:rsid w:val="004135FD"/>
    <w:rsid w:val="00413805"/>
    <w:rsid w:val="00413DD7"/>
    <w:rsid w:val="004140D8"/>
    <w:rsid w:val="004147A7"/>
    <w:rsid w:val="00415471"/>
    <w:rsid w:val="004158A7"/>
    <w:rsid w:val="004159D7"/>
    <w:rsid w:val="00415E5B"/>
    <w:rsid w:val="00415FDB"/>
    <w:rsid w:val="00416337"/>
    <w:rsid w:val="004169BD"/>
    <w:rsid w:val="00416E4B"/>
    <w:rsid w:val="0041748D"/>
    <w:rsid w:val="004175E2"/>
    <w:rsid w:val="00417E4E"/>
    <w:rsid w:val="00420242"/>
    <w:rsid w:val="004203DA"/>
    <w:rsid w:val="0042042B"/>
    <w:rsid w:val="00420D0E"/>
    <w:rsid w:val="00421FE5"/>
    <w:rsid w:val="00422849"/>
    <w:rsid w:val="00422A6D"/>
    <w:rsid w:val="00422F31"/>
    <w:rsid w:val="0042326B"/>
    <w:rsid w:val="004236FE"/>
    <w:rsid w:val="00423B94"/>
    <w:rsid w:val="00423CFA"/>
    <w:rsid w:val="00424762"/>
    <w:rsid w:val="004247DE"/>
    <w:rsid w:val="00425876"/>
    <w:rsid w:val="004258A5"/>
    <w:rsid w:val="00426464"/>
    <w:rsid w:val="004268FF"/>
    <w:rsid w:val="00426C35"/>
    <w:rsid w:val="00427428"/>
    <w:rsid w:val="004304E2"/>
    <w:rsid w:val="004311A3"/>
    <w:rsid w:val="00431B5E"/>
    <w:rsid w:val="004322F8"/>
    <w:rsid w:val="00432D2D"/>
    <w:rsid w:val="0043343A"/>
    <w:rsid w:val="00434348"/>
    <w:rsid w:val="004343AE"/>
    <w:rsid w:val="00434D15"/>
    <w:rsid w:val="00434E6D"/>
    <w:rsid w:val="00434FA0"/>
    <w:rsid w:val="00435826"/>
    <w:rsid w:val="00435E91"/>
    <w:rsid w:val="00435F71"/>
    <w:rsid w:val="0043619C"/>
    <w:rsid w:val="0043620B"/>
    <w:rsid w:val="0043630B"/>
    <w:rsid w:val="0043639F"/>
    <w:rsid w:val="00436828"/>
    <w:rsid w:val="00436FDA"/>
    <w:rsid w:val="0043765A"/>
    <w:rsid w:val="00437AB0"/>
    <w:rsid w:val="00437AB7"/>
    <w:rsid w:val="0044041E"/>
    <w:rsid w:val="00440F14"/>
    <w:rsid w:val="00441A67"/>
    <w:rsid w:val="00442386"/>
    <w:rsid w:val="00442FBE"/>
    <w:rsid w:val="00442FE3"/>
    <w:rsid w:val="004440BC"/>
    <w:rsid w:val="004442B4"/>
    <w:rsid w:val="004443B5"/>
    <w:rsid w:val="00444511"/>
    <w:rsid w:val="00444ADC"/>
    <w:rsid w:val="004468F3"/>
    <w:rsid w:val="00447BB4"/>
    <w:rsid w:val="004501CE"/>
    <w:rsid w:val="00450E15"/>
    <w:rsid w:val="00450EF9"/>
    <w:rsid w:val="004510D1"/>
    <w:rsid w:val="00451F51"/>
    <w:rsid w:val="00453A4A"/>
    <w:rsid w:val="00453BB9"/>
    <w:rsid w:val="004544FD"/>
    <w:rsid w:val="00454B23"/>
    <w:rsid w:val="004559EF"/>
    <w:rsid w:val="00455EE3"/>
    <w:rsid w:val="0045626E"/>
    <w:rsid w:val="00456385"/>
    <w:rsid w:val="004563EA"/>
    <w:rsid w:val="0045689C"/>
    <w:rsid w:val="00456D05"/>
    <w:rsid w:val="00457517"/>
    <w:rsid w:val="00457A88"/>
    <w:rsid w:val="00457CBD"/>
    <w:rsid w:val="00460D75"/>
    <w:rsid w:val="00461308"/>
    <w:rsid w:val="004617A4"/>
    <w:rsid w:val="00461848"/>
    <w:rsid w:val="00461961"/>
    <w:rsid w:val="004620AD"/>
    <w:rsid w:val="004622D5"/>
    <w:rsid w:val="00462709"/>
    <w:rsid w:val="004628FD"/>
    <w:rsid w:val="00462A34"/>
    <w:rsid w:val="00462CB8"/>
    <w:rsid w:val="00464329"/>
    <w:rsid w:val="0046466E"/>
    <w:rsid w:val="00465264"/>
    <w:rsid w:val="004658C3"/>
    <w:rsid w:val="00465D22"/>
    <w:rsid w:val="00465D2D"/>
    <w:rsid w:val="00465ED1"/>
    <w:rsid w:val="004668E0"/>
    <w:rsid w:val="004669A1"/>
    <w:rsid w:val="00467514"/>
    <w:rsid w:val="0047028C"/>
    <w:rsid w:val="00470E67"/>
    <w:rsid w:val="004712FE"/>
    <w:rsid w:val="00471A5B"/>
    <w:rsid w:val="00471ADD"/>
    <w:rsid w:val="00471C17"/>
    <w:rsid w:val="00472111"/>
    <w:rsid w:val="00472156"/>
    <w:rsid w:val="00472E2E"/>
    <w:rsid w:val="00473D7A"/>
    <w:rsid w:val="00473E35"/>
    <w:rsid w:val="004741DD"/>
    <w:rsid w:val="00475341"/>
    <w:rsid w:val="00476A66"/>
    <w:rsid w:val="004770CF"/>
    <w:rsid w:val="00480804"/>
    <w:rsid w:val="00480986"/>
    <w:rsid w:val="00480A1F"/>
    <w:rsid w:val="00481DE0"/>
    <w:rsid w:val="00482B70"/>
    <w:rsid w:val="00483D06"/>
    <w:rsid w:val="004845CC"/>
    <w:rsid w:val="00484639"/>
    <w:rsid w:val="0048479F"/>
    <w:rsid w:val="00485734"/>
    <w:rsid w:val="00485C26"/>
    <w:rsid w:val="0048660C"/>
    <w:rsid w:val="00487294"/>
    <w:rsid w:val="00487442"/>
    <w:rsid w:val="00487ADA"/>
    <w:rsid w:val="00487CAC"/>
    <w:rsid w:val="00487F0E"/>
    <w:rsid w:val="0049009A"/>
    <w:rsid w:val="004908D0"/>
    <w:rsid w:val="00490B68"/>
    <w:rsid w:val="00493280"/>
    <w:rsid w:val="004941FE"/>
    <w:rsid w:val="004955A7"/>
    <w:rsid w:val="004964E1"/>
    <w:rsid w:val="00496605"/>
    <w:rsid w:val="00497926"/>
    <w:rsid w:val="00497CBB"/>
    <w:rsid w:val="00497FEE"/>
    <w:rsid w:val="004A021E"/>
    <w:rsid w:val="004A069D"/>
    <w:rsid w:val="004A106C"/>
    <w:rsid w:val="004A1A8D"/>
    <w:rsid w:val="004A1D3A"/>
    <w:rsid w:val="004A2DA6"/>
    <w:rsid w:val="004A2E94"/>
    <w:rsid w:val="004A37E3"/>
    <w:rsid w:val="004A3EE3"/>
    <w:rsid w:val="004A463B"/>
    <w:rsid w:val="004A47B8"/>
    <w:rsid w:val="004A6655"/>
    <w:rsid w:val="004A666D"/>
    <w:rsid w:val="004A6910"/>
    <w:rsid w:val="004A770E"/>
    <w:rsid w:val="004A7CA5"/>
    <w:rsid w:val="004A7CED"/>
    <w:rsid w:val="004B11FF"/>
    <w:rsid w:val="004B1640"/>
    <w:rsid w:val="004B182A"/>
    <w:rsid w:val="004B1D4F"/>
    <w:rsid w:val="004B1E75"/>
    <w:rsid w:val="004B28C2"/>
    <w:rsid w:val="004B2B96"/>
    <w:rsid w:val="004B2D18"/>
    <w:rsid w:val="004B350F"/>
    <w:rsid w:val="004B3720"/>
    <w:rsid w:val="004B3E91"/>
    <w:rsid w:val="004B3EE4"/>
    <w:rsid w:val="004B43B7"/>
    <w:rsid w:val="004B4501"/>
    <w:rsid w:val="004B526E"/>
    <w:rsid w:val="004B57D4"/>
    <w:rsid w:val="004B5B90"/>
    <w:rsid w:val="004B5F9A"/>
    <w:rsid w:val="004B663B"/>
    <w:rsid w:val="004B7208"/>
    <w:rsid w:val="004C0548"/>
    <w:rsid w:val="004C0D7C"/>
    <w:rsid w:val="004C1EBE"/>
    <w:rsid w:val="004C2447"/>
    <w:rsid w:val="004C28D3"/>
    <w:rsid w:val="004C31C1"/>
    <w:rsid w:val="004C33EF"/>
    <w:rsid w:val="004C3CAB"/>
    <w:rsid w:val="004C3D86"/>
    <w:rsid w:val="004C4E9B"/>
    <w:rsid w:val="004C4F7E"/>
    <w:rsid w:val="004C51EF"/>
    <w:rsid w:val="004C666A"/>
    <w:rsid w:val="004C6D2A"/>
    <w:rsid w:val="004C70D5"/>
    <w:rsid w:val="004C7255"/>
    <w:rsid w:val="004D0C7C"/>
    <w:rsid w:val="004D1172"/>
    <w:rsid w:val="004D21DB"/>
    <w:rsid w:val="004D25B8"/>
    <w:rsid w:val="004D2B97"/>
    <w:rsid w:val="004D2C38"/>
    <w:rsid w:val="004D3DCA"/>
    <w:rsid w:val="004D50F7"/>
    <w:rsid w:val="004D57D5"/>
    <w:rsid w:val="004D5AF9"/>
    <w:rsid w:val="004D613E"/>
    <w:rsid w:val="004D65EF"/>
    <w:rsid w:val="004D6DA6"/>
    <w:rsid w:val="004D7522"/>
    <w:rsid w:val="004D7706"/>
    <w:rsid w:val="004D7F3F"/>
    <w:rsid w:val="004E11B3"/>
    <w:rsid w:val="004E1415"/>
    <w:rsid w:val="004E233F"/>
    <w:rsid w:val="004E369B"/>
    <w:rsid w:val="004E3AD4"/>
    <w:rsid w:val="004E42F1"/>
    <w:rsid w:val="004E4787"/>
    <w:rsid w:val="004E4A9C"/>
    <w:rsid w:val="004E4FBA"/>
    <w:rsid w:val="004E5B41"/>
    <w:rsid w:val="004E6724"/>
    <w:rsid w:val="004E715B"/>
    <w:rsid w:val="004E719C"/>
    <w:rsid w:val="004E76E5"/>
    <w:rsid w:val="004F046D"/>
    <w:rsid w:val="004F05C4"/>
    <w:rsid w:val="004F0650"/>
    <w:rsid w:val="004F08DB"/>
    <w:rsid w:val="004F11D1"/>
    <w:rsid w:val="004F1311"/>
    <w:rsid w:val="004F16D2"/>
    <w:rsid w:val="004F2035"/>
    <w:rsid w:val="004F256C"/>
    <w:rsid w:val="004F2871"/>
    <w:rsid w:val="004F2FD9"/>
    <w:rsid w:val="004F3F82"/>
    <w:rsid w:val="004F4498"/>
    <w:rsid w:val="004F4C52"/>
    <w:rsid w:val="004F5670"/>
    <w:rsid w:val="004F5CAF"/>
    <w:rsid w:val="004F5D1B"/>
    <w:rsid w:val="004F678F"/>
    <w:rsid w:val="004F6CAF"/>
    <w:rsid w:val="004F71B0"/>
    <w:rsid w:val="004F748C"/>
    <w:rsid w:val="004F7917"/>
    <w:rsid w:val="005005E1"/>
    <w:rsid w:val="00501778"/>
    <w:rsid w:val="00502E21"/>
    <w:rsid w:val="00503E64"/>
    <w:rsid w:val="00503EFA"/>
    <w:rsid w:val="005046A4"/>
    <w:rsid w:val="00504713"/>
    <w:rsid w:val="005049B4"/>
    <w:rsid w:val="00504FCB"/>
    <w:rsid w:val="005050C2"/>
    <w:rsid w:val="005053AA"/>
    <w:rsid w:val="0050621C"/>
    <w:rsid w:val="00506244"/>
    <w:rsid w:val="00506790"/>
    <w:rsid w:val="00506811"/>
    <w:rsid w:val="00506BFC"/>
    <w:rsid w:val="0050750C"/>
    <w:rsid w:val="00507675"/>
    <w:rsid w:val="0051056A"/>
    <w:rsid w:val="00510864"/>
    <w:rsid w:val="00510909"/>
    <w:rsid w:val="0051113E"/>
    <w:rsid w:val="0051136C"/>
    <w:rsid w:val="00511A26"/>
    <w:rsid w:val="00511BD2"/>
    <w:rsid w:val="00511C1E"/>
    <w:rsid w:val="005120D8"/>
    <w:rsid w:val="005135D5"/>
    <w:rsid w:val="005135E5"/>
    <w:rsid w:val="00513E88"/>
    <w:rsid w:val="00514C89"/>
    <w:rsid w:val="00515D56"/>
    <w:rsid w:val="0051608A"/>
    <w:rsid w:val="005161E5"/>
    <w:rsid w:val="00517D1E"/>
    <w:rsid w:val="00517FF2"/>
    <w:rsid w:val="0052296A"/>
    <w:rsid w:val="00522E1C"/>
    <w:rsid w:val="00522EB8"/>
    <w:rsid w:val="005236B7"/>
    <w:rsid w:val="00523A4D"/>
    <w:rsid w:val="00523EA8"/>
    <w:rsid w:val="00524200"/>
    <w:rsid w:val="00524458"/>
    <w:rsid w:val="00524506"/>
    <w:rsid w:val="0052456F"/>
    <w:rsid w:val="00524760"/>
    <w:rsid w:val="005253FF"/>
    <w:rsid w:val="0052617B"/>
    <w:rsid w:val="0052728F"/>
    <w:rsid w:val="00527609"/>
    <w:rsid w:val="00530778"/>
    <w:rsid w:val="005307BC"/>
    <w:rsid w:val="00530D88"/>
    <w:rsid w:val="0053156D"/>
    <w:rsid w:val="00531CE5"/>
    <w:rsid w:val="005329AF"/>
    <w:rsid w:val="00532BD1"/>
    <w:rsid w:val="00532EB6"/>
    <w:rsid w:val="005330A7"/>
    <w:rsid w:val="005337B5"/>
    <w:rsid w:val="0053427F"/>
    <w:rsid w:val="00534CED"/>
    <w:rsid w:val="005354D6"/>
    <w:rsid w:val="00535FDD"/>
    <w:rsid w:val="00536149"/>
    <w:rsid w:val="00536A52"/>
    <w:rsid w:val="00537004"/>
    <w:rsid w:val="005372DA"/>
    <w:rsid w:val="0054028F"/>
    <w:rsid w:val="00540AA9"/>
    <w:rsid w:val="00540B27"/>
    <w:rsid w:val="0054182A"/>
    <w:rsid w:val="005418EB"/>
    <w:rsid w:val="00541F00"/>
    <w:rsid w:val="00542B92"/>
    <w:rsid w:val="00542EB7"/>
    <w:rsid w:val="00543174"/>
    <w:rsid w:val="00543175"/>
    <w:rsid w:val="005432CC"/>
    <w:rsid w:val="00543AE1"/>
    <w:rsid w:val="00544C67"/>
    <w:rsid w:val="0054527A"/>
    <w:rsid w:val="00546370"/>
    <w:rsid w:val="00546808"/>
    <w:rsid w:val="00546A53"/>
    <w:rsid w:val="00546A91"/>
    <w:rsid w:val="00546BA3"/>
    <w:rsid w:val="00546E72"/>
    <w:rsid w:val="0054782F"/>
    <w:rsid w:val="00547A3B"/>
    <w:rsid w:val="00547BEB"/>
    <w:rsid w:val="00547CBC"/>
    <w:rsid w:val="005509CA"/>
    <w:rsid w:val="005513C3"/>
    <w:rsid w:val="005515C3"/>
    <w:rsid w:val="00551922"/>
    <w:rsid w:val="00551FF1"/>
    <w:rsid w:val="00553138"/>
    <w:rsid w:val="00554174"/>
    <w:rsid w:val="005546CF"/>
    <w:rsid w:val="00554F47"/>
    <w:rsid w:val="00555832"/>
    <w:rsid w:val="00555876"/>
    <w:rsid w:val="00555C55"/>
    <w:rsid w:val="005563B6"/>
    <w:rsid w:val="00556A95"/>
    <w:rsid w:val="00556DBC"/>
    <w:rsid w:val="0055710F"/>
    <w:rsid w:val="00557380"/>
    <w:rsid w:val="0055780A"/>
    <w:rsid w:val="00560147"/>
    <w:rsid w:val="00560641"/>
    <w:rsid w:val="00560A6B"/>
    <w:rsid w:val="00560D52"/>
    <w:rsid w:val="005619D2"/>
    <w:rsid w:val="00561C10"/>
    <w:rsid w:val="00561FA1"/>
    <w:rsid w:val="0056227D"/>
    <w:rsid w:val="00562480"/>
    <w:rsid w:val="00563773"/>
    <w:rsid w:val="0056461C"/>
    <w:rsid w:val="005647A0"/>
    <w:rsid w:val="005651E5"/>
    <w:rsid w:val="00565469"/>
    <w:rsid w:val="00566011"/>
    <w:rsid w:val="00566437"/>
    <w:rsid w:val="0056771B"/>
    <w:rsid w:val="005677A2"/>
    <w:rsid w:val="00567F4A"/>
    <w:rsid w:val="00570C4D"/>
    <w:rsid w:val="00570EFA"/>
    <w:rsid w:val="00570FBD"/>
    <w:rsid w:val="00571B96"/>
    <w:rsid w:val="00572DCF"/>
    <w:rsid w:val="00573A25"/>
    <w:rsid w:val="005745F2"/>
    <w:rsid w:val="0057571A"/>
    <w:rsid w:val="00576982"/>
    <w:rsid w:val="005771A9"/>
    <w:rsid w:val="0058163B"/>
    <w:rsid w:val="0058246B"/>
    <w:rsid w:val="00583126"/>
    <w:rsid w:val="00584850"/>
    <w:rsid w:val="005849D0"/>
    <w:rsid w:val="0058649E"/>
    <w:rsid w:val="00586C51"/>
    <w:rsid w:val="00587062"/>
    <w:rsid w:val="00590191"/>
    <w:rsid w:val="00590D1A"/>
    <w:rsid w:val="00591468"/>
    <w:rsid w:val="00592594"/>
    <w:rsid w:val="00593587"/>
    <w:rsid w:val="005937E4"/>
    <w:rsid w:val="00593815"/>
    <w:rsid w:val="00593821"/>
    <w:rsid w:val="00593C78"/>
    <w:rsid w:val="00593CD6"/>
    <w:rsid w:val="00593D68"/>
    <w:rsid w:val="0059462D"/>
    <w:rsid w:val="00595527"/>
    <w:rsid w:val="00596C3E"/>
    <w:rsid w:val="00596EF9"/>
    <w:rsid w:val="00597B9B"/>
    <w:rsid w:val="005A02C2"/>
    <w:rsid w:val="005A07A7"/>
    <w:rsid w:val="005A0AD1"/>
    <w:rsid w:val="005A1C75"/>
    <w:rsid w:val="005A1F73"/>
    <w:rsid w:val="005A1FD7"/>
    <w:rsid w:val="005A2336"/>
    <w:rsid w:val="005A25C5"/>
    <w:rsid w:val="005A2B00"/>
    <w:rsid w:val="005A2F7A"/>
    <w:rsid w:val="005A32EA"/>
    <w:rsid w:val="005A35C6"/>
    <w:rsid w:val="005A3BED"/>
    <w:rsid w:val="005A3F20"/>
    <w:rsid w:val="005A4FD5"/>
    <w:rsid w:val="005A53F4"/>
    <w:rsid w:val="005A5E1A"/>
    <w:rsid w:val="005A66F8"/>
    <w:rsid w:val="005A68FD"/>
    <w:rsid w:val="005A75BE"/>
    <w:rsid w:val="005A7F82"/>
    <w:rsid w:val="005B0160"/>
    <w:rsid w:val="005B109F"/>
    <w:rsid w:val="005B1DEF"/>
    <w:rsid w:val="005B20FC"/>
    <w:rsid w:val="005B32C2"/>
    <w:rsid w:val="005B35CC"/>
    <w:rsid w:val="005B429B"/>
    <w:rsid w:val="005B42BC"/>
    <w:rsid w:val="005B45C3"/>
    <w:rsid w:val="005B4EA0"/>
    <w:rsid w:val="005B577F"/>
    <w:rsid w:val="005B5CCA"/>
    <w:rsid w:val="005B68D2"/>
    <w:rsid w:val="005B7280"/>
    <w:rsid w:val="005B7577"/>
    <w:rsid w:val="005C0281"/>
    <w:rsid w:val="005C0293"/>
    <w:rsid w:val="005C1567"/>
    <w:rsid w:val="005C15CA"/>
    <w:rsid w:val="005C2283"/>
    <w:rsid w:val="005C2D20"/>
    <w:rsid w:val="005C2EC0"/>
    <w:rsid w:val="005C3106"/>
    <w:rsid w:val="005C31F1"/>
    <w:rsid w:val="005C3233"/>
    <w:rsid w:val="005C392C"/>
    <w:rsid w:val="005C3D15"/>
    <w:rsid w:val="005C64C0"/>
    <w:rsid w:val="005C74A2"/>
    <w:rsid w:val="005D10FC"/>
    <w:rsid w:val="005D13E1"/>
    <w:rsid w:val="005D1BD4"/>
    <w:rsid w:val="005D335A"/>
    <w:rsid w:val="005D39E9"/>
    <w:rsid w:val="005D3BB3"/>
    <w:rsid w:val="005D3EFA"/>
    <w:rsid w:val="005D457A"/>
    <w:rsid w:val="005D45F5"/>
    <w:rsid w:val="005D494C"/>
    <w:rsid w:val="005D5990"/>
    <w:rsid w:val="005D5EAB"/>
    <w:rsid w:val="005D6BA3"/>
    <w:rsid w:val="005E0193"/>
    <w:rsid w:val="005E02BB"/>
    <w:rsid w:val="005E0980"/>
    <w:rsid w:val="005E1985"/>
    <w:rsid w:val="005E1C37"/>
    <w:rsid w:val="005E2333"/>
    <w:rsid w:val="005E2779"/>
    <w:rsid w:val="005E32AF"/>
    <w:rsid w:val="005E3B47"/>
    <w:rsid w:val="005E3E05"/>
    <w:rsid w:val="005E56A0"/>
    <w:rsid w:val="005E5A89"/>
    <w:rsid w:val="005E5EC0"/>
    <w:rsid w:val="005F00D7"/>
    <w:rsid w:val="005F11C7"/>
    <w:rsid w:val="005F180E"/>
    <w:rsid w:val="005F1CF7"/>
    <w:rsid w:val="005F2450"/>
    <w:rsid w:val="005F3188"/>
    <w:rsid w:val="005F36BB"/>
    <w:rsid w:val="005F55C0"/>
    <w:rsid w:val="005F5940"/>
    <w:rsid w:val="005F6851"/>
    <w:rsid w:val="005F74CA"/>
    <w:rsid w:val="00600440"/>
    <w:rsid w:val="00600DEB"/>
    <w:rsid w:val="00602391"/>
    <w:rsid w:val="0060246E"/>
    <w:rsid w:val="00602A45"/>
    <w:rsid w:val="00603499"/>
    <w:rsid w:val="006037E4"/>
    <w:rsid w:val="00605686"/>
    <w:rsid w:val="006056A0"/>
    <w:rsid w:val="00606385"/>
    <w:rsid w:val="006063B8"/>
    <w:rsid w:val="0060796C"/>
    <w:rsid w:val="00607AD6"/>
    <w:rsid w:val="006109F2"/>
    <w:rsid w:val="00611470"/>
    <w:rsid w:val="00612684"/>
    <w:rsid w:val="00612762"/>
    <w:rsid w:val="0061279C"/>
    <w:rsid w:val="00612F95"/>
    <w:rsid w:val="00613125"/>
    <w:rsid w:val="00613559"/>
    <w:rsid w:val="0061462B"/>
    <w:rsid w:val="00614F2F"/>
    <w:rsid w:val="0061524C"/>
    <w:rsid w:val="0061526B"/>
    <w:rsid w:val="0061585F"/>
    <w:rsid w:val="006158D3"/>
    <w:rsid w:val="00615EBA"/>
    <w:rsid w:val="00616A00"/>
    <w:rsid w:val="00617322"/>
    <w:rsid w:val="00617829"/>
    <w:rsid w:val="00617D68"/>
    <w:rsid w:val="00617F36"/>
    <w:rsid w:val="006204CF"/>
    <w:rsid w:val="00620C53"/>
    <w:rsid w:val="00620EF1"/>
    <w:rsid w:val="00621908"/>
    <w:rsid w:val="00621C38"/>
    <w:rsid w:val="006223BB"/>
    <w:rsid w:val="0062270D"/>
    <w:rsid w:val="00622CDB"/>
    <w:rsid w:val="00622DD2"/>
    <w:rsid w:val="00623F05"/>
    <w:rsid w:val="00624114"/>
    <w:rsid w:val="006246D0"/>
    <w:rsid w:val="006248C5"/>
    <w:rsid w:val="006249B2"/>
    <w:rsid w:val="00625D97"/>
    <w:rsid w:val="0062610E"/>
    <w:rsid w:val="00626F1E"/>
    <w:rsid w:val="00627195"/>
    <w:rsid w:val="006271D3"/>
    <w:rsid w:val="00627ABC"/>
    <w:rsid w:val="00627E94"/>
    <w:rsid w:val="00627F24"/>
    <w:rsid w:val="00630B4A"/>
    <w:rsid w:val="00631899"/>
    <w:rsid w:val="00631C4E"/>
    <w:rsid w:val="006324B4"/>
    <w:rsid w:val="00633C60"/>
    <w:rsid w:val="0063411F"/>
    <w:rsid w:val="00634200"/>
    <w:rsid w:val="006356A1"/>
    <w:rsid w:val="00635BAE"/>
    <w:rsid w:val="00636499"/>
    <w:rsid w:val="00636577"/>
    <w:rsid w:val="00636611"/>
    <w:rsid w:val="00636C9A"/>
    <w:rsid w:val="0063704B"/>
    <w:rsid w:val="00637AF2"/>
    <w:rsid w:val="00637C8B"/>
    <w:rsid w:val="00637D17"/>
    <w:rsid w:val="00640565"/>
    <w:rsid w:val="00640A32"/>
    <w:rsid w:val="0064141C"/>
    <w:rsid w:val="00641CBE"/>
    <w:rsid w:val="00642D03"/>
    <w:rsid w:val="00642DD9"/>
    <w:rsid w:val="006432F8"/>
    <w:rsid w:val="00643789"/>
    <w:rsid w:val="00643DB6"/>
    <w:rsid w:val="00643DBD"/>
    <w:rsid w:val="00643FB8"/>
    <w:rsid w:val="00644F90"/>
    <w:rsid w:val="006451C4"/>
    <w:rsid w:val="0064524A"/>
    <w:rsid w:val="00645FFB"/>
    <w:rsid w:val="00646BFA"/>
    <w:rsid w:val="006504B0"/>
    <w:rsid w:val="006506E6"/>
    <w:rsid w:val="00650ADB"/>
    <w:rsid w:val="00650F2C"/>
    <w:rsid w:val="0065175D"/>
    <w:rsid w:val="00651C23"/>
    <w:rsid w:val="00651E35"/>
    <w:rsid w:val="0065268D"/>
    <w:rsid w:val="00652FFB"/>
    <w:rsid w:val="0065305E"/>
    <w:rsid w:val="00653419"/>
    <w:rsid w:val="0065399E"/>
    <w:rsid w:val="006552DE"/>
    <w:rsid w:val="00655F01"/>
    <w:rsid w:val="00656D42"/>
    <w:rsid w:val="006570E0"/>
    <w:rsid w:val="00657B5C"/>
    <w:rsid w:val="00657C0A"/>
    <w:rsid w:val="006603D5"/>
    <w:rsid w:val="006603E6"/>
    <w:rsid w:val="00660A92"/>
    <w:rsid w:val="00661825"/>
    <w:rsid w:val="00661D8D"/>
    <w:rsid w:val="00662BA0"/>
    <w:rsid w:val="00662E9C"/>
    <w:rsid w:val="00663547"/>
    <w:rsid w:val="006643E6"/>
    <w:rsid w:val="00665B3C"/>
    <w:rsid w:val="00665BBA"/>
    <w:rsid w:val="006660D3"/>
    <w:rsid w:val="00666939"/>
    <w:rsid w:val="00667801"/>
    <w:rsid w:val="00670632"/>
    <w:rsid w:val="006712DE"/>
    <w:rsid w:val="00671F66"/>
    <w:rsid w:val="00672EA1"/>
    <w:rsid w:val="00673064"/>
    <w:rsid w:val="006734F7"/>
    <w:rsid w:val="00673703"/>
    <w:rsid w:val="00674021"/>
    <w:rsid w:val="006742E2"/>
    <w:rsid w:val="006747A1"/>
    <w:rsid w:val="00676966"/>
    <w:rsid w:val="00677D2B"/>
    <w:rsid w:val="00677E56"/>
    <w:rsid w:val="00677EDE"/>
    <w:rsid w:val="006806E4"/>
    <w:rsid w:val="006815D7"/>
    <w:rsid w:val="00683303"/>
    <w:rsid w:val="00683485"/>
    <w:rsid w:val="0068356F"/>
    <w:rsid w:val="006836F2"/>
    <w:rsid w:val="00684CCD"/>
    <w:rsid w:val="006850EA"/>
    <w:rsid w:val="00685375"/>
    <w:rsid w:val="006853D7"/>
    <w:rsid w:val="0068620C"/>
    <w:rsid w:val="00686F03"/>
    <w:rsid w:val="006870FF"/>
    <w:rsid w:val="00687500"/>
    <w:rsid w:val="00687678"/>
    <w:rsid w:val="006901C0"/>
    <w:rsid w:val="00690700"/>
    <w:rsid w:val="00690D70"/>
    <w:rsid w:val="00691358"/>
    <w:rsid w:val="006916A5"/>
    <w:rsid w:val="00692584"/>
    <w:rsid w:val="00692BAE"/>
    <w:rsid w:val="00692BC9"/>
    <w:rsid w:val="0069386E"/>
    <w:rsid w:val="00693F44"/>
    <w:rsid w:val="006947C0"/>
    <w:rsid w:val="00694928"/>
    <w:rsid w:val="006949C5"/>
    <w:rsid w:val="0069552B"/>
    <w:rsid w:val="00696763"/>
    <w:rsid w:val="006971D4"/>
    <w:rsid w:val="00697985"/>
    <w:rsid w:val="00697C92"/>
    <w:rsid w:val="00697E94"/>
    <w:rsid w:val="006A05E4"/>
    <w:rsid w:val="006A0AAB"/>
    <w:rsid w:val="006A1743"/>
    <w:rsid w:val="006A232E"/>
    <w:rsid w:val="006A24CB"/>
    <w:rsid w:val="006A268B"/>
    <w:rsid w:val="006A3252"/>
    <w:rsid w:val="006A3545"/>
    <w:rsid w:val="006A3BE9"/>
    <w:rsid w:val="006A3DB6"/>
    <w:rsid w:val="006A3E5E"/>
    <w:rsid w:val="006A5899"/>
    <w:rsid w:val="006A5EA1"/>
    <w:rsid w:val="006A6295"/>
    <w:rsid w:val="006A63AA"/>
    <w:rsid w:val="006A7327"/>
    <w:rsid w:val="006A7D77"/>
    <w:rsid w:val="006B070E"/>
    <w:rsid w:val="006B077D"/>
    <w:rsid w:val="006B121C"/>
    <w:rsid w:val="006B1FF6"/>
    <w:rsid w:val="006B22F9"/>
    <w:rsid w:val="006B241D"/>
    <w:rsid w:val="006B2BE9"/>
    <w:rsid w:val="006B30C4"/>
    <w:rsid w:val="006B3F73"/>
    <w:rsid w:val="006B434B"/>
    <w:rsid w:val="006B5169"/>
    <w:rsid w:val="006B5513"/>
    <w:rsid w:val="006B5D37"/>
    <w:rsid w:val="006B6126"/>
    <w:rsid w:val="006B778C"/>
    <w:rsid w:val="006C0007"/>
    <w:rsid w:val="006C0ABF"/>
    <w:rsid w:val="006C0C7B"/>
    <w:rsid w:val="006C174A"/>
    <w:rsid w:val="006C1A89"/>
    <w:rsid w:val="006C1FDC"/>
    <w:rsid w:val="006C3423"/>
    <w:rsid w:val="006C3554"/>
    <w:rsid w:val="006C358B"/>
    <w:rsid w:val="006C3CF7"/>
    <w:rsid w:val="006C48BD"/>
    <w:rsid w:val="006C4DDD"/>
    <w:rsid w:val="006C5118"/>
    <w:rsid w:val="006D005A"/>
    <w:rsid w:val="006D0F72"/>
    <w:rsid w:val="006D1537"/>
    <w:rsid w:val="006D1CFC"/>
    <w:rsid w:val="006D1E27"/>
    <w:rsid w:val="006D223C"/>
    <w:rsid w:val="006D234F"/>
    <w:rsid w:val="006D287F"/>
    <w:rsid w:val="006D4C08"/>
    <w:rsid w:val="006D5826"/>
    <w:rsid w:val="006D5DCC"/>
    <w:rsid w:val="006D6436"/>
    <w:rsid w:val="006D6E51"/>
    <w:rsid w:val="006D77F5"/>
    <w:rsid w:val="006E0095"/>
    <w:rsid w:val="006E0301"/>
    <w:rsid w:val="006E0ED1"/>
    <w:rsid w:val="006E1285"/>
    <w:rsid w:val="006E177A"/>
    <w:rsid w:val="006E1FEC"/>
    <w:rsid w:val="006E2942"/>
    <w:rsid w:val="006E2BF9"/>
    <w:rsid w:val="006E3CC4"/>
    <w:rsid w:val="006E3E5A"/>
    <w:rsid w:val="006E4028"/>
    <w:rsid w:val="006E423C"/>
    <w:rsid w:val="006E4828"/>
    <w:rsid w:val="006E4BB4"/>
    <w:rsid w:val="006E520F"/>
    <w:rsid w:val="006E545F"/>
    <w:rsid w:val="006E5BB0"/>
    <w:rsid w:val="006E5D2C"/>
    <w:rsid w:val="006E61F9"/>
    <w:rsid w:val="006E6CAC"/>
    <w:rsid w:val="006E7415"/>
    <w:rsid w:val="006E7FF8"/>
    <w:rsid w:val="006F0A81"/>
    <w:rsid w:val="006F1213"/>
    <w:rsid w:val="006F126C"/>
    <w:rsid w:val="006F12A7"/>
    <w:rsid w:val="006F12B5"/>
    <w:rsid w:val="006F1A2A"/>
    <w:rsid w:val="006F1DDF"/>
    <w:rsid w:val="006F22E9"/>
    <w:rsid w:val="006F3D48"/>
    <w:rsid w:val="006F4C38"/>
    <w:rsid w:val="006F5B39"/>
    <w:rsid w:val="006F645E"/>
    <w:rsid w:val="006F653B"/>
    <w:rsid w:val="006F66EF"/>
    <w:rsid w:val="006F6894"/>
    <w:rsid w:val="006F7073"/>
    <w:rsid w:val="006F72A0"/>
    <w:rsid w:val="006F76C6"/>
    <w:rsid w:val="006F7A15"/>
    <w:rsid w:val="006F7E06"/>
    <w:rsid w:val="0070040F"/>
    <w:rsid w:val="00700D58"/>
    <w:rsid w:val="00702BBD"/>
    <w:rsid w:val="00703FD2"/>
    <w:rsid w:val="0070419F"/>
    <w:rsid w:val="00704314"/>
    <w:rsid w:val="00704620"/>
    <w:rsid w:val="00704872"/>
    <w:rsid w:val="00704AE1"/>
    <w:rsid w:val="00704BBE"/>
    <w:rsid w:val="0070554E"/>
    <w:rsid w:val="00706455"/>
    <w:rsid w:val="007065B9"/>
    <w:rsid w:val="007065E0"/>
    <w:rsid w:val="0071029D"/>
    <w:rsid w:val="0071049E"/>
    <w:rsid w:val="00710573"/>
    <w:rsid w:val="007109BB"/>
    <w:rsid w:val="00710BF0"/>
    <w:rsid w:val="00710CB3"/>
    <w:rsid w:val="00710CC9"/>
    <w:rsid w:val="0071418B"/>
    <w:rsid w:val="007141BC"/>
    <w:rsid w:val="00715BF6"/>
    <w:rsid w:val="00716304"/>
    <w:rsid w:val="0071726B"/>
    <w:rsid w:val="00717696"/>
    <w:rsid w:val="007214A4"/>
    <w:rsid w:val="00722039"/>
    <w:rsid w:val="007227C0"/>
    <w:rsid w:val="0072298D"/>
    <w:rsid w:val="00722B3C"/>
    <w:rsid w:val="00722C6E"/>
    <w:rsid w:val="007230E1"/>
    <w:rsid w:val="00723478"/>
    <w:rsid w:val="00724988"/>
    <w:rsid w:val="00725110"/>
    <w:rsid w:val="00725279"/>
    <w:rsid w:val="00725A2D"/>
    <w:rsid w:val="00726C9B"/>
    <w:rsid w:val="00727EB8"/>
    <w:rsid w:val="00731630"/>
    <w:rsid w:val="0073364B"/>
    <w:rsid w:val="00734610"/>
    <w:rsid w:val="00734956"/>
    <w:rsid w:val="007349A1"/>
    <w:rsid w:val="00734FF0"/>
    <w:rsid w:val="007356EB"/>
    <w:rsid w:val="00735734"/>
    <w:rsid w:val="00736BF8"/>
    <w:rsid w:val="007374AC"/>
    <w:rsid w:val="007376DE"/>
    <w:rsid w:val="00737777"/>
    <w:rsid w:val="00737B76"/>
    <w:rsid w:val="00737FAD"/>
    <w:rsid w:val="00740079"/>
    <w:rsid w:val="00740FD7"/>
    <w:rsid w:val="0074139C"/>
    <w:rsid w:val="00742E38"/>
    <w:rsid w:val="007433EB"/>
    <w:rsid w:val="00743FC9"/>
    <w:rsid w:val="00744001"/>
    <w:rsid w:val="007450FD"/>
    <w:rsid w:val="007451CC"/>
    <w:rsid w:val="007456DE"/>
    <w:rsid w:val="007459CA"/>
    <w:rsid w:val="00746736"/>
    <w:rsid w:val="0074731D"/>
    <w:rsid w:val="007474CB"/>
    <w:rsid w:val="007475C0"/>
    <w:rsid w:val="00750309"/>
    <w:rsid w:val="0075051E"/>
    <w:rsid w:val="00752128"/>
    <w:rsid w:val="00753339"/>
    <w:rsid w:val="00754520"/>
    <w:rsid w:val="00755032"/>
    <w:rsid w:val="00755259"/>
    <w:rsid w:val="0075653A"/>
    <w:rsid w:val="007601D2"/>
    <w:rsid w:val="00760A21"/>
    <w:rsid w:val="00760F1B"/>
    <w:rsid w:val="00761E2E"/>
    <w:rsid w:val="0076390D"/>
    <w:rsid w:val="00763FB1"/>
    <w:rsid w:val="007658DA"/>
    <w:rsid w:val="0076632B"/>
    <w:rsid w:val="00767035"/>
    <w:rsid w:val="007674FF"/>
    <w:rsid w:val="00767B3F"/>
    <w:rsid w:val="007700BE"/>
    <w:rsid w:val="00770575"/>
    <w:rsid w:val="0077070A"/>
    <w:rsid w:val="00770B0A"/>
    <w:rsid w:val="00770BFC"/>
    <w:rsid w:val="00770E8F"/>
    <w:rsid w:val="00771306"/>
    <w:rsid w:val="00772AB8"/>
    <w:rsid w:val="00772B59"/>
    <w:rsid w:val="00772D20"/>
    <w:rsid w:val="00772FDD"/>
    <w:rsid w:val="00773074"/>
    <w:rsid w:val="0077387E"/>
    <w:rsid w:val="00773C91"/>
    <w:rsid w:val="00773E5B"/>
    <w:rsid w:val="007746CC"/>
    <w:rsid w:val="00774BD4"/>
    <w:rsid w:val="0077551B"/>
    <w:rsid w:val="00775CB4"/>
    <w:rsid w:val="00775E7F"/>
    <w:rsid w:val="0077624E"/>
    <w:rsid w:val="00776421"/>
    <w:rsid w:val="00776E5C"/>
    <w:rsid w:val="00777029"/>
    <w:rsid w:val="0077740E"/>
    <w:rsid w:val="007777C5"/>
    <w:rsid w:val="00780578"/>
    <w:rsid w:val="00780742"/>
    <w:rsid w:val="00780B14"/>
    <w:rsid w:val="00780FA7"/>
    <w:rsid w:val="00781156"/>
    <w:rsid w:val="00781234"/>
    <w:rsid w:val="00782A31"/>
    <w:rsid w:val="00782B7F"/>
    <w:rsid w:val="00782F34"/>
    <w:rsid w:val="00782FDB"/>
    <w:rsid w:val="00783451"/>
    <w:rsid w:val="007838C1"/>
    <w:rsid w:val="00783EDC"/>
    <w:rsid w:val="00784154"/>
    <w:rsid w:val="0078419E"/>
    <w:rsid w:val="007849CC"/>
    <w:rsid w:val="007849E2"/>
    <w:rsid w:val="00784AF0"/>
    <w:rsid w:val="00784B60"/>
    <w:rsid w:val="00785458"/>
    <w:rsid w:val="007855CA"/>
    <w:rsid w:val="00786480"/>
    <w:rsid w:val="007869DC"/>
    <w:rsid w:val="00786D30"/>
    <w:rsid w:val="00786FCD"/>
    <w:rsid w:val="00787122"/>
    <w:rsid w:val="0078795A"/>
    <w:rsid w:val="007904EB"/>
    <w:rsid w:val="00790CA0"/>
    <w:rsid w:val="00790EA0"/>
    <w:rsid w:val="007915CE"/>
    <w:rsid w:val="00791AEE"/>
    <w:rsid w:val="00792614"/>
    <w:rsid w:val="007926C2"/>
    <w:rsid w:val="00792CA9"/>
    <w:rsid w:val="00793D34"/>
    <w:rsid w:val="00794B51"/>
    <w:rsid w:val="00794D98"/>
    <w:rsid w:val="0079519E"/>
    <w:rsid w:val="00796474"/>
    <w:rsid w:val="00796DF7"/>
    <w:rsid w:val="00796F58"/>
    <w:rsid w:val="007A028B"/>
    <w:rsid w:val="007A02EB"/>
    <w:rsid w:val="007A0836"/>
    <w:rsid w:val="007A0A97"/>
    <w:rsid w:val="007A1991"/>
    <w:rsid w:val="007A2405"/>
    <w:rsid w:val="007A2CDB"/>
    <w:rsid w:val="007A329A"/>
    <w:rsid w:val="007A341F"/>
    <w:rsid w:val="007A38C7"/>
    <w:rsid w:val="007A3D47"/>
    <w:rsid w:val="007A52CD"/>
    <w:rsid w:val="007A5D14"/>
    <w:rsid w:val="007A6FB0"/>
    <w:rsid w:val="007A701B"/>
    <w:rsid w:val="007A7298"/>
    <w:rsid w:val="007A762A"/>
    <w:rsid w:val="007B0212"/>
    <w:rsid w:val="007B0A73"/>
    <w:rsid w:val="007B0B48"/>
    <w:rsid w:val="007B0CF5"/>
    <w:rsid w:val="007B0FD0"/>
    <w:rsid w:val="007B1AAC"/>
    <w:rsid w:val="007B37F4"/>
    <w:rsid w:val="007B3C11"/>
    <w:rsid w:val="007B4047"/>
    <w:rsid w:val="007B4DC7"/>
    <w:rsid w:val="007B6192"/>
    <w:rsid w:val="007B725D"/>
    <w:rsid w:val="007B7C1D"/>
    <w:rsid w:val="007B7EA2"/>
    <w:rsid w:val="007C0AA1"/>
    <w:rsid w:val="007C1423"/>
    <w:rsid w:val="007C14C7"/>
    <w:rsid w:val="007C1B08"/>
    <w:rsid w:val="007C1E47"/>
    <w:rsid w:val="007C2956"/>
    <w:rsid w:val="007C2B61"/>
    <w:rsid w:val="007C319B"/>
    <w:rsid w:val="007C49D6"/>
    <w:rsid w:val="007C5ED2"/>
    <w:rsid w:val="007C630F"/>
    <w:rsid w:val="007C632C"/>
    <w:rsid w:val="007C6F0D"/>
    <w:rsid w:val="007C6FF0"/>
    <w:rsid w:val="007C7011"/>
    <w:rsid w:val="007C7344"/>
    <w:rsid w:val="007C73BF"/>
    <w:rsid w:val="007C73E9"/>
    <w:rsid w:val="007C77BC"/>
    <w:rsid w:val="007C7E9A"/>
    <w:rsid w:val="007D0D4E"/>
    <w:rsid w:val="007D0F3C"/>
    <w:rsid w:val="007D1220"/>
    <w:rsid w:val="007D13DF"/>
    <w:rsid w:val="007D174D"/>
    <w:rsid w:val="007D1A9E"/>
    <w:rsid w:val="007D238B"/>
    <w:rsid w:val="007D34DF"/>
    <w:rsid w:val="007D4F7D"/>
    <w:rsid w:val="007D574A"/>
    <w:rsid w:val="007D5E85"/>
    <w:rsid w:val="007D6DC9"/>
    <w:rsid w:val="007D7452"/>
    <w:rsid w:val="007D7E4B"/>
    <w:rsid w:val="007E0301"/>
    <w:rsid w:val="007E058A"/>
    <w:rsid w:val="007E066B"/>
    <w:rsid w:val="007E40A4"/>
    <w:rsid w:val="007E4FC6"/>
    <w:rsid w:val="007E55DE"/>
    <w:rsid w:val="007E6970"/>
    <w:rsid w:val="007E6DBD"/>
    <w:rsid w:val="007E73C7"/>
    <w:rsid w:val="007F205B"/>
    <w:rsid w:val="007F214E"/>
    <w:rsid w:val="007F2A45"/>
    <w:rsid w:val="007F2B3A"/>
    <w:rsid w:val="007F315D"/>
    <w:rsid w:val="007F3D6A"/>
    <w:rsid w:val="007F4307"/>
    <w:rsid w:val="007F4410"/>
    <w:rsid w:val="007F469C"/>
    <w:rsid w:val="007F4A9F"/>
    <w:rsid w:val="007F4F64"/>
    <w:rsid w:val="007F50BD"/>
    <w:rsid w:val="007F5466"/>
    <w:rsid w:val="007F6AA0"/>
    <w:rsid w:val="007F7CB5"/>
    <w:rsid w:val="0080040F"/>
    <w:rsid w:val="00800F11"/>
    <w:rsid w:val="00801E5D"/>
    <w:rsid w:val="00801FEB"/>
    <w:rsid w:val="008024F6"/>
    <w:rsid w:val="00803BC2"/>
    <w:rsid w:val="00803E86"/>
    <w:rsid w:val="008043D5"/>
    <w:rsid w:val="00804FD6"/>
    <w:rsid w:val="00805F0D"/>
    <w:rsid w:val="00806F5F"/>
    <w:rsid w:val="008070F2"/>
    <w:rsid w:val="00807302"/>
    <w:rsid w:val="00807336"/>
    <w:rsid w:val="0080741C"/>
    <w:rsid w:val="00807C56"/>
    <w:rsid w:val="008106DE"/>
    <w:rsid w:val="0081198D"/>
    <w:rsid w:val="00811F65"/>
    <w:rsid w:val="008121BC"/>
    <w:rsid w:val="008125D8"/>
    <w:rsid w:val="00812D14"/>
    <w:rsid w:val="00812D61"/>
    <w:rsid w:val="0081303C"/>
    <w:rsid w:val="0081307B"/>
    <w:rsid w:val="00813F65"/>
    <w:rsid w:val="00814684"/>
    <w:rsid w:val="008147C8"/>
    <w:rsid w:val="0081693A"/>
    <w:rsid w:val="00816B6D"/>
    <w:rsid w:val="00816DCD"/>
    <w:rsid w:val="00816F26"/>
    <w:rsid w:val="00816F6C"/>
    <w:rsid w:val="00817087"/>
    <w:rsid w:val="008175BE"/>
    <w:rsid w:val="00817AEB"/>
    <w:rsid w:val="00817BC2"/>
    <w:rsid w:val="008200D7"/>
    <w:rsid w:val="0082141C"/>
    <w:rsid w:val="0082157B"/>
    <w:rsid w:val="008218E8"/>
    <w:rsid w:val="008219DD"/>
    <w:rsid w:val="008221AC"/>
    <w:rsid w:val="008227A5"/>
    <w:rsid w:val="00823D91"/>
    <w:rsid w:val="008241A5"/>
    <w:rsid w:val="0082670F"/>
    <w:rsid w:val="00826DEA"/>
    <w:rsid w:val="0082746C"/>
    <w:rsid w:val="00827B10"/>
    <w:rsid w:val="00827BB7"/>
    <w:rsid w:val="00830D9B"/>
    <w:rsid w:val="00830DC9"/>
    <w:rsid w:val="008313D5"/>
    <w:rsid w:val="00831B14"/>
    <w:rsid w:val="00831FAF"/>
    <w:rsid w:val="0083225E"/>
    <w:rsid w:val="008333A4"/>
    <w:rsid w:val="00833776"/>
    <w:rsid w:val="00835B5D"/>
    <w:rsid w:val="0083699F"/>
    <w:rsid w:val="00836B81"/>
    <w:rsid w:val="00836E54"/>
    <w:rsid w:val="00836F9D"/>
    <w:rsid w:val="00840353"/>
    <w:rsid w:val="00841042"/>
    <w:rsid w:val="00841676"/>
    <w:rsid w:val="00841F64"/>
    <w:rsid w:val="008433F0"/>
    <w:rsid w:val="008440C7"/>
    <w:rsid w:val="008440E1"/>
    <w:rsid w:val="0084429B"/>
    <w:rsid w:val="0084444D"/>
    <w:rsid w:val="008444FC"/>
    <w:rsid w:val="00844763"/>
    <w:rsid w:val="00845124"/>
    <w:rsid w:val="00845F79"/>
    <w:rsid w:val="0084615E"/>
    <w:rsid w:val="0084678F"/>
    <w:rsid w:val="00846861"/>
    <w:rsid w:val="0084687A"/>
    <w:rsid w:val="00846B20"/>
    <w:rsid w:val="0084759B"/>
    <w:rsid w:val="008479BF"/>
    <w:rsid w:val="0085022D"/>
    <w:rsid w:val="00850A26"/>
    <w:rsid w:val="00850DAF"/>
    <w:rsid w:val="0085108F"/>
    <w:rsid w:val="00851615"/>
    <w:rsid w:val="00852380"/>
    <w:rsid w:val="008524B9"/>
    <w:rsid w:val="00852525"/>
    <w:rsid w:val="00852712"/>
    <w:rsid w:val="00852C8A"/>
    <w:rsid w:val="00853812"/>
    <w:rsid w:val="008538B5"/>
    <w:rsid w:val="00854420"/>
    <w:rsid w:val="00854A1C"/>
    <w:rsid w:val="00855CB6"/>
    <w:rsid w:val="00855D28"/>
    <w:rsid w:val="00856374"/>
    <w:rsid w:val="00856713"/>
    <w:rsid w:val="00856C55"/>
    <w:rsid w:val="00857287"/>
    <w:rsid w:val="00857625"/>
    <w:rsid w:val="00860AC2"/>
    <w:rsid w:val="00861574"/>
    <w:rsid w:val="00861F56"/>
    <w:rsid w:val="00862DE5"/>
    <w:rsid w:val="00863608"/>
    <w:rsid w:val="00863719"/>
    <w:rsid w:val="00863B56"/>
    <w:rsid w:val="00864CAC"/>
    <w:rsid w:val="00865448"/>
    <w:rsid w:val="008657D9"/>
    <w:rsid w:val="00866364"/>
    <w:rsid w:val="00866689"/>
    <w:rsid w:val="00866C16"/>
    <w:rsid w:val="00866E66"/>
    <w:rsid w:val="00866FB7"/>
    <w:rsid w:val="00867656"/>
    <w:rsid w:val="00867A66"/>
    <w:rsid w:val="00867C05"/>
    <w:rsid w:val="00867E66"/>
    <w:rsid w:val="00870B09"/>
    <w:rsid w:val="00870D8B"/>
    <w:rsid w:val="00870E12"/>
    <w:rsid w:val="00871416"/>
    <w:rsid w:val="008732FD"/>
    <w:rsid w:val="00873532"/>
    <w:rsid w:val="00873C4A"/>
    <w:rsid w:val="00873F39"/>
    <w:rsid w:val="00875358"/>
    <w:rsid w:val="008753E4"/>
    <w:rsid w:val="00875EB4"/>
    <w:rsid w:val="00876057"/>
    <w:rsid w:val="008774C6"/>
    <w:rsid w:val="00877517"/>
    <w:rsid w:val="00877B38"/>
    <w:rsid w:val="00877B67"/>
    <w:rsid w:val="00877FDD"/>
    <w:rsid w:val="008808C5"/>
    <w:rsid w:val="00881614"/>
    <w:rsid w:val="008818FB"/>
    <w:rsid w:val="00881EAA"/>
    <w:rsid w:val="00883461"/>
    <w:rsid w:val="0088368B"/>
    <w:rsid w:val="0088485C"/>
    <w:rsid w:val="00885504"/>
    <w:rsid w:val="00886BA7"/>
    <w:rsid w:val="008871C9"/>
    <w:rsid w:val="00887432"/>
    <w:rsid w:val="0088792C"/>
    <w:rsid w:val="00887A59"/>
    <w:rsid w:val="00890539"/>
    <w:rsid w:val="00890B84"/>
    <w:rsid w:val="00893176"/>
    <w:rsid w:val="008932D4"/>
    <w:rsid w:val="00893B5B"/>
    <w:rsid w:val="00893C15"/>
    <w:rsid w:val="00894795"/>
    <w:rsid w:val="008949FB"/>
    <w:rsid w:val="00895546"/>
    <w:rsid w:val="00896096"/>
    <w:rsid w:val="00896B32"/>
    <w:rsid w:val="00896C17"/>
    <w:rsid w:val="00897D3D"/>
    <w:rsid w:val="008A0173"/>
    <w:rsid w:val="008A173D"/>
    <w:rsid w:val="008A1A93"/>
    <w:rsid w:val="008A1CCB"/>
    <w:rsid w:val="008A1ECD"/>
    <w:rsid w:val="008A29BC"/>
    <w:rsid w:val="008A3141"/>
    <w:rsid w:val="008A3E02"/>
    <w:rsid w:val="008A4E5B"/>
    <w:rsid w:val="008A4FDA"/>
    <w:rsid w:val="008A52A9"/>
    <w:rsid w:val="008A5CFA"/>
    <w:rsid w:val="008A6881"/>
    <w:rsid w:val="008A68ED"/>
    <w:rsid w:val="008A6F4E"/>
    <w:rsid w:val="008B0190"/>
    <w:rsid w:val="008B0221"/>
    <w:rsid w:val="008B3055"/>
    <w:rsid w:val="008B3453"/>
    <w:rsid w:val="008B368E"/>
    <w:rsid w:val="008B41EB"/>
    <w:rsid w:val="008B4CD5"/>
    <w:rsid w:val="008B540A"/>
    <w:rsid w:val="008B549C"/>
    <w:rsid w:val="008B5A4A"/>
    <w:rsid w:val="008B5C15"/>
    <w:rsid w:val="008B731A"/>
    <w:rsid w:val="008B7FE3"/>
    <w:rsid w:val="008C03DF"/>
    <w:rsid w:val="008C0713"/>
    <w:rsid w:val="008C1424"/>
    <w:rsid w:val="008C1583"/>
    <w:rsid w:val="008C188F"/>
    <w:rsid w:val="008C211F"/>
    <w:rsid w:val="008C3C3F"/>
    <w:rsid w:val="008C43A2"/>
    <w:rsid w:val="008C6DCD"/>
    <w:rsid w:val="008C6F04"/>
    <w:rsid w:val="008D012F"/>
    <w:rsid w:val="008D0525"/>
    <w:rsid w:val="008D056E"/>
    <w:rsid w:val="008D0845"/>
    <w:rsid w:val="008D0DD6"/>
    <w:rsid w:val="008D1059"/>
    <w:rsid w:val="008D186E"/>
    <w:rsid w:val="008D1BD7"/>
    <w:rsid w:val="008D2CB4"/>
    <w:rsid w:val="008D2E09"/>
    <w:rsid w:val="008D3061"/>
    <w:rsid w:val="008D31C6"/>
    <w:rsid w:val="008D4499"/>
    <w:rsid w:val="008D5580"/>
    <w:rsid w:val="008D62E1"/>
    <w:rsid w:val="008D680A"/>
    <w:rsid w:val="008D6A22"/>
    <w:rsid w:val="008D711F"/>
    <w:rsid w:val="008D76D5"/>
    <w:rsid w:val="008E1585"/>
    <w:rsid w:val="008E1728"/>
    <w:rsid w:val="008E17D1"/>
    <w:rsid w:val="008E17EB"/>
    <w:rsid w:val="008E3A02"/>
    <w:rsid w:val="008E41AA"/>
    <w:rsid w:val="008E4559"/>
    <w:rsid w:val="008E4BA2"/>
    <w:rsid w:val="008E508C"/>
    <w:rsid w:val="008E5402"/>
    <w:rsid w:val="008E5D91"/>
    <w:rsid w:val="008E6321"/>
    <w:rsid w:val="008E66E4"/>
    <w:rsid w:val="008E7C21"/>
    <w:rsid w:val="008E7DFE"/>
    <w:rsid w:val="008F0E94"/>
    <w:rsid w:val="008F128C"/>
    <w:rsid w:val="008F22AC"/>
    <w:rsid w:val="008F24F5"/>
    <w:rsid w:val="008F2E56"/>
    <w:rsid w:val="008F2FA7"/>
    <w:rsid w:val="008F3483"/>
    <w:rsid w:val="008F34E7"/>
    <w:rsid w:val="008F4463"/>
    <w:rsid w:val="008F4464"/>
    <w:rsid w:val="008F5343"/>
    <w:rsid w:val="008F5F60"/>
    <w:rsid w:val="008F6283"/>
    <w:rsid w:val="008F68ED"/>
    <w:rsid w:val="008F6DA4"/>
    <w:rsid w:val="008F7110"/>
    <w:rsid w:val="008F7315"/>
    <w:rsid w:val="008F7397"/>
    <w:rsid w:val="008F76D2"/>
    <w:rsid w:val="008F7F22"/>
    <w:rsid w:val="00900260"/>
    <w:rsid w:val="0090036E"/>
    <w:rsid w:val="0090046F"/>
    <w:rsid w:val="009005C4"/>
    <w:rsid w:val="00903102"/>
    <w:rsid w:val="00903390"/>
    <w:rsid w:val="00903872"/>
    <w:rsid w:val="00903F88"/>
    <w:rsid w:val="009044B9"/>
    <w:rsid w:val="009047B0"/>
    <w:rsid w:val="00904A66"/>
    <w:rsid w:val="009053D6"/>
    <w:rsid w:val="00905A5D"/>
    <w:rsid w:val="00906248"/>
    <w:rsid w:val="009062C7"/>
    <w:rsid w:val="00906677"/>
    <w:rsid w:val="009069B2"/>
    <w:rsid w:val="00906FA6"/>
    <w:rsid w:val="009079C6"/>
    <w:rsid w:val="00910D4D"/>
    <w:rsid w:val="0091123A"/>
    <w:rsid w:val="00911367"/>
    <w:rsid w:val="009114D9"/>
    <w:rsid w:val="009117DB"/>
    <w:rsid w:val="00911C86"/>
    <w:rsid w:val="00912212"/>
    <w:rsid w:val="009122D4"/>
    <w:rsid w:val="00913672"/>
    <w:rsid w:val="00914222"/>
    <w:rsid w:val="00914778"/>
    <w:rsid w:val="00915190"/>
    <w:rsid w:val="009151D6"/>
    <w:rsid w:val="0091543B"/>
    <w:rsid w:val="00915A7A"/>
    <w:rsid w:val="0091718C"/>
    <w:rsid w:val="00917D34"/>
    <w:rsid w:val="009208F3"/>
    <w:rsid w:val="00920B96"/>
    <w:rsid w:val="00920BDE"/>
    <w:rsid w:val="00920D22"/>
    <w:rsid w:val="0092103F"/>
    <w:rsid w:val="00922196"/>
    <w:rsid w:val="00922765"/>
    <w:rsid w:val="0092281F"/>
    <w:rsid w:val="0092336F"/>
    <w:rsid w:val="009233EA"/>
    <w:rsid w:val="0092356B"/>
    <w:rsid w:val="00923695"/>
    <w:rsid w:val="00923B63"/>
    <w:rsid w:val="00923D6E"/>
    <w:rsid w:val="00923E96"/>
    <w:rsid w:val="009249EC"/>
    <w:rsid w:val="009256BC"/>
    <w:rsid w:val="00925CCB"/>
    <w:rsid w:val="00926CA1"/>
    <w:rsid w:val="00926E1E"/>
    <w:rsid w:val="00927A7D"/>
    <w:rsid w:val="00930411"/>
    <w:rsid w:val="00930989"/>
    <w:rsid w:val="00930F50"/>
    <w:rsid w:val="009310D6"/>
    <w:rsid w:val="00931206"/>
    <w:rsid w:val="009317EA"/>
    <w:rsid w:val="00931BAE"/>
    <w:rsid w:val="00932772"/>
    <w:rsid w:val="00932C95"/>
    <w:rsid w:val="00933589"/>
    <w:rsid w:val="009339E7"/>
    <w:rsid w:val="00933A7D"/>
    <w:rsid w:val="009341D8"/>
    <w:rsid w:val="00934B0F"/>
    <w:rsid w:val="0093509B"/>
    <w:rsid w:val="00935439"/>
    <w:rsid w:val="009355EC"/>
    <w:rsid w:val="009358F8"/>
    <w:rsid w:val="00935930"/>
    <w:rsid w:val="00936635"/>
    <w:rsid w:val="00937536"/>
    <w:rsid w:val="00937566"/>
    <w:rsid w:val="00937B71"/>
    <w:rsid w:val="00940470"/>
    <w:rsid w:val="00941443"/>
    <w:rsid w:val="009414E7"/>
    <w:rsid w:val="009416BA"/>
    <w:rsid w:val="00941D07"/>
    <w:rsid w:val="00942D4C"/>
    <w:rsid w:val="009432FD"/>
    <w:rsid w:val="00943555"/>
    <w:rsid w:val="009444A5"/>
    <w:rsid w:val="009446F2"/>
    <w:rsid w:val="00944DA7"/>
    <w:rsid w:val="00944E64"/>
    <w:rsid w:val="0094579A"/>
    <w:rsid w:val="00945C51"/>
    <w:rsid w:val="00945E28"/>
    <w:rsid w:val="0094633E"/>
    <w:rsid w:val="0094641F"/>
    <w:rsid w:val="00946952"/>
    <w:rsid w:val="0094701E"/>
    <w:rsid w:val="0094704C"/>
    <w:rsid w:val="00950F0E"/>
    <w:rsid w:val="0095265B"/>
    <w:rsid w:val="0095295F"/>
    <w:rsid w:val="00953130"/>
    <w:rsid w:val="0095322B"/>
    <w:rsid w:val="009535CB"/>
    <w:rsid w:val="0095392E"/>
    <w:rsid w:val="00953CCE"/>
    <w:rsid w:val="0095534E"/>
    <w:rsid w:val="009558B5"/>
    <w:rsid w:val="00955BF8"/>
    <w:rsid w:val="009566B4"/>
    <w:rsid w:val="00957F0D"/>
    <w:rsid w:val="00960C30"/>
    <w:rsid w:val="00961E63"/>
    <w:rsid w:val="00961F61"/>
    <w:rsid w:val="00962223"/>
    <w:rsid w:val="00962BB3"/>
    <w:rsid w:val="00962C85"/>
    <w:rsid w:val="0096382C"/>
    <w:rsid w:val="0096414E"/>
    <w:rsid w:val="00964456"/>
    <w:rsid w:val="0096486C"/>
    <w:rsid w:val="00964C7B"/>
    <w:rsid w:val="00964D34"/>
    <w:rsid w:val="00965D2E"/>
    <w:rsid w:val="00965FD2"/>
    <w:rsid w:val="0096693A"/>
    <w:rsid w:val="00967563"/>
    <w:rsid w:val="0096771F"/>
    <w:rsid w:val="009704A6"/>
    <w:rsid w:val="0097078A"/>
    <w:rsid w:val="009707B0"/>
    <w:rsid w:val="00970BCD"/>
    <w:rsid w:val="00970D94"/>
    <w:rsid w:val="0097182C"/>
    <w:rsid w:val="00972CB6"/>
    <w:rsid w:val="009733C9"/>
    <w:rsid w:val="009740B7"/>
    <w:rsid w:val="0097673F"/>
    <w:rsid w:val="00976CF9"/>
    <w:rsid w:val="009771E7"/>
    <w:rsid w:val="009776B2"/>
    <w:rsid w:val="00977F39"/>
    <w:rsid w:val="009802DF"/>
    <w:rsid w:val="009811EE"/>
    <w:rsid w:val="00981901"/>
    <w:rsid w:val="00981AB1"/>
    <w:rsid w:val="00981E2E"/>
    <w:rsid w:val="00981E35"/>
    <w:rsid w:val="00982346"/>
    <w:rsid w:val="00982ADD"/>
    <w:rsid w:val="00982BD3"/>
    <w:rsid w:val="009835A3"/>
    <w:rsid w:val="00984C38"/>
    <w:rsid w:val="00984FBC"/>
    <w:rsid w:val="00985569"/>
    <w:rsid w:val="00985BB1"/>
    <w:rsid w:val="00985CA4"/>
    <w:rsid w:val="00987199"/>
    <w:rsid w:val="00991EC2"/>
    <w:rsid w:val="009920A6"/>
    <w:rsid w:val="009930FF"/>
    <w:rsid w:val="009933F3"/>
    <w:rsid w:val="00993ED4"/>
    <w:rsid w:val="00994BDB"/>
    <w:rsid w:val="0099550B"/>
    <w:rsid w:val="009959D4"/>
    <w:rsid w:val="00995BBA"/>
    <w:rsid w:val="00996813"/>
    <w:rsid w:val="00996E3E"/>
    <w:rsid w:val="0099730C"/>
    <w:rsid w:val="00997651"/>
    <w:rsid w:val="009A0266"/>
    <w:rsid w:val="009A12FC"/>
    <w:rsid w:val="009A1C3E"/>
    <w:rsid w:val="009A1FF1"/>
    <w:rsid w:val="009A2042"/>
    <w:rsid w:val="009A2614"/>
    <w:rsid w:val="009A269B"/>
    <w:rsid w:val="009A3188"/>
    <w:rsid w:val="009A31B3"/>
    <w:rsid w:val="009A3259"/>
    <w:rsid w:val="009A3361"/>
    <w:rsid w:val="009A3F09"/>
    <w:rsid w:val="009A3F76"/>
    <w:rsid w:val="009A4106"/>
    <w:rsid w:val="009A4130"/>
    <w:rsid w:val="009A4691"/>
    <w:rsid w:val="009A4F13"/>
    <w:rsid w:val="009A5852"/>
    <w:rsid w:val="009A7E7E"/>
    <w:rsid w:val="009B00A0"/>
    <w:rsid w:val="009B1F73"/>
    <w:rsid w:val="009B1FBC"/>
    <w:rsid w:val="009B261E"/>
    <w:rsid w:val="009B3240"/>
    <w:rsid w:val="009B32DE"/>
    <w:rsid w:val="009B3CD6"/>
    <w:rsid w:val="009B3DC6"/>
    <w:rsid w:val="009B4702"/>
    <w:rsid w:val="009B4A3D"/>
    <w:rsid w:val="009B5462"/>
    <w:rsid w:val="009B5928"/>
    <w:rsid w:val="009B6F04"/>
    <w:rsid w:val="009B6FFA"/>
    <w:rsid w:val="009B74B4"/>
    <w:rsid w:val="009C0E84"/>
    <w:rsid w:val="009C173F"/>
    <w:rsid w:val="009C1F6A"/>
    <w:rsid w:val="009C2BBC"/>
    <w:rsid w:val="009C3AF9"/>
    <w:rsid w:val="009C3F98"/>
    <w:rsid w:val="009C4430"/>
    <w:rsid w:val="009C4AF1"/>
    <w:rsid w:val="009C4E72"/>
    <w:rsid w:val="009C5FB8"/>
    <w:rsid w:val="009C6367"/>
    <w:rsid w:val="009C6460"/>
    <w:rsid w:val="009C72E3"/>
    <w:rsid w:val="009C7A99"/>
    <w:rsid w:val="009D0022"/>
    <w:rsid w:val="009D0146"/>
    <w:rsid w:val="009D0F73"/>
    <w:rsid w:val="009D234C"/>
    <w:rsid w:val="009D2525"/>
    <w:rsid w:val="009D2B11"/>
    <w:rsid w:val="009D2F46"/>
    <w:rsid w:val="009D30FB"/>
    <w:rsid w:val="009D333E"/>
    <w:rsid w:val="009D36D2"/>
    <w:rsid w:val="009D552A"/>
    <w:rsid w:val="009D607B"/>
    <w:rsid w:val="009D61C9"/>
    <w:rsid w:val="009D66EC"/>
    <w:rsid w:val="009D6EA8"/>
    <w:rsid w:val="009D6F57"/>
    <w:rsid w:val="009D705D"/>
    <w:rsid w:val="009E0024"/>
    <w:rsid w:val="009E0282"/>
    <w:rsid w:val="009E1534"/>
    <w:rsid w:val="009E1E6B"/>
    <w:rsid w:val="009E22E5"/>
    <w:rsid w:val="009E44DD"/>
    <w:rsid w:val="009E5052"/>
    <w:rsid w:val="009E618B"/>
    <w:rsid w:val="009E62B8"/>
    <w:rsid w:val="009E6535"/>
    <w:rsid w:val="009E72C8"/>
    <w:rsid w:val="009E7B0D"/>
    <w:rsid w:val="009F2021"/>
    <w:rsid w:val="009F2D53"/>
    <w:rsid w:val="009F2EAD"/>
    <w:rsid w:val="009F2EE7"/>
    <w:rsid w:val="009F37BB"/>
    <w:rsid w:val="009F4525"/>
    <w:rsid w:val="009F4536"/>
    <w:rsid w:val="009F491E"/>
    <w:rsid w:val="009F5A0A"/>
    <w:rsid w:val="009F61E4"/>
    <w:rsid w:val="009F6A4D"/>
    <w:rsid w:val="009F6B9C"/>
    <w:rsid w:val="009F7371"/>
    <w:rsid w:val="009F7388"/>
    <w:rsid w:val="00A00009"/>
    <w:rsid w:val="00A01ACC"/>
    <w:rsid w:val="00A02372"/>
    <w:rsid w:val="00A0284E"/>
    <w:rsid w:val="00A04020"/>
    <w:rsid w:val="00A055EC"/>
    <w:rsid w:val="00A0625A"/>
    <w:rsid w:val="00A07000"/>
    <w:rsid w:val="00A073AC"/>
    <w:rsid w:val="00A073F4"/>
    <w:rsid w:val="00A07A05"/>
    <w:rsid w:val="00A1047A"/>
    <w:rsid w:val="00A105A5"/>
    <w:rsid w:val="00A11467"/>
    <w:rsid w:val="00A11C28"/>
    <w:rsid w:val="00A121EA"/>
    <w:rsid w:val="00A13736"/>
    <w:rsid w:val="00A1466C"/>
    <w:rsid w:val="00A14C51"/>
    <w:rsid w:val="00A15457"/>
    <w:rsid w:val="00A16D13"/>
    <w:rsid w:val="00A172DE"/>
    <w:rsid w:val="00A205C1"/>
    <w:rsid w:val="00A2067F"/>
    <w:rsid w:val="00A211B9"/>
    <w:rsid w:val="00A21AEA"/>
    <w:rsid w:val="00A225E0"/>
    <w:rsid w:val="00A22BC0"/>
    <w:rsid w:val="00A2351B"/>
    <w:rsid w:val="00A24302"/>
    <w:rsid w:val="00A24416"/>
    <w:rsid w:val="00A24800"/>
    <w:rsid w:val="00A24E17"/>
    <w:rsid w:val="00A254FC"/>
    <w:rsid w:val="00A25D99"/>
    <w:rsid w:val="00A264EB"/>
    <w:rsid w:val="00A26738"/>
    <w:rsid w:val="00A27572"/>
    <w:rsid w:val="00A27D4C"/>
    <w:rsid w:val="00A30C57"/>
    <w:rsid w:val="00A31660"/>
    <w:rsid w:val="00A31667"/>
    <w:rsid w:val="00A31A73"/>
    <w:rsid w:val="00A31E90"/>
    <w:rsid w:val="00A327C0"/>
    <w:rsid w:val="00A32928"/>
    <w:rsid w:val="00A32F70"/>
    <w:rsid w:val="00A32FF5"/>
    <w:rsid w:val="00A3344C"/>
    <w:rsid w:val="00A33A4A"/>
    <w:rsid w:val="00A33B18"/>
    <w:rsid w:val="00A33C9A"/>
    <w:rsid w:val="00A33E24"/>
    <w:rsid w:val="00A3467E"/>
    <w:rsid w:val="00A34EC4"/>
    <w:rsid w:val="00A34F52"/>
    <w:rsid w:val="00A354C8"/>
    <w:rsid w:val="00A3595C"/>
    <w:rsid w:val="00A36227"/>
    <w:rsid w:val="00A36627"/>
    <w:rsid w:val="00A36813"/>
    <w:rsid w:val="00A36AA9"/>
    <w:rsid w:val="00A40405"/>
    <w:rsid w:val="00A407D3"/>
    <w:rsid w:val="00A41468"/>
    <w:rsid w:val="00A41FB6"/>
    <w:rsid w:val="00A42517"/>
    <w:rsid w:val="00A439F6"/>
    <w:rsid w:val="00A44582"/>
    <w:rsid w:val="00A44966"/>
    <w:rsid w:val="00A44A6B"/>
    <w:rsid w:val="00A451B5"/>
    <w:rsid w:val="00A46167"/>
    <w:rsid w:val="00A4647F"/>
    <w:rsid w:val="00A46835"/>
    <w:rsid w:val="00A46A16"/>
    <w:rsid w:val="00A46BD8"/>
    <w:rsid w:val="00A4716A"/>
    <w:rsid w:val="00A476FC"/>
    <w:rsid w:val="00A47710"/>
    <w:rsid w:val="00A47B13"/>
    <w:rsid w:val="00A47CBB"/>
    <w:rsid w:val="00A502A7"/>
    <w:rsid w:val="00A5044F"/>
    <w:rsid w:val="00A526F7"/>
    <w:rsid w:val="00A52B0C"/>
    <w:rsid w:val="00A531E1"/>
    <w:rsid w:val="00A5329E"/>
    <w:rsid w:val="00A535CF"/>
    <w:rsid w:val="00A56809"/>
    <w:rsid w:val="00A56B0C"/>
    <w:rsid w:val="00A57D68"/>
    <w:rsid w:val="00A60327"/>
    <w:rsid w:val="00A6224B"/>
    <w:rsid w:val="00A6258B"/>
    <w:rsid w:val="00A6333A"/>
    <w:rsid w:val="00A64B5C"/>
    <w:rsid w:val="00A65750"/>
    <w:rsid w:val="00A65800"/>
    <w:rsid w:val="00A66AA9"/>
    <w:rsid w:val="00A66EE7"/>
    <w:rsid w:val="00A67004"/>
    <w:rsid w:val="00A70566"/>
    <w:rsid w:val="00A70C41"/>
    <w:rsid w:val="00A7186C"/>
    <w:rsid w:val="00A71B80"/>
    <w:rsid w:val="00A71DEB"/>
    <w:rsid w:val="00A72851"/>
    <w:rsid w:val="00A72CB8"/>
    <w:rsid w:val="00A73757"/>
    <w:rsid w:val="00A73A16"/>
    <w:rsid w:val="00A74199"/>
    <w:rsid w:val="00A74212"/>
    <w:rsid w:val="00A74613"/>
    <w:rsid w:val="00A74AF3"/>
    <w:rsid w:val="00A75A7D"/>
    <w:rsid w:val="00A76679"/>
    <w:rsid w:val="00A76B5F"/>
    <w:rsid w:val="00A77CDB"/>
    <w:rsid w:val="00A80DB3"/>
    <w:rsid w:val="00A813BD"/>
    <w:rsid w:val="00A81831"/>
    <w:rsid w:val="00A81857"/>
    <w:rsid w:val="00A81E2A"/>
    <w:rsid w:val="00A81E3F"/>
    <w:rsid w:val="00A82EB8"/>
    <w:rsid w:val="00A82F1F"/>
    <w:rsid w:val="00A83080"/>
    <w:rsid w:val="00A834D0"/>
    <w:rsid w:val="00A8393E"/>
    <w:rsid w:val="00A83BA0"/>
    <w:rsid w:val="00A84AAF"/>
    <w:rsid w:val="00A8535B"/>
    <w:rsid w:val="00A8586D"/>
    <w:rsid w:val="00A86769"/>
    <w:rsid w:val="00A86B80"/>
    <w:rsid w:val="00A875B1"/>
    <w:rsid w:val="00A87BC9"/>
    <w:rsid w:val="00A87DB5"/>
    <w:rsid w:val="00A90135"/>
    <w:rsid w:val="00A905A3"/>
    <w:rsid w:val="00A9075E"/>
    <w:rsid w:val="00A907BD"/>
    <w:rsid w:val="00A90FC3"/>
    <w:rsid w:val="00A9166D"/>
    <w:rsid w:val="00A92515"/>
    <w:rsid w:val="00A92934"/>
    <w:rsid w:val="00A92AAB"/>
    <w:rsid w:val="00A9318B"/>
    <w:rsid w:val="00A9376C"/>
    <w:rsid w:val="00A93C3A"/>
    <w:rsid w:val="00A9457C"/>
    <w:rsid w:val="00A95332"/>
    <w:rsid w:val="00A95346"/>
    <w:rsid w:val="00A95356"/>
    <w:rsid w:val="00A953C7"/>
    <w:rsid w:val="00A955B8"/>
    <w:rsid w:val="00A95640"/>
    <w:rsid w:val="00A960AD"/>
    <w:rsid w:val="00A962C1"/>
    <w:rsid w:val="00A9690B"/>
    <w:rsid w:val="00A9733F"/>
    <w:rsid w:val="00A97683"/>
    <w:rsid w:val="00AA1F78"/>
    <w:rsid w:val="00AA24C8"/>
    <w:rsid w:val="00AA3177"/>
    <w:rsid w:val="00AA33A5"/>
    <w:rsid w:val="00AA33C2"/>
    <w:rsid w:val="00AA33D4"/>
    <w:rsid w:val="00AA4629"/>
    <w:rsid w:val="00AA4982"/>
    <w:rsid w:val="00AA567D"/>
    <w:rsid w:val="00AA6500"/>
    <w:rsid w:val="00AA6BE2"/>
    <w:rsid w:val="00AA6D39"/>
    <w:rsid w:val="00AA6DAC"/>
    <w:rsid w:val="00AA6DCC"/>
    <w:rsid w:val="00AA73B2"/>
    <w:rsid w:val="00AA75D9"/>
    <w:rsid w:val="00AB016C"/>
    <w:rsid w:val="00AB01E0"/>
    <w:rsid w:val="00AB0206"/>
    <w:rsid w:val="00AB057B"/>
    <w:rsid w:val="00AB0CFF"/>
    <w:rsid w:val="00AB108A"/>
    <w:rsid w:val="00AB2405"/>
    <w:rsid w:val="00AB2D0B"/>
    <w:rsid w:val="00AB3253"/>
    <w:rsid w:val="00AB3642"/>
    <w:rsid w:val="00AB3781"/>
    <w:rsid w:val="00AB45E9"/>
    <w:rsid w:val="00AB48C0"/>
    <w:rsid w:val="00AB4DFC"/>
    <w:rsid w:val="00AB6793"/>
    <w:rsid w:val="00AB67D3"/>
    <w:rsid w:val="00AB710F"/>
    <w:rsid w:val="00AB7AD6"/>
    <w:rsid w:val="00AB7FD4"/>
    <w:rsid w:val="00AC042B"/>
    <w:rsid w:val="00AC201C"/>
    <w:rsid w:val="00AC24BE"/>
    <w:rsid w:val="00AC2570"/>
    <w:rsid w:val="00AC38B3"/>
    <w:rsid w:val="00AC39CF"/>
    <w:rsid w:val="00AC40FC"/>
    <w:rsid w:val="00AC415E"/>
    <w:rsid w:val="00AC4C9A"/>
    <w:rsid w:val="00AC6139"/>
    <w:rsid w:val="00AC6196"/>
    <w:rsid w:val="00AC683E"/>
    <w:rsid w:val="00AC6EAE"/>
    <w:rsid w:val="00AD0BD5"/>
    <w:rsid w:val="00AD19E6"/>
    <w:rsid w:val="00AD300B"/>
    <w:rsid w:val="00AD44A2"/>
    <w:rsid w:val="00AD546B"/>
    <w:rsid w:val="00AE067E"/>
    <w:rsid w:val="00AE0B8C"/>
    <w:rsid w:val="00AE1A32"/>
    <w:rsid w:val="00AE1BA5"/>
    <w:rsid w:val="00AE203A"/>
    <w:rsid w:val="00AE236B"/>
    <w:rsid w:val="00AE28B3"/>
    <w:rsid w:val="00AE322A"/>
    <w:rsid w:val="00AE3F76"/>
    <w:rsid w:val="00AE4857"/>
    <w:rsid w:val="00AE4D35"/>
    <w:rsid w:val="00AE4DC4"/>
    <w:rsid w:val="00AE4DF1"/>
    <w:rsid w:val="00AE54FF"/>
    <w:rsid w:val="00AE5D22"/>
    <w:rsid w:val="00AE5D9F"/>
    <w:rsid w:val="00AE5EF6"/>
    <w:rsid w:val="00AE6512"/>
    <w:rsid w:val="00AE683B"/>
    <w:rsid w:val="00AE7434"/>
    <w:rsid w:val="00AE77FC"/>
    <w:rsid w:val="00AF051B"/>
    <w:rsid w:val="00AF0B6E"/>
    <w:rsid w:val="00AF0CDF"/>
    <w:rsid w:val="00AF140E"/>
    <w:rsid w:val="00AF2A5A"/>
    <w:rsid w:val="00AF2CF3"/>
    <w:rsid w:val="00AF30BA"/>
    <w:rsid w:val="00AF3221"/>
    <w:rsid w:val="00AF3598"/>
    <w:rsid w:val="00AF3A8B"/>
    <w:rsid w:val="00AF424C"/>
    <w:rsid w:val="00AF44C8"/>
    <w:rsid w:val="00AF55BB"/>
    <w:rsid w:val="00AF6208"/>
    <w:rsid w:val="00AF67E8"/>
    <w:rsid w:val="00AF693A"/>
    <w:rsid w:val="00AF73A1"/>
    <w:rsid w:val="00AF7435"/>
    <w:rsid w:val="00B00448"/>
    <w:rsid w:val="00B00F0C"/>
    <w:rsid w:val="00B010D7"/>
    <w:rsid w:val="00B0139C"/>
    <w:rsid w:val="00B0193B"/>
    <w:rsid w:val="00B01BAD"/>
    <w:rsid w:val="00B02077"/>
    <w:rsid w:val="00B02A85"/>
    <w:rsid w:val="00B0330E"/>
    <w:rsid w:val="00B0443A"/>
    <w:rsid w:val="00B053FC"/>
    <w:rsid w:val="00B11068"/>
    <w:rsid w:val="00B1184C"/>
    <w:rsid w:val="00B11ECD"/>
    <w:rsid w:val="00B1236F"/>
    <w:rsid w:val="00B1278E"/>
    <w:rsid w:val="00B129A7"/>
    <w:rsid w:val="00B13271"/>
    <w:rsid w:val="00B13627"/>
    <w:rsid w:val="00B13B52"/>
    <w:rsid w:val="00B13FB4"/>
    <w:rsid w:val="00B14F67"/>
    <w:rsid w:val="00B1649A"/>
    <w:rsid w:val="00B168CD"/>
    <w:rsid w:val="00B169B3"/>
    <w:rsid w:val="00B169CD"/>
    <w:rsid w:val="00B16D9F"/>
    <w:rsid w:val="00B17167"/>
    <w:rsid w:val="00B17650"/>
    <w:rsid w:val="00B17E76"/>
    <w:rsid w:val="00B20036"/>
    <w:rsid w:val="00B2152F"/>
    <w:rsid w:val="00B2162C"/>
    <w:rsid w:val="00B2188C"/>
    <w:rsid w:val="00B21911"/>
    <w:rsid w:val="00B2196E"/>
    <w:rsid w:val="00B21983"/>
    <w:rsid w:val="00B222A9"/>
    <w:rsid w:val="00B226B3"/>
    <w:rsid w:val="00B22741"/>
    <w:rsid w:val="00B22BF0"/>
    <w:rsid w:val="00B22C7B"/>
    <w:rsid w:val="00B22F9B"/>
    <w:rsid w:val="00B24256"/>
    <w:rsid w:val="00B24500"/>
    <w:rsid w:val="00B248C3"/>
    <w:rsid w:val="00B25A42"/>
    <w:rsid w:val="00B25D54"/>
    <w:rsid w:val="00B25D5F"/>
    <w:rsid w:val="00B30950"/>
    <w:rsid w:val="00B310C4"/>
    <w:rsid w:val="00B31685"/>
    <w:rsid w:val="00B324A4"/>
    <w:rsid w:val="00B32EBF"/>
    <w:rsid w:val="00B33D3A"/>
    <w:rsid w:val="00B34427"/>
    <w:rsid w:val="00B34E73"/>
    <w:rsid w:val="00B3531B"/>
    <w:rsid w:val="00B35611"/>
    <w:rsid w:val="00B35688"/>
    <w:rsid w:val="00B35A0E"/>
    <w:rsid w:val="00B36E81"/>
    <w:rsid w:val="00B36F1A"/>
    <w:rsid w:val="00B37E8D"/>
    <w:rsid w:val="00B402B8"/>
    <w:rsid w:val="00B40F89"/>
    <w:rsid w:val="00B4189E"/>
    <w:rsid w:val="00B4196C"/>
    <w:rsid w:val="00B42553"/>
    <w:rsid w:val="00B4274E"/>
    <w:rsid w:val="00B4308E"/>
    <w:rsid w:val="00B43520"/>
    <w:rsid w:val="00B435B3"/>
    <w:rsid w:val="00B4382B"/>
    <w:rsid w:val="00B43899"/>
    <w:rsid w:val="00B44006"/>
    <w:rsid w:val="00B442A0"/>
    <w:rsid w:val="00B44442"/>
    <w:rsid w:val="00B44D60"/>
    <w:rsid w:val="00B454B8"/>
    <w:rsid w:val="00B469A9"/>
    <w:rsid w:val="00B46F59"/>
    <w:rsid w:val="00B47403"/>
    <w:rsid w:val="00B4742C"/>
    <w:rsid w:val="00B50495"/>
    <w:rsid w:val="00B50B6B"/>
    <w:rsid w:val="00B50FB1"/>
    <w:rsid w:val="00B51B9B"/>
    <w:rsid w:val="00B52A79"/>
    <w:rsid w:val="00B54A8C"/>
    <w:rsid w:val="00B5548E"/>
    <w:rsid w:val="00B5588C"/>
    <w:rsid w:val="00B55C05"/>
    <w:rsid w:val="00B5665E"/>
    <w:rsid w:val="00B56745"/>
    <w:rsid w:val="00B56982"/>
    <w:rsid w:val="00B56C82"/>
    <w:rsid w:val="00B578A5"/>
    <w:rsid w:val="00B604E0"/>
    <w:rsid w:val="00B60796"/>
    <w:rsid w:val="00B61386"/>
    <w:rsid w:val="00B619BB"/>
    <w:rsid w:val="00B61BFB"/>
    <w:rsid w:val="00B638CF"/>
    <w:rsid w:val="00B64957"/>
    <w:rsid w:val="00B64981"/>
    <w:rsid w:val="00B65F91"/>
    <w:rsid w:val="00B66A54"/>
    <w:rsid w:val="00B66A8F"/>
    <w:rsid w:val="00B66EC0"/>
    <w:rsid w:val="00B679FA"/>
    <w:rsid w:val="00B70D1F"/>
    <w:rsid w:val="00B71932"/>
    <w:rsid w:val="00B71DF3"/>
    <w:rsid w:val="00B72029"/>
    <w:rsid w:val="00B722EA"/>
    <w:rsid w:val="00B72672"/>
    <w:rsid w:val="00B72CB3"/>
    <w:rsid w:val="00B73346"/>
    <w:rsid w:val="00B739C7"/>
    <w:rsid w:val="00B73D39"/>
    <w:rsid w:val="00B74807"/>
    <w:rsid w:val="00B7593F"/>
    <w:rsid w:val="00B763E0"/>
    <w:rsid w:val="00B768DB"/>
    <w:rsid w:val="00B76D4E"/>
    <w:rsid w:val="00B77593"/>
    <w:rsid w:val="00B7763C"/>
    <w:rsid w:val="00B77674"/>
    <w:rsid w:val="00B8016E"/>
    <w:rsid w:val="00B8050E"/>
    <w:rsid w:val="00B80843"/>
    <w:rsid w:val="00B808A2"/>
    <w:rsid w:val="00B80A30"/>
    <w:rsid w:val="00B80AAE"/>
    <w:rsid w:val="00B80B57"/>
    <w:rsid w:val="00B811AE"/>
    <w:rsid w:val="00B82105"/>
    <w:rsid w:val="00B8397E"/>
    <w:rsid w:val="00B83E2F"/>
    <w:rsid w:val="00B844C0"/>
    <w:rsid w:val="00B84DE5"/>
    <w:rsid w:val="00B85721"/>
    <w:rsid w:val="00B85D57"/>
    <w:rsid w:val="00B86267"/>
    <w:rsid w:val="00B866BA"/>
    <w:rsid w:val="00B866D7"/>
    <w:rsid w:val="00B868DF"/>
    <w:rsid w:val="00B86C90"/>
    <w:rsid w:val="00B90B29"/>
    <w:rsid w:val="00B91537"/>
    <w:rsid w:val="00B91963"/>
    <w:rsid w:val="00B930A1"/>
    <w:rsid w:val="00B9390B"/>
    <w:rsid w:val="00B9459E"/>
    <w:rsid w:val="00B9488B"/>
    <w:rsid w:val="00B9512B"/>
    <w:rsid w:val="00B956F3"/>
    <w:rsid w:val="00B95834"/>
    <w:rsid w:val="00B95CB6"/>
    <w:rsid w:val="00B9622E"/>
    <w:rsid w:val="00B967A3"/>
    <w:rsid w:val="00B97002"/>
    <w:rsid w:val="00B9738B"/>
    <w:rsid w:val="00B97600"/>
    <w:rsid w:val="00BA0DD7"/>
    <w:rsid w:val="00BA0E72"/>
    <w:rsid w:val="00BA13B7"/>
    <w:rsid w:val="00BA1D37"/>
    <w:rsid w:val="00BA277F"/>
    <w:rsid w:val="00BA2B66"/>
    <w:rsid w:val="00BA3116"/>
    <w:rsid w:val="00BA3611"/>
    <w:rsid w:val="00BA491F"/>
    <w:rsid w:val="00BA5E11"/>
    <w:rsid w:val="00BA6020"/>
    <w:rsid w:val="00BA6057"/>
    <w:rsid w:val="00BA6695"/>
    <w:rsid w:val="00BA6A2A"/>
    <w:rsid w:val="00BA6ABF"/>
    <w:rsid w:val="00BA6F39"/>
    <w:rsid w:val="00BA7100"/>
    <w:rsid w:val="00BA73F3"/>
    <w:rsid w:val="00BB11A7"/>
    <w:rsid w:val="00BB17C8"/>
    <w:rsid w:val="00BB19EC"/>
    <w:rsid w:val="00BB2288"/>
    <w:rsid w:val="00BB249B"/>
    <w:rsid w:val="00BB286D"/>
    <w:rsid w:val="00BB3047"/>
    <w:rsid w:val="00BB3400"/>
    <w:rsid w:val="00BB3DEE"/>
    <w:rsid w:val="00BB4346"/>
    <w:rsid w:val="00BB456F"/>
    <w:rsid w:val="00BB4799"/>
    <w:rsid w:val="00BB51F7"/>
    <w:rsid w:val="00BB5440"/>
    <w:rsid w:val="00BB63C0"/>
    <w:rsid w:val="00BB6484"/>
    <w:rsid w:val="00BB65C7"/>
    <w:rsid w:val="00BB675B"/>
    <w:rsid w:val="00BB78CA"/>
    <w:rsid w:val="00BC0A28"/>
    <w:rsid w:val="00BC1401"/>
    <w:rsid w:val="00BC18DB"/>
    <w:rsid w:val="00BC1B8A"/>
    <w:rsid w:val="00BC1EF7"/>
    <w:rsid w:val="00BC2B7F"/>
    <w:rsid w:val="00BC31FE"/>
    <w:rsid w:val="00BC3275"/>
    <w:rsid w:val="00BC4FE4"/>
    <w:rsid w:val="00BC52A3"/>
    <w:rsid w:val="00BC5960"/>
    <w:rsid w:val="00BC702D"/>
    <w:rsid w:val="00BC7488"/>
    <w:rsid w:val="00BC7A7A"/>
    <w:rsid w:val="00BD06B4"/>
    <w:rsid w:val="00BD0949"/>
    <w:rsid w:val="00BD0F3A"/>
    <w:rsid w:val="00BD1A8F"/>
    <w:rsid w:val="00BD1F4F"/>
    <w:rsid w:val="00BD21CC"/>
    <w:rsid w:val="00BD2814"/>
    <w:rsid w:val="00BD2ABC"/>
    <w:rsid w:val="00BD2DE0"/>
    <w:rsid w:val="00BD31FD"/>
    <w:rsid w:val="00BD3303"/>
    <w:rsid w:val="00BD40EC"/>
    <w:rsid w:val="00BD40F1"/>
    <w:rsid w:val="00BD4B99"/>
    <w:rsid w:val="00BD4BC4"/>
    <w:rsid w:val="00BD51A8"/>
    <w:rsid w:val="00BD63D8"/>
    <w:rsid w:val="00BD67D7"/>
    <w:rsid w:val="00BD711C"/>
    <w:rsid w:val="00BD7133"/>
    <w:rsid w:val="00BD76F5"/>
    <w:rsid w:val="00BD7A99"/>
    <w:rsid w:val="00BD7D28"/>
    <w:rsid w:val="00BE00C8"/>
    <w:rsid w:val="00BE04C6"/>
    <w:rsid w:val="00BE06C8"/>
    <w:rsid w:val="00BE091B"/>
    <w:rsid w:val="00BE0A66"/>
    <w:rsid w:val="00BE1F1E"/>
    <w:rsid w:val="00BE20A0"/>
    <w:rsid w:val="00BE23FF"/>
    <w:rsid w:val="00BE2F7B"/>
    <w:rsid w:val="00BE37B7"/>
    <w:rsid w:val="00BE5004"/>
    <w:rsid w:val="00BE5201"/>
    <w:rsid w:val="00BE58E1"/>
    <w:rsid w:val="00BE5AD8"/>
    <w:rsid w:val="00BE60A6"/>
    <w:rsid w:val="00BE6DE2"/>
    <w:rsid w:val="00BE73C0"/>
    <w:rsid w:val="00BE75B1"/>
    <w:rsid w:val="00BE7C12"/>
    <w:rsid w:val="00BF031F"/>
    <w:rsid w:val="00BF043E"/>
    <w:rsid w:val="00BF103B"/>
    <w:rsid w:val="00BF2D05"/>
    <w:rsid w:val="00BF5C4D"/>
    <w:rsid w:val="00BF5E60"/>
    <w:rsid w:val="00BF618F"/>
    <w:rsid w:val="00BF6273"/>
    <w:rsid w:val="00BF64E9"/>
    <w:rsid w:val="00BF66E6"/>
    <w:rsid w:val="00BF6906"/>
    <w:rsid w:val="00BF78D9"/>
    <w:rsid w:val="00BF7D4E"/>
    <w:rsid w:val="00C0045B"/>
    <w:rsid w:val="00C007FB"/>
    <w:rsid w:val="00C00EB1"/>
    <w:rsid w:val="00C00F36"/>
    <w:rsid w:val="00C02123"/>
    <w:rsid w:val="00C02545"/>
    <w:rsid w:val="00C02C81"/>
    <w:rsid w:val="00C02E91"/>
    <w:rsid w:val="00C038C2"/>
    <w:rsid w:val="00C03E18"/>
    <w:rsid w:val="00C04328"/>
    <w:rsid w:val="00C04769"/>
    <w:rsid w:val="00C048EE"/>
    <w:rsid w:val="00C04C7A"/>
    <w:rsid w:val="00C05366"/>
    <w:rsid w:val="00C05891"/>
    <w:rsid w:val="00C07049"/>
    <w:rsid w:val="00C07536"/>
    <w:rsid w:val="00C0796A"/>
    <w:rsid w:val="00C07E3F"/>
    <w:rsid w:val="00C07E65"/>
    <w:rsid w:val="00C110D0"/>
    <w:rsid w:val="00C11214"/>
    <w:rsid w:val="00C11445"/>
    <w:rsid w:val="00C128E1"/>
    <w:rsid w:val="00C134E0"/>
    <w:rsid w:val="00C135CA"/>
    <w:rsid w:val="00C13ACE"/>
    <w:rsid w:val="00C13CF1"/>
    <w:rsid w:val="00C14670"/>
    <w:rsid w:val="00C15C9E"/>
    <w:rsid w:val="00C167EE"/>
    <w:rsid w:val="00C16BCE"/>
    <w:rsid w:val="00C1720B"/>
    <w:rsid w:val="00C17B60"/>
    <w:rsid w:val="00C203DF"/>
    <w:rsid w:val="00C20AF0"/>
    <w:rsid w:val="00C212A9"/>
    <w:rsid w:val="00C21968"/>
    <w:rsid w:val="00C21BE8"/>
    <w:rsid w:val="00C23DC4"/>
    <w:rsid w:val="00C23F78"/>
    <w:rsid w:val="00C245EC"/>
    <w:rsid w:val="00C24753"/>
    <w:rsid w:val="00C248A3"/>
    <w:rsid w:val="00C248E6"/>
    <w:rsid w:val="00C251A5"/>
    <w:rsid w:val="00C25F84"/>
    <w:rsid w:val="00C27046"/>
    <w:rsid w:val="00C275B1"/>
    <w:rsid w:val="00C30110"/>
    <w:rsid w:val="00C308E3"/>
    <w:rsid w:val="00C30D1F"/>
    <w:rsid w:val="00C30DF9"/>
    <w:rsid w:val="00C3305B"/>
    <w:rsid w:val="00C333F2"/>
    <w:rsid w:val="00C3416E"/>
    <w:rsid w:val="00C341AB"/>
    <w:rsid w:val="00C34605"/>
    <w:rsid w:val="00C34B3D"/>
    <w:rsid w:val="00C34DE2"/>
    <w:rsid w:val="00C351C8"/>
    <w:rsid w:val="00C35389"/>
    <w:rsid w:val="00C35B29"/>
    <w:rsid w:val="00C37837"/>
    <w:rsid w:val="00C40314"/>
    <w:rsid w:val="00C42A9D"/>
    <w:rsid w:val="00C42CFA"/>
    <w:rsid w:val="00C42FB3"/>
    <w:rsid w:val="00C433A1"/>
    <w:rsid w:val="00C4356E"/>
    <w:rsid w:val="00C43A73"/>
    <w:rsid w:val="00C43E2D"/>
    <w:rsid w:val="00C44E60"/>
    <w:rsid w:val="00C44F11"/>
    <w:rsid w:val="00C45217"/>
    <w:rsid w:val="00C45401"/>
    <w:rsid w:val="00C45E14"/>
    <w:rsid w:val="00C46525"/>
    <w:rsid w:val="00C46BB6"/>
    <w:rsid w:val="00C5018E"/>
    <w:rsid w:val="00C505D3"/>
    <w:rsid w:val="00C5189A"/>
    <w:rsid w:val="00C51C22"/>
    <w:rsid w:val="00C51F0E"/>
    <w:rsid w:val="00C522D7"/>
    <w:rsid w:val="00C5259F"/>
    <w:rsid w:val="00C52EC7"/>
    <w:rsid w:val="00C54426"/>
    <w:rsid w:val="00C558AF"/>
    <w:rsid w:val="00C55E5F"/>
    <w:rsid w:val="00C56140"/>
    <w:rsid w:val="00C565D3"/>
    <w:rsid w:val="00C56EBB"/>
    <w:rsid w:val="00C5701A"/>
    <w:rsid w:val="00C5752E"/>
    <w:rsid w:val="00C577A5"/>
    <w:rsid w:val="00C57EBC"/>
    <w:rsid w:val="00C60259"/>
    <w:rsid w:val="00C605C3"/>
    <w:rsid w:val="00C61C79"/>
    <w:rsid w:val="00C6245E"/>
    <w:rsid w:val="00C62C5C"/>
    <w:rsid w:val="00C63DA2"/>
    <w:rsid w:val="00C64290"/>
    <w:rsid w:val="00C6455E"/>
    <w:rsid w:val="00C647B8"/>
    <w:rsid w:val="00C668A1"/>
    <w:rsid w:val="00C70246"/>
    <w:rsid w:val="00C70365"/>
    <w:rsid w:val="00C707BC"/>
    <w:rsid w:val="00C70FBE"/>
    <w:rsid w:val="00C71AD4"/>
    <w:rsid w:val="00C71C84"/>
    <w:rsid w:val="00C71DC8"/>
    <w:rsid w:val="00C71DE0"/>
    <w:rsid w:val="00C72A51"/>
    <w:rsid w:val="00C72C6E"/>
    <w:rsid w:val="00C73010"/>
    <w:rsid w:val="00C73A21"/>
    <w:rsid w:val="00C73EDF"/>
    <w:rsid w:val="00C74120"/>
    <w:rsid w:val="00C741E7"/>
    <w:rsid w:val="00C74690"/>
    <w:rsid w:val="00C747BD"/>
    <w:rsid w:val="00C75542"/>
    <w:rsid w:val="00C76186"/>
    <w:rsid w:val="00C76483"/>
    <w:rsid w:val="00C77888"/>
    <w:rsid w:val="00C77914"/>
    <w:rsid w:val="00C77D5C"/>
    <w:rsid w:val="00C77FDD"/>
    <w:rsid w:val="00C80157"/>
    <w:rsid w:val="00C8085C"/>
    <w:rsid w:val="00C81BCC"/>
    <w:rsid w:val="00C82187"/>
    <w:rsid w:val="00C8417A"/>
    <w:rsid w:val="00C851BC"/>
    <w:rsid w:val="00C85391"/>
    <w:rsid w:val="00C85C25"/>
    <w:rsid w:val="00C85EEF"/>
    <w:rsid w:val="00C863C6"/>
    <w:rsid w:val="00C86537"/>
    <w:rsid w:val="00C87002"/>
    <w:rsid w:val="00C87E0D"/>
    <w:rsid w:val="00C90509"/>
    <w:rsid w:val="00C913A8"/>
    <w:rsid w:val="00C91A61"/>
    <w:rsid w:val="00C91B10"/>
    <w:rsid w:val="00C91D34"/>
    <w:rsid w:val="00C938E2"/>
    <w:rsid w:val="00C93A53"/>
    <w:rsid w:val="00C93BBF"/>
    <w:rsid w:val="00C9490E"/>
    <w:rsid w:val="00C94B84"/>
    <w:rsid w:val="00C94D86"/>
    <w:rsid w:val="00C95DD1"/>
    <w:rsid w:val="00CA0347"/>
    <w:rsid w:val="00CA1000"/>
    <w:rsid w:val="00CA1883"/>
    <w:rsid w:val="00CA1E15"/>
    <w:rsid w:val="00CA2200"/>
    <w:rsid w:val="00CA30A1"/>
    <w:rsid w:val="00CA4073"/>
    <w:rsid w:val="00CA421D"/>
    <w:rsid w:val="00CA43C8"/>
    <w:rsid w:val="00CA4406"/>
    <w:rsid w:val="00CA48CD"/>
    <w:rsid w:val="00CA4AEF"/>
    <w:rsid w:val="00CA4E29"/>
    <w:rsid w:val="00CA56C6"/>
    <w:rsid w:val="00CA585A"/>
    <w:rsid w:val="00CA59D0"/>
    <w:rsid w:val="00CA7230"/>
    <w:rsid w:val="00CA76F0"/>
    <w:rsid w:val="00CB0310"/>
    <w:rsid w:val="00CB0831"/>
    <w:rsid w:val="00CB0DF7"/>
    <w:rsid w:val="00CB1974"/>
    <w:rsid w:val="00CB211C"/>
    <w:rsid w:val="00CB2416"/>
    <w:rsid w:val="00CB2417"/>
    <w:rsid w:val="00CB243E"/>
    <w:rsid w:val="00CB255E"/>
    <w:rsid w:val="00CB2C59"/>
    <w:rsid w:val="00CB3654"/>
    <w:rsid w:val="00CB3B30"/>
    <w:rsid w:val="00CB3F89"/>
    <w:rsid w:val="00CB4760"/>
    <w:rsid w:val="00CB4C64"/>
    <w:rsid w:val="00CB4EC0"/>
    <w:rsid w:val="00CB636D"/>
    <w:rsid w:val="00CB65A0"/>
    <w:rsid w:val="00CB76A8"/>
    <w:rsid w:val="00CC0AA6"/>
    <w:rsid w:val="00CC1C89"/>
    <w:rsid w:val="00CC23A0"/>
    <w:rsid w:val="00CC244D"/>
    <w:rsid w:val="00CC3BD2"/>
    <w:rsid w:val="00CC4B17"/>
    <w:rsid w:val="00CC503C"/>
    <w:rsid w:val="00CC610A"/>
    <w:rsid w:val="00CC726B"/>
    <w:rsid w:val="00CC7B35"/>
    <w:rsid w:val="00CD0282"/>
    <w:rsid w:val="00CD0D1C"/>
    <w:rsid w:val="00CD12BA"/>
    <w:rsid w:val="00CD1CD2"/>
    <w:rsid w:val="00CD1CE3"/>
    <w:rsid w:val="00CD224B"/>
    <w:rsid w:val="00CD2507"/>
    <w:rsid w:val="00CD2DA3"/>
    <w:rsid w:val="00CD3A2E"/>
    <w:rsid w:val="00CD4EC4"/>
    <w:rsid w:val="00CD58A1"/>
    <w:rsid w:val="00CD596C"/>
    <w:rsid w:val="00CD5F6C"/>
    <w:rsid w:val="00CD6D70"/>
    <w:rsid w:val="00CE01F5"/>
    <w:rsid w:val="00CE0288"/>
    <w:rsid w:val="00CE0E48"/>
    <w:rsid w:val="00CE160D"/>
    <w:rsid w:val="00CE18A6"/>
    <w:rsid w:val="00CE296E"/>
    <w:rsid w:val="00CE2A38"/>
    <w:rsid w:val="00CE2DED"/>
    <w:rsid w:val="00CE2EA6"/>
    <w:rsid w:val="00CE2F3E"/>
    <w:rsid w:val="00CE3A09"/>
    <w:rsid w:val="00CE3AD2"/>
    <w:rsid w:val="00CE3DDD"/>
    <w:rsid w:val="00CE4404"/>
    <w:rsid w:val="00CE4BE7"/>
    <w:rsid w:val="00CE4E78"/>
    <w:rsid w:val="00CE4F6E"/>
    <w:rsid w:val="00CE4F7A"/>
    <w:rsid w:val="00CE545E"/>
    <w:rsid w:val="00CE64D2"/>
    <w:rsid w:val="00CE68EB"/>
    <w:rsid w:val="00CE7277"/>
    <w:rsid w:val="00CE788B"/>
    <w:rsid w:val="00CE7D30"/>
    <w:rsid w:val="00CF09D2"/>
    <w:rsid w:val="00CF16E3"/>
    <w:rsid w:val="00CF16F7"/>
    <w:rsid w:val="00CF1A2D"/>
    <w:rsid w:val="00CF22CF"/>
    <w:rsid w:val="00CF2C9D"/>
    <w:rsid w:val="00CF2ECD"/>
    <w:rsid w:val="00CF2FD6"/>
    <w:rsid w:val="00CF396D"/>
    <w:rsid w:val="00CF3A27"/>
    <w:rsid w:val="00CF3F45"/>
    <w:rsid w:val="00CF5BBC"/>
    <w:rsid w:val="00CF5EC0"/>
    <w:rsid w:val="00CF6415"/>
    <w:rsid w:val="00CF6B00"/>
    <w:rsid w:val="00CF7B9B"/>
    <w:rsid w:val="00CF7C3C"/>
    <w:rsid w:val="00D01BEB"/>
    <w:rsid w:val="00D02AF1"/>
    <w:rsid w:val="00D037AF"/>
    <w:rsid w:val="00D0492B"/>
    <w:rsid w:val="00D04FF8"/>
    <w:rsid w:val="00D0552D"/>
    <w:rsid w:val="00D0627F"/>
    <w:rsid w:val="00D06918"/>
    <w:rsid w:val="00D0693A"/>
    <w:rsid w:val="00D07269"/>
    <w:rsid w:val="00D07C5C"/>
    <w:rsid w:val="00D10476"/>
    <w:rsid w:val="00D119D9"/>
    <w:rsid w:val="00D13B3D"/>
    <w:rsid w:val="00D13E6C"/>
    <w:rsid w:val="00D13F61"/>
    <w:rsid w:val="00D13FDE"/>
    <w:rsid w:val="00D144CF"/>
    <w:rsid w:val="00D15660"/>
    <w:rsid w:val="00D1595F"/>
    <w:rsid w:val="00D15AFB"/>
    <w:rsid w:val="00D16208"/>
    <w:rsid w:val="00D1634E"/>
    <w:rsid w:val="00D17835"/>
    <w:rsid w:val="00D17B0E"/>
    <w:rsid w:val="00D20346"/>
    <w:rsid w:val="00D20A3B"/>
    <w:rsid w:val="00D210DE"/>
    <w:rsid w:val="00D211D8"/>
    <w:rsid w:val="00D21219"/>
    <w:rsid w:val="00D215B2"/>
    <w:rsid w:val="00D21D99"/>
    <w:rsid w:val="00D22105"/>
    <w:rsid w:val="00D2260D"/>
    <w:rsid w:val="00D226A2"/>
    <w:rsid w:val="00D22D95"/>
    <w:rsid w:val="00D230FC"/>
    <w:rsid w:val="00D246C9"/>
    <w:rsid w:val="00D26386"/>
    <w:rsid w:val="00D26A7A"/>
    <w:rsid w:val="00D27298"/>
    <w:rsid w:val="00D27676"/>
    <w:rsid w:val="00D27F0C"/>
    <w:rsid w:val="00D30039"/>
    <w:rsid w:val="00D3083E"/>
    <w:rsid w:val="00D31234"/>
    <w:rsid w:val="00D31897"/>
    <w:rsid w:val="00D318D0"/>
    <w:rsid w:val="00D31CB1"/>
    <w:rsid w:val="00D31E36"/>
    <w:rsid w:val="00D31EFC"/>
    <w:rsid w:val="00D329CE"/>
    <w:rsid w:val="00D32B87"/>
    <w:rsid w:val="00D32F43"/>
    <w:rsid w:val="00D32F78"/>
    <w:rsid w:val="00D33AD5"/>
    <w:rsid w:val="00D3476D"/>
    <w:rsid w:val="00D34A2A"/>
    <w:rsid w:val="00D34D18"/>
    <w:rsid w:val="00D34F27"/>
    <w:rsid w:val="00D3521E"/>
    <w:rsid w:val="00D3665A"/>
    <w:rsid w:val="00D369FC"/>
    <w:rsid w:val="00D408A4"/>
    <w:rsid w:val="00D4097D"/>
    <w:rsid w:val="00D41F51"/>
    <w:rsid w:val="00D43562"/>
    <w:rsid w:val="00D436B8"/>
    <w:rsid w:val="00D43E9F"/>
    <w:rsid w:val="00D44448"/>
    <w:rsid w:val="00D44E04"/>
    <w:rsid w:val="00D4662E"/>
    <w:rsid w:val="00D46936"/>
    <w:rsid w:val="00D470DE"/>
    <w:rsid w:val="00D50293"/>
    <w:rsid w:val="00D503D7"/>
    <w:rsid w:val="00D5099B"/>
    <w:rsid w:val="00D52093"/>
    <w:rsid w:val="00D5267B"/>
    <w:rsid w:val="00D528EF"/>
    <w:rsid w:val="00D52E88"/>
    <w:rsid w:val="00D5328A"/>
    <w:rsid w:val="00D536F0"/>
    <w:rsid w:val="00D53722"/>
    <w:rsid w:val="00D53B36"/>
    <w:rsid w:val="00D53D0D"/>
    <w:rsid w:val="00D54263"/>
    <w:rsid w:val="00D54338"/>
    <w:rsid w:val="00D54A27"/>
    <w:rsid w:val="00D54E06"/>
    <w:rsid w:val="00D55104"/>
    <w:rsid w:val="00D55343"/>
    <w:rsid w:val="00D558C3"/>
    <w:rsid w:val="00D56D06"/>
    <w:rsid w:val="00D60218"/>
    <w:rsid w:val="00D6037D"/>
    <w:rsid w:val="00D60D0B"/>
    <w:rsid w:val="00D611D5"/>
    <w:rsid w:val="00D61E0A"/>
    <w:rsid w:val="00D63BD0"/>
    <w:rsid w:val="00D65066"/>
    <w:rsid w:val="00D6512F"/>
    <w:rsid w:val="00D65416"/>
    <w:rsid w:val="00D658F0"/>
    <w:rsid w:val="00D66214"/>
    <w:rsid w:val="00D66223"/>
    <w:rsid w:val="00D6639F"/>
    <w:rsid w:val="00D66434"/>
    <w:rsid w:val="00D66B6D"/>
    <w:rsid w:val="00D67230"/>
    <w:rsid w:val="00D675B9"/>
    <w:rsid w:val="00D70495"/>
    <w:rsid w:val="00D70709"/>
    <w:rsid w:val="00D70A72"/>
    <w:rsid w:val="00D70CCC"/>
    <w:rsid w:val="00D70E6D"/>
    <w:rsid w:val="00D710FF"/>
    <w:rsid w:val="00D7173F"/>
    <w:rsid w:val="00D721E4"/>
    <w:rsid w:val="00D72CCA"/>
    <w:rsid w:val="00D74233"/>
    <w:rsid w:val="00D75689"/>
    <w:rsid w:val="00D756F9"/>
    <w:rsid w:val="00D7594D"/>
    <w:rsid w:val="00D764D5"/>
    <w:rsid w:val="00D7659D"/>
    <w:rsid w:val="00D767D4"/>
    <w:rsid w:val="00D81292"/>
    <w:rsid w:val="00D81D65"/>
    <w:rsid w:val="00D8206A"/>
    <w:rsid w:val="00D82AC2"/>
    <w:rsid w:val="00D833DB"/>
    <w:rsid w:val="00D836E1"/>
    <w:rsid w:val="00D83F3B"/>
    <w:rsid w:val="00D842E5"/>
    <w:rsid w:val="00D8494A"/>
    <w:rsid w:val="00D84B00"/>
    <w:rsid w:val="00D84CA3"/>
    <w:rsid w:val="00D85BAE"/>
    <w:rsid w:val="00D87397"/>
    <w:rsid w:val="00D87EE5"/>
    <w:rsid w:val="00D9021F"/>
    <w:rsid w:val="00D907D4"/>
    <w:rsid w:val="00D90FE3"/>
    <w:rsid w:val="00D91024"/>
    <w:rsid w:val="00D913EB"/>
    <w:rsid w:val="00D914C2"/>
    <w:rsid w:val="00D91A9C"/>
    <w:rsid w:val="00D91C16"/>
    <w:rsid w:val="00D9240F"/>
    <w:rsid w:val="00D92AA2"/>
    <w:rsid w:val="00D93827"/>
    <w:rsid w:val="00D93C9F"/>
    <w:rsid w:val="00D94599"/>
    <w:rsid w:val="00D956C7"/>
    <w:rsid w:val="00D968C6"/>
    <w:rsid w:val="00D96B74"/>
    <w:rsid w:val="00D96BA0"/>
    <w:rsid w:val="00D97020"/>
    <w:rsid w:val="00DA0568"/>
    <w:rsid w:val="00DA062F"/>
    <w:rsid w:val="00DA0B86"/>
    <w:rsid w:val="00DA0D85"/>
    <w:rsid w:val="00DA0E1E"/>
    <w:rsid w:val="00DA2296"/>
    <w:rsid w:val="00DA2A64"/>
    <w:rsid w:val="00DA3454"/>
    <w:rsid w:val="00DA42BA"/>
    <w:rsid w:val="00DA4D2C"/>
    <w:rsid w:val="00DA516E"/>
    <w:rsid w:val="00DA584A"/>
    <w:rsid w:val="00DA5DA1"/>
    <w:rsid w:val="00DA6246"/>
    <w:rsid w:val="00DA69CE"/>
    <w:rsid w:val="00DA6F52"/>
    <w:rsid w:val="00DA76B0"/>
    <w:rsid w:val="00DA7991"/>
    <w:rsid w:val="00DB001F"/>
    <w:rsid w:val="00DB05FE"/>
    <w:rsid w:val="00DB06BE"/>
    <w:rsid w:val="00DB11E7"/>
    <w:rsid w:val="00DB1611"/>
    <w:rsid w:val="00DB1D3B"/>
    <w:rsid w:val="00DB5307"/>
    <w:rsid w:val="00DB5723"/>
    <w:rsid w:val="00DB5C39"/>
    <w:rsid w:val="00DB5EFB"/>
    <w:rsid w:val="00DB6734"/>
    <w:rsid w:val="00DB6927"/>
    <w:rsid w:val="00DB6957"/>
    <w:rsid w:val="00DB6C56"/>
    <w:rsid w:val="00DB7155"/>
    <w:rsid w:val="00DC014C"/>
    <w:rsid w:val="00DC01EC"/>
    <w:rsid w:val="00DC0308"/>
    <w:rsid w:val="00DC0778"/>
    <w:rsid w:val="00DC0ADB"/>
    <w:rsid w:val="00DC1383"/>
    <w:rsid w:val="00DC2228"/>
    <w:rsid w:val="00DC23BE"/>
    <w:rsid w:val="00DC37F4"/>
    <w:rsid w:val="00DC3BAA"/>
    <w:rsid w:val="00DC3DD9"/>
    <w:rsid w:val="00DC3F9E"/>
    <w:rsid w:val="00DC47A0"/>
    <w:rsid w:val="00DC48D2"/>
    <w:rsid w:val="00DC58D3"/>
    <w:rsid w:val="00DC5960"/>
    <w:rsid w:val="00DC5AAD"/>
    <w:rsid w:val="00DC689D"/>
    <w:rsid w:val="00DC6EFA"/>
    <w:rsid w:val="00DC74CD"/>
    <w:rsid w:val="00DC75A8"/>
    <w:rsid w:val="00DD03A0"/>
    <w:rsid w:val="00DD0759"/>
    <w:rsid w:val="00DD087B"/>
    <w:rsid w:val="00DD0A4E"/>
    <w:rsid w:val="00DD0F8F"/>
    <w:rsid w:val="00DD2811"/>
    <w:rsid w:val="00DD2863"/>
    <w:rsid w:val="00DD2902"/>
    <w:rsid w:val="00DD4392"/>
    <w:rsid w:val="00DD460D"/>
    <w:rsid w:val="00DD611F"/>
    <w:rsid w:val="00DD613C"/>
    <w:rsid w:val="00DD615B"/>
    <w:rsid w:val="00DD6546"/>
    <w:rsid w:val="00DD68EE"/>
    <w:rsid w:val="00DD6952"/>
    <w:rsid w:val="00DD6E31"/>
    <w:rsid w:val="00DD7098"/>
    <w:rsid w:val="00DD70BC"/>
    <w:rsid w:val="00DD7478"/>
    <w:rsid w:val="00DD7CC8"/>
    <w:rsid w:val="00DE0136"/>
    <w:rsid w:val="00DE024C"/>
    <w:rsid w:val="00DE0939"/>
    <w:rsid w:val="00DE1EAF"/>
    <w:rsid w:val="00DE24E8"/>
    <w:rsid w:val="00DE255D"/>
    <w:rsid w:val="00DE2DFF"/>
    <w:rsid w:val="00DE325C"/>
    <w:rsid w:val="00DE34F1"/>
    <w:rsid w:val="00DE4B12"/>
    <w:rsid w:val="00DE4BF0"/>
    <w:rsid w:val="00DE4C57"/>
    <w:rsid w:val="00DE5867"/>
    <w:rsid w:val="00DE5E9F"/>
    <w:rsid w:val="00DE610A"/>
    <w:rsid w:val="00DE7443"/>
    <w:rsid w:val="00DE782B"/>
    <w:rsid w:val="00DE7EB2"/>
    <w:rsid w:val="00DE7F81"/>
    <w:rsid w:val="00DF1138"/>
    <w:rsid w:val="00DF1758"/>
    <w:rsid w:val="00DF2993"/>
    <w:rsid w:val="00DF54C7"/>
    <w:rsid w:val="00DF6E9E"/>
    <w:rsid w:val="00DF7242"/>
    <w:rsid w:val="00DF7B34"/>
    <w:rsid w:val="00E0096C"/>
    <w:rsid w:val="00E012C7"/>
    <w:rsid w:val="00E02AF3"/>
    <w:rsid w:val="00E02BA8"/>
    <w:rsid w:val="00E02E8A"/>
    <w:rsid w:val="00E031A8"/>
    <w:rsid w:val="00E03D3A"/>
    <w:rsid w:val="00E04E1C"/>
    <w:rsid w:val="00E0516D"/>
    <w:rsid w:val="00E056FE"/>
    <w:rsid w:val="00E062F3"/>
    <w:rsid w:val="00E07751"/>
    <w:rsid w:val="00E10075"/>
    <w:rsid w:val="00E1009E"/>
    <w:rsid w:val="00E10B8D"/>
    <w:rsid w:val="00E122D3"/>
    <w:rsid w:val="00E124F5"/>
    <w:rsid w:val="00E1269F"/>
    <w:rsid w:val="00E128CF"/>
    <w:rsid w:val="00E1364B"/>
    <w:rsid w:val="00E13C12"/>
    <w:rsid w:val="00E13DE8"/>
    <w:rsid w:val="00E14B11"/>
    <w:rsid w:val="00E14E11"/>
    <w:rsid w:val="00E15286"/>
    <w:rsid w:val="00E15C99"/>
    <w:rsid w:val="00E16528"/>
    <w:rsid w:val="00E1687B"/>
    <w:rsid w:val="00E16B4B"/>
    <w:rsid w:val="00E17C24"/>
    <w:rsid w:val="00E2088D"/>
    <w:rsid w:val="00E21648"/>
    <w:rsid w:val="00E24433"/>
    <w:rsid w:val="00E25008"/>
    <w:rsid w:val="00E250A6"/>
    <w:rsid w:val="00E25425"/>
    <w:rsid w:val="00E25668"/>
    <w:rsid w:val="00E269D5"/>
    <w:rsid w:val="00E26BE6"/>
    <w:rsid w:val="00E26D4C"/>
    <w:rsid w:val="00E26F6C"/>
    <w:rsid w:val="00E2716F"/>
    <w:rsid w:val="00E2791C"/>
    <w:rsid w:val="00E27BC0"/>
    <w:rsid w:val="00E302E0"/>
    <w:rsid w:val="00E3074C"/>
    <w:rsid w:val="00E3086B"/>
    <w:rsid w:val="00E3093C"/>
    <w:rsid w:val="00E30A0B"/>
    <w:rsid w:val="00E30DC9"/>
    <w:rsid w:val="00E30F96"/>
    <w:rsid w:val="00E31700"/>
    <w:rsid w:val="00E330AC"/>
    <w:rsid w:val="00E34232"/>
    <w:rsid w:val="00E343B1"/>
    <w:rsid w:val="00E35243"/>
    <w:rsid w:val="00E353B0"/>
    <w:rsid w:val="00E354D5"/>
    <w:rsid w:val="00E35759"/>
    <w:rsid w:val="00E35BBF"/>
    <w:rsid w:val="00E361E6"/>
    <w:rsid w:val="00E361F1"/>
    <w:rsid w:val="00E362A8"/>
    <w:rsid w:val="00E36429"/>
    <w:rsid w:val="00E366CD"/>
    <w:rsid w:val="00E369B8"/>
    <w:rsid w:val="00E369DD"/>
    <w:rsid w:val="00E36B97"/>
    <w:rsid w:val="00E4035C"/>
    <w:rsid w:val="00E40516"/>
    <w:rsid w:val="00E40E71"/>
    <w:rsid w:val="00E40E91"/>
    <w:rsid w:val="00E4142D"/>
    <w:rsid w:val="00E416A2"/>
    <w:rsid w:val="00E41705"/>
    <w:rsid w:val="00E42465"/>
    <w:rsid w:val="00E42D7C"/>
    <w:rsid w:val="00E436DF"/>
    <w:rsid w:val="00E46687"/>
    <w:rsid w:val="00E46995"/>
    <w:rsid w:val="00E46BE5"/>
    <w:rsid w:val="00E4701E"/>
    <w:rsid w:val="00E471EA"/>
    <w:rsid w:val="00E473BF"/>
    <w:rsid w:val="00E476C4"/>
    <w:rsid w:val="00E50758"/>
    <w:rsid w:val="00E50DE9"/>
    <w:rsid w:val="00E51AF0"/>
    <w:rsid w:val="00E529AB"/>
    <w:rsid w:val="00E534AB"/>
    <w:rsid w:val="00E53519"/>
    <w:rsid w:val="00E53691"/>
    <w:rsid w:val="00E53786"/>
    <w:rsid w:val="00E5398F"/>
    <w:rsid w:val="00E5502E"/>
    <w:rsid w:val="00E55C00"/>
    <w:rsid w:val="00E6061A"/>
    <w:rsid w:val="00E60763"/>
    <w:rsid w:val="00E6089D"/>
    <w:rsid w:val="00E60EFE"/>
    <w:rsid w:val="00E6122C"/>
    <w:rsid w:val="00E612F2"/>
    <w:rsid w:val="00E61D98"/>
    <w:rsid w:val="00E62A81"/>
    <w:rsid w:val="00E62AF7"/>
    <w:rsid w:val="00E634E2"/>
    <w:rsid w:val="00E63857"/>
    <w:rsid w:val="00E6400C"/>
    <w:rsid w:val="00E643DC"/>
    <w:rsid w:val="00E657D7"/>
    <w:rsid w:val="00E6615D"/>
    <w:rsid w:val="00E67016"/>
    <w:rsid w:val="00E670E2"/>
    <w:rsid w:val="00E67253"/>
    <w:rsid w:val="00E67925"/>
    <w:rsid w:val="00E70700"/>
    <w:rsid w:val="00E71B35"/>
    <w:rsid w:val="00E71EFF"/>
    <w:rsid w:val="00E722BD"/>
    <w:rsid w:val="00E7390B"/>
    <w:rsid w:val="00E73CDA"/>
    <w:rsid w:val="00E74114"/>
    <w:rsid w:val="00E742CA"/>
    <w:rsid w:val="00E74A0F"/>
    <w:rsid w:val="00E74F79"/>
    <w:rsid w:val="00E75082"/>
    <w:rsid w:val="00E7569D"/>
    <w:rsid w:val="00E75753"/>
    <w:rsid w:val="00E75F09"/>
    <w:rsid w:val="00E762FD"/>
    <w:rsid w:val="00E76727"/>
    <w:rsid w:val="00E76AA1"/>
    <w:rsid w:val="00E8098B"/>
    <w:rsid w:val="00E812D4"/>
    <w:rsid w:val="00E815CF"/>
    <w:rsid w:val="00E8196E"/>
    <w:rsid w:val="00E81D7C"/>
    <w:rsid w:val="00E822D0"/>
    <w:rsid w:val="00E824BD"/>
    <w:rsid w:val="00E82613"/>
    <w:rsid w:val="00E8297D"/>
    <w:rsid w:val="00E82DC4"/>
    <w:rsid w:val="00E82E02"/>
    <w:rsid w:val="00E83813"/>
    <w:rsid w:val="00E83C67"/>
    <w:rsid w:val="00E83FEA"/>
    <w:rsid w:val="00E84588"/>
    <w:rsid w:val="00E84B61"/>
    <w:rsid w:val="00E84D48"/>
    <w:rsid w:val="00E86509"/>
    <w:rsid w:val="00E86B05"/>
    <w:rsid w:val="00E86B7D"/>
    <w:rsid w:val="00E86FB2"/>
    <w:rsid w:val="00E86FF2"/>
    <w:rsid w:val="00E9100B"/>
    <w:rsid w:val="00E91EC0"/>
    <w:rsid w:val="00E92B7E"/>
    <w:rsid w:val="00E934D3"/>
    <w:rsid w:val="00E95033"/>
    <w:rsid w:val="00E95150"/>
    <w:rsid w:val="00E958FA"/>
    <w:rsid w:val="00E95B1C"/>
    <w:rsid w:val="00E95F9C"/>
    <w:rsid w:val="00E9624D"/>
    <w:rsid w:val="00E964DC"/>
    <w:rsid w:val="00E96907"/>
    <w:rsid w:val="00E9761A"/>
    <w:rsid w:val="00E9778A"/>
    <w:rsid w:val="00E97C64"/>
    <w:rsid w:val="00EA077F"/>
    <w:rsid w:val="00EA12D3"/>
    <w:rsid w:val="00EA1D15"/>
    <w:rsid w:val="00EA21F6"/>
    <w:rsid w:val="00EA234A"/>
    <w:rsid w:val="00EA2A38"/>
    <w:rsid w:val="00EA2BF2"/>
    <w:rsid w:val="00EA354C"/>
    <w:rsid w:val="00EA4758"/>
    <w:rsid w:val="00EA49DC"/>
    <w:rsid w:val="00EA4B94"/>
    <w:rsid w:val="00EA4D93"/>
    <w:rsid w:val="00EA56E1"/>
    <w:rsid w:val="00EA5FA8"/>
    <w:rsid w:val="00EA65B6"/>
    <w:rsid w:val="00EA6852"/>
    <w:rsid w:val="00EA6B9C"/>
    <w:rsid w:val="00EA704A"/>
    <w:rsid w:val="00EA731C"/>
    <w:rsid w:val="00EA740C"/>
    <w:rsid w:val="00EB0298"/>
    <w:rsid w:val="00EB05E1"/>
    <w:rsid w:val="00EB0B7B"/>
    <w:rsid w:val="00EB16AB"/>
    <w:rsid w:val="00EB1DC5"/>
    <w:rsid w:val="00EB1F0A"/>
    <w:rsid w:val="00EB36B5"/>
    <w:rsid w:val="00EB3BB3"/>
    <w:rsid w:val="00EB3F16"/>
    <w:rsid w:val="00EB5D65"/>
    <w:rsid w:val="00EB5E98"/>
    <w:rsid w:val="00EB5F73"/>
    <w:rsid w:val="00EB6389"/>
    <w:rsid w:val="00EB639B"/>
    <w:rsid w:val="00EB6CF5"/>
    <w:rsid w:val="00EB7B07"/>
    <w:rsid w:val="00EB7B88"/>
    <w:rsid w:val="00EB7E18"/>
    <w:rsid w:val="00EC16E7"/>
    <w:rsid w:val="00EC1791"/>
    <w:rsid w:val="00EC1E13"/>
    <w:rsid w:val="00EC2C84"/>
    <w:rsid w:val="00EC3B7B"/>
    <w:rsid w:val="00EC4105"/>
    <w:rsid w:val="00EC4169"/>
    <w:rsid w:val="00EC4C3A"/>
    <w:rsid w:val="00EC7FC8"/>
    <w:rsid w:val="00ED056C"/>
    <w:rsid w:val="00ED1106"/>
    <w:rsid w:val="00ED17A4"/>
    <w:rsid w:val="00ED1AD7"/>
    <w:rsid w:val="00ED1E5C"/>
    <w:rsid w:val="00ED225C"/>
    <w:rsid w:val="00ED249E"/>
    <w:rsid w:val="00ED2875"/>
    <w:rsid w:val="00ED2D55"/>
    <w:rsid w:val="00ED2EDA"/>
    <w:rsid w:val="00ED2F0C"/>
    <w:rsid w:val="00ED3000"/>
    <w:rsid w:val="00ED3117"/>
    <w:rsid w:val="00ED40F3"/>
    <w:rsid w:val="00ED475D"/>
    <w:rsid w:val="00ED4A79"/>
    <w:rsid w:val="00ED64AD"/>
    <w:rsid w:val="00ED64F9"/>
    <w:rsid w:val="00ED6915"/>
    <w:rsid w:val="00ED6D4C"/>
    <w:rsid w:val="00ED7741"/>
    <w:rsid w:val="00ED7F58"/>
    <w:rsid w:val="00EE012B"/>
    <w:rsid w:val="00EE07E9"/>
    <w:rsid w:val="00EE0E39"/>
    <w:rsid w:val="00EE15C2"/>
    <w:rsid w:val="00EE274E"/>
    <w:rsid w:val="00EE2763"/>
    <w:rsid w:val="00EE3204"/>
    <w:rsid w:val="00EE3827"/>
    <w:rsid w:val="00EE39A7"/>
    <w:rsid w:val="00EE3EC7"/>
    <w:rsid w:val="00EE40D5"/>
    <w:rsid w:val="00EE4ABC"/>
    <w:rsid w:val="00EE4B7A"/>
    <w:rsid w:val="00EE4BC6"/>
    <w:rsid w:val="00EE5066"/>
    <w:rsid w:val="00EE6305"/>
    <w:rsid w:val="00EE68A0"/>
    <w:rsid w:val="00EE706B"/>
    <w:rsid w:val="00EF00F3"/>
    <w:rsid w:val="00EF0426"/>
    <w:rsid w:val="00EF06A3"/>
    <w:rsid w:val="00EF0BF6"/>
    <w:rsid w:val="00EF0C16"/>
    <w:rsid w:val="00EF0D51"/>
    <w:rsid w:val="00EF1083"/>
    <w:rsid w:val="00EF139A"/>
    <w:rsid w:val="00EF15E5"/>
    <w:rsid w:val="00EF197A"/>
    <w:rsid w:val="00EF2262"/>
    <w:rsid w:val="00EF3399"/>
    <w:rsid w:val="00EF3535"/>
    <w:rsid w:val="00EF4213"/>
    <w:rsid w:val="00EF4AB6"/>
    <w:rsid w:val="00EF4FF5"/>
    <w:rsid w:val="00EF525D"/>
    <w:rsid w:val="00EF52E9"/>
    <w:rsid w:val="00EF5E3E"/>
    <w:rsid w:val="00EF6B33"/>
    <w:rsid w:val="00EF6E05"/>
    <w:rsid w:val="00EF7207"/>
    <w:rsid w:val="00EF7940"/>
    <w:rsid w:val="00F005C3"/>
    <w:rsid w:val="00F01A11"/>
    <w:rsid w:val="00F01D79"/>
    <w:rsid w:val="00F02952"/>
    <w:rsid w:val="00F04967"/>
    <w:rsid w:val="00F05236"/>
    <w:rsid w:val="00F059A6"/>
    <w:rsid w:val="00F06725"/>
    <w:rsid w:val="00F06B67"/>
    <w:rsid w:val="00F06C2A"/>
    <w:rsid w:val="00F07406"/>
    <w:rsid w:val="00F07AC4"/>
    <w:rsid w:val="00F07BD6"/>
    <w:rsid w:val="00F107FE"/>
    <w:rsid w:val="00F10E37"/>
    <w:rsid w:val="00F10FC6"/>
    <w:rsid w:val="00F11507"/>
    <w:rsid w:val="00F11588"/>
    <w:rsid w:val="00F1181A"/>
    <w:rsid w:val="00F118ED"/>
    <w:rsid w:val="00F1217E"/>
    <w:rsid w:val="00F13088"/>
    <w:rsid w:val="00F13093"/>
    <w:rsid w:val="00F1454D"/>
    <w:rsid w:val="00F14C09"/>
    <w:rsid w:val="00F15DF1"/>
    <w:rsid w:val="00F160C4"/>
    <w:rsid w:val="00F16AD7"/>
    <w:rsid w:val="00F17D06"/>
    <w:rsid w:val="00F2016B"/>
    <w:rsid w:val="00F2078C"/>
    <w:rsid w:val="00F207E0"/>
    <w:rsid w:val="00F20D94"/>
    <w:rsid w:val="00F22148"/>
    <w:rsid w:val="00F22BF9"/>
    <w:rsid w:val="00F23075"/>
    <w:rsid w:val="00F23151"/>
    <w:rsid w:val="00F23309"/>
    <w:rsid w:val="00F23CD0"/>
    <w:rsid w:val="00F23EC3"/>
    <w:rsid w:val="00F245AE"/>
    <w:rsid w:val="00F24CB3"/>
    <w:rsid w:val="00F256F2"/>
    <w:rsid w:val="00F26121"/>
    <w:rsid w:val="00F2682E"/>
    <w:rsid w:val="00F27685"/>
    <w:rsid w:val="00F277BD"/>
    <w:rsid w:val="00F27A7D"/>
    <w:rsid w:val="00F27F34"/>
    <w:rsid w:val="00F3086C"/>
    <w:rsid w:val="00F30F9A"/>
    <w:rsid w:val="00F3268D"/>
    <w:rsid w:val="00F32E54"/>
    <w:rsid w:val="00F32EFB"/>
    <w:rsid w:val="00F33387"/>
    <w:rsid w:val="00F341ED"/>
    <w:rsid w:val="00F34332"/>
    <w:rsid w:val="00F36166"/>
    <w:rsid w:val="00F3622E"/>
    <w:rsid w:val="00F364E0"/>
    <w:rsid w:val="00F36658"/>
    <w:rsid w:val="00F37362"/>
    <w:rsid w:val="00F37B3F"/>
    <w:rsid w:val="00F40847"/>
    <w:rsid w:val="00F40CFD"/>
    <w:rsid w:val="00F40EA1"/>
    <w:rsid w:val="00F4135B"/>
    <w:rsid w:val="00F42D41"/>
    <w:rsid w:val="00F42ECD"/>
    <w:rsid w:val="00F436E3"/>
    <w:rsid w:val="00F4384C"/>
    <w:rsid w:val="00F439FD"/>
    <w:rsid w:val="00F43CD7"/>
    <w:rsid w:val="00F43D72"/>
    <w:rsid w:val="00F43F5B"/>
    <w:rsid w:val="00F4441D"/>
    <w:rsid w:val="00F44689"/>
    <w:rsid w:val="00F44A8D"/>
    <w:rsid w:val="00F45733"/>
    <w:rsid w:val="00F45FA8"/>
    <w:rsid w:val="00F46129"/>
    <w:rsid w:val="00F4651D"/>
    <w:rsid w:val="00F46558"/>
    <w:rsid w:val="00F47046"/>
    <w:rsid w:val="00F472B0"/>
    <w:rsid w:val="00F50752"/>
    <w:rsid w:val="00F512C8"/>
    <w:rsid w:val="00F5238D"/>
    <w:rsid w:val="00F525AA"/>
    <w:rsid w:val="00F53082"/>
    <w:rsid w:val="00F53354"/>
    <w:rsid w:val="00F5372B"/>
    <w:rsid w:val="00F539D6"/>
    <w:rsid w:val="00F53BC2"/>
    <w:rsid w:val="00F54352"/>
    <w:rsid w:val="00F5450D"/>
    <w:rsid w:val="00F54A43"/>
    <w:rsid w:val="00F553AC"/>
    <w:rsid w:val="00F55EBF"/>
    <w:rsid w:val="00F5690B"/>
    <w:rsid w:val="00F57181"/>
    <w:rsid w:val="00F5733C"/>
    <w:rsid w:val="00F5734C"/>
    <w:rsid w:val="00F573E6"/>
    <w:rsid w:val="00F57BCF"/>
    <w:rsid w:val="00F609F5"/>
    <w:rsid w:val="00F60D8C"/>
    <w:rsid w:val="00F616D4"/>
    <w:rsid w:val="00F61739"/>
    <w:rsid w:val="00F6263D"/>
    <w:rsid w:val="00F627B0"/>
    <w:rsid w:val="00F63C62"/>
    <w:rsid w:val="00F650E8"/>
    <w:rsid w:val="00F65763"/>
    <w:rsid w:val="00F658DB"/>
    <w:rsid w:val="00F658FF"/>
    <w:rsid w:val="00F66589"/>
    <w:rsid w:val="00F67208"/>
    <w:rsid w:val="00F6744F"/>
    <w:rsid w:val="00F67A8A"/>
    <w:rsid w:val="00F7027D"/>
    <w:rsid w:val="00F704DF"/>
    <w:rsid w:val="00F70CC7"/>
    <w:rsid w:val="00F726A5"/>
    <w:rsid w:val="00F72BA3"/>
    <w:rsid w:val="00F732D8"/>
    <w:rsid w:val="00F7378F"/>
    <w:rsid w:val="00F73FEA"/>
    <w:rsid w:val="00F746A0"/>
    <w:rsid w:val="00F74F3C"/>
    <w:rsid w:val="00F752FB"/>
    <w:rsid w:val="00F75703"/>
    <w:rsid w:val="00F75801"/>
    <w:rsid w:val="00F7600C"/>
    <w:rsid w:val="00F76AA9"/>
    <w:rsid w:val="00F76E20"/>
    <w:rsid w:val="00F76E75"/>
    <w:rsid w:val="00F77B54"/>
    <w:rsid w:val="00F8009E"/>
    <w:rsid w:val="00F80103"/>
    <w:rsid w:val="00F8018A"/>
    <w:rsid w:val="00F80802"/>
    <w:rsid w:val="00F81088"/>
    <w:rsid w:val="00F81941"/>
    <w:rsid w:val="00F81E55"/>
    <w:rsid w:val="00F826FB"/>
    <w:rsid w:val="00F82BF9"/>
    <w:rsid w:val="00F83AD4"/>
    <w:rsid w:val="00F83B49"/>
    <w:rsid w:val="00F83CAE"/>
    <w:rsid w:val="00F83F57"/>
    <w:rsid w:val="00F84167"/>
    <w:rsid w:val="00F845D0"/>
    <w:rsid w:val="00F84C97"/>
    <w:rsid w:val="00F84F2F"/>
    <w:rsid w:val="00F852B8"/>
    <w:rsid w:val="00F86C95"/>
    <w:rsid w:val="00F87671"/>
    <w:rsid w:val="00F8767E"/>
    <w:rsid w:val="00F8799F"/>
    <w:rsid w:val="00F912C1"/>
    <w:rsid w:val="00F927A8"/>
    <w:rsid w:val="00F92C8A"/>
    <w:rsid w:val="00F92EB0"/>
    <w:rsid w:val="00F92FCC"/>
    <w:rsid w:val="00F9482E"/>
    <w:rsid w:val="00F95497"/>
    <w:rsid w:val="00F96024"/>
    <w:rsid w:val="00F96D7D"/>
    <w:rsid w:val="00F975F4"/>
    <w:rsid w:val="00F97CB8"/>
    <w:rsid w:val="00FA0A25"/>
    <w:rsid w:val="00FA18C0"/>
    <w:rsid w:val="00FA1D6F"/>
    <w:rsid w:val="00FA29E5"/>
    <w:rsid w:val="00FA3018"/>
    <w:rsid w:val="00FA3CFF"/>
    <w:rsid w:val="00FA5147"/>
    <w:rsid w:val="00FA5411"/>
    <w:rsid w:val="00FA5778"/>
    <w:rsid w:val="00FA6C9A"/>
    <w:rsid w:val="00FA6EEF"/>
    <w:rsid w:val="00FA7059"/>
    <w:rsid w:val="00FA7121"/>
    <w:rsid w:val="00FA7350"/>
    <w:rsid w:val="00FA7B5A"/>
    <w:rsid w:val="00FB030F"/>
    <w:rsid w:val="00FB07AD"/>
    <w:rsid w:val="00FB0F9F"/>
    <w:rsid w:val="00FB1562"/>
    <w:rsid w:val="00FB16E1"/>
    <w:rsid w:val="00FB214C"/>
    <w:rsid w:val="00FB2922"/>
    <w:rsid w:val="00FB2FF0"/>
    <w:rsid w:val="00FB317D"/>
    <w:rsid w:val="00FB3B2B"/>
    <w:rsid w:val="00FB3F86"/>
    <w:rsid w:val="00FB4D86"/>
    <w:rsid w:val="00FB5926"/>
    <w:rsid w:val="00FB62BC"/>
    <w:rsid w:val="00FB6B31"/>
    <w:rsid w:val="00FB7754"/>
    <w:rsid w:val="00FB7E43"/>
    <w:rsid w:val="00FC0113"/>
    <w:rsid w:val="00FC0AD4"/>
    <w:rsid w:val="00FC146A"/>
    <w:rsid w:val="00FC1680"/>
    <w:rsid w:val="00FC232B"/>
    <w:rsid w:val="00FC2437"/>
    <w:rsid w:val="00FC263E"/>
    <w:rsid w:val="00FC2F0F"/>
    <w:rsid w:val="00FC3217"/>
    <w:rsid w:val="00FC3916"/>
    <w:rsid w:val="00FC3C8F"/>
    <w:rsid w:val="00FC3E29"/>
    <w:rsid w:val="00FC48C0"/>
    <w:rsid w:val="00FC4B5E"/>
    <w:rsid w:val="00FC4CBD"/>
    <w:rsid w:val="00FC500E"/>
    <w:rsid w:val="00FC748F"/>
    <w:rsid w:val="00FC7755"/>
    <w:rsid w:val="00FC77C9"/>
    <w:rsid w:val="00FC799F"/>
    <w:rsid w:val="00FC7D4F"/>
    <w:rsid w:val="00FD2183"/>
    <w:rsid w:val="00FD30AF"/>
    <w:rsid w:val="00FD38F2"/>
    <w:rsid w:val="00FD3B56"/>
    <w:rsid w:val="00FD467E"/>
    <w:rsid w:val="00FD514D"/>
    <w:rsid w:val="00FD52BA"/>
    <w:rsid w:val="00FD59C8"/>
    <w:rsid w:val="00FD61ED"/>
    <w:rsid w:val="00FD6383"/>
    <w:rsid w:val="00FD7069"/>
    <w:rsid w:val="00FD79CA"/>
    <w:rsid w:val="00FD7ABE"/>
    <w:rsid w:val="00FD7CF2"/>
    <w:rsid w:val="00FD7EC5"/>
    <w:rsid w:val="00FD7F17"/>
    <w:rsid w:val="00FE00D7"/>
    <w:rsid w:val="00FE0715"/>
    <w:rsid w:val="00FE0B3C"/>
    <w:rsid w:val="00FE0BD9"/>
    <w:rsid w:val="00FE2570"/>
    <w:rsid w:val="00FE3591"/>
    <w:rsid w:val="00FE36B6"/>
    <w:rsid w:val="00FE3C29"/>
    <w:rsid w:val="00FE4593"/>
    <w:rsid w:val="00FE4AFE"/>
    <w:rsid w:val="00FE5650"/>
    <w:rsid w:val="00FE5773"/>
    <w:rsid w:val="00FE5A5E"/>
    <w:rsid w:val="00FE5C7E"/>
    <w:rsid w:val="00FE6C8D"/>
    <w:rsid w:val="00FE6CDC"/>
    <w:rsid w:val="00FE6E53"/>
    <w:rsid w:val="00FE76EC"/>
    <w:rsid w:val="00FF14C6"/>
    <w:rsid w:val="00FF196F"/>
    <w:rsid w:val="00FF346F"/>
    <w:rsid w:val="00FF3966"/>
    <w:rsid w:val="00FF3BAC"/>
    <w:rsid w:val="00FF3C53"/>
    <w:rsid w:val="00FF3C7B"/>
    <w:rsid w:val="00FF5078"/>
    <w:rsid w:val="00FF524F"/>
    <w:rsid w:val="00FF6772"/>
    <w:rsid w:val="00FF67B1"/>
    <w:rsid w:val="00FF692F"/>
    <w:rsid w:val="00FF72F4"/>
    <w:rsid w:val="00FF774F"/>
    <w:rsid w:val="00FF78C2"/>
    <w:rsid w:val="00FF7A01"/>
  </w:rsids>
  <m:mathPr>
    <m:mathFont m:val="Cambria Math"/>
    <m:brkBin m:val="before"/>
    <m:brkBinSub m:val="--"/>
    <m:smallFrac m:val="0"/>
    <m:dispDef/>
    <m:lMargin m:val="0"/>
    <m:rMargin m:val="0"/>
    <m:defJc m:val="centerGroup"/>
    <m:wrapIndent m:val="1440"/>
    <m:intLim m:val="subSup"/>
    <m:naryLim m:val="undOvr"/>
  </m:mathPr>
  <w:themeFontLang w:val="en-CA"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648493"/>
  <w15:docId w15:val="{6D66A0D5-6887-4C33-9A74-FFFC701C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6BB"/>
    <w:pPr>
      <w:spacing w:after="0" w:line="480" w:lineRule="auto"/>
    </w:pPr>
    <w:rPr>
      <w:sz w:val="24"/>
      <w:lang w:val="en-US"/>
    </w:rPr>
  </w:style>
  <w:style w:type="paragraph" w:styleId="Heading1">
    <w:name w:val="heading 1"/>
    <w:basedOn w:val="Heading2"/>
    <w:next w:val="Normal"/>
    <w:link w:val="Heading1Char"/>
    <w:uiPriority w:val="9"/>
    <w:qFormat/>
    <w:rsid w:val="004B5B90"/>
    <w:pPr>
      <w:pageBreakBefore/>
      <w:outlineLvl w:val="0"/>
    </w:pPr>
  </w:style>
  <w:style w:type="paragraph" w:styleId="Heading2">
    <w:name w:val="heading 2"/>
    <w:basedOn w:val="Normal"/>
    <w:next w:val="Normal"/>
    <w:link w:val="Heading2Char"/>
    <w:uiPriority w:val="9"/>
    <w:unhideWhenUsed/>
    <w:qFormat/>
    <w:rsid w:val="005F36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120D8"/>
    <w:pPr>
      <w:keepNext/>
      <w:keepLines/>
      <w:spacing w:before="40"/>
      <w:outlineLvl w:val="2"/>
    </w:pPr>
    <w:rPr>
      <w:rFonts w:eastAsiaTheme="majorEastAsia" w:cstheme="minorHAnsi"/>
      <w:color w:val="1F4D78" w:themeColor="accent1" w:themeShade="7F"/>
      <w:szCs w:val="24"/>
    </w:rPr>
  </w:style>
  <w:style w:type="paragraph" w:styleId="Heading4">
    <w:name w:val="heading 4"/>
    <w:basedOn w:val="Normal"/>
    <w:next w:val="Normal"/>
    <w:link w:val="Heading4Char"/>
    <w:uiPriority w:val="9"/>
    <w:semiHidden/>
    <w:unhideWhenUsed/>
    <w:qFormat/>
    <w:rsid w:val="00CE028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36B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B5B90"/>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5120D8"/>
    <w:rPr>
      <w:rFonts w:eastAsiaTheme="majorEastAsia" w:cstheme="minorHAnsi"/>
      <w:color w:val="1F4D78" w:themeColor="accent1" w:themeShade="7F"/>
      <w:sz w:val="24"/>
      <w:szCs w:val="24"/>
    </w:rPr>
  </w:style>
  <w:style w:type="paragraph" w:styleId="ListParagraph">
    <w:name w:val="List Paragraph"/>
    <w:basedOn w:val="Normal"/>
    <w:uiPriority w:val="34"/>
    <w:qFormat/>
    <w:rsid w:val="00126B24"/>
    <w:pPr>
      <w:ind w:left="720"/>
      <w:contextualSpacing/>
    </w:pPr>
  </w:style>
  <w:style w:type="paragraph" w:styleId="BodyText">
    <w:name w:val="Body Text"/>
    <w:basedOn w:val="Normal"/>
    <w:link w:val="BodyTextChar"/>
    <w:qFormat/>
    <w:rsid w:val="00300024"/>
    <w:pPr>
      <w:spacing w:line="360" w:lineRule="auto"/>
    </w:pPr>
    <w:rPr>
      <w:rFonts w:ascii="Arial" w:eastAsia="Times New Roman" w:hAnsi="Arial" w:cs="Arial"/>
    </w:rPr>
  </w:style>
  <w:style w:type="character" w:customStyle="1" w:styleId="BodyTextChar">
    <w:name w:val="Body Text Char"/>
    <w:basedOn w:val="DefaultParagraphFont"/>
    <w:link w:val="BodyText"/>
    <w:rsid w:val="00300024"/>
    <w:rPr>
      <w:rFonts w:ascii="Arial" w:eastAsia="Times New Roman" w:hAnsi="Arial" w:cs="Arial"/>
      <w:lang w:val="en-US"/>
    </w:rPr>
  </w:style>
  <w:style w:type="paragraph" w:styleId="Title">
    <w:name w:val="Title"/>
    <w:basedOn w:val="Normal"/>
    <w:next w:val="Normal"/>
    <w:link w:val="TitleChar"/>
    <w:uiPriority w:val="10"/>
    <w:qFormat/>
    <w:rsid w:val="0013634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34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135D5"/>
    <w:rPr>
      <w:sz w:val="16"/>
      <w:szCs w:val="16"/>
    </w:rPr>
  </w:style>
  <w:style w:type="paragraph" w:styleId="CommentText">
    <w:name w:val="annotation text"/>
    <w:basedOn w:val="Normal"/>
    <w:link w:val="CommentTextChar"/>
    <w:uiPriority w:val="99"/>
    <w:unhideWhenUsed/>
    <w:rsid w:val="005135D5"/>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5135D5"/>
    <w:rPr>
      <w:rFonts w:eastAsiaTheme="minorEastAsia"/>
      <w:sz w:val="20"/>
      <w:szCs w:val="20"/>
      <w:lang w:val="en-US"/>
    </w:rPr>
  </w:style>
  <w:style w:type="character" w:styleId="Hyperlink">
    <w:name w:val="Hyperlink"/>
    <w:basedOn w:val="DefaultParagraphFont"/>
    <w:uiPriority w:val="99"/>
    <w:unhideWhenUsed/>
    <w:rsid w:val="005135D5"/>
    <w:rPr>
      <w:color w:val="0000FF"/>
      <w:u w:val="single"/>
    </w:rPr>
  </w:style>
  <w:style w:type="paragraph" w:styleId="BalloonText">
    <w:name w:val="Balloon Text"/>
    <w:basedOn w:val="Normal"/>
    <w:link w:val="BalloonTextChar"/>
    <w:uiPriority w:val="99"/>
    <w:semiHidden/>
    <w:unhideWhenUsed/>
    <w:rsid w:val="00BC74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488"/>
    <w:rPr>
      <w:rFonts w:ascii="Segoe UI" w:hAnsi="Segoe UI" w:cs="Segoe UI"/>
      <w:sz w:val="18"/>
      <w:szCs w:val="18"/>
    </w:rPr>
  </w:style>
  <w:style w:type="paragraph" w:customStyle="1" w:styleId="OutlineL1">
    <w:name w:val="Outline L1"/>
    <w:basedOn w:val="Normal"/>
    <w:link w:val="OutlineL1Char"/>
    <w:qFormat/>
    <w:rsid w:val="001568BF"/>
    <w:pPr>
      <w:numPr>
        <w:ilvl w:val="1"/>
        <w:numId w:val="9"/>
      </w:numPr>
      <w:spacing w:line="360" w:lineRule="auto"/>
    </w:pPr>
    <w:rPr>
      <w:rFonts w:ascii="Arial" w:eastAsia="Times New Roman" w:hAnsi="Arial" w:cs="Arial"/>
    </w:rPr>
  </w:style>
  <w:style w:type="character" w:customStyle="1" w:styleId="OutlineL1Char">
    <w:name w:val="Outline L1 Char"/>
    <w:link w:val="OutlineL1"/>
    <w:rsid w:val="001568BF"/>
    <w:rPr>
      <w:rFonts w:ascii="Arial" w:eastAsia="Times New Roman" w:hAnsi="Arial" w:cs="Arial"/>
      <w:lang w:val="en-US"/>
    </w:rPr>
  </w:style>
  <w:style w:type="paragraph" w:customStyle="1" w:styleId="OutlineL2">
    <w:name w:val="Outline L2"/>
    <w:basedOn w:val="OutlineL1"/>
    <w:qFormat/>
    <w:rsid w:val="001568BF"/>
    <w:pPr>
      <w:numPr>
        <w:ilvl w:val="2"/>
      </w:numPr>
      <w:tabs>
        <w:tab w:val="clear" w:pos="1080"/>
        <w:tab w:val="num" w:pos="360"/>
      </w:tabs>
      <w:ind w:left="2160"/>
    </w:pPr>
  </w:style>
  <w:style w:type="paragraph" w:customStyle="1" w:styleId="OutlineL3">
    <w:name w:val="Outline L3"/>
    <w:basedOn w:val="OutlineL2"/>
    <w:qFormat/>
    <w:rsid w:val="001568BF"/>
    <w:pPr>
      <w:numPr>
        <w:ilvl w:val="3"/>
      </w:numPr>
      <w:tabs>
        <w:tab w:val="num" w:pos="360"/>
      </w:tabs>
      <w:ind w:left="2880"/>
    </w:pPr>
  </w:style>
  <w:style w:type="paragraph" w:customStyle="1" w:styleId="OutlineHeader">
    <w:name w:val="Outline Header"/>
    <w:basedOn w:val="Normal"/>
    <w:next w:val="OutlineL1"/>
    <w:qFormat/>
    <w:rsid w:val="001568BF"/>
    <w:pPr>
      <w:keepNext/>
      <w:keepLines/>
      <w:spacing w:before="120" w:after="120" w:line="240" w:lineRule="auto"/>
      <w:outlineLvl w:val="0"/>
    </w:pPr>
    <w:rPr>
      <w:rFonts w:ascii="Arial" w:eastAsia="Times New Roman" w:hAnsi="Arial" w:cs="Times New Roman"/>
      <w:b/>
      <w:sz w:val="28"/>
      <w:szCs w:val="24"/>
    </w:rPr>
  </w:style>
  <w:style w:type="character" w:customStyle="1" w:styleId="highlight">
    <w:name w:val="highlight"/>
    <w:rsid w:val="00F8018A"/>
  </w:style>
  <w:style w:type="paragraph" w:styleId="NormalWeb">
    <w:name w:val="Normal (Web)"/>
    <w:basedOn w:val="Normal"/>
    <w:uiPriority w:val="99"/>
    <w:unhideWhenUsed/>
    <w:rsid w:val="0097182C"/>
    <w:pPr>
      <w:spacing w:before="100" w:beforeAutospacing="1" w:after="100" w:afterAutospacing="1" w:line="240" w:lineRule="auto"/>
    </w:pPr>
    <w:rPr>
      <w:rFonts w:ascii="Times New Roman" w:eastAsia="Times New Roman" w:hAnsi="Times New Roman" w:cs="Times New Roman"/>
      <w:szCs w:val="24"/>
      <w:lang w:eastAsia="en-CA"/>
    </w:rPr>
  </w:style>
  <w:style w:type="paragraph" w:customStyle="1" w:styleId="Pa13">
    <w:name w:val="Pa13"/>
    <w:basedOn w:val="Normal"/>
    <w:next w:val="Normal"/>
    <w:uiPriority w:val="99"/>
    <w:rsid w:val="004236FE"/>
    <w:pPr>
      <w:autoSpaceDE w:val="0"/>
      <w:autoSpaceDN w:val="0"/>
      <w:adjustRightInd w:val="0"/>
      <w:spacing w:line="201" w:lineRule="atLeast"/>
    </w:pPr>
    <w:rPr>
      <w:rFonts w:ascii="Minion" w:hAnsi="Minion"/>
      <w:szCs w:val="24"/>
    </w:rPr>
  </w:style>
  <w:style w:type="character" w:customStyle="1" w:styleId="A8">
    <w:name w:val="A8"/>
    <w:uiPriority w:val="99"/>
    <w:rsid w:val="004236FE"/>
    <w:rPr>
      <w:rFonts w:cs="Minion"/>
      <w:color w:val="211D1E"/>
      <w:sz w:val="11"/>
      <w:szCs w:val="11"/>
    </w:rPr>
  </w:style>
  <w:style w:type="paragraph" w:customStyle="1" w:styleId="EndNoteBibliographyTitle">
    <w:name w:val="EndNote Bibliography Title"/>
    <w:basedOn w:val="Normal"/>
    <w:link w:val="EndNoteBibliographyTitleChar"/>
    <w:rsid w:val="002D5FDE"/>
    <w:pPr>
      <w:jc w:val="center"/>
    </w:pPr>
    <w:rPr>
      <w:rFonts w:ascii="Arial" w:hAnsi="Arial" w:cs="Arial"/>
      <w:noProof/>
      <w:sz w:val="22"/>
    </w:rPr>
  </w:style>
  <w:style w:type="character" w:customStyle="1" w:styleId="EndNoteBibliographyTitleChar">
    <w:name w:val="EndNote Bibliography Title Char"/>
    <w:basedOn w:val="DefaultParagraphFont"/>
    <w:link w:val="EndNoteBibliographyTitle"/>
    <w:rsid w:val="002D5FDE"/>
    <w:rPr>
      <w:rFonts w:ascii="Arial" w:hAnsi="Arial" w:cs="Arial"/>
      <w:noProof/>
      <w:lang w:val="en-US"/>
    </w:rPr>
  </w:style>
  <w:style w:type="paragraph" w:customStyle="1" w:styleId="EndNoteBibliography">
    <w:name w:val="EndNote Bibliography"/>
    <w:basedOn w:val="Normal"/>
    <w:link w:val="EndNoteBibliographyChar"/>
    <w:rsid w:val="002D5FDE"/>
    <w:rPr>
      <w:rFonts w:ascii="Arial" w:hAnsi="Arial" w:cs="Arial"/>
      <w:noProof/>
      <w:sz w:val="22"/>
    </w:rPr>
  </w:style>
  <w:style w:type="character" w:customStyle="1" w:styleId="EndNoteBibliographyChar">
    <w:name w:val="EndNote Bibliography Char"/>
    <w:basedOn w:val="DefaultParagraphFont"/>
    <w:link w:val="EndNoteBibliography"/>
    <w:rsid w:val="002D5FDE"/>
    <w:rPr>
      <w:rFonts w:ascii="Arial" w:hAnsi="Arial" w:cs="Arial"/>
      <w:noProof/>
      <w:lang w:val="en-US"/>
    </w:rPr>
  </w:style>
  <w:style w:type="paragraph" w:styleId="CommentSubject">
    <w:name w:val="annotation subject"/>
    <w:basedOn w:val="CommentText"/>
    <w:next w:val="CommentText"/>
    <w:link w:val="CommentSubjectChar"/>
    <w:uiPriority w:val="99"/>
    <w:semiHidden/>
    <w:unhideWhenUsed/>
    <w:rsid w:val="00010494"/>
    <w:pPr>
      <w:spacing w:after="160"/>
    </w:pPr>
    <w:rPr>
      <w:rFonts w:eastAsiaTheme="minorHAnsi"/>
      <w:b/>
      <w:bCs/>
      <w:lang w:val="en-CA"/>
    </w:rPr>
  </w:style>
  <w:style w:type="character" w:customStyle="1" w:styleId="CommentSubjectChar">
    <w:name w:val="Comment Subject Char"/>
    <w:basedOn w:val="CommentTextChar"/>
    <w:link w:val="CommentSubject"/>
    <w:uiPriority w:val="99"/>
    <w:semiHidden/>
    <w:rsid w:val="00010494"/>
    <w:rPr>
      <w:rFonts w:eastAsiaTheme="minorEastAsia"/>
      <w:b/>
      <w:bCs/>
      <w:sz w:val="20"/>
      <w:szCs w:val="20"/>
      <w:lang w:val="en-US"/>
    </w:rPr>
  </w:style>
  <w:style w:type="paragraph" w:styleId="Revision">
    <w:name w:val="Revision"/>
    <w:hidden/>
    <w:uiPriority w:val="99"/>
    <w:semiHidden/>
    <w:rsid w:val="001E6BB7"/>
    <w:pPr>
      <w:spacing w:after="0" w:line="240" w:lineRule="auto"/>
    </w:pPr>
  </w:style>
  <w:style w:type="paragraph" w:styleId="Caption">
    <w:name w:val="caption"/>
    <w:basedOn w:val="Normal"/>
    <w:next w:val="Normal"/>
    <w:unhideWhenUsed/>
    <w:qFormat/>
    <w:rsid w:val="000670F9"/>
    <w:pPr>
      <w:pageBreakBefore/>
    </w:pPr>
    <w:rPr>
      <w:lang w:val="en-GB"/>
    </w:rPr>
  </w:style>
  <w:style w:type="paragraph" w:customStyle="1" w:styleId="TableText">
    <w:name w:val="Table Text"/>
    <w:basedOn w:val="Normal"/>
    <w:link w:val="TableTextChar"/>
    <w:qFormat/>
    <w:rsid w:val="00E83C67"/>
    <w:pPr>
      <w:spacing w:before="40" w:after="40" w:line="240" w:lineRule="auto"/>
    </w:pPr>
    <w:rPr>
      <w:rFonts w:cstheme="minorHAnsi"/>
      <w:sz w:val="22"/>
      <w:lang w:val="en-GB"/>
    </w:rPr>
  </w:style>
  <w:style w:type="character" w:customStyle="1" w:styleId="TableTextChar">
    <w:name w:val="Table Text Char"/>
    <w:basedOn w:val="DefaultParagraphFont"/>
    <w:link w:val="TableText"/>
    <w:rsid w:val="00E83C67"/>
    <w:rPr>
      <w:rFonts w:cstheme="minorHAnsi"/>
      <w:lang w:val="en-GB"/>
    </w:rPr>
  </w:style>
  <w:style w:type="paragraph" w:customStyle="1" w:styleId="TableTextIndent">
    <w:name w:val="Table Text Indent"/>
    <w:basedOn w:val="TableText"/>
    <w:qFormat/>
    <w:rsid w:val="000F49D4"/>
    <w:pPr>
      <w:ind w:left="430"/>
    </w:pPr>
  </w:style>
  <w:style w:type="paragraph" w:customStyle="1" w:styleId="TableTextCentered">
    <w:name w:val="Table Text Centered"/>
    <w:basedOn w:val="TableText"/>
    <w:qFormat/>
    <w:rsid w:val="005F36BB"/>
    <w:pPr>
      <w:jc w:val="center"/>
    </w:pPr>
  </w:style>
  <w:style w:type="table" w:styleId="TableGrid">
    <w:name w:val="Table Grid"/>
    <w:basedOn w:val="TableNormal"/>
    <w:uiPriority w:val="39"/>
    <w:rsid w:val="005F36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1B2F"/>
    <w:pPr>
      <w:tabs>
        <w:tab w:val="center" w:pos="4680"/>
        <w:tab w:val="right" w:pos="9360"/>
      </w:tabs>
      <w:spacing w:line="240" w:lineRule="auto"/>
    </w:pPr>
  </w:style>
  <w:style w:type="character" w:customStyle="1" w:styleId="HeaderChar">
    <w:name w:val="Header Char"/>
    <w:basedOn w:val="DefaultParagraphFont"/>
    <w:link w:val="Header"/>
    <w:uiPriority w:val="99"/>
    <w:rsid w:val="00051B2F"/>
    <w:rPr>
      <w:sz w:val="24"/>
    </w:rPr>
  </w:style>
  <w:style w:type="paragraph" w:styleId="Footer">
    <w:name w:val="footer"/>
    <w:basedOn w:val="Normal"/>
    <w:link w:val="FooterChar"/>
    <w:uiPriority w:val="99"/>
    <w:unhideWhenUsed/>
    <w:rsid w:val="00051B2F"/>
    <w:pPr>
      <w:tabs>
        <w:tab w:val="center" w:pos="4680"/>
        <w:tab w:val="right" w:pos="9360"/>
      </w:tabs>
      <w:spacing w:line="240" w:lineRule="auto"/>
    </w:pPr>
  </w:style>
  <w:style w:type="character" w:customStyle="1" w:styleId="FooterChar">
    <w:name w:val="Footer Char"/>
    <w:basedOn w:val="DefaultParagraphFont"/>
    <w:link w:val="Footer"/>
    <w:uiPriority w:val="99"/>
    <w:rsid w:val="00051B2F"/>
    <w:rPr>
      <w:sz w:val="24"/>
    </w:rPr>
  </w:style>
  <w:style w:type="character" w:customStyle="1" w:styleId="Heading4Char">
    <w:name w:val="Heading 4 Char"/>
    <w:basedOn w:val="DefaultParagraphFont"/>
    <w:link w:val="Heading4"/>
    <w:uiPriority w:val="9"/>
    <w:semiHidden/>
    <w:rsid w:val="00CE0288"/>
    <w:rPr>
      <w:rFonts w:asciiTheme="majorHAnsi" w:eastAsiaTheme="majorEastAsia" w:hAnsiTheme="majorHAnsi" w:cstheme="majorBidi"/>
      <w:i/>
      <w:iCs/>
      <w:color w:val="2E74B5" w:themeColor="accent1" w:themeShade="BF"/>
      <w:sz w:val="24"/>
    </w:rPr>
  </w:style>
  <w:style w:type="paragraph" w:styleId="NoSpacing">
    <w:name w:val="No Spacing"/>
    <w:uiPriority w:val="1"/>
    <w:qFormat/>
    <w:rsid w:val="000204BC"/>
    <w:pPr>
      <w:spacing w:after="0" w:line="240" w:lineRule="auto"/>
    </w:pPr>
    <w:rPr>
      <w:sz w:val="24"/>
      <w:lang w:val="en-US"/>
    </w:rPr>
  </w:style>
  <w:style w:type="character" w:styleId="LineNumber">
    <w:name w:val="line number"/>
    <w:basedOn w:val="DefaultParagraphFont"/>
    <w:uiPriority w:val="99"/>
    <w:semiHidden/>
    <w:unhideWhenUsed/>
    <w:rsid w:val="00EF2262"/>
  </w:style>
  <w:style w:type="character" w:customStyle="1" w:styleId="UnresolvedMention1">
    <w:name w:val="Unresolved Mention1"/>
    <w:basedOn w:val="DefaultParagraphFont"/>
    <w:uiPriority w:val="99"/>
    <w:semiHidden/>
    <w:unhideWhenUsed/>
    <w:rsid w:val="00E76AA1"/>
    <w:rPr>
      <w:color w:val="605E5C"/>
      <w:shd w:val="clear" w:color="auto" w:fill="E1DFDD"/>
    </w:rPr>
  </w:style>
  <w:style w:type="character" w:styleId="UnresolvedMention">
    <w:name w:val="Unresolved Mention"/>
    <w:basedOn w:val="DefaultParagraphFont"/>
    <w:uiPriority w:val="99"/>
    <w:semiHidden/>
    <w:unhideWhenUsed/>
    <w:rsid w:val="007D0D4E"/>
    <w:rPr>
      <w:color w:val="605E5C"/>
      <w:shd w:val="clear" w:color="auto" w:fill="E1DFDD"/>
    </w:rPr>
  </w:style>
  <w:style w:type="character" w:customStyle="1" w:styleId="UnresolvedMention2">
    <w:name w:val="Unresolved Mention2"/>
    <w:basedOn w:val="DefaultParagraphFont"/>
    <w:uiPriority w:val="99"/>
    <w:semiHidden/>
    <w:unhideWhenUsed/>
    <w:rsid w:val="00541F00"/>
    <w:rPr>
      <w:color w:val="605E5C"/>
      <w:shd w:val="clear" w:color="auto" w:fill="E1DFDD"/>
    </w:rPr>
  </w:style>
  <w:style w:type="character" w:customStyle="1" w:styleId="period">
    <w:name w:val="period"/>
    <w:basedOn w:val="DefaultParagraphFont"/>
    <w:rsid w:val="008E6321"/>
  </w:style>
  <w:style w:type="character" w:customStyle="1" w:styleId="cit">
    <w:name w:val="cit"/>
    <w:basedOn w:val="DefaultParagraphFont"/>
    <w:rsid w:val="008E6321"/>
  </w:style>
  <w:style w:type="character" w:styleId="FollowedHyperlink">
    <w:name w:val="FollowedHyperlink"/>
    <w:basedOn w:val="DefaultParagraphFont"/>
    <w:uiPriority w:val="99"/>
    <w:semiHidden/>
    <w:unhideWhenUsed/>
    <w:rsid w:val="007545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7306">
      <w:bodyDiv w:val="1"/>
      <w:marLeft w:val="0"/>
      <w:marRight w:val="0"/>
      <w:marTop w:val="0"/>
      <w:marBottom w:val="0"/>
      <w:divBdr>
        <w:top w:val="none" w:sz="0" w:space="0" w:color="auto"/>
        <w:left w:val="none" w:sz="0" w:space="0" w:color="auto"/>
        <w:bottom w:val="none" w:sz="0" w:space="0" w:color="auto"/>
        <w:right w:val="none" w:sz="0" w:space="0" w:color="auto"/>
      </w:divBdr>
      <w:divsChild>
        <w:div w:id="1495488074">
          <w:marLeft w:val="0"/>
          <w:marRight w:val="0"/>
          <w:marTop w:val="0"/>
          <w:marBottom w:val="0"/>
          <w:divBdr>
            <w:top w:val="none" w:sz="0" w:space="0" w:color="auto"/>
            <w:left w:val="none" w:sz="0" w:space="0" w:color="auto"/>
            <w:bottom w:val="none" w:sz="0" w:space="0" w:color="auto"/>
            <w:right w:val="none" w:sz="0" w:space="0" w:color="auto"/>
          </w:divBdr>
          <w:divsChild>
            <w:div w:id="837309011">
              <w:marLeft w:val="0"/>
              <w:marRight w:val="0"/>
              <w:marTop w:val="0"/>
              <w:marBottom w:val="0"/>
              <w:divBdr>
                <w:top w:val="none" w:sz="0" w:space="0" w:color="auto"/>
                <w:left w:val="none" w:sz="0" w:space="0" w:color="auto"/>
                <w:bottom w:val="none" w:sz="0" w:space="0" w:color="auto"/>
                <w:right w:val="none" w:sz="0" w:space="0" w:color="auto"/>
              </w:divBdr>
              <w:divsChild>
                <w:div w:id="2132893984">
                  <w:marLeft w:val="0"/>
                  <w:marRight w:val="0"/>
                  <w:marTop w:val="0"/>
                  <w:marBottom w:val="0"/>
                  <w:divBdr>
                    <w:top w:val="none" w:sz="0" w:space="0" w:color="auto"/>
                    <w:left w:val="none" w:sz="0" w:space="0" w:color="auto"/>
                    <w:bottom w:val="none" w:sz="0" w:space="0" w:color="auto"/>
                    <w:right w:val="none" w:sz="0" w:space="0" w:color="auto"/>
                  </w:divBdr>
                  <w:divsChild>
                    <w:div w:id="1415514476">
                      <w:marLeft w:val="0"/>
                      <w:marRight w:val="0"/>
                      <w:marTop w:val="0"/>
                      <w:marBottom w:val="0"/>
                      <w:divBdr>
                        <w:top w:val="none" w:sz="0" w:space="0" w:color="auto"/>
                        <w:left w:val="none" w:sz="0" w:space="0" w:color="auto"/>
                        <w:bottom w:val="none" w:sz="0" w:space="0" w:color="auto"/>
                        <w:right w:val="none" w:sz="0" w:space="0" w:color="auto"/>
                      </w:divBdr>
                      <w:divsChild>
                        <w:div w:id="186531960">
                          <w:marLeft w:val="0"/>
                          <w:marRight w:val="0"/>
                          <w:marTop w:val="0"/>
                          <w:marBottom w:val="0"/>
                          <w:divBdr>
                            <w:top w:val="none" w:sz="0" w:space="0" w:color="auto"/>
                            <w:left w:val="none" w:sz="0" w:space="0" w:color="auto"/>
                            <w:bottom w:val="none" w:sz="0" w:space="0" w:color="auto"/>
                            <w:right w:val="none" w:sz="0" w:space="0" w:color="auto"/>
                          </w:divBdr>
                          <w:divsChild>
                            <w:div w:id="1413820853">
                              <w:marLeft w:val="0"/>
                              <w:marRight w:val="0"/>
                              <w:marTop w:val="0"/>
                              <w:marBottom w:val="0"/>
                              <w:divBdr>
                                <w:top w:val="none" w:sz="0" w:space="0" w:color="auto"/>
                                <w:left w:val="none" w:sz="0" w:space="0" w:color="auto"/>
                                <w:bottom w:val="none" w:sz="0" w:space="0" w:color="auto"/>
                                <w:right w:val="none" w:sz="0" w:space="0" w:color="auto"/>
                              </w:divBdr>
                              <w:divsChild>
                                <w:div w:id="479615168">
                                  <w:marLeft w:val="0"/>
                                  <w:marRight w:val="0"/>
                                  <w:marTop w:val="0"/>
                                  <w:marBottom w:val="0"/>
                                  <w:divBdr>
                                    <w:top w:val="none" w:sz="0" w:space="0" w:color="auto"/>
                                    <w:left w:val="none" w:sz="0" w:space="0" w:color="auto"/>
                                    <w:bottom w:val="none" w:sz="0" w:space="0" w:color="auto"/>
                                    <w:right w:val="none" w:sz="0" w:space="0" w:color="auto"/>
                                  </w:divBdr>
                                  <w:divsChild>
                                    <w:div w:id="2067871338">
                                      <w:marLeft w:val="0"/>
                                      <w:marRight w:val="0"/>
                                      <w:marTop w:val="0"/>
                                      <w:marBottom w:val="0"/>
                                      <w:divBdr>
                                        <w:top w:val="none" w:sz="0" w:space="0" w:color="auto"/>
                                        <w:left w:val="none" w:sz="0" w:space="0" w:color="auto"/>
                                        <w:bottom w:val="none" w:sz="0" w:space="0" w:color="auto"/>
                                        <w:right w:val="none" w:sz="0" w:space="0" w:color="auto"/>
                                      </w:divBdr>
                                      <w:divsChild>
                                        <w:div w:id="813570960">
                                          <w:marLeft w:val="0"/>
                                          <w:marRight w:val="0"/>
                                          <w:marTop w:val="0"/>
                                          <w:marBottom w:val="0"/>
                                          <w:divBdr>
                                            <w:top w:val="none" w:sz="0" w:space="0" w:color="auto"/>
                                            <w:left w:val="none" w:sz="0" w:space="0" w:color="auto"/>
                                            <w:bottom w:val="none" w:sz="0" w:space="0" w:color="auto"/>
                                            <w:right w:val="none" w:sz="0" w:space="0" w:color="auto"/>
                                          </w:divBdr>
                                          <w:divsChild>
                                            <w:div w:id="1416853514">
                                              <w:marLeft w:val="0"/>
                                              <w:marRight w:val="0"/>
                                              <w:marTop w:val="0"/>
                                              <w:marBottom w:val="0"/>
                                              <w:divBdr>
                                                <w:top w:val="none" w:sz="0" w:space="0" w:color="auto"/>
                                                <w:left w:val="none" w:sz="0" w:space="0" w:color="auto"/>
                                                <w:bottom w:val="none" w:sz="0" w:space="0" w:color="auto"/>
                                                <w:right w:val="none" w:sz="0" w:space="0" w:color="auto"/>
                                              </w:divBdr>
                                              <w:divsChild>
                                                <w:div w:id="16088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70707">
      <w:bodyDiv w:val="1"/>
      <w:marLeft w:val="0"/>
      <w:marRight w:val="0"/>
      <w:marTop w:val="0"/>
      <w:marBottom w:val="0"/>
      <w:divBdr>
        <w:top w:val="none" w:sz="0" w:space="0" w:color="auto"/>
        <w:left w:val="none" w:sz="0" w:space="0" w:color="auto"/>
        <w:bottom w:val="none" w:sz="0" w:space="0" w:color="auto"/>
        <w:right w:val="none" w:sz="0" w:space="0" w:color="auto"/>
      </w:divBdr>
    </w:div>
    <w:div w:id="156964475">
      <w:bodyDiv w:val="1"/>
      <w:marLeft w:val="0"/>
      <w:marRight w:val="0"/>
      <w:marTop w:val="0"/>
      <w:marBottom w:val="0"/>
      <w:divBdr>
        <w:top w:val="none" w:sz="0" w:space="0" w:color="auto"/>
        <w:left w:val="none" w:sz="0" w:space="0" w:color="auto"/>
        <w:bottom w:val="none" w:sz="0" w:space="0" w:color="auto"/>
        <w:right w:val="none" w:sz="0" w:space="0" w:color="auto"/>
      </w:divBdr>
    </w:div>
    <w:div w:id="159126284">
      <w:bodyDiv w:val="1"/>
      <w:marLeft w:val="0"/>
      <w:marRight w:val="0"/>
      <w:marTop w:val="0"/>
      <w:marBottom w:val="0"/>
      <w:divBdr>
        <w:top w:val="none" w:sz="0" w:space="0" w:color="auto"/>
        <w:left w:val="none" w:sz="0" w:space="0" w:color="auto"/>
        <w:bottom w:val="none" w:sz="0" w:space="0" w:color="auto"/>
        <w:right w:val="none" w:sz="0" w:space="0" w:color="auto"/>
      </w:divBdr>
    </w:div>
    <w:div w:id="182935904">
      <w:bodyDiv w:val="1"/>
      <w:marLeft w:val="0"/>
      <w:marRight w:val="0"/>
      <w:marTop w:val="0"/>
      <w:marBottom w:val="0"/>
      <w:divBdr>
        <w:top w:val="none" w:sz="0" w:space="0" w:color="auto"/>
        <w:left w:val="none" w:sz="0" w:space="0" w:color="auto"/>
        <w:bottom w:val="none" w:sz="0" w:space="0" w:color="auto"/>
        <w:right w:val="none" w:sz="0" w:space="0" w:color="auto"/>
      </w:divBdr>
    </w:div>
    <w:div w:id="188183643">
      <w:bodyDiv w:val="1"/>
      <w:marLeft w:val="0"/>
      <w:marRight w:val="0"/>
      <w:marTop w:val="0"/>
      <w:marBottom w:val="0"/>
      <w:divBdr>
        <w:top w:val="none" w:sz="0" w:space="0" w:color="auto"/>
        <w:left w:val="none" w:sz="0" w:space="0" w:color="auto"/>
        <w:bottom w:val="none" w:sz="0" w:space="0" w:color="auto"/>
        <w:right w:val="none" w:sz="0" w:space="0" w:color="auto"/>
      </w:divBdr>
    </w:div>
    <w:div w:id="227885273">
      <w:bodyDiv w:val="1"/>
      <w:marLeft w:val="0"/>
      <w:marRight w:val="0"/>
      <w:marTop w:val="0"/>
      <w:marBottom w:val="0"/>
      <w:divBdr>
        <w:top w:val="none" w:sz="0" w:space="0" w:color="auto"/>
        <w:left w:val="none" w:sz="0" w:space="0" w:color="auto"/>
        <w:bottom w:val="none" w:sz="0" w:space="0" w:color="auto"/>
        <w:right w:val="none" w:sz="0" w:space="0" w:color="auto"/>
      </w:divBdr>
    </w:div>
    <w:div w:id="330959262">
      <w:bodyDiv w:val="1"/>
      <w:marLeft w:val="0"/>
      <w:marRight w:val="0"/>
      <w:marTop w:val="0"/>
      <w:marBottom w:val="0"/>
      <w:divBdr>
        <w:top w:val="none" w:sz="0" w:space="0" w:color="auto"/>
        <w:left w:val="none" w:sz="0" w:space="0" w:color="auto"/>
        <w:bottom w:val="none" w:sz="0" w:space="0" w:color="auto"/>
        <w:right w:val="none" w:sz="0" w:space="0" w:color="auto"/>
      </w:divBdr>
    </w:div>
    <w:div w:id="352925377">
      <w:bodyDiv w:val="1"/>
      <w:marLeft w:val="0"/>
      <w:marRight w:val="0"/>
      <w:marTop w:val="0"/>
      <w:marBottom w:val="0"/>
      <w:divBdr>
        <w:top w:val="none" w:sz="0" w:space="0" w:color="auto"/>
        <w:left w:val="none" w:sz="0" w:space="0" w:color="auto"/>
        <w:bottom w:val="none" w:sz="0" w:space="0" w:color="auto"/>
        <w:right w:val="none" w:sz="0" w:space="0" w:color="auto"/>
      </w:divBdr>
    </w:div>
    <w:div w:id="383725571">
      <w:bodyDiv w:val="1"/>
      <w:marLeft w:val="0"/>
      <w:marRight w:val="0"/>
      <w:marTop w:val="0"/>
      <w:marBottom w:val="0"/>
      <w:divBdr>
        <w:top w:val="none" w:sz="0" w:space="0" w:color="auto"/>
        <w:left w:val="none" w:sz="0" w:space="0" w:color="auto"/>
        <w:bottom w:val="none" w:sz="0" w:space="0" w:color="auto"/>
        <w:right w:val="none" w:sz="0" w:space="0" w:color="auto"/>
      </w:divBdr>
    </w:div>
    <w:div w:id="462886830">
      <w:bodyDiv w:val="1"/>
      <w:marLeft w:val="0"/>
      <w:marRight w:val="0"/>
      <w:marTop w:val="0"/>
      <w:marBottom w:val="0"/>
      <w:divBdr>
        <w:top w:val="none" w:sz="0" w:space="0" w:color="auto"/>
        <w:left w:val="none" w:sz="0" w:space="0" w:color="auto"/>
        <w:bottom w:val="none" w:sz="0" w:space="0" w:color="auto"/>
        <w:right w:val="none" w:sz="0" w:space="0" w:color="auto"/>
      </w:divBdr>
    </w:div>
    <w:div w:id="521432144">
      <w:bodyDiv w:val="1"/>
      <w:marLeft w:val="0"/>
      <w:marRight w:val="0"/>
      <w:marTop w:val="0"/>
      <w:marBottom w:val="0"/>
      <w:divBdr>
        <w:top w:val="none" w:sz="0" w:space="0" w:color="auto"/>
        <w:left w:val="none" w:sz="0" w:space="0" w:color="auto"/>
        <w:bottom w:val="none" w:sz="0" w:space="0" w:color="auto"/>
        <w:right w:val="none" w:sz="0" w:space="0" w:color="auto"/>
      </w:divBdr>
    </w:div>
    <w:div w:id="528882361">
      <w:bodyDiv w:val="1"/>
      <w:marLeft w:val="0"/>
      <w:marRight w:val="0"/>
      <w:marTop w:val="0"/>
      <w:marBottom w:val="0"/>
      <w:divBdr>
        <w:top w:val="none" w:sz="0" w:space="0" w:color="auto"/>
        <w:left w:val="none" w:sz="0" w:space="0" w:color="auto"/>
        <w:bottom w:val="none" w:sz="0" w:space="0" w:color="auto"/>
        <w:right w:val="none" w:sz="0" w:space="0" w:color="auto"/>
      </w:divBdr>
    </w:div>
    <w:div w:id="532770600">
      <w:bodyDiv w:val="1"/>
      <w:marLeft w:val="0"/>
      <w:marRight w:val="0"/>
      <w:marTop w:val="0"/>
      <w:marBottom w:val="0"/>
      <w:divBdr>
        <w:top w:val="none" w:sz="0" w:space="0" w:color="auto"/>
        <w:left w:val="none" w:sz="0" w:space="0" w:color="auto"/>
        <w:bottom w:val="none" w:sz="0" w:space="0" w:color="auto"/>
        <w:right w:val="none" w:sz="0" w:space="0" w:color="auto"/>
      </w:divBdr>
    </w:div>
    <w:div w:id="535506872">
      <w:bodyDiv w:val="1"/>
      <w:marLeft w:val="0"/>
      <w:marRight w:val="0"/>
      <w:marTop w:val="0"/>
      <w:marBottom w:val="0"/>
      <w:divBdr>
        <w:top w:val="none" w:sz="0" w:space="0" w:color="auto"/>
        <w:left w:val="none" w:sz="0" w:space="0" w:color="auto"/>
        <w:bottom w:val="none" w:sz="0" w:space="0" w:color="auto"/>
        <w:right w:val="none" w:sz="0" w:space="0" w:color="auto"/>
      </w:divBdr>
    </w:div>
    <w:div w:id="538204389">
      <w:bodyDiv w:val="1"/>
      <w:marLeft w:val="0"/>
      <w:marRight w:val="0"/>
      <w:marTop w:val="0"/>
      <w:marBottom w:val="0"/>
      <w:divBdr>
        <w:top w:val="none" w:sz="0" w:space="0" w:color="auto"/>
        <w:left w:val="none" w:sz="0" w:space="0" w:color="auto"/>
        <w:bottom w:val="none" w:sz="0" w:space="0" w:color="auto"/>
        <w:right w:val="none" w:sz="0" w:space="0" w:color="auto"/>
      </w:divBdr>
    </w:div>
    <w:div w:id="551119011">
      <w:bodyDiv w:val="1"/>
      <w:marLeft w:val="0"/>
      <w:marRight w:val="0"/>
      <w:marTop w:val="0"/>
      <w:marBottom w:val="0"/>
      <w:divBdr>
        <w:top w:val="none" w:sz="0" w:space="0" w:color="auto"/>
        <w:left w:val="none" w:sz="0" w:space="0" w:color="auto"/>
        <w:bottom w:val="none" w:sz="0" w:space="0" w:color="auto"/>
        <w:right w:val="none" w:sz="0" w:space="0" w:color="auto"/>
      </w:divBdr>
    </w:div>
    <w:div w:id="564415925">
      <w:bodyDiv w:val="1"/>
      <w:marLeft w:val="0"/>
      <w:marRight w:val="0"/>
      <w:marTop w:val="0"/>
      <w:marBottom w:val="0"/>
      <w:divBdr>
        <w:top w:val="none" w:sz="0" w:space="0" w:color="auto"/>
        <w:left w:val="none" w:sz="0" w:space="0" w:color="auto"/>
        <w:bottom w:val="none" w:sz="0" w:space="0" w:color="auto"/>
        <w:right w:val="none" w:sz="0" w:space="0" w:color="auto"/>
      </w:divBdr>
      <w:divsChild>
        <w:div w:id="1176269239">
          <w:marLeft w:val="0"/>
          <w:marRight w:val="0"/>
          <w:marTop w:val="0"/>
          <w:marBottom w:val="0"/>
          <w:divBdr>
            <w:top w:val="none" w:sz="0" w:space="0" w:color="auto"/>
            <w:left w:val="none" w:sz="0" w:space="0" w:color="auto"/>
            <w:bottom w:val="none" w:sz="0" w:space="0" w:color="auto"/>
            <w:right w:val="none" w:sz="0" w:space="0" w:color="auto"/>
          </w:divBdr>
        </w:div>
      </w:divsChild>
    </w:div>
    <w:div w:id="565653246">
      <w:bodyDiv w:val="1"/>
      <w:marLeft w:val="0"/>
      <w:marRight w:val="0"/>
      <w:marTop w:val="0"/>
      <w:marBottom w:val="0"/>
      <w:divBdr>
        <w:top w:val="none" w:sz="0" w:space="0" w:color="auto"/>
        <w:left w:val="none" w:sz="0" w:space="0" w:color="auto"/>
        <w:bottom w:val="none" w:sz="0" w:space="0" w:color="auto"/>
        <w:right w:val="none" w:sz="0" w:space="0" w:color="auto"/>
      </w:divBdr>
    </w:div>
    <w:div w:id="576481816">
      <w:bodyDiv w:val="1"/>
      <w:marLeft w:val="0"/>
      <w:marRight w:val="0"/>
      <w:marTop w:val="0"/>
      <w:marBottom w:val="0"/>
      <w:divBdr>
        <w:top w:val="none" w:sz="0" w:space="0" w:color="auto"/>
        <w:left w:val="none" w:sz="0" w:space="0" w:color="auto"/>
        <w:bottom w:val="none" w:sz="0" w:space="0" w:color="auto"/>
        <w:right w:val="none" w:sz="0" w:space="0" w:color="auto"/>
      </w:divBdr>
    </w:div>
    <w:div w:id="594049630">
      <w:bodyDiv w:val="1"/>
      <w:marLeft w:val="0"/>
      <w:marRight w:val="0"/>
      <w:marTop w:val="0"/>
      <w:marBottom w:val="0"/>
      <w:divBdr>
        <w:top w:val="none" w:sz="0" w:space="0" w:color="auto"/>
        <w:left w:val="none" w:sz="0" w:space="0" w:color="auto"/>
        <w:bottom w:val="none" w:sz="0" w:space="0" w:color="auto"/>
        <w:right w:val="none" w:sz="0" w:space="0" w:color="auto"/>
      </w:divBdr>
    </w:div>
    <w:div w:id="598218881">
      <w:bodyDiv w:val="1"/>
      <w:marLeft w:val="0"/>
      <w:marRight w:val="0"/>
      <w:marTop w:val="0"/>
      <w:marBottom w:val="0"/>
      <w:divBdr>
        <w:top w:val="none" w:sz="0" w:space="0" w:color="auto"/>
        <w:left w:val="none" w:sz="0" w:space="0" w:color="auto"/>
        <w:bottom w:val="none" w:sz="0" w:space="0" w:color="auto"/>
        <w:right w:val="none" w:sz="0" w:space="0" w:color="auto"/>
      </w:divBdr>
    </w:div>
    <w:div w:id="642391286">
      <w:bodyDiv w:val="1"/>
      <w:marLeft w:val="0"/>
      <w:marRight w:val="0"/>
      <w:marTop w:val="0"/>
      <w:marBottom w:val="0"/>
      <w:divBdr>
        <w:top w:val="none" w:sz="0" w:space="0" w:color="auto"/>
        <w:left w:val="none" w:sz="0" w:space="0" w:color="auto"/>
        <w:bottom w:val="none" w:sz="0" w:space="0" w:color="auto"/>
        <w:right w:val="none" w:sz="0" w:space="0" w:color="auto"/>
      </w:divBdr>
    </w:div>
    <w:div w:id="651521352">
      <w:bodyDiv w:val="1"/>
      <w:marLeft w:val="0"/>
      <w:marRight w:val="0"/>
      <w:marTop w:val="0"/>
      <w:marBottom w:val="0"/>
      <w:divBdr>
        <w:top w:val="none" w:sz="0" w:space="0" w:color="auto"/>
        <w:left w:val="none" w:sz="0" w:space="0" w:color="auto"/>
        <w:bottom w:val="none" w:sz="0" w:space="0" w:color="auto"/>
        <w:right w:val="none" w:sz="0" w:space="0" w:color="auto"/>
      </w:divBdr>
    </w:div>
    <w:div w:id="665282460">
      <w:bodyDiv w:val="1"/>
      <w:marLeft w:val="0"/>
      <w:marRight w:val="0"/>
      <w:marTop w:val="0"/>
      <w:marBottom w:val="0"/>
      <w:divBdr>
        <w:top w:val="none" w:sz="0" w:space="0" w:color="auto"/>
        <w:left w:val="none" w:sz="0" w:space="0" w:color="auto"/>
        <w:bottom w:val="none" w:sz="0" w:space="0" w:color="auto"/>
        <w:right w:val="none" w:sz="0" w:space="0" w:color="auto"/>
      </w:divBdr>
    </w:div>
    <w:div w:id="682702772">
      <w:bodyDiv w:val="1"/>
      <w:marLeft w:val="0"/>
      <w:marRight w:val="0"/>
      <w:marTop w:val="0"/>
      <w:marBottom w:val="0"/>
      <w:divBdr>
        <w:top w:val="none" w:sz="0" w:space="0" w:color="auto"/>
        <w:left w:val="none" w:sz="0" w:space="0" w:color="auto"/>
        <w:bottom w:val="none" w:sz="0" w:space="0" w:color="auto"/>
        <w:right w:val="none" w:sz="0" w:space="0" w:color="auto"/>
      </w:divBdr>
    </w:div>
    <w:div w:id="721950961">
      <w:bodyDiv w:val="1"/>
      <w:marLeft w:val="0"/>
      <w:marRight w:val="0"/>
      <w:marTop w:val="0"/>
      <w:marBottom w:val="0"/>
      <w:divBdr>
        <w:top w:val="none" w:sz="0" w:space="0" w:color="auto"/>
        <w:left w:val="none" w:sz="0" w:space="0" w:color="auto"/>
        <w:bottom w:val="none" w:sz="0" w:space="0" w:color="auto"/>
        <w:right w:val="none" w:sz="0" w:space="0" w:color="auto"/>
      </w:divBdr>
    </w:div>
    <w:div w:id="731543129">
      <w:bodyDiv w:val="1"/>
      <w:marLeft w:val="0"/>
      <w:marRight w:val="0"/>
      <w:marTop w:val="0"/>
      <w:marBottom w:val="0"/>
      <w:divBdr>
        <w:top w:val="none" w:sz="0" w:space="0" w:color="auto"/>
        <w:left w:val="none" w:sz="0" w:space="0" w:color="auto"/>
        <w:bottom w:val="none" w:sz="0" w:space="0" w:color="auto"/>
        <w:right w:val="none" w:sz="0" w:space="0" w:color="auto"/>
      </w:divBdr>
    </w:div>
    <w:div w:id="762183733">
      <w:bodyDiv w:val="1"/>
      <w:marLeft w:val="0"/>
      <w:marRight w:val="0"/>
      <w:marTop w:val="0"/>
      <w:marBottom w:val="0"/>
      <w:divBdr>
        <w:top w:val="none" w:sz="0" w:space="0" w:color="auto"/>
        <w:left w:val="none" w:sz="0" w:space="0" w:color="auto"/>
        <w:bottom w:val="none" w:sz="0" w:space="0" w:color="auto"/>
        <w:right w:val="none" w:sz="0" w:space="0" w:color="auto"/>
      </w:divBdr>
    </w:div>
    <w:div w:id="773676225">
      <w:bodyDiv w:val="1"/>
      <w:marLeft w:val="0"/>
      <w:marRight w:val="0"/>
      <w:marTop w:val="0"/>
      <w:marBottom w:val="0"/>
      <w:divBdr>
        <w:top w:val="none" w:sz="0" w:space="0" w:color="auto"/>
        <w:left w:val="none" w:sz="0" w:space="0" w:color="auto"/>
        <w:bottom w:val="none" w:sz="0" w:space="0" w:color="auto"/>
        <w:right w:val="none" w:sz="0" w:space="0" w:color="auto"/>
      </w:divBdr>
    </w:div>
    <w:div w:id="812718781">
      <w:bodyDiv w:val="1"/>
      <w:marLeft w:val="0"/>
      <w:marRight w:val="0"/>
      <w:marTop w:val="0"/>
      <w:marBottom w:val="0"/>
      <w:divBdr>
        <w:top w:val="none" w:sz="0" w:space="0" w:color="auto"/>
        <w:left w:val="none" w:sz="0" w:space="0" w:color="auto"/>
        <w:bottom w:val="none" w:sz="0" w:space="0" w:color="auto"/>
        <w:right w:val="none" w:sz="0" w:space="0" w:color="auto"/>
      </w:divBdr>
    </w:div>
    <w:div w:id="828640098">
      <w:bodyDiv w:val="1"/>
      <w:marLeft w:val="0"/>
      <w:marRight w:val="0"/>
      <w:marTop w:val="0"/>
      <w:marBottom w:val="0"/>
      <w:divBdr>
        <w:top w:val="none" w:sz="0" w:space="0" w:color="auto"/>
        <w:left w:val="none" w:sz="0" w:space="0" w:color="auto"/>
        <w:bottom w:val="none" w:sz="0" w:space="0" w:color="auto"/>
        <w:right w:val="none" w:sz="0" w:space="0" w:color="auto"/>
      </w:divBdr>
    </w:div>
    <w:div w:id="871844957">
      <w:bodyDiv w:val="1"/>
      <w:marLeft w:val="0"/>
      <w:marRight w:val="0"/>
      <w:marTop w:val="0"/>
      <w:marBottom w:val="0"/>
      <w:divBdr>
        <w:top w:val="none" w:sz="0" w:space="0" w:color="auto"/>
        <w:left w:val="none" w:sz="0" w:space="0" w:color="auto"/>
        <w:bottom w:val="none" w:sz="0" w:space="0" w:color="auto"/>
        <w:right w:val="none" w:sz="0" w:space="0" w:color="auto"/>
      </w:divBdr>
    </w:div>
    <w:div w:id="899945427">
      <w:bodyDiv w:val="1"/>
      <w:marLeft w:val="0"/>
      <w:marRight w:val="0"/>
      <w:marTop w:val="0"/>
      <w:marBottom w:val="0"/>
      <w:divBdr>
        <w:top w:val="none" w:sz="0" w:space="0" w:color="auto"/>
        <w:left w:val="none" w:sz="0" w:space="0" w:color="auto"/>
        <w:bottom w:val="none" w:sz="0" w:space="0" w:color="auto"/>
        <w:right w:val="none" w:sz="0" w:space="0" w:color="auto"/>
      </w:divBdr>
    </w:div>
    <w:div w:id="919947657">
      <w:bodyDiv w:val="1"/>
      <w:marLeft w:val="0"/>
      <w:marRight w:val="0"/>
      <w:marTop w:val="0"/>
      <w:marBottom w:val="0"/>
      <w:divBdr>
        <w:top w:val="none" w:sz="0" w:space="0" w:color="auto"/>
        <w:left w:val="none" w:sz="0" w:space="0" w:color="auto"/>
        <w:bottom w:val="none" w:sz="0" w:space="0" w:color="auto"/>
        <w:right w:val="none" w:sz="0" w:space="0" w:color="auto"/>
      </w:divBdr>
    </w:div>
    <w:div w:id="940262834">
      <w:bodyDiv w:val="1"/>
      <w:marLeft w:val="0"/>
      <w:marRight w:val="0"/>
      <w:marTop w:val="0"/>
      <w:marBottom w:val="0"/>
      <w:divBdr>
        <w:top w:val="none" w:sz="0" w:space="0" w:color="auto"/>
        <w:left w:val="none" w:sz="0" w:space="0" w:color="auto"/>
        <w:bottom w:val="none" w:sz="0" w:space="0" w:color="auto"/>
        <w:right w:val="none" w:sz="0" w:space="0" w:color="auto"/>
      </w:divBdr>
    </w:div>
    <w:div w:id="969164292">
      <w:bodyDiv w:val="1"/>
      <w:marLeft w:val="0"/>
      <w:marRight w:val="0"/>
      <w:marTop w:val="0"/>
      <w:marBottom w:val="0"/>
      <w:divBdr>
        <w:top w:val="none" w:sz="0" w:space="0" w:color="auto"/>
        <w:left w:val="none" w:sz="0" w:space="0" w:color="auto"/>
        <w:bottom w:val="none" w:sz="0" w:space="0" w:color="auto"/>
        <w:right w:val="none" w:sz="0" w:space="0" w:color="auto"/>
      </w:divBdr>
    </w:div>
    <w:div w:id="1095632754">
      <w:bodyDiv w:val="1"/>
      <w:marLeft w:val="0"/>
      <w:marRight w:val="0"/>
      <w:marTop w:val="0"/>
      <w:marBottom w:val="0"/>
      <w:divBdr>
        <w:top w:val="none" w:sz="0" w:space="0" w:color="auto"/>
        <w:left w:val="none" w:sz="0" w:space="0" w:color="auto"/>
        <w:bottom w:val="none" w:sz="0" w:space="0" w:color="auto"/>
        <w:right w:val="none" w:sz="0" w:space="0" w:color="auto"/>
      </w:divBdr>
    </w:div>
    <w:div w:id="1133059725">
      <w:bodyDiv w:val="1"/>
      <w:marLeft w:val="0"/>
      <w:marRight w:val="0"/>
      <w:marTop w:val="0"/>
      <w:marBottom w:val="0"/>
      <w:divBdr>
        <w:top w:val="none" w:sz="0" w:space="0" w:color="auto"/>
        <w:left w:val="none" w:sz="0" w:space="0" w:color="auto"/>
        <w:bottom w:val="none" w:sz="0" w:space="0" w:color="auto"/>
        <w:right w:val="none" w:sz="0" w:space="0" w:color="auto"/>
      </w:divBdr>
    </w:div>
    <w:div w:id="1133400261">
      <w:bodyDiv w:val="1"/>
      <w:marLeft w:val="0"/>
      <w:marRight w:val="0"/>
      <w:marTop w:val="0"/>
      <w:marBottom w:val="0"/>
      <w:divBdr>
        <w:top w:val="none" w:sz="0" w:space="0" w:color="auto"/>
        <w:left w:val="none" w:sz="0" w:space="0" w:color="auto"/>
        <w:bottom w:val="none" w:sz="0" w:space="0" w:color="auto"/>
        <w:right w:val="none" w:sz="0" w:space="0" w:color="auto"/>
      </w:divBdr>
      <w:divsChild>
        <w:div w:id="967979293">
          <w:marLeft w:val="0"/>
          <w:marRight w:val="0"/>
          <w:marTop w:val="0"/>
          <w:marBottom w:val="0"/>
          <w:divBdr>
            <w:top w:val="none" w:sz="0" w:space="0" w:color="auto"/>
            <w:left w:val="none" w:sz="0" w:space="0" w:color="auto"/>
            <w:bottom w:val="none" w:sz="0" w:space="0" w:color="auto"/>
            <w:right w:val="none" w:sz="0" w:space="0" w:color="auto"/>
          </w:divBdr>
          <w:divsChild>
            <w:div w:id="198103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161">
      <w:bodyDiv w:val="1"/>
      <w:marLeft w:val="0"/>
      <w:marRight w:val="0"/>
      <w:marTop w:val="0"/>
      <w:marBottom w:val="0"/>
      <w:divBdr>
        <w:top w:val="none" w:sz="0" w:space="0" w:color="auto"/>
        <w:left w:val="none" w:sz="0" w:space="0" w:color="auto"/>
        <w:bottom w:val="none" w:sz="0" w:space="0" w:color="auto"/>
        <w:right w:val="none" w:sz="0" w:space="0" w:color="auto"/>
      </w:divBdr>
    </w:div>
    <w:div w:id="1168910566">
      <w:bodyDiv w:val="1"/>
      <w:marLeft w:val="0"/>
      <w:marRight w:val="0"/>
      <w:marTop w:val="0"/>
      <w:marBottom w:val="0"/>
      <w:divBdr>
        <w:top w:val="none" w:sz="0" w:space="0" w:color="auto"/>
        <w:left w:val="none" w:sz="0" w:space="0" w:color="auto"/>
        <w:bottom w:val="none" w:sz="0" w:space="0" w:color="auto"/>
        <w:right w:val="none" w:sz="0" w:space="0" w:color="auto"/>
      </w:divBdr>
    </w:div>
    <w:div w:id="1279994405">
      <w:bodyDiv w:val="1"/>
      <w:marLeft w:val="0"/>
      <w:marRight w:val="0"/>
      <w:marTop w:val="0"/>
      <w:marBottom w:val="0"/>
      <w:divBdr>
        <w:top w:val="none" w:sz="0" w:space="0" w:color="auto"/>
        <w:left w:val="none" w:sz="0" w:space="0" w:color="auto"/>
        <w:bottom w:val="none" w:sz="0" w:space="0" w:color="auto"/>
        <w:right w:val="none" w:sz="0" w:space="0" w:color="auto"/>
      </w:divBdr>
    </w:div>
    <w:div w:id="1321039419">
      <w:bodyDiv w:val="1"/>
      <w:marLeft w:val="0"/>
      <w:marRight w:val="0"/>
      <w:marTop w:val="0"/>
      <w:marBottom w:val="0"/>
      <w:divBdr>
        <w:top w:val="none" w:sz="0" w:space="0" w:color="auto"/>
        <w:left w:val="none" w:sz="0" w:space="0" w:color="auto"/>
        <w:bottom w:val="none" w:sz="0" w:space="0" w:color="auto"/>
        <w:right w:val="none" w:sz="0" w:space="0" w:color="auto"/>
      </w:divBdr>
    </w:div>
    <w:div w:id="1353265512">
      <w:bodyDiv w:val="1"/>
      <w:marLeft w:val="0"/>
      <w:marRight w:val="0"/>
      <w:marTop w:val="0"/>
      <w:marBottom w:val="0"/>
      <w:divBdr>
        <w:top w:val="none" w:sz="0" w:space="0" w:color="auto"/>
        <w:left w:val="none" w:sz="0" w:space="0" w:color="auto"/>
        <w:bottom w:val="none" w:sz="0" w:space="0" w:color="auto"/>
        <w:right w:val="none" w:sz="0" w:space="0" w:color="auto"/>
      </w:divBdr>
    </w:div>
    <w:div w:id="1361663181">
      <w:bodyDiv w:val="1"/>
      <w:marLeft w:val="0"/>
      <w:marRight w:val="0"/>
      <w:marTop w:val="0"/>
      <w:marBottom w:val="0"/>
      <w:divBdr>
        <w:top w:val="none" w:sz="0" w:space="0" w:color="auto"/>
        <w:left w:val="none" w:sz="0" w:space="0" w:color="auto"/>
        <w:bottom w:val="none" w:sz="0" w:space="0" w:color="auto"/>
        <w:right w:val="none" w:sz="0" w:space="0" w:color="auto"/>
      </w:divBdr>
    </w:div>
    <w:div w:id="1469128266">
      <w:bodyDiv w:val="1"/>
      <w:marLeft w:val="0"/>
      <w:marRight w:val="0"/>
      <w:marTop w:val="0"/>
      <w:marBottom w:val="0"/>
      <w:divBdr>
        <w:top w:val="none" w:sz="0" w:space="0" w:color="auto"/>
        <w:left w:val="none" w:sz="0" w:space="0" w:color="auto"/>
        <w:bottom w:val="none" w:sz="0" w:space="0" w:color="auto"/>
        <w:right w:val="none" w:sz="0" w:space="0" w:color="auto"/>
      </w:divBdr>
    </w:div>
    <w:div w:id="1520896119">
      <w:bodyDiv w:val="1"/>
      <w:marLeft w:val="0"/>
      <w:marRight w:val="0"/>
      <w:marTop w:val="0"/>
      <w:marBottom w:val="0"/>
      <w:divBdr>
        <w:top w:val="none" w:sz="0" w:space="0" w:color="auto"/>
        <w:left w:val="none" w:sz="0" w:space="0" w:color="auto"/>
        <w:bottom w:val="none" w:sz="0" w:space="0" w:color="auto"/>
        <w:right w:val="none" w:sz="0" w:space="0" w:color="auto"/>
      </w:divBdr>
    </w:div>
    <w:div w:id="1566136881">
      <w:bodyDiv w:val="1"/>
      <w:marLeft w:val="0"/>
      <w:marRight w:val="0"/>
      <w:marTop w:val="0"/>
      <w:marBottom w:val="0"/>
      <w:divBdr>
        <w:top w:val="none" w:sz="0" w:space="0" w:color="auto"/>
        <w:left w:val="none" w:sz="0" w:space="0" w:color="auto"/>
        <w:bottom w:val="none" w:sz="0" w:space="0" w:color="auto"/>
        <w:right w:val="none" w:sz="0" w:space="0" w:color="auto"/>
      </w:divBdr>
    </w:div>
    <w:div w:id="1586105733">
      <w:bodyDiv w:val="1"/>
      <w:marLeft w:val="0"/>
      <w:marRight w:val="0"/>
      <w:marTop w:val="0"/>
      <w:marBottom w:val="0"/>
      <w:divBdr>
        <w:top w:val="none" w:sz="0" w:space="0" w:color="auto"/>
        <w:left w:val="none" w:sz="0" w:space="0" w:color="auto"/>
        <w:bottom w:val="none" w:sz="0" w:space="0" w:color="auto"/>
        <w:right w:val="none" w:sz="0" w:space="0" w:color="auto"/>
      </w:divBdr>
    </w:div>
    <w:div w:id="1606159101">
      <w:bodyDiv w:val="1"/>
      <w:marLeft w:val="0"/>
      <w:marRight w:val="0"/>
      <w:marTop w:val="0"/>
      <w:marBottom w:val="0"/>
      <w:divBdr>
        <w:top w:val="none" w:sz="0" w:space="0" w:color="auto"/>
        <w:left w:val="none" w:sz="0" w:space="0" w:color="auto"/>
        <w:bottom w:val="none" w:sz="0" w:space="0" w:color="auto"/>
        <w:right w:val="none" w:sz="0" w:space="0" w:color="auto"/>
      </w:divBdr>
    </w:div>
    <w:div w:id="1630696625">
      <w:bodyDiv w:val="1"/>
      <w:marLeft w:val="0"/>
      <w:marRight w:val="0"/>
      <w:marTop w:val="0"/>
      <w:marBottom w:val="0"/>
      <w:divBdr>
        <w:top w:val="none" w:sz="0" w:space="0" w:color="auto"/>
        <w:left w:val="none" w:sz="0" w:space="0" w:color="auto"/>
        <w:bottom w:val="none" w:sz="0" w:space="0" w:color="auto"/>
        <w:right w:val="none" w:sz="0" w:space="0" w:color="auto"/>
      </w:divBdr>
    </w:div>
    <w:div w:id="1645616957">
      <w:bodyDiv w:val="1"/>
      <w:marLeft w:val="0"/>
      <w:marRight w:val="0"/>
      <w:marTop w:val="0"/>
      <w:marBottom w:val="0"/>
      <w:divBdr>
        <w:top w:val="none" w:sz="0" w:space="0" w:color="auto"/>
        <w:left w:val="none" w:sz="0" w:space="0" w:color="auto"/>
        <w:bottom w:val="none" w:sz="0" w:space="0" w:color="auto"/>
        <w:right w:val="none" w:sz="0" w:space="0" w:color="auto"/>
      </w:divBdr>
    </w:div>
    <w:div w:id="1653362480">
      <w:bodyDiv w:val="1"/>
      <w:marLeft w:val="0"/>
      <w:marRight w:val="0"/>
      <w:marTop w:val="0"/>
      <w:marBottom w:val="0"/>
      <w:divBdr>
        <w:top w:val="none" w:sz="0" w:space="0" w:color="auto"/>
        <w:left w:val="none" w:sz="0" w:space="0" w:color="auto"/>
        <w:bottom w:val="none" w:sz="0" w:space="0" w:color="auto"/>
        <w:right w:val="none" w:sz="0" w:space="0" w:color="auto"/>
      </w:divBdr>
    </w:div>
    <w:div w:id="1667635035">
      <w:bodyDiv w:val="1"/>
      <w:marLeft w:val="0"/>
      <w:marRight w:val="0"/>
      <w:marTop w:val="0"/>
      <w:marBottom w:val="0"/>
      <w:divBdr>
        <w:top w:val="none" w:sz="0" w:space="0" w:color="auto"/>
        <w:left w:val="none" w:sz="0" w:space="0" w:color="auto"/>
        <w:bottom w:val="none" w:sz="0" w:space="0" w:color="auto"/>
        <w:right w:val="none" w:sz="0" w:space="0" w:color="auto"/>
      </w:divBdr>
    </w:div>
    <w:div w:id="1683436830">
      <w:bodyDiv w:val="1"/>
      <w:marLeft w:val="0"/>
      <w:marRight w:val="0"/>
      <w:marTop w:val="0"/>
      <w:marBottom w:val="0"/>
      <w:divBdr>
        <w:top w:val="none" w:sz="0" w:space="0" w:color="auto"/>
        <w:left w:val="none" w:sz="0" w:space="0" w:color="auto"/>
        <w:bottom w:val="none" w:sz="0" w:space="0" w:color="auto"/>
        <w:right w:val="none" w:sz="0" w:space="0" w:color="auto"/>
      </w:divBdr>
    </w:div>
    <w:div w:id="1778023542">
      <w:bodyDiv w:val="1"/>
      <w:marLeft w:val="0"/>
      <w:marRight w:val="0"/>
      <w:marTop w:val="0"/>
      <w:marBottom w:val="0"/>
      <w:divBdr>
        <w:top w:val="none" w:sz="0" w:space="0" w:color="auto"/>
        <w:left w:val="none" w:sz="0" w:space="0" w:color="auto"/>
        <w:bottom w:val="none" w:sz="0" w:space="0" w:color="auto"/>
        <w:right w:val="none" w:sz="0" w:space="0" w:color="auto"/>
      </w:divBdr>
    </w:div>
    <w:div w:id="1785077653">
      <w:bodyDiv w:val="1"/>
      <w:marLeft w:val="0"/>
      <w:marRight w:val="0"/>
      <w:marTop w:val="0"/>
      <w:marBottom w:val="0"/>
      <w:divBdr>
        <w:top w:val="none" w:sz="0" w:space="0" w:color="auto"/>
        <w:left w:val="none" w:sz="0" w:space="0" w:color="auto"/>
        <w:bottom w:val="none" w:sz="0" w:space="0" w:color="auto"/>
        <w:right w:val="none" w:sz="0" w:space="0" w:color="auto"/>
      </w:divBdr>
    </w:div>
    <w:div w:id="1829594633">
      <w:bodyDiv w:val="1"/>
      <w:marLeft w:val="0"/>
      <w:marRight w:val="0"/>
      <w:marTop w:val="0"/>
      <w:marBottom w:val="0"/>
      <w:divBdr>
        <w:top w:val="none" w:sz="0" w:space="0" w:color="auto"/>
        <w:left w:val="none" w:sz="0" w:space="0" w:color="auto"/>
        <w:bottom w:val="none" w:sz="0" w:space="0" w:color="auto"/>
        <w:right w:val="none" w:sz="0" w:space="0" w:color="auto"/>
      </w:divBdr>
    </w:div>
    <w:div w:id="1833182466">
      <w:bodyDiv w:val="1"/>
      <w:marLeft w:val="0"/>
      <w:marRight w:val="0"/>
      <w:marTop w:val="0"/>
      <w:marBottom w:val="0"/>
      <w:divBdr>
        <w:top w:val="none" w:sz="0" w:space="0" w:color="auto"/>
        <w:left w:val="none" w:sz="0" w:space="0" w:color="auto"/>
        <w:bottom w:val="none" w:sz="0" w:space="0" w:color="auto"/>
        <w:right w:val="none" w:sz="0" w:space="0" w:color="auto"/>
      </w:divBdr>
    </w:div>
    <w:div w:id="1893229916">
      <w:bodyDiv w:val="1"/>
      <w:marLeft w:val="0"/>
      <w:marRight w:val="0"/>
      <w:marTop w:val="0"/>
      <w:marBottom w:val="0"/>
      <w:divBdr>
        <w:top w:val="none" w:sz="0" w:space="0" w:color="auto"/>
        <w:left w:val="none" w:sz="0" w:space="0" w:color="auto"/>
        <w:bottom w:val="none" w:sz="0" w:space="0" w:color="auto"/>
        <w:right w:val="none" w:sz="0" w:space="0" w:color="auto"/>
      </w:divBdr>
    </w:div>
    <w:div w:id="1918511080">
      <w:bodyDiv w:val="1"/>
      <w:marLeft w:val="0"/>
      <w:marRight w:val="0"/>
      <w:marTop w:val="0"/>
      <w:marBottom w:val="0"/>
      <w:divBdr>
        <w:top w:val="none" w:sz="0" w:space="0" w:color="auto"/>
        <w:left w:val="none" w:sz="0" w:space="0" w:color="auto"/>
        <w:bottom w:val="none" w:sz="0" w:space="0" w:color="auto"/>
        <w:right w:val="none" w:sz="0" w:space="0" w:color="auto"/>
      </w:divBdr>
    </w:div>
    <w:div w:id="1932469140">
      <w:bodyDiv w:val="1"/>
      <w:marLeft w:val="0"/>
      <w:marRight w:val="0"/>
      <w:marTop w:val="0"/>
      <w:marBottom w:val="0"/>
      <w:divBdr>
        <w:top w:val="none" w:sz="0" w:space="0" w:color="auto"/>
        <w:left w:val="none" w:sz="0" w:space="0" w:color="auto"/>
        <w:bottom w:val="none" w:sz="0" w:space="0" w:color="auto"/>
        <w:right w:val="none" w:sz="0" w:space="0" w:color="auto"/>
      </w:divBdr>
    </w:div>
    <w:div w:id="1936208526">
      <w:bodyDiv w:val="1"/>
      <w:marLeft w:val="0"/>
      <w:marRight w:val="0"/>
      <w:marTop w:val="0"/>
      <w:marBottom w:val="0"/>
      <w:divBdr>
        <w:top w:val="none" w:sz="0" w:space="0" w:color="auto"/>
        <w:left w:val="none" w:sz="0" w:space="0" w:color="auto"/>
        <w:bottom w:val="none" w:sz="0" w:space="0" w:color="auto"/>
        <w:right w:val="none" w:sz="0" w:space="0" w:color="auto"/>
      </w:divBdr>
    </w:div>
    <w:div w:id="1958640880">
      <w:bodyDiv w:val="1"/>
      <w:marLeft w:val="0"/>
      <w:marRight w:val="0"/>
      <w:marTop w:val="0"/>
      <w:marBottom w:val="0"/>
      <w:divBdr>
        <w:top w:val="none" w:sz="0" w:space="0" w:color="auto"/>
        <w:left w:val="none" w:sz="0" w:space="0" w:color="auto"/>
        <w:bottom w:val="none" w:sz="0" w:space="0" w:color="auto"/>
        <w:right w:val="none" w:sz="0" w:space="0" w:color="auto"/>
      </w:divBdr>
      <w:divsChild>
        <w:div w:id="2097045608">
          <w:marLeft w:val="274"/>
          <w:marRight w:val="0"/>
          <w:marTop w:val="0"/>
          <w:marBottom w:val="40"/>
          <w:divBdr>
            <w:top w:val="none" w:sz="0" w:space="0" w:color="auto"/>
            <w:left w:val="none" w:sz="0" w:space="0" w:color="auto"/>
            <w:bottom w:val="none" w:sz="0" w:space="0" w:color="auto"/>
            <w:right w:val="none" w:sz="0" w:space="0" w:color="auto"/>
          </w:divBdr>
        </w:div>
        <w:div w:id="1389496310">
          <w:marLeft w:val="274"/>
          <w:marRight w:val="0"/>
          <w:marTop w:val="0"/>
          <w:marBottom w:val="40"/>
          <w:divBdr>
            <w:top w:val="none" w:sz="0" w:space="0" w:color="auto"/>
            <w:left w:val="none" w:sz="0" w:space="0" w:color="auto"/>
            <w:bottom w:val="none" w:sz="0" w:space="0" w:color="auto"/>
            <w:right w:val="none" w:sz="0" w:space="0" w:color="auto"/>
          </w:divBdr>
        </w:div>
        <w:div w:id="1894922791">
          <w:marLeft w:val="274"/>
          <w:marRight w:val="0"/>
          <w:marTop w:val="0"/>
          <w:marBottom w:val="40"/>
          <w:divBdr>
            <w:top w:val="none" w:sz="0" w:space="0" w:color="auto"/>
            <w:left w:val="none" w:sz="0" w:space="0" w:color="auto"/>
            <w:bottom w:val="none" w:sz="0" w:space="0" w:color="auto"/>
            <w:right w:val="none" w:sz="0" w:space="0" w:color="auto"/>
          </w:divBdr>
        </w:div>
      </w:divsChild>
    </w:div>
    <w:div w:id="1959294722">
      <w:bodyDiv w:val="1"/>
      <w:marLeft w:val="0"/>
      <w:marRight w:val="0"/>
      <w:marTop w:val="0"/>
      <w:marBottom w:val="0"/>
      <w:divBdr>
        <w:top w:val="none" w:sz="0" w:space="0" w:color="auto"/>
        <w:left w:val="none" w:sz="0" w:space="0" w:color="auto"/>
        <w:bottom w:val="none" w:sz="0" w:space="0" w:color="auto"/>
        <w:right w:val="none" w:sz="0" w:space="0" w:color="auto"/>
      </w:divBdr>
    </w:div>
    <w:div w:id="2039574515">
      <w:bodyDiv w:val="1"/>
      <w:marLeft w:val="0"/>
      <w:marRight w:val="0"/>
      <w:marTop w:val="0"/>
      <w:marBottom w:val="0"/>
      <w:divBdr>
        <w:top w:val="none" w:sz="0" w:space="0" w:color="auto"/>
        <w:left w:val="none" w:sz="0" w:space="0" w:color="auto"/>
        <w:bottom w:val="none" w:sz="0" w:space="0" w:color="auto"/>
        <w:right w:val="none" w:sz="0" w:space="0" w:color="auto"/>
      </w:divBdr>
    </w:div>
    <w:div w:id="2084907153">
      <w:bodyDiv w:val="1"/>
      <w:marLeft w:val="0"/>
      <w:marRight w:val="0"/>
      <w:marTop w:val="0"/>
      <w:marBottom w:val="0"/>
      <w:divBdr>
        <w:top w:val="none" w:sz="0" w:space="0" w:color="auto"/>
        <w:left w:val="none" w:sz="0" w:space="0" w:color="auto"/>
        <w:bottom w:val="none" w:sz="0" w:space="0" w:color="auto"/>
        <w:right w:val="none" w:sz="0" w:space="0" w:color="auto"/>
      </w:divBdr>
    </w:div>
    <w:div w:id="214030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9E166E2FC89447BA5616795495709E" ma:contentTypeVersion="4" ma:contentTypeDescription="Create a new document." ma:contentTypeScope="" ma:versionID="58b01e12f12add59d44618263e2b6f78">
  <xsd:schema xmlns:xsd="http://www.w3.org/2001/XMLSchema" xmlns:xs="http://www.w3.org/2001/XMLSchema" xmlns:p="http://schemas.microsoft.com/office/2006/metadata/properties" xmlns:ns3="a111af4d-e831-4a90-8454-a7e28419a053" targetNamespace="http://schemas.microsoft.com/office/2006/metadata/properties" ma:root="true" ma:fieldsID="55aa0560e7750af417aed7ba7a1578d8" ns3:_="">
    <xsd:import namespace="a111af4d-e831-4a90-8454-a7e28419a05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1af4d-e831-4a90-8454-a7e28419a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E2F025-18EA-4E30-9EB3-E3FEFB11680A}">
  <ds:schemaRefs>
    <ds:schemaRef ds:uri="http://schemas.openxmlformats.org/officeDocument/2006/bibliography"/>
  </ds:schemaRefs>
</ds:datastoreItem>
</file>

<file path=customXml/itemProps2.xml><?xml version="1.0" encoding="utf-8"?>
<ds:datastoreItem xmlns:ds="http://schemas.openxmlformats.org/officeDocument/2006/customXml" ds:itemID="{DDAB4B2D-E009-4D55-B7FF-0E5B3B61D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1af4d-e831-4a90-8454-a7e28419a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E084D-046B-4C00-9D09-1BA392DE59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069420-6549-4366-AA0C-9FC493329B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3541</Words>
  <Characters>20185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Facciponte</dc:creator>
  <cp:keywords/>
  <dc:description/>
  <cp:lastModifiedBy>Indhumathi S Sukumar K</cp:lastModifiedBy>
  <cp:revision>4</cp:revision>
  <cp:lastPrinted>2019-05-15T15:46:00Z</cp:lastPrinted>
  <dcterms:created xsi:type="dcterms:W3CDTF">2022-09-27T16:02:00Z</dcterms:created>
  <dcterms:modified xsi:type="dcterms:W3CDTF">2022-12-16T15:10:00Z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0x0101005C9E166E2FC89447BA5616795495709E</vt:lpwstr>
  </property>
</Properties>
</file>