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F2FC7" w14:textId="45BF22D5" w:rsidR="00053607" w:rsidRDefault="00053607" w:rsidP="00053607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Supplementary </w:t>
      </w:r>
      <w:r w:rsidR="0087530D">
        <w:rPr>
          <w:rFonts w:ascii="Times New Roman" w:hAnsi="Times New Roman"/>
          <w:szCs w:val="24"/>
        </w:rPr>
        <w:t>Table 1</w:t>
      </w:r>
      <w:bookmarkStart w:id="0" w:name="_GoBack"/>
      <w:bookmarkEnd w:id="0"/>
      <w:r w:rsidRPr="00746BFD">
        <w:rPr>
          <w:rFonts w:ascii="Times New Roman" w:hAnsi="Times New Roman"/>
          <w:szCs w:val="24"/>
        </w:rPr>
        <w:t>. Disease Modifying Therapies of Individuals with MS</w:t>
      </w:r>
    </w:p>
    <w:p w14:paraId="2528A116" w14:textId="77777777" w:rsidR="00053607" w:rsidRDefault="00053607" w:rsidP="00053607">
      <w:pPr>
        <w:rPr>
          <w:rFonts w:ascii="Times New Roman" w:hAnsi="Times New Roman"/>
          <w:szCs w:val="24"/>
        </w:rPr>
      </w:pPr>
    </w:p>
    <w:tbl>
      <w:tblPr>
        <w:tblStyle w:val="TableGrid"/>
        <w:tblW w:w="80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4663"/>
        <w:gridCol w:w="456"/>
      </w:tblGrid>
      <w:tr w:rsidR="00053607" w:rsidRPr="00746BFD" w14:paraId="1ECDAC7E" w14:textId="77777777" w:rsidTr="00E4788D">
        <w:tc>
          <w:tcPr>
            <w:tcW w:w="2965" w:type="dxa"/>
            <w:tcBorders>
              <w:bottom w:val="single" w:sz="4" w:space="0" w:color="auto"/>
            </w:tcBorders>
          </w:tcPr>
          <w:p w14:paraId="22B8A0E3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Disease Modifying Therapy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2000DA6A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(Trade name, Manufacturer)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BC7E5F4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n</w:t>
            </w:r>
          </w:p>
        </w:tc>
      </w:tr>
      <w:tr w:rsidR="00053607" w:rsidRPr="00746BFD" w14:paraId="153DB3E2" w14:textId="77777777" w:rsidTr="00E4788D">
        <w:tc>
          <w:tcPr>
            <w:tcW w:w="2965" w:type="dxa"/>
          </w:tcPr>
          <w:p w14:paraId="535F11FF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Ocrelizumab</w:t>
            </w:r>
          </w:p>
        </w:tc>
        <w:tc>
          <w:tcPr>
            <w:tcW w:w="4663" w:type="dxa"/>
          </w:tcPr>
          <w:p w14:paraId="014254A2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(Ocrevus, Genentech)</w:t>
            </w:r>
          </w:p>
        </w:tc>
        <w:tc>
          <w:tcPr>
            <w:tcW w:w="456" w:type="dxa"/>
          </w:tcPr>
          <w:p w14:paraId="68B57B07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053607" w:rsidRPr="00746BFD" w14:paraId="4E4AE7C8" w14:textId="77777777" w:rsidTr="00E4788D">
        <w:tc>
          <w:tcPr>
            <w:tcW w:w="2965" w:type="dxa"/>
          </w:tcPr>
          <w:p w14:paraId="7B2A9919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Natalizumab</w:t>
            </w:r>
          </w:p>
        </w:tc>
        <w:tc>
          <w:tcPr>
            <w:tcW w:w="4663" w:type="dxa"/>
          </w:tcPr>
          <w:p w14:paraId="2C405689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(Tysabri, Biogen Idec and Elan Corporation)</w:t>
            </w:r>
          </w:p>
        </w:tc>
        <w:tc>
          <w:tcPr>
            <w:tcW w:w="456" w:type="dxa"/>
          </w:tcPr>
          <w:p w14:paraId="3B448263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053607" w:rsidRPr="00746BFD" w14:paraId="6D585AFD" w14:textId="77777777" w:rsidTr="00E4788D">
        <w:tc>
          <w:tcPr>
            <w:tcW w:w="2965" w:type="dxa"/>
          </w:tcPr>
          <w:p w14:paraId="2AAAB900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Ofatumumab</w:t>
            </w:r>
          </w:p>
        </w:tc>
        <w:tc>
          <w:tcPr>
            <w:tcW w:w="4663" w:type="dxa"/>
          </w:tcPr>
          <w:p w14:paraId="72880A91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746BFD">
              <w:rPr>
                <w:rFonts w:ascii="Times New Roman" w:hAnsi="Times New Roman"/>
                <w:szCs w:val="24"/>
              </w:rPr>
              <w:t>Kesimpta</w:t>
            </w:r>
            <w:proofErr w:type="spellEnd"/>
            <w:r w:rsidRPr="00746BFD">
              <w:rPr>
                <w:rFonts w:ascii="Times New Roman" w:hAnsi="Times New Roman"/>
                <w:szCs w:val="24"/>
              </w:rPr>
              <w:t>, Novartis Pharmaceuticals)</w:t>
            </w:r>
          </w:p>
        </w:tc>
        <w:tc>
          <w:tcPr>
            <w:tcW w:w="456" w:type="dxa"/>
          </w:tcPr>
          <w:p w14:paraId="680A4726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053607" w:rsidRPr="00746BFD" w14:paraId="0FE319AE" w14:textId="77777777" w:rsidTr="00E4788D">
        <w:tc>
          <w:tcPr>
            <w:tcW w:w="2965" w:type="dxa"/>
          </w:tcPr>
          <w:p w14:paraId="71A7821C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Fingolimod</w:t>
            </w:r>
            <w:r w:rsidRPr="00746BFD">
              <w:rPr>
                <w:rFonts w:ascii="Times New Roman" w:hAnsi="Times New Roman"/>
                <w:szCs w:val="24"/>
                <w:vertAlign w:val="superscript"/>
              </w:rPr>
              <w:t>†</w:t>
            </w:r>
          </w:p>
        </w:tc>
        <w:tc>
          <w:tcPr>
            <w:tcW w:w="4663" w:type="dxa"/>
          </w:tcPr>
          <w:p w14:paraId="42376315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746BFD">
              <w:rPr>
                <w:rFonts w:ascii="Times New Roman" w:hAnsi="Times New Roman"/>
                <w:szCs w:val="24"/>
              </w:rPr>
              <w:t>G</w:t>
            </w:r>
            <w:r>
              <w:rPr>
                <w:rFonts w:ascii="Times New Roman" w:hAnsi="Times New Roman"/>
                <w:szCs w:val="24"/>
              </w:rPr>
              <w:t>i</w:t>
            </w:r>
            <w:r w:rsidRPr="00746BFD">
              <w:rPr>
                <w:rFonts w:ascii="Times New Roman" w:hAnsi="Times New Roman"/>
                <w:szCs w:val="24"/>
              </w:rPr>
              <w:t>len</w:t>
            </w:r>
            <w:r>
              <w:rPr>
                <w:rFonts w:ascii="Times New Roman" w:hAnsi="Times New Roman"/>
                <w:szCs w:val="24"/>
              </w:rPr>
              <w:t>y</w:t>
            </w:r>
            <w:r w:rsidRPr="00746BFD">
              <w:rPr>
                <w:rFonts w:ascii="Times New Roman" w:hAnsi="Times New Roman"/>
                <w:szCs w:val="24"/>
              </w:rPr>
              <w:t>a</w:t>
            </w:r>
            <w:proofErr w:type="spellEnd"/>
            <w:r w:rsidRPr="00746BFD">
              <w:rPr>
                <w:rFonts w:ascii="Times New Roman" w:hAnsi="Times New Roman"/>
                <w:szCs w:val="24"/>
              </w:rPr>
              <w:t>, Novartis Pharmaceuticals)</w:t>
            </w:r>
          </w:p>
        </w:tc>
        <w:tc>
          <w:tcPr>
            <w:tcW w:w="456" w:type="dxa"/>
          </w:tcPr>
          <w:p w14:paraId="61E100A8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053607" w:rsidRPr="00746BFD" w14:paraId="2383CD60" w14:textId="77777777" w:rsidTr="00E4788D">
        <w:tc>
          <w:tcPr>
            <w:tcW w:w="2965" w:type="dxa"/>
          </w:tcPr>
          <w:p w14:paraId="165CEA3A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Diroximel fumarate</w:t>
            </w:r>
          </w:p>
        </w:tc>
        <w:tc>
          <w:tcPr>
            <w:tcW w:w="4663" w:type="dxa"/>
          </w:tcPr>
          <w:p w14:paraId="05926786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746BFD">
              <w:rPr>
                <w:rFonts w:ascii="Times New Roman" w:hAnsi="Times New Roman"/>
                <w:szCs w:val="24"/>
              </w:rPr>
              <w:t>Vumerity</w:t>
            </w:r>
            <w:proofErr w:type="spellEnd"/>
            <w:r w:rsidRPr="00746BFD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746BFD">
              <w:rPr>
                <w:rFonts w:ascii="Times New Roman" w:hAnsi="Times New Roman"/>
                <w:szCs w:val="24"/>
              </w:rPr>
              <w:t>Alkermes</w:t>
            </w:r>
            <w:proofErr w:type="spellEnd"/>
            <w:r w:rsidRPr="00746BFD">
              <w:rPr>
                <w:rFonts w:ascii="Times New Roman" w:hAnsi="Times New Roman"/>
                <w:szCs w:val="24"/>
              </w:rPr>
              <w:t xml:space="preserve"> Pharma Ireland ltd.)</w:t>
            </w:r>
          </w:p>
        </w:tc>
        <w:tc>
          <w:tcPr>
            <w:tcW w:w="456" w:type="dxa"/>
          </w:tcPr>
          <w:p w14:paraId="5C9A38D9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053607" w:rsidRPr="00746BFD" w14:paraId="413A8DED" w14:textId="77777777" w:rsidTr="00E4788D">
        <w:tc>
          <w:tcPr>
            <w:tcW w:w="2965" w:type="dxa"/>
          </w:tcPr>
          <w:p w14:paraId="126AAEF9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Glatiramer acetate</w:t>
            </w:r>
          </w:p>
        </w:tc>
        <w:tc>
          <w:tcPr>
            <w:tcW w:w="4663" w:type="dxa"/>
          </w:tcPr>
          <w:p w14:paraId="21C74ACB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(Copaxone, Teva Pharmaceuticals)</w:t>
            </w:r>
          </w:p>
        </w:tc>
        <w:tc>
          <w:tcPr>
            <w:tcW w:w="456" w:type="dxa"/>
          </w:tcPr>
          <w:p w14:paraId="758D1A65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053607" w:rsidRPr="00746BFD" w14:paraId="1860237D" w14:textId="77777777" w:rsidTr="00E4788D">
        <w:tc>
          <w:tcPr>
            <w:tcW w:w="2965" w:type="dxa"/>
            <w:tcBorders>
              <w:bottom w:val="single" w:sz="4" w:space="0" w:color="auto"/>
            </w:tcBorders>
          </w:tcPr>
          <w:p w14:paraId="7E639309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None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4D0CCD95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7F37BD25" w14:textId="77777777" w:rsidR="00053607" w:rsidRPr="00746BFD" w:rsidRDefault="00053607" w:rsidP="00E4788D">
            <w:pPr>
              <w:rPr>
                <w:rFonts w:ascii="Times New Roman" w:hAnsi="Times New Roman"/>
                <w:szCs w:val="24"/>
              </w:rPr>
            </w:pPr>
            <w:r w:rsidRPr="00746BFD">
              <w:rPr>
                <w:rFonts w:ascii="Times New Roman" w:hAnsi="Times New Roman"/>
                <w:szCs w:val="24"/>
              </w:rPr>
              <w:t>5</w:t>
            </w:r>
          </w:p>
        </w:tc>
      </w:tr>
    </w:tbl>
    <w:p w14:paraId="3B3E2D61" w14:textId="77777777" w:rsidR="00053607" w:rsidRPr="00746BFD" w:rsidRDefault="00053607" w:rsidP="00053607">
      <w:pPr>
        <w:rPr>
          <w:rFonts w:ascii="Times New Roman" w:hAnsi="Times New Roman"/>
          <w:szCs w:val="24"/>
        </w:rPr>
      </w:pPr>
      <w:r w:rsidRPr="00746BFD">
        <w:rPr>
          <w:rFonts w:ascii="Times New Roman" w:hAnsi="Times New Roman"/>
          <w:szCs w:val="24"/>
        </w:rPr>
        <w:t>† Fingolimod is associated with increased risk of cardiovascular events.</w:t>
      </w:r>
    </w:p>
    <w:p w14:paraId="762508D6" w14:textId="77777777" w:rsidR="00F519FA" w:rsidRDefault="00F519FA"/>
    <w:sectPr w:rsidR="00F519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otal_Editing_Time" w:val="0"/>
  </w:docVars>
  <w:rsids>
    <w:rsidRoot w:val="006471D8"/>
    <w:rsid w:val="00053607"/>
    <w:rsid w:val="003A4810"/>
    <w:rsid w:val="006471D8"/>
    <w:rsid w:val="00737F18"/>
    <w:rsid w:val="0075587C"/>
    <w:rsid w:val="0087530D"/>
    <w:rsid w:val="00BA0D2D"/>
    <w:rsid w:val="00C62E87"/>
    <w:rsid w:val="00D140E8"/>
    <w:rsid w:val="00F43D3C"/>
    <w:rsid w:val="00F4582A"/>
    <w:rsid w:val="00F5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4A4E0"/>
  <w15:chartTrackingRefBased/>
  <w15:docId w15:val="{EEDE2610-C130-4094-8980-A708F414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1D8"/>
    <w:pPr>
      <w:spacing w:after="0" w:line="480" w:lineRule="auto"/>
    </w:pPr>
    <w:rPr>
      <w:rFonts w:ascii="Univers" w:eastAsia="Times New Roman" w:hAnsi="Univers" w:cs="Times New Roman"/>
      <w:snapToGrid w:val="0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71D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1D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1D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snapToGrid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1D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snapToGrid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1D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snapToGrid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1D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snapToGrid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1D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1D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snapToGrid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1D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snapToGrid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71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1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71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71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71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71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71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71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71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71D8"/>
    <w:pPr>
      <w:spacing w:after="80" w:line="240" w:lineRule="auto"/>
      <w:contextualSpacing/>
    </w:pPr>
    <w:rPr>
      <w:rFonts w:asciiTheme="majorHAnsi" w:eastAsiaTheme="majorEastAsia" w:hAnsiTheme="majorHAnsi" w:cstheme="majorBidi"/>
      <w:snapToGrid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47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1D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snapToGrid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471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71D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snapToGrid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471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71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napToGrid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471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1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snapToGrid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1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71D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471D8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463</Characters>
  <Application>Microsoft Office Word</Application>
  <DocSecurity>0</DocSecurity>
  <Lines>28</Lines>
  <Paragraphs>27</Paragraphs>
  <ScaleCrop>false</ScaleCrop>
  <Company>University of Illinois at Chicago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Hibner, Brooks</dc:creator>
  <cp:keywords/>
  <dc:description/>
  <cp:lastModifiedBy>AFRIN</cp:lastModifiedBy>
  <cp:revision>3</cp:revision>
  <dcterms:created xsi:type="dcterms:W3CDTF">2024-07-26T20:08:00Z</dcterms:created>
  <dcterms:modified xsi:type="dcterms:W3CDTF">2024-11-30T08:20:00Z</dcterms:modified>
</cp:coreProperties>
</file>