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FDAA" w14:textId="13D9C8A9" w:rsidR="00BE5FF7" w:rsidRDefault="00E95304" w:rsidP="00E95304">
      <w:pPr>
        <w:jc w:val="center"/>
        <w:rPr>
          <w:b/>
          <w:bCs/>
          <w:sz w:val="28"/>
          <w:szCs w:val="28"/>
        </w:rPr>
      </w:pPr>
      <w:r w:rsidRPr="00E95304">
        <w:rPr>
          <w:b/>
          <w:bCs/>
          <w:sz w:val="28"/>
          <w:szCs w:val="28"/>
        </w:rPr>
        <w:t xml:space="preserve">Supporting </w:t>
      </w:r>
      <w:r w:rsidR="00D8544B">
        <w:rPr>
          <w:b/>
          <w:bCs/>
          <w:sz w:val="28"/>
          <w:szCs w:val="28"/>
        </w:rPr>
        <w:t>I</w:t>
      </w:r>
      <w:r w:rsidRPr="00E95304">
        <w:rPr>
          <w:b/>
          <w:bCs/>
          <w:sz w:val="28"/>
          <w:szCs w:val="28"/>
        </w:rPr>
        <w:t>nformation</w:t>
      </w:r>
    </w:p>
    <w:p w14:paraId="48E728B6" w14:textId="022B5411" w:rsidR="00645578" w:rsidRPr="00E95304" w:rsidRDefault="00645578" w:rsidP="00E95304">
      <w:pPr>
        <w:jc w:val="center"/>
        <w:rPr>
          <w:b/>
          <w:bCs/>
          <w:sz w:val="28"/>
          <w:szCs w:val="28"/>
        </w:rPr>
      </w:pPr>
      <w:bookmarkStart w:id="0" w:name="_Hlk144583230"/>
      <w:r w:rsidRPr="00645578">
        <w:rPr>
          <w:b/>
          <w:bCs/>
          <w:sz w:val="28"/>
          <w:szCs w:val="28"/>
        </w:rPr>
        <w:t>Elucidating Dynamic Conductive State Changes in Amorphous Lithium Lanthanum Titanate for Resistive Switching Devices</w:t>
      </w:r>
      <w:bookmarkEnd w:id="0"/>
    </w:p>
    <w:p w14:paraId="44E842F5" w14:textId="7DC57005" w:rsidR="00E95304" w:rsidRPr="00D23748" w:rsidRDefault="00E95304" w:rsidP="00E95304">
      <w:pPr>
        <w:jc w:val="both"/>
        <w:rPr>
          <w:rFonts w:cs="Times New Roman"/>
          <w:sz w:val="28"/>
          <w:szCs w:val="28"/>
        </w:rPr>
      </w:pPr>
      <w:r w:rsidRPr="00D23748">
        <w:rPr>
          <w:rFonts w:cs="Times New Roman"/>
          <w:sz w:val="24"/>
          <w:szCs w:val="24"/>
        </w:rPr>
        <w:t>Ryosuke Shimizu</w:t>
      </w:r>
      <w:r w:rsidRPr="00D23748">
        <w:rPr>
          <w:rFonts w:cs="Times New Roman"/>
          <w:sz w:val="24"/>
          <w:szCs w:val="24"/>
          <w:vertAlign w:val="superscript"/>
        </w:rPr>
        <w:t>1</w:t>
      </w:r>
      <w:r w:rsidRPr="00D23748">
        <w:rPr>
          <w:rFonts w:cs="Times New Roman"/>
          <w:sz w:val="24"/>
          <w:szCs w:val="24"/>
        </w:rPr>
        <w:t xml:space="preserve">, </w:t>
      </w:r>
      <w:proofErr w:type="spellStart"/>
      <w:r w:rsidRPr="00D23748">
        <w:rPr>
          <w:rFonts w:cs="Times New Roman"/>
          <w:sz w:val="24"/>
          <w:szCs w:val="24"/>
        </w:rPr>
        <w:t>Diyi</w:t>
      </w:r>
      <w:proofErr w:type="spellEnd"/>
      <w:r w:rsidRPr="00D23748">
        <w:rPr>
          <w:rFonts w:cs="Times New Roman"/>
          <w:sz w:val="24"/>
          <w:szCs w:val="24"/>
        </w:rPr>
        <w:t xml:space="preserve"> Cheng</w:t>
      </w:r>
      <w:r w:rsidRPr="00D23748">
        <w:rPr>
          <w:rFonts w:cs="Times New Roman"/>
          <w:sz w:val="24"/>
          <w:szCs w:val="24"/>
          <w:vertAlign w:val="superscript"/>
        </w:rPr>
        <w:t>2</w:t>
      </w:r>
      <w:r w:rsidRPr="00D23748">
        <w:rPr>
          <w:rFonts w:cs="Times New Roman"/>
          <w:sz w:val="24"/>
          <w:szCs w:val="24"/>
        </w:rPr>
        <w:t xml:space="preserve">, </w:t>
      </w:r>
      <w:proofErr w:type="spellStart"/>
      <w:r w:rsidRPr="00D23748">
        <w:rPr>
          <w:rFonts w:cs="Times New Roman"/>
          <w:sz w:val="24"/>
          <w:szCs w:val="24"/>
        </w:rPr>
        <w:t>Guomin</w:t>
      </w:r>
      <w:proofErr w:type="spellEnd"/>
      <w:r w:rsidRPr="00D23748">
        <w:rPr>
          <w:rFonts w:cs="Times New Roman"/>
          <w:sz w:val="24"/>
          <w:szCs w:val="24"/>
        </w:rPr>
        <w:t xml:space="preserve"> Zhu</w:t>
      </w:r>
      <w:r w:rsidRPr="00D23748">
        <w:rPr>
          <w:rFonts w:cs="Times New Roman"/>
          <w:sz w:val="24"/>
          <w:szCs w:val="24"/>
          <w:vertAlign w:val="superscript"/>
        </w:rPr>
        <w:t>1</w:t>
      </w:r>
      <w:r w:rsidRPr="00D23748">
        <w:rPr>
          <w:rFonts w:cs="Times New Roman"/>
          <w:sz w:val="24"/>
          <w:szCs w:val="24"/>
        </w:rPr>
        <w:t>, Bing Han</w:t>
      </w:r>
      <w:r w:rsidRPr="00D23748">
        <w:rPr>
          <w:rFonts w:cs="Times New Roman"/>
          <w:sz w:val="24"/>
          <w:szCs w:val="24"/>
          <w:vertAlign w:val="superscript"/>
        </w:rPr>
        <w:t>1</w:t>
      </w:r>
      <w:r w:rsidRPr="00D23748">
        <w:rPr>
          <w:rFonts w:cs="Times New Roman"/>
          <w:sz w:val="24"/>
          <w:szCs w:val="24"/>
        </w:rPr>
        <w:t xml:space="preserve">, </w:t>
      </w:r>
      <w:r w:rsidR="00645578" w:rsidRPr="00645578">
        <w:rPr>
          <w:rFonts w:cs="Times New Roman"/>
          <w:sz w:val="24"/>
          <w:szCs w:val="24"/>
        </w:rPr>
        <w:t>Thomas S. Marchese</w:t>
      </w:r>
      <w:r w:rsidR="00645578" w:rsidRPr="00645578">
        <w:rPr>
          <w:rFonts w:cs="Times New Roman"/>
          <w:sz w:val="24"/>
          <w:szCs w:val="24"/>
          <w:vertAlign w:val="superscript"/>
        </w:rPr>
        <w:t>3</w:t>
      </w:r>
      <w:r w:rsidR="00645578" w:rsidRPr="00645578">
        <w:rPr>
          <w:rFonts w:cs="Times New Roman"/>
          <w:sz w:val="24"/>
          <w:szCs w:val="24"/>
        </w:rPr>
        <w:t>,</w:t>
      </w:r>
      <w:r w:rsidR="00645578">
        <w:rPr>
          <w:rFonts w:cs="Times New Roman"/>
          <w:sz w:val="24"/>
          <w:szCs w:val="24"/>
        </w:rPr>
        <w:t xml:space="preserve"> </w:t>
      </w:r>
      <w:r w:rsidRPr="00D23748">
        <w:rPr>
          <w:rFonts w:cs="Times New Roman"/>
          <w:sz w:val="24"/>
          <w:szCs w:val="24"/>
        </w:rPr>
        <w:t>Randall Burger</w:t>
      </w:r>
      <w:r w:rsidRPr="00D23748">
        <w:rPr>
          <w:rFonts w:cs="Times New Roman"/>
          <w:sz w:val="24"/>
          <w:szCs w:val="24"/>
          <w:vertAlign w:val="superscript"/>
        </w:rPr>
        <w:t>1</w:t>
      </w:r>
      <w:r w:rsidRPr="00D23748">
        <w:rPr>
          <w:rFonts w:cs="Times New Roman"/>
          <w:sz w:val="24"/>
          <w:szCs w:val="24"/>
        </w:rPr>
        <w:t xml:space="preserve">, </w:t>
      </w:r>
      <w:proofErr w:type="spellStart"/>
      <w:r w:rsidRPr="00D23748">
        <w:rPr>
          <w:rFonts w:cs="Times New Roman"/>
          <w:sz w:val="24"/>
          <w:szCs w:val="24"/>
        </w:rPr>
        <w:t>Mingjie</w:t>
      </w:r>
      <w:proofErr w:type="spellEnd"/>
      <w:r w:rsidRPr="00D23748">
        <w:rPr>
          <w:rFonts w:cs="Times New Roman"/>
          <w:sz w:val="24"/>
          <w:szCs w:val="24"/>
        </w:rPr>
        <w:t xml:space="preserve"> </w:t>
      </w:r>
      <w:r w:rsidR="00645578" w:rsidRPr="00D23748">
        <w:rPr>
          <w:rFonts w:cs="Times New Roman"/>
          <w:sz w:val="24"/>
          <w:szCs w:val="24"/>
        </w:rPr>
        <w:t>Xu</w:t>
      </w:r>
      <w:r w:rsidR="00645578">
        <w:rPr>
          <w:rFonts w:cs="Times New Roman"/>
          <w:sz w:val="24"/>
          <w:szCs w:val="24"/>
          <w:vertAlign w:val="superscript"/>
        </w:rPr>
        <w:t>4</w:t>
      </w:r>
      <w:r w:rsidRPr="00D23748">
        <w:rPr>
          <w:rFonts w:cs="Times New Roman"/>
          <w:sz w:val="24"/>
          <w:szCs w:val="24"/>
        </w:rPr>
        <w:t xml:space="preserve">, Xiaoqing </w:t>
      </w:r>
      <w:r w:rsidR="00645578" w:rsidRPr="00D23748">
        <w:rPr>
          <w:rFonts w:cs="Times New Roman"/>
          <w:sz w:val="24"/>
          <w:szCs w:val="24"/>
        </w:rPr>
        <w:t>Pan</w:t>
      </w:r>
      <w:r w:rsidR="00645578">
        <w:rPr>
          <w:rFonts w:cs="Times New Roman"/>
          <w:sz w:val="24"/>
          <w:szCs w:val="24"/>
          <w:vertAlign w:val="superscript"/>
        </w:rPr>
        <w:t>4</w:t>
      </w:r>
      <w:r w:rsidRPr="00D23748">
        <w:rPr>
          <w:rFonts w:cs="Times New Roman"/>
          <w:sz w:val="24"/>
          <w:szCs w:val="24"/>
        </w:rPr>
        <w:t>, Minghao Zhang</w:t>
      </w:r>
      <w:proofErr w:type="gramStart"/>
      <w:r w:rsidRPr="00D23748">
        <w:rPr>
          <w:rFonts w:cs="Times New Roman"/>
          <w:sz w:val="24"/>
          <w:szCs w:val="24"/>
          <w:vertAlign w:val="superscript"/>
        </w:rPr>
        <w:t>1,*</w:t>
      </w:r>
      <w:proofErr w:type="gramEnd"/>
      <w:r w:rsidRPr="00D23748">
        <w:rPr>
          <w:rFonts w:cs="Times New Roman"/>
          <w:sz w:val="24"/>
          <w:szCs w:val="24"/>
        </w:rPr>
        <w:t>, and Ying Shirley Meng</w:t>
      </w:r>
      <w:r w:rsidRPr="00D23748">
        <w:rPr>
          <w:rFonts w:cs="Times New Roman"/>
          <w:sz w:val="24"/>
          <w:szCs w:val="24"/>
          <w:vertAlign w:val="superscript"/>
        </w:rPr>
        <w:t>1,</w:t>
      </w:r>
      <w:r w:rsidR="00645578">
        <w:rPr>
          <w:rFonts w:cs="Times New Roman"/>
          <w:sz w:val="24"/>
          <w:szCs w:val="24"/>
          <w:vertAlign w:val="superscript"/>
        </w:rPr>
        <w:t>3</w:t>
      </w:r>
      <w:r w:rsidRPr="00D23748">
        <w:rPr>
          <w:rFonts w:cs="Times New Roman"/>
          <w:sz w:val="24"/>
          <w:szCs w:val="24"/>
          <w:vertAlign w:val="superscript"/>
        </w:rPr>
        <w:t>,*</w:t>
      </w:r>
    </w:p>
    <w:p w14:paraId="1D5D7976" w14:textId="77777777" w:rsidR="00E95304" w:rsidRDefault="00E95304" w:rsidP="00E95304">
      <w:pPr>
        <w:jc w:val="both"/>
        <w:rPr>
          <w:rFonts w:cs="Times New Roman"/>
          <w:b/>
          <w:bCs/>
          <w:sz w:val="28"/>
          <w:szCs w:val="28"/>
        </w:rPr>
      </w:pPr>
    </w:p>
    <w:p w14:paraId="26097025" w14:textId="77777777" w:rsidR="00E95304" w:rsidRPr="002450F6" w:rsidRDefault="00E95304" w:rsidP="00E95304">
      <w:pPr>
        <w:spacing w:after="0" w:line="240" w:lineRule="auto"/>
        <w:rPr>
          <w:rFonts w:cs="Times New Roman"/>
          <w:i/>
          <w:iCs/>
          <w:sz w:val="24"/>
          <w:szCs w:val="24"/>
        </w:rPr>
      </w:pPr>
      <w:r>
        <w:rPr>
          <w:rFonts w:cs="Times New Roman"/>
          <w:sz w:val="24"/>
          <w:szCs w:val="24"/>
          <w:vertAlign w:val="superscript"/>
        </w:rPr>
        <w:t>1</w:t>
      </w:r>
      <w:r w:rsidRPr="009E24A4">
        <w:rPr>
          <w:rFonts w:cs="Times New Roman"/>
          <w:i/>
          <w:iCs/>
          <w:sz w:val="24"/>
          <w:szCs w:val="24"/>
        </w:rPr>
        <w:t xml:space="preserve">Department of </w:t>
      </w:r>
      <w:proofErr w:type="spellStart"/>
      <w:r w:rsidRPr="009E24A4">
        <w:rPr>
          <w:rFonts w:cs="Times New Roman"/>
          <w:i/>
          <w:iCs/>
          <w:sz w:val="24"/>
          <w:szCs w:val="24"/>
        </w:rPr>
        <w:t>NanoEngineering</w:t>
      </w:r>
      <w:proofErr w:type="spellEnd"/>
      <w:r w:rsidRPr="009E24A4">
        <w:rPr>
          <w:rFonts w:cs="Times New Roman"/>
          <w:i/>
          <w:iCs/>
          <w:sz w:val="24"/>
          <w:szCs w:val="24"/>
        </w:rPr>
        <w:t>, University of California San Diego, La Jolla, CA, USA.</w:t>
      </w:r>
    </w:p>
    <w:p w14:paraId="532011D5" w14:textId="77777777" w:rsidR="00E95304" w:rsidRDefault="00E95304" w:rsidP="006766BD">
      <w:pPr>
        <w:spacing w:after="0" w:line="240" w:lineRule="auto"/>
        <w:rPr>
          <w:rFonts w:cs="Times New Roman"/>
          <w:i/>
          <w:iCs/>
          <w:sz w:val="24"/>
          <w:szCs w:val="24"/>
        </w:rPr>
      </w:pPr>
      <w:r>
        <w:rPr>
          <w:rFonts w:cs="Times New Roman"/>
          <w:sz w:val="24"/>
          <w:szCs w:val="24"/>
          <w:vertAlign w:val="superscript"/>
        </w:rPr>
        <w:t>2</w:t>
      </w:r>
      <w:r w:rsidRPr="00F91393">
        <w:rPr>
          <w:rFonts w:cs="Times New Roman"/>
          <w:i/>
          <w:iCs/>
          <w:sz w:val="24"/>
          <w:szCs w:val="24"/>
        </w:rPr>
        <w:t>Materials Science and Engineering</w:t>
      </w:r>
      <w:r>
        <w:rPr>
          <w:rFonts w:cs="Times New Roman"/>
          <w:i/>
          <w:iCs/>
          <w:sz w:val="24"/>
          <w:szCs w:val="24"/>
        </w:rPr>
        <w:t xml:space="preserve"> Program</w:t>
      </w:r>
      <w:r w:rsidRPr="00F91393">
        <w:rPr>
          <w:rFonts w:cs="Times New Roman"/>
          <w:i/>
          <w:iCs/>
          <w:sz w:val="24"/>
          <w:szCs w:val="24"/>
        </w:rPr>
        <w:t>, University of California San Diego, La Jolla,</w:t>
      </w:r>
      <w:r>
        <w:rPr>
          <w:rFonts w:cs="Times New Roman"/>
          <w:i/>
          <w:iCs/>
          <w:sz w:val="24"/>
          <w:szCs w:val="24"/>
        </w:rPr>
        <w:t xml:space="preserve"> </w:t>
      </w:r>
      <w:r w:rsidRPr="00F91393">
        <w:rPr>
          <w:rFonts w:cs="Times New Roman"/>
          <w:i/>
          <w:iCs/>
          <w:sz w:val="24"/>
          <w:szCs w:val="24"/>
        </w:rPr>
        <w:t>CA, USA</w:t>
      </w:r>
      <w:r>
        <w:rPr>
          <w:rFonts w:cs="Times New Roman"/>
          <w:i/>
          <w:iCs/>
          <w:sz w:val="24"/>
          <w:szCs w:val="24"/>
        </w:rPr>
        <w:t>.</w:t>
      </w:r>
    </w:p>
    <w:p w14:paraId="105902C8" w14:textId="79F8163F" w:rsidR="00E95304" w:rsidRDefault="00E95304" w:rsidP="00E95304">
      <w:pPr>
        <w:spacing w:after="0" w:line="240" w:lineRule="auto"/>
        <w:rPr>
          <w:rFonts w:cs="Times New Roman"/>
          <w:i/>
          <w:iCs/>
          <w:sz w:val="24"/>
          <w:szCs w:val="24"/>
        </w:rPr>
      </w:pPr>
      <w:r w:rsidRPr="006766BD">
        <w:rPr>
          <w:rFonts w:cs="Times New Roman"/>
          <w:sz w:val="24"/>
          <w:szCs w:val="24"/>
          <w:vertAlign w:val="superscript"/>
        </w:rPr>
        <w:t>3</w:t>
      </w:r>
      <w:r w:rsidR="00645578">
        <w:rPr>
          <w:rFonts w:cs="Times New Roman"/>
          <w:i/>
          <w:iCs/>
          <w:sz w:val="24"/>
          <w:szCs w:val="24"/>
        </w:rPr>
        <w:t>Pritzker school of Molecular Engineering, University of Chicago, Chicago, IL, 60637, USA</w:t>
      </w:r>
      <w:r>
        <w:rPr>
          <w:rFonts w:cs="Times New Roman"/>
          <w:i/>
          <w:iCs/>
          <w:sz w:val="24"/>
          <w:szCs w:val="24"/>
        </w:rPr>
        <w:t xml:space="preserve"> </w:t>
      </w:r>
      <w:r w:rsidR="00645578" w:rsidRPr="006766BD">
        <w:rPr>
          <w:rFonts w:cs="Times New Roman"/>
          <w:sz w:val="24"/>
          <w:szCs w:val="24"/>
          <w:vertAlign w:val="superscript"/>
        </w:rPr>
        <w:t>4</w:t>
      </w:r>
      <w:r w:rsidRPr="00D23748">
        <w:rPr>
          <w:rFonts w:cs="Times New Roman"/>
          <w:i/>
          <w:iCs/>
          <w:sz w:val="24"/>
          <w:szCs w:val="24"/>
        </w:rPr>
        <w:t xml:space="preserve">Irvine Materials Research Institute, University of California Irvine, Irvine, California 92697, </w:t>
      </w:r>
      <w:r w:rsidR="00645578">
        <w:rPr>
          <w:rFonts w:cs="Times New Roman"/>
          <w:i/>
          <w:iCs/>
          <w:sz w:val="24"/>
          <w:szCs w:val="24"/>
        </w:rPr>
        <w:t>USA</w:t>
      </w:r>
    </w:p>
    <w:p w14:paraId="41CC636F" w14:textId="3F17D720" w:rsidR="00E95304" w:rsidRDefault="00E95304" w:rsidP="00E95304">
      <w:pPr>
        <w:spacing w:after="0" w:line="240" w:lineRule="auto"/>
        <w:rPr>
          <w:rFonts w:cs="Times New Roman"/>
          <w:i/>
          <w:iCs/>
          <w:sz w:val="24"/>
          <w:szCs w:val="24"/>
        </w:rPr>
      </w:pPr>
    </w:p>
    <w:p w14:paraId="590F7CAE" w14:textId="77777777" w:rsidR="00E95304" w:rsidRDefault="00E95304" w:rsidP="00E95304">
      <w:pPr>
        <w:jc w:val="both"/>
      </w:pPr>
    </w:p>
    <w:p w14:paraId="422EF381" w14:textId="1223EB30" w:rsidR="00E95304" w:rsidRDefault="00E95304" w:rsidP="00E95304">
      <w:pPr>
        <w:jc w:val="both"/>
        <w:rPr>
          <w:rFonts w:cs="Times New Roman"/>
          <w:b/>
          <w:bCs/>
          <w:sz w:val="28"/>
          <w:szCs w:val="28"/>
        </w:rPr>
      </w:pPr>
      <w:r>
        <w:t xml:space="preserve">* </w:t>
      </w:r>
      <w:r w:rsidRPr="00153C49">
        <w:t xml:space="preserve">Co-correspondence: </w:t>
      </w:r>
      <w:r w:rsidRPr="009A1511">
        <w:t>miz016@</w:t>
      </w:r>
      <w:r w:rsidR="00645578">
        <w:t>eng.</w:t>
      </w:r>
      <w:r w:rsidRPr="009A1511">
        <w:t>ucsd.edu</w:t>
      </w:r>
      <w:r>
        <w:t xml:space="preserve">, </w:t>
      </w:r>
      <w:bookmarkStart w:id="1" w:name="_Hlk94452475"/>
      <w:r w:rsidRPr="005F425E">
        <w:t>shirleymeng@uchicago.edu</w:t>
      </w:r>
      <w:bookmarkEnd w:id="1"/>
    </w:p>
    <w:p w14:paraId="044903DA" w14:textId="415211D9" w:rsidR="00E95304" w:rsidRDefault="00E95304"/>
    <w:p w14:paraId="4FAC055B" w14:textId="77777777" w:rsidR="00E2204C" w:rsidRDefault="00E2204C">
      <w:r>
        <w:br w:type="page"/>
      </w:r>
    </w:p>
    <w:p w14:paraId="6E6C907B" w14:textId="77777777" w:rsidR="00E2204C" w:rsidRDefault="00E2204C" w:rsidP="006766BD">
      <w:pPr>
        <w:jc w:val="center"/>
      </w:pPr>
      <w:r>
        <w:rPr>
          <w:noProof/>
        </w:rPr>
        <w:lastRenderedPageBreak/>
        <w:drawing>
          <wp:inline distT="0" distB="0" distL="0" distR="0" wp14:anchorId="386AF11C" wp14:editId="6B696FB9">
            <wp:extent cx="5486400" cy="2631202"/>
            <wp:effectExtent l="0" t="0" r="0" b="0"/>
            <wp:docPr id="653991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91668" name="Picture 2"/>
                    <pic:cNvPicPr>
                      <a:picLocks noChangeAspect="1" noChangeArrowheads="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bwMode="auto">
                    <a:xfrm>
                      <a:off x="0" y="0"/>
                      <a:ext cx="5486400" cy="2631202"/>
                    </a:xfrm>
                    <a:prstGeom prst="rect">
                      <a:avLst/>
                    </a:prstGeom>
                  </pic:spPr>
                </pic:pic>
              </a:graphicData>
            </a:graphic>
          </wp:inline>
        </w:drawing>
      </w:r>
    </w:p>
    <w:p w14:paraId="04839C02" w14:textId="5D33AAA5" w:rsidR="00E95304" w:rsidRDefault="00E2204C" w:rsidP="006766BD">
      <w:pPr>
        <w:jc w:val="both"/>
      </w:pPr>
      <w:r w:rsidRPr="006766BD">
        <w:rPr>
          <w:b/>
          <w:bCs/>
          <w:sz w:val="18"/>
          <w:szCs w:val="18"/>
        </w:rPr>
        <w:t>Figure S1. Structural similarities of all solid-state thin-film battery and resistive switching (RS) device.</w:t>
      </w:r>
      <w:r w:rsidRPr="006766BD">
        <w:rPr>
          <w:sz w:val="18"/>
          <w:szCs w:val="18"/>
        </w:rPr>
        <w:t xml:space="preserve"> (a) </w:t>
      </w:r>
      <w:r>
        <w:rPr>
          <w:sz w:val="18"/>
          <w:szCs w:val="18"/>
        </w:rPr>
        <w:t>Configuration c</w:t>
      </w:r>
      <w:r w:rsidRPr="006766BD">
        <w:rPr>
          <w:sz w:val="18"/>
          <w:szCs w:val="18"/>
        </w:rPr>
        <w:t>omparison of two devices</w:t>
      </w:r>
      <w:r>
        <w:rPr>
          <w:sz w:val="18"/>
          <w:szCs w:val="18"/>
        </w:rPr>
        <w:t>. Example of (b) LiNi</w:t>
      </w:r>
      <w:r w:rsidRPr="006766BD">
        <w:rPr>
          <w:sz w:val="18"/>
          <w:szCs w:val="18"/>
          <w:vertAlign w:val="subscript"/>
        </w:rPr>
        <w:t>0.5</w:t>
      </w:r>
      <w:r>
        <w:rPr>
          <w:sz w:val="18"/>
          <w:szCs w:val="18"/>
        </w:rPr>
        <w:t>Mn</w:t>
      </w:r>
      <w:r w:rsidRPr="006766BD">
        <w:rPr>
          <w:sz w:val="18"/>
          <w:szCs w:val="18"/>
          <w:vertAlign w:val="subscript"/>
        </w:rPr>
        <w:t>1.5</w:t>
      </w:r>
      <w:r>
        <w:rPr>
          <w:sz w:val="18"/>
          <w:szCs w:val="18"/>
        </w:rPr>
        <w:t>O</w:t>
      </w:r>
      <w:r w:rsidRPr="006766BD">
        <w:rPr>
          <w:sz w:val="18"/>
          <w:szCs w:val="18"/>
          <w:vertAlign w:val="subscript"/>
        </w:rPr>
        <w:t>4</w:t>
      </w:r>
      <w:r>
        <w:rPr>
          <w:sz w:val="18"/>
          <w:szCs w:val="18"/>
        </w:rPr>
        <w:t>/</w:t>
      </w:r>
      <w:proofErr w:type="spellStart"/>
      <w:r>
        <w:rPr>
          <w:sz w:val="18"/>
          <w:szCs w:val="18"/>
        </w:rPr>
        <w:t>LiPON</w:t>
      </w:r>
      <w:proofErr w:type="spellEnd"/>
      <w:r>
        <w:rPr>
          <w:sz w:val="18"/>
          <w:szCs w:val="18"/>
        </w:rPr>
        <w:t>/Li-metal battery (our past work</w:t>
      </w:r>
      <w:r>
        <w:rPr>
          <w:sz w:val="18"/>
          <w:szCs w:val="18"/>
        </w:rPr>
        <w:fldChar w:fldCharType="begin"/>
      </w:r>
      <w:r>
        <w:rPr>
          <w:sz w:val="18"/>
          <w:szCs w:val="18"/>
        </w:rPr>
        <w:instrText xml:space="preserve"> ADDIN ZOTERO_ITEM CSL_CITATION {"citationID":"F8AVy2Zr","properties":{"formattedCitation":"\\super 1\\nosupersub{}","plainCitation":"1","noteIndex":0},"citationItems":[{"id":2452,"uris":["http://zotero.org/users/local/0EUyVHis/items/CDXZCKIH"],"itemData":{"id":2452,"type":"article-journal","abstract":"Spinel-type LiNi0.5Mn1.5O4 (LNMO) is one of the most promising 5 V-class cathode materials for Li-ion batteries that can achieve high energy density and low production costs. However, in liquid electrolyte cells, the high voltage causes continuous cell degradation through the oxidative decomposition of carbonate-based liquid electrolytes. In contrast, some solid-state electrolytes have a wide electrochemical stability range and can withstand the required oxidative potential. In this work, a thin-film battery consisting of an LNMO cathode with a solid lithium phosphorus oxynitride (LiPON) electrolyte is tested and their interface before and after cycling is characterized. With Li metal as the anode, this system can deliver stable performance for 600 cycles with an average Coulombic efficiency &gt;99%. Neutron depth profiling indicates a slight overlithiated layer at the interface prior to cycling, a result that is consistent with the excess charge capacity measured during the first cycle. Cryogenic electron microscopy further reveals intimate contact between LNMO and LiPON without noticeable structure and chemical composition evolution after extended cycling, demonstrating the superior stability of LiPON against a high voltage cathode. Consequently, design guidelines are proposed for interface engineering that can accelerate the commercialization of a high voltage cell with solid or liquid electrolytes.","container-title":"Advanced Energy Materials","DOI":"10.1002/aenm.202201119","ISSN":"1614-6840","language":"en","note":"_eprint: https://onlinelibrary.wiley.com/doi/pdf/10.1002/aenm.202201119","page":"2201119","source":"Wiley Online Library","title":"Unraveling the Stable Cathode Electrolyte Interface in all Solid-State Thin-Film Battery Operating at 5 V","author":[{"family":"Shimizu","given":"Ryosuke"},{"family":"Cheng","given":"Diyi"},{"family":"Weaver","given":"Jamie L."},{"family":"Zhang","given":"Minghao"},{"family":"Lu","given":"Bingyu"},{"family":"Wynn","given":"Thomas A."},{"family":"Burger","given":"Randall"},{"family":"Kim","given":"Min-cheol"},{"family":"Zhu","given":"Guomin"},{"family":"Meng","given":"Ying Shirley"}],"issued":{"date-parts":[["2022"]]}}}],"schema":"https://github.com/citation-style-language/schema/raw/master/csl-citation.json"} </w:instrText>
      </w:r>
      <w:r>
        <w:rPr>
          <w:sz w:val="18"/>
          <w:szCs w:val="18"/>
        </w:rPr>
        <w:fldChar w:fldCharType="separate"/>
      </w:r>
      <w:r w:rsidRPr="00E2204C">
        <w:rPr>
          <w:rFonts w:cs="Times New Roman"/>
          <w:sz w:val="18"/>
          <w:szCs w:val="24"/>
          <w:vertAlign w:val="superscript"/>
        </w:rPr>
        <w:t>1</w:t>
      </w:r>
      <w:r>
        <w:rPr>
          <w:sz w:val="18"/>
          <w:szCs w:val="18"/>
        </w:rPr>
        <w:fldChar w:fldCharType="end"/>
      </w:r>
      <w:r>
        <w:rPr>
          <w:sz w:val="18"/>
          <w:szCs w:val="18"/>
        </w:rPr>
        <w:t xml:space="preserve">) and (c) Ni/a-LLTO/Ni resistive switching device (this work) </w:t>
      </w:r>
      <w:r w:rsidR="00E95304">
        <w:br w:type="page"/>
      </w:r>
    </w:p>
    <w:p w14:paraId="78855F15" w14:textId="2326953E" w:rsidR="00E95304" w:rsidRDefault="00E95304" w:rsidP="00E95304">
      <w:pPr>
        <w:jc w:val="center"/>
      </w:pPr>
      <w:r>
        <w:rPr>
          <w:noProof/>
        </w:rPr>
        <w:lastRenderedPageBreak/>
        <w:drawing>
          <wp:inline distT="0" distB="0" distL="0" distR="0" wp14:anchorId="4D62F0B6" wp14:editId="503883D6">
            <wp:extent cx="5669280" cy="325675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9280" cy="3256751"/>
                    </a:xfrm>
                    <a:prstGeom prst="rect">
                      <a:avLst/>
                    </a:prstGeom>
                    <a:noFill/>
                  </pic:spPr>
                </pic:pic>
              </a:graphicData>
            </a:graphic>
          </wp:inline>
        </w:drawing>
      </w:r>
    </w:p>
    <w:p w14:paraId="3486475D" w14:textId="0667C8C7" w:rsidR="00E95304" w:rsidRPr="00E95304" w:rsidRDefault="00E95304" w:rsidP="00E95304">
      <w:pPr>
        <w:jc w:val="both"/>
        <w:rPr>
          <w:sz w:val="18"/>
          <w:szCs w:val="18"/>
        </w:rPr>
      </w:pPr>
      <w:r w:rsidRPr="00E95304">
        <w:rPr>
          <w:b/>
          <w:bCs/>
          <w:sz w:val="18"/>
          <w:szCs w:val="18"/>
        </w:rPr>
        <w:t>Figure S</w:t>
      </w:r>
      <w:r w:rsidR="00E2204C">
        <w:rPr>
          <w:b/>
          <w:bCs/>
          <w:sz w:val="18"/>
          <w:szCs w:val="18"/>
        </w:rPr>
        <w:t>2</w:t>
      </w:r>
      <w:r w:rsidRPr="00E95304">
        <w:rPr>
          <w:b/>
          <w:bCs/>
          <w:sz w:val="18"/>
          <w:szCs w:val="18"/>
        </w:rPr>
        <w:t xml:space="preserve">. Basic </w:t>
      </w:r>
      <w:r w:rsidR="00355E06">
        <w:rPr>
          <w:b/>
          <w:bCs/>
          <w:sz w:val="18"/>
          <w:szCs w:val="18"/>
        </w:rPr>
        <w:t xml:space="preserve">structural and morphological </w:t>
      </w:r>
      <w:r w:rsidRPr="00E95304">
        <w:rPr>
          <w:b/>
          <w:bCs/>
          <w:sz w:val="18"/>
          <w:szCs w:val="18"/>
        </w:rPr>
        <w:t>characterization of a-LLTO thin film.</w:t>
      </w:r>
      <w:r w:rsidRPr="00E95304">
        <w:rPr>
          <w:sz w:val="18"/>
          <w:szCs w:val="18"/>
        </w:rPr>
        <w:t xml:space="preserve"> (a) XRD pattern of a-LLTO</w:t>
      </w:r>
      <w:r w:rsidR="00D9663A">
        <w:rPr>
          <w:sz w:val="18"/>
          <w:szCs w:val="18"/>
        </w:rPr>
        <w:t xml:space="preserve"> deposited on Pt-coated SiO</w:t>
      </w:r>
      <w:r w:rsidR="00D9663A" w:rsidRPr="006766BD">
        <w:rPr>
          <w:sz w:val="18"/>
          <w:szCs w:val="18"/>
          <w:vertAlign w:val="subscript"/>
        </w:rPr>
        <w:t>2</w:t>
      </w:r>
      <w:r w:rsidR="00D9663A">
        <w:rPr>
          <w:sz w:val="18"/>
          <w:szCs w:val="18"/>
        </w:rPr>
        <w:t>/Si substrate</w:t>
      </w:r>
      <w:r w:rsidRPr="00E95304">
        <w:rPr>
          <w:sz w:val="18"/>
          <w:szCs w:val="18"/>
        </w:rPr>
        <w:t xml:space="preserve">. (b) Surface and (c) cross-sectional SEM images of a-LLTO thin film. </w:t>
      </w:r>
      <w:r w:rsidR="00D9663A">
        <w:rPr>
          <w:sz w:val="18"/>
          <w:szCs w:val="18"/>
        </w:rPr>
        <w:t xml:space="preserve">Cross-sectional image of LLTO film was taken by cleaving the substrate. </w:t>
      </w:r>
    </w:p>
    <w:p w14:paraId="0F57A10F" w14:textId="77777777" w:rsidR="00355E06" w:rsidRDefault="00355E06">
      <w:r>
        <w:br w:type="page"/>
      </w:r>
    </w:p>
    <w:p w14:paraId="02ED82F1" w14:textId="77777777" w:rsidR="00355E06" w:rsidRDefault="00355E06" w:rsidP="00355E06">
      <w:pPr>
        <w:jc w:val="center"/>
      </w:pPr>
      <w:bookmarkStart w:id="2" w:name="_Hlk152709902"/>
      <w:r>
        <w:rPr>
          <w:noProof/>
        </w:rPr>
        <w:lastRenderedPageBreak/>
        <w:drawing>
          <wp:inline distT="0" distB="0" distL="0" distR="0" wp14:anchorId="028E1BC9" wp14:editId="27A53A47">
            <wp:extent cx="5943600" cy="1934507"/>
            <wp:effectExtent l="0" t="0" r="0" b="0"/>
            <wp:docPr id="14623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3748" name="Picture 1"/>
                    <pic:cNvPicPr>
                      <a:picLocks noChangeAspect="1" noChangeArrowheads="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5943600" cy="1934507"/>
                    </a:xfrm>
                    <a:prstGeom prst="rect">
                      <a:avLst/>
                    </a:prstGeom>
                  </pic:spPr>
                </pic:pic>
              </a:graphicData>
            </a:graphic>
          </wp:inline>
        </w:drawing>
      </w:r>
    </w:p>
    <w:p w14:paraId="1A381F9A" w14:textId="020BD9E7" w:rsidR="00E95304" w:rsidRDefault="00355E06" w:rsidP="00355E06">
      <w:pPr>
        <w:jc w:val="both"/>
      </w:pPr>
      <w:r w:rsidRPr="00D17C95">
        <w:rPr>
          <w:b/>
          <w:bCs/>
          <w:sz w:val="18"/>
          <w:szCs w:val="18"/>
        </w:rPr>
        <w:t>Figure S3. Basic electrochemical characterization of a-LLTO thin film.</w:t>
      </w:r>
      <w:r w:rsidRPr="00D17C95">
        <w:rPr>
          <w:sz w:val="18"/>
          <w:szCs w:val="18"/>
        </w:rPr>
        <w:t xml:space="preserve"> (a) Electrochemical impedance spectroscopy of a-LLTO deposited on Pt-coated SiO</w:t>
      </w:r>
      <w:r w:rsidRPr="00D17C95">
        <w:rPr>
          <w:sz w:val="18"/>
          <w:szCs w:val="18"/>
          <w:vertAlign w:val="subscript"/>
        </w:rPr>
        <w:t>2</w:t>
      </w:r>
      <w:r w:rsidRPr="00D17C95">
        <w:rPr>
          <w:sz w:val="18"/>
          <w:szCs w:val="18"/>
        </w:rPr>
        <w:t>/Si substrate at different temperatures. (b) Arrhenius plot of a-LLTO ionic conductivity at various temperatures. Fitting was conducted for the data acquired at -10</w:t>
      </w:r>
      <w:r w:rsidRPr="00D17C95">
        <w:rPr>
          <w:rFonts w:ascii="Arial" w:hAnsi="Arial" w:cs="Arial"/>
          <w:sz w:val="18"/>
          <w:szCs w:val="18"/>
        </w:rPr>
        <w:t>°</w:t>
      </w:r>
      <w:r w:rsidRPr="00D17C95">
        <w:rPr>
          <w:sz w:val="18"/>
          <w:szCs w:val="18"/>
        </w:rPr>
        <w:t>C or less since semicircle feature is less obvious for those acquired at higher temperatures. Ionic conductivity of a-LLTO at room temperature is estimated through the extrapolation of least square fit of Arrhenius plot. (c) I-t plot of DC polarization measurement, where 1.0 V was applied to a-LLTO.</w:t>
      </w:r>
      <w:r>
        <w:rPr>
          <w:sz w:val="18"/>
          <w:szCs w:val="18"/>
        </w:rPr>
        <w:t xml:space="preserve"> </w:t>
      </w:r>
      <w:bookmarkEnd w:id="2"/>
      <w:r w:rsidR="00E95304">
        <w:br w:type="page"/>
      </w:r>
    </w:p>
    <w:p w14:paraId="12627DC4" w14:textId="6E3AD4E6" w:rsidR="00E95304" w:rsidRDefault="00E95304" w:rsidP="00E95304">
      <w:pPr>
        <w:jc w:val="both"/>
      </w:pPr>
      <w:r>
        <w:rPr>
          <w:noProof/>
        </w:rPr>
        <w:lastRenderedPageBreak/>
        <w:drawing>
          <wp:inline distT="0" distB="0" distL="0" distR="0" wp14:anchorId="203739B4" wp14:editId="09DFEAAE">
            <wp:extent cx="5669280" cy="31478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9280" cy="3147829"/>
                    </a:xfrm>
                    <a:prstGeom prst="rect">
                      <a:avLst/>
                    </a:prstGeom>
                    <a:noFill/>
                  </pic:spPr>
                </pic:pic>
              </a:graphicData>
            </a:graphic>
          </wp:inline>
        </w:drawing>
      </w:r>
    </w:p>
    <w:p w14:paraId="68F0702A" w14:textId="2809A521" w:rsidR="00E95304" w:rsidRPr="00E95304" w:rsidRDefault="00E95304" w:rsidP="00E95304">
      <w:pPr>
        <w:jc w:val="both"/>
        <w:rPr>
          <w:sz w:val="18"/>
          <w:szCs w:val="18"/>
        </w:rPr>
      </w:pPr>
      <w:r w:rsidRPr="00E95304">
        <w:rPr>
          <w:b/>
          <w:bCs/>
          <w:sz w:val="18"/>
          <w:szCs w:val="18"/>
        </w:rPr>
        <w:t>Figure S</w:t>
      </w:r>
      <w:r w:rsidR="00355E06">
        <w:rPr>
          <w:b/>
          <w:bCs/>
          <w:sz w:val="18"/>
          <w:szCs w:val="18"/>
        </w:rPr>
        <w:t>4</w:t>
      </w:r>
      <w:r w:rsidRPr="00E95304">
        <w:rPr>
          <w:b/>
          <w:bCs/>
          <w:sz w:val="18"/>
          <w:szCs w:val="18"/>
        </w:rPr>
        <w:t>. Linear I-V plot in different voltage range.</w:t>
      </w:r>
      <w:r w:rsidRPr="00E95304">
        <w:rPr>
          <w:sz w:val="18"/>
          <w:szCs w:val="18"/>
        </w:rPr>
        <w:t xml:space="preserve"> (a) -2.0 V ≤ V ≤ 2.0 V, (b) -2.5 V ≤ V ≤ 2.5 V, (c) -3.0 V ≤ V ≤ 3.0 V, (d) -4.0 V ≤ V ≤ 4.0 V, (e) -4.5 V ≤ V ≤ 4.5 V, and (f) -5.0 V ≤ V ≤ 5.0 V. Inset figures in (a), (b), and (c) are magnified images of respective plots.</w:t>
      </w:r>
    </w:p>
    <w:p w14:paraId="62066487" w14:textId="2C06B6A3" w:rsidR="00E95304" w:rsidRDefault="00E95304" w:rsidP="00E95304">
      <w:pPr>
        <w:jc w:val="both"/>
      </w:pPr>
    </w:p>
    <w:p w14:paraId="18996535" w14:textId="4FCC5B80" w:rsidR="00E95304" w:rsidRDefault="00E95304">
      <w:r>
        <w:br w:type="page"/>
      </w:r>
    </w:p>
    <w:p w14:paraId="6DDF0EA5" w14:textId="4F4594E1" w:rsidR="00E95304" w:rsidRDefault="00E95304" w:rsidP="00E95304">
      <w:pPr>
        <w:jc w:val="both"/>
      </w:pPr>
      <w:r>
        <w:rPr>
          <w:noProof/>
        </w:rPr>
        <w:lastRenderedPageBreak/>
        <w:drawing>
          <wp:inline distT="0" distB="0" distL="0" distR="0" wp14:anchorId="209269B7" wp14:editId="47E5A05B">
            <wp:extent cx="5669280" cy="31510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280" cy="3151089"/>
                    </a:xfrm>
                    <a:prstGeom prst="rect">
                      <a:avLst/>
                    </a:prstGeom>
                    <a:noFill/>
                  </pic:spPr>
                </pic:pic>
              </a:graphicData>
            </a:graphic>
          </wp:inline>
        </w:drawing>
      </w:r>
    </w:p>
    <w:p w14:paraId="3B6D6311" w14:textId="3DEC8567" w:rsidR="00E95304" w:rsidRDefault="00E95304" w:rsidP="00E95304">
      <w:pPr>
        <w:jc w:val="both"/>
        <w:rPr>
          <w:sz w:val="18"/>
          <w:szCs w:val="18"/>
        </w:rPr>
      </w:pPr>
      <w:r w:rsidRPr="00E95304">
        <w:rPr>
          <w:b/>
          <w:bCs/>
          <w:sz w:val="18"/>
          <w:szCs w:val="18"/>
        </w:rPr>
        <w:t>Figure S</w:t>
      </w:r>
      <w:r w:rsidR="00355E06">
        <w:rPr>
          <w:b/>
          <w:bCs/>
          <w:sz w:val="18"/>
          <w:szCs w:val="18"/>
        </w:rPr>
        <w:t>5</w:t>
      </w:r>
      <w:r w:rsidRPr="00E95304">
        <w:rPr>
          <w:b/>
          <w:bCs/>
          <w:sz w:val="18"/>
          <w:szCs w:val="18"/>
        </w:rPr>
        <w:t>. Log |I|-V plot in different voltage range.</w:t>
      </w:r>
      <w:r w:rsidRPr="00E95304">
        <w:rPr>
          <w:sz w:val="18"/>
          <w:szCs w:val="18"/>
        </w:rPr>
        <w:t xml:space="preserve"> (a) -2.0 V ≤ V ≤ 2.0 V, (b) -2.5 V ≤ V ≤ 2.5 V, (c) -3.0 V ≤ V ≤ 3.0 V, (d) -4.0 V ≤ V ≤ 4.0 V, (e) -4.5 V ≤ V ≤ 4.5 V, and (f) -5.0 V ≤ V ≤ 5.0 V. These are log |I| plot from Figure S2. </w:t>
      </w:r>
      <w:r w:rsidR="00E33A3F" w:rsidRPr="00E95304">
        <w:rPr>
          <w:sz w:val="18"/>
          <w:szCs w:val="18"/>
        </w:rPr>
        <w:t>The absolute</w:t>
      </w:r>
      <w:r w:rsidRPr="00E95304">
        <w:rPr>
          <w:sz w:val="18"/>
          <w:szCs w:val="18"/>
        </w:rPr>
        <w:t xml:space="preserve"> value of the current in </w:t>
      </w:r>
      <w:r w:rsidR="00C272EA">
        <w:rPr>
          <w:sz w:val="18"/>
          <w:szCs w:val="18"/>
        </w:rPr>
        <w:t>F</w:t>
      </w:r>
      <w:r w:rsidRPr="00E95304">
        <w:rPr>
          <w:sz w:val="18"/>
          <w:szCs w:val="18"/>
        </w:rPr>
        <w:t xml:space="preserve">igure S2 </w:t>
      </w:r>
      <w:proofErr w:type="gramStart"/>
      <w:r w:rsidRPr="00E95304">
        <w:rPr>
          <w:sz w:val="18"/>
          <w:szCs w:val="18"/>
        </w:rPr>
        <w:t>are</w:t>
      </w:r>
      <w:proofErr w:type="gramEnd"/>
      <w:r w:rsidRPr="00E95304">
        <w:rPr>
          <w:sz w:val="18"/>
          <w:szCs w:val="18"/>
        </w:rPr>
        <w:t xml:space="preserve"> used to make these plots.</w:t>
      </w:r>
    </w:p>
    <w:p w14:paraId="0667AD93" w14:textId="527A9646" w:rsidR="00E95304" w:rsidRDefault="00E95304" w:rsidP="00E95304">
      <w:pPr>
        <w:jc w:val="both"/>
        <w:rPr>
          <w:sz w:val="18"/>
          <w:szCs w:val="18"/>
        </w:rPr>
      </w:pPr>
    </w:p>
    <w:p w14:paraId="43E3EC46" w14:textId="19EC020A" w:rsidR="00E95304" w:rsidRDefault="00E95304">
      <w:pPr>
        <w:rPr>
          <w:sz w:val="18"/>
          <w:szCs w:val="18"/>
        </w:rPr>
      </w:pPr>
      <w:r>
        <w:rPr>
          <w:sz w:val="18"/>
          <w:szCs w:val="18"/>
        </w:rPr>
        <w:br w:type="page"/>
      </w:r>
    </w:p>
    <w:p w14:paraId="0E16ED7D" w14:textId="0067EF84" w:rsidR="00E95304" w:rsidRDefault="00E95304" w:rsidP="00E95304">
      <w:pPr>
        <w:jc w:val="both"/>
        <w:rPr>
          <w:sz w:val="18"/>
          <w:szCs w:val="18"/>
        </w:rPr>
      </w:pPr>
      <w:r>
        <w:rPr>
          <w:noProof/>
          <w:sz w:val="18"/>
          <w:szCs w:val="18"/>
        </w:rPr>
        <w:lastRenderedPageBreak/>
        <w:drawing>
          <wp:inline distT="0" distB="0" distL="0" distR="0" wp14:anchorId="1CAD8CA4" wp14:editId="2872CA08">
            <wp:extent cx="5669280" cy="3781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3781277"/>
                    </a:xfrm>
                    <a:prstGeom prst="rect">
                      <a:avLst/>
                    </a:prstGeom>
                    <a:noFill/>
                  </pic:spPr>
                </pic:pic>
              </a:graphicData>
            </a:graphic>
          </wp:inline>
        </w:drawing>
      </w:r>
    </w:p>
    <w:p w14:paraId="45AE0A28" w14:textId="207FF77C" w:rsidR="00E95304" w:rsidRPr="00E95304" w:rsidRDefault="00E95304" w:rsidP="00E95304">
      <w:pPr>
        <w:jc w:val="both"/>
        <w:rPr>
          <w:sz w:val="18"/>
          <w:szCs w:val="18"/>
        </w:rPr>
      </w:pPr>
      <w:r w:rsidRPr="00E95304">
        <w:rPr>
          <w:b/>
          <w:bCs/>
          <w:sz w:val="18"/>
          <w:szCs w:val="18"/>
        </w:rPr>
        <w:t>Figure S</w:t>
      </w:r>
      <w:r w:rsidR="00355E06">
        <w:rPr>
          <w:b/>
          <w:bCs/>
          <w:sz w:val="18"/>
          <w:szCs w:val="18"/>
        </w:rPr>
        <w:t>6</w:t>
      </w:r>
      <w:r w:rsidRPr="00E95304">
        <w:rPr>
          <w:b/>
          <w:bCs/>
          <w:sz w:val="18"/>
          <w:szCs w:val="18"/>
        </w:rPr>
        <w:t>. Cycling stability of Ni/LLTO/Ni system.</w:t>
      </w:r>
      <w:r w:rsidRPr="00E95304">
        <w:rPr>
          <w:sz w:val="18"/>
          <w:szCs w:val="18"/>
        </w:rPr>
        <w:t xml:space="preserve"> End point current vs. cycle number. For example, current at 3.5 V when voltage is swept between -3.5 and 3.5 V (= end-point current) is used as a current value in the plot.</w:t>
      </w:r>
    </w:p>
    <w:p w14:paraId="67A1F0C2" w14:textId="6364FEB4" w:rsidR="00E95304" w:rsidRDefault="00E95304">
      <w:pPr>
        <w:rPr>
          <w:sz w:val="18"/>
          <w:szCs w:val="18"/>
        </w:rPr>
      </w:pPr>
      <w:r>
        <w:rPr>
          <w:sz w:val="18"/>
          <w:szCs w:val="18"/>
        </w:rPr>
        <w:br w:type="page"/>
      </w:r>
    </w:p>
    <w:p w14:paraId="63595485" w14:textId="16295F77" w:rsidR="00490FC7" w:rsidRDefault="00490FC7" w:rsidP="00E95304">
      <w:pPr>
        <w:jc w:val="both"/>
        <w:rPr>
          <w:sz w:val="18"/>
          <w:szCs w:val="18"/>
        </w:rPr>
      </w:pPr>
      <w:r>
        <w:rPr>
          <w:noProof/>
          <w:sz w:val="18"/>
          <w:szCs w:val="18"/>
        </w:rPr>
        <w:lastRenderedPageBreak/>
        <w:drawing>
          <wp:inline distT="0" distB="0" distL="0" distR="0" wp14:anchorId="7841D91E" wp14:editId="2D72362D">
            <wp:extent cx="5669280" cy="371734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280" cy="3717349"/>
                    </a:xfrm>
                    <a:prstGeom prst="rect">
                      <a:avLst/>
                    </a:prstGeom>
                    <a:noFill/>
                  </pic:spPr>
                </pic:pic>
              </a:graphicData>
            </a:graphic>
          </wp:inline>
        </w:drawing>
      </w:r>
    </w:p>
    <w:p w14:paraId="5DD3BD60" w14:textId="643AF83C" w:rsidR="00132F41" w:rsidRDefault="00C9539F" w:rsidP="00C9539F">
      <w:pPr>
        <w:jc w:val="both"/>
        <w:rPr>
          <w:sz w:val="18"/>
          <w:szCs w:val="18"/>
        </w:rPr>
      </w:pPr>
      <w:r w:rsidRPr="00C9539F">
        <w:rPr>
          <w:b/>
          <w:bCs/>
          <w:sz w:val="18"/>
          <w:szCs w:val="18"/>
        </w:rPr>
        <w:t>Figure S</w:t>
      </w:r>
      <w:r w:rsidR="00355E06">
        <w:rPr>
          <w:b/>
          <w:bCs/>
          <w:sz w:val="18"/>
          <w:szCs w:val="18"/>
        </w:rPr>
        <w:t>7</w:t>
      </w:r>
      <w:r w:rsidRPr="00C9539F">
        <w:rPr>
          <w:b/>
          <w:bCs/>
          <w:sz w:val="18"/>
          <w:szCs w:val="18"/>
        </w:rPr>
        <w:t>. TEM images of pristine and after-biasing state of LLTO.</w:t>
      </w:r>
      <w:r w:rsidRPr="00C9539F">
        <w:rPr>
          <w:sz w:val="18"/>
          <w:szCs w:val="18"/>
        </w:rPr>
        <w:t xml:space="preserve"> (a) Zoom-out and (b) magnified TEM images of pristine LLTO. (c) Further magnified images of the area surrounded by red square in (b) with (inset) FFT image. (d) Zoom-out and (e) magnified TEM images of LLTO after biasing up to 5 V. (c) Further magnified images of the area surrounded by red square in (e) with (inset) FFT image. Periodic pattern is found in its FFT image, which is equivalent to the structure with d-spacing at 2.98 Å.  </w:t>
      </w:r>
    </w:p>
    <w:p w14:paraId="6F46BB44" w14:textId="77777777" w:rsidR="000B2EBE" w:rsidRDefault="000B2EBE">
      <w:pPr>
        <w:rPr>
          <w:sz w:val="18"/>
          <w:szCs w:val="18"/>
        </w:rPr>
      </w:pPr>
      <w:r>
        <w:rPr>
          <w:sz w:val="18"/>
          <w:szCs w:val="18"/>
        </w:rPr>
        <w:br w:type="page"/>
      </w:r>
    </w:p>
    <w:p w14:paraId="2A806C91" w14:textId="77777777" w:rsidR="000A19C9" w:rsidRDefault="000B2EBE">
      <w:pPr>
        <w:rPr>
          <w:sz w:val="18"/>
          <w:szCs w:val="18"/>
        </w:rPr>
      </w:pPr>
      <w:r>
        <w:rPr>
          <w:noProof/>
          <w:sz w:val="18"/>
          <w:szCs w:val="18"/>
        </w:rPr>
        <w:lastRenderedPageBreak/>
        <w:drawing>
          <wp:inline distT="0" distB="0" distL="0" distR="0" wp14:anchorId="1471967F" wp14:editId="4A376413">
            <wp:extent cx="5943600" cy="2995654"/>
            <wp:effectExtent l="0" t="0" r="0" b="0"/>
            <wp:docPr id="66693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4289" name="Picture 1"/>
                    <pic:cNvPicPr>
                      <a:picLocks noChangeAspect="1" noChangeArrowheads="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5943600" cy="2995654"/>
                    </a:xfrm>
                    <a:prstGeom prst="rect">
                      <a:avLst/>
                    </a:prstGeom>
                  </pic:spPr>
                </pic:pic>
              </a:graphicData>
            </a:graphic>
          </wp:inline>
        </w:drawing>
      </w:r>
    </w:p>
    <w:p w14:paraId="01C8E1B1" w14:textId="77777777" w:rsidR="000F7D23" w:rsidRDefault="000A19C9" w:rsidP="000A19C9">
      <w:pPr>
        <w:jc w:val="both"/>
        <w:rPr>
          <w:sz w:val="18"/>
          <w:szCs w:val="18"/>
        </w:rPr>
      </w:pPr>
      <w:r w:rsidRPr="00C9539F">
        <w:rPr>
          <w:b/>
          <w:bCs/>
          <w:sz w:val="18"/>
          <w:szCs w:val="18"/>
        </w:rPr>
        <w:t>Figure S</w:t>
      </w:r>
      <w:r w:rsidR="00355E06">
        <w:rPr>
          <w:b/>
          <w:bCs/>
          <w:sz w:val="18"/>
          <w:szCs w:val="18"/>
        </w:rPr>
        <w:t>8</w:t>
      </w:r>
      <w:r w:rsidRPr="00C9539F">
        <w:rPr>
          <w:b/>
          <w:bCs/>
          <w:sz w:val="18"/>
          <w:szCs w:val="18"/>
        </w:rPr>
        <w:t xml:space="preserve">. </w:t>
      </w:r>
      <w:r>
        <w:rPr>
          <w:b/>
          <w:bCs/>
          <w:sz w:val="18"/>
          <w:szCs w:val="18"/>
        </w:rPr>
        <w:t>Fabrication</w:t>
      </w:r>
      <w:r w:rsidRPr="000A19C9">
        <w:rPr>
          <w:b/>
          <w:bCs/>
          <w:sz w:val="18"/>
          <w:szCs w:val="18"/>
        </w:rPr>
        <w:t xml:space="preserve"> and testing results</w:t>
      </w:r>
      <w:r>
        <w:rPr>
          <w:b/>
          <w:bCs/>
          <w:sz w:val="18"/>
          <w:szCs w:val="18"/>
        </w:rPr>
        <w:t xml:space="preserve"> of LLTO nanodevice in </w:t>
      </w:r>
      <w:r w:rsidRPr="000A19C9">
        <w:rPr>
          <w:b/>
          <w:bCs/>
          <w:sz w:val="18"/>
          <w:szCs w:val="18"/>
        </w:rPr>
        <w:t>FIB-SEM</w:t>
      </w:r>
      <w:r w:rsidRPr="000A19C9">
        <w:rPr>
          <w:sz w:val="18"/>
          <w:szCs w:val="18"/>
        </w:rPr>
        <w:t>. (a) Experimental configuration of bulk Ni/LLTO/Ni device and nanodevice fabrication inside FIB-SEM on a biasing chip. (b) SEM image of the fabricated nanodevice, where Pt is deposited in FIB as an additional conductive layer and bond for lamella to chip. (c) V-I plot of constant current bias testing with comparison to the bulk device result (inset</w:t>
      </w:r>
      <w:r w:rsidR="00327E7D">
        <w:rPr>
          <w:sz w:val="18"/>
          <w:szCs w:val="18"/>
        </w:rPr>
        <w:t xml:space="preserve">, </w:t>
      </w:r>
      <w:proofErr w:type="gramStart"/>
      <w:r w:rsidR="00327E7D">
        <w:rPr>
          <w:sz w:val="18"/>
          <w:szCs w:val="18"/>
        </w:rPr>
        <w:t>replot</w:t>
      </w:r>
      <w:proofErr w:type="gramEnd"/>
      <w:r w:rsidR="00327E7D">
        <w:rPr>
          <w:sz w:val="18"/>
          <w:szCs w:val="18"/>
        </w:rPr>
        <w:t xml:space="preserve"> from Figure 1 (a)</w:t>
      </w:r>
      <w:r w:rsidRPr="000A19C9">
        <w:rPr>
          <w:sz w:val="18"/>
          <w:szCs w:val="18"/>
        </w:rPr>
        <w:t xml:space="preserve">). (d) Differential resistance, </w:t>
      </w:r>
      <w:proofErr w:type="spellStart"/>
      <w:r w:rsidRPr="000A19C9">
        <w:rPr>
          <w:sz w:val="18"/>
          <w:szCs w:val="18"/>
        </w:rPr>
        <w:t>dV</w:t>
      </w:r>
      <w:proofErr w:type="spellEnd"/>
      <w:r w:rsidRPr="000A19C9">
        <w:rPr>
          <w:sz w:val="18"/>
          <w:szCs w:val="18"/>
        </w:rPr>
        <w:t>/</w:t>
      </w:r>
      <w:proofErr w:type="spellStart"/>
      <w:r w:rsidRPr="000A19C9">
        <w:rPr>
          <w:sz w:val="18"/>
          <w:szCs w:val="18"/>
        </w:rPr>
        <w:t>dI</w:t>
      </w:r>
      <w:proofErr w:type="spellEnd"/>
      <w:r w:rsidRPr="000A19C9">
        <w:rPr>
          <w:sz w:val="18"/>
          <w:szCs w:val="18"/>
        </w:rPr>
        <w:t>, vs. measured voltage, calculated from (c).</w:t>
      </w:r>
    </w:p>
    <w:p w14:paraId="5F233D0D" w14:textId="77777777" w:rsidR="000F7D23" w:rsidRDefault="000F7D23" w:rsidP="000A19C9">
      <w:pPr>
        <w:jc w:val="both"/>
        <w:rPr>
          <w:sz w:val="18"/>
          <w:szCs w:val="18"/>
        </w:rPr>
      </w:pPr>
    </w:p>
    <w:p w14:paraId="5E66E57D" w14:textId="77777777" w:rsidR="000F7D23" w:rsidRDefault="000F7D23">
      <w:pPr>
        <w:rPr>
          <w:sz w:val="18"/>
          <w:szCs w:val="18"/>
        </w:rPr>
      </w:pPr>
      <w:r>
        <w:rPr>
          <w:sz w:val="18"/>
          <w:szCs w:val="18"/>
        </w:rPr>
        <w:br w:type="page"/>
      </w:r>
    </w:p>
    <w:p w14:paraId="47802CFC" w14:textId="77777777" w:rsidR="000F7D23" w:rsidRDefault="000F7D23" w:rsidP="000F7D23">
      <w:pPr>
        <w:jc w:val="center"/>
        <w:rPr>
          <w:sz w:val="18"/>
          <w:szCs w:val="18"/>
        </w:rPr>
      </w:pPr>
      <w:r>
        <w:rPr>
          <w:noProof/>
          <w:sz w:val="18"/>
          <w:szCs w:val="18"/>
        </w:rPr>
        <w:lastRenderedPageBreak/>
        <w:drawing>
          <wp:inline distT="0" distB="0" distL="0" distR="0" wp14:anchorId="177CABEF" wp14:editId="60578A78">
            <wp:extent cx="5486400" cy="1754204"/>
            <wp:effectExtent l="0" t="0" r="0" b="0"/>
            <wp:docPr id="1296909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754204"/>
                    </a:xfrm>
                    <a:prstGeom prst="rect">
                      <a:avLst/>
                    </a:prstGeom>
                    <a:noFill/>
                  </pic:spPr>
                </pic:pic>
              </a:graphicData>
            </a:graphic>
          </wp:inline>
        </w:drawing>
      </w:r>
    </w:p>
    <w:p w14:paraId="5EBED9A2" w14:textId="565E3CA8" w:rsidR="000F7D23" w:rsidRPr="000F7D23" w:rsidRDefault="000F7D23" w:rsidP="000F7D23">
      <w:pPr>
        <w:jc w:val="both"/>
        <w:rPr>
          <w:sz w:val="18"/>
          <w:szCs w:val="18"/>
        </w:rPr>
      </w:pPr>
      <w:bookmarkStart w:id="3" w:name="_Hlk152949317"/>
      <w:r w:rsidRPr="00D17C95">
        <w:rPr>
          <w:b/>
          <w:bCs/>
          <w:sz w:val="18"/>
          <w:szCs w:val="18"/>
        </w:rPr>
        <w:t xml:space="preserve">Figure S9. </w:t>
      </w:r>
      <w:r w:rsidR="002D03FE" w:rsidRPr="00D17C95">
        <w:rPr>
          <w:rFonts w:cs="Times New Roman"/>
          <w:b/>
          <w:bCs/>
          <w:sz w:val="18"/>
          <w:szCs w:val="18"/>
        </w:rPr>
        <w:t>Structural and chemical analysis of O-vacant LLTO by STEM-EDS.</w:t>
      </w:r>
      <w:r w:rsidR="002D03FE" w:rsidRPr="00D17C95">
        <w:rPr>
          <w:rFonts w:cs="Times New Roman"/>
          <w:sz w:val="18"/>
          <w:szCs w:val="18"/>
        </w:rPr>
        <w:t xml:space="preserve"> STEM images of Ni/LLTO/Ni device at (a) zoom-out and (b) zoom-in. EDS mapping image of Ni/LLTO/Ni. Top layer is covered with Pt to protect the surface during milling procedure. EDS elemental analysis shows O/Ti ratio of O-vacant LLTO that was deposited at vacuum state without O</w:t>
      </w:r>
      <w:r w:rsidR="002D03FE" w:rsidRPr="00D17C95">
        <w:rPr>
          <w:rFonts w:cs="Times New Roman"/>
          <w:sz w:val="18"/>
          <w:szCs w:val="18"/>
          <w:vertAlign w:val="subscript"/>
        </w:rPr>
        <w:t>2</w:t>
      </w:r>
      <w:r w:rsidR="002D03FE" w:rsidRPr="00D17C95">
        <w:rPr>
          <w:rFonts w:cs="Times New Roman"/>
          <w:sz w:val="18"/>
          <w:szCs w:val="18"/>
        </w:rPr>
        <w:t xml:space="preserve"> feed is 2.25, while that of pristine LLTO (0.26 mbar) is around 2.99.</w:t>
      </w:r>
      <w:r>
        <w:rPr>
          <w:sz w:val="18"/>
          <w:szCs w:val="18"/>
        </w:rPr>
        <w:t xml:space="preserve">  </w:t>
      </w:r>
    </w:p>
    <w:bookmarkEnd w:id="3"/>
    <w:p w14:paraId="4911A280" w14:textId="5AAFF3D1" w:rsidR="00132F41" w:rsidRDefault="000F7D23" w:rsidP="000A19C9">
      <w:pPr>
        <w:jc w:val="both"/>
        <w:rPr>
          <w:sz w:val="18"/>
          <w:szCs w:val="18"/>
        </w:rPr>
      </w:pPr>
      <w:r>
        <w:rPr>
          <w:sz w:val="18"/>
          <w:szCs w:val="18"/>
        </w:rPr>
        <w:t xml:space="preserve">   </w:t>
      </w:r>
      <w:r w:rsidR="00132F41">
        <w:rPr>
          <w:sz w:val="18"/>
          <w:szCs w:val="18"/>
        </w:rPr>
        <w:br w:type="page"/>
      </w:r>
    </w:p>
    <w:p w14:paraId="2A9C734B" w14:textId="77777777" w:rsidR="00C9539F" w:rsidRDefault="00C9539F" w:rsidP="00C9539F">
      <w:pPr>
        <w:jc w:val="both"/>
        <w:rPr>
          <w:sz w:val="18"/>
          <w:szCs w:val="18"/>
        </w:rPr>
      </w:pPr>
    </w:p>
    <w:p w14:paraId="3A04A680" w14:textId="12852EE8" w:rsidR="00C9539F" w:rsidRDefault="00C9539F" w:rsidP="001A209D">
      <w:pPr>
        <w:rPr>
          <w:sz w:val="18"/>
          <w:szCs w:val="18"/>
        </w:rPr>
      </w:pPr>
      <w:r>
        <w:rPr>
          <w:noProof/>
          <w:sz w:val="18"/>
          <w:szCs w:val="18"/>
        </w:rPr>
        <w:drawing>
          <wp:inline distT="0" distB="0" distL="0" distR="0" wp14:anchorId="0EED0497" wp14:editId="43AE68A4">
            <wp:extent cx="5669280" cy="18931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280" cy="1893119"/>
                    </a:xfrm>
                    <a:prstGeom prst="rect">
                      <a:avLst/>
                    </a:prstGeom>
                    <a:noFill/>
                  </pic:spPr>
                </pic:pic>
              </a:graphicData>
            </a:graphic>
          </wp:inline>
        </w:drawing>
      </w:r>
    </w:p>
    <w:p w14:paraId="71EF0BB5" w14:textId="31AFFC21" w:rsidR="00C9539F" w:rsidRPr="00C9539F" w:rsidRDefault="00C9539F" w:rsidP="00C9539F">
      <w:pPr>
        <w:jc w:val="both"/>
        <w:rPr>
          <w:sz w:val="18"/>
          <w:szCs w:val="18"/>
        </w:rPr>
      </w:pPr>
      <w:r w:rsidRPr="00C9539F">
        <w:rPr>
          <w:b/>
          <w:bCs/>
          <w:sz w:val="18"/>
          <w:szCs w:val="18"/>
        </w:rPr>
        <w:t>Figure S</w:t>
      </w:r>
      <w:r w:rsidR="00740088">
        <w:rPr>
          <w:b/>
          <w:bCs/>
          <w:sz w:val="18"/>
          <w:szCs w:val="18"/>
        </w:rPr>
        <w:t>10</w:t>
      </w:r>
      <w:r w:rsidRPr="00C9539F">
        <w:rPr>
          <w:b/>
          <w:bCs/>
          <w:sz w:val="18"/>
          <w:szCs w:val="18"/>
        </w:rPr>
        <w:t>. Oxygen vacancy formation energy.</w:t>
      </w:r>
      <w:r w:rsidRPr="00C9539F">
        <w:rPr>
          <w:sz w:val="18"/>
          <w:szCs w:val="18"/>
        </w:rPr>
        <w:t xml:space="preserve"> (a) Formula to calculate oxygen vacancy formation energy per unit formula</w:t>
      </w:r>
      <w:r w:rsidR="00590555">
        <w:rPr>
          <w:sz w:val="18"/>
          <w:szCs w:val="18"/>
        </w:rPr>
        <w:fldChar w:fldCharType="begin"/>
      </w:r>
      <w:r w:rsidR="00590555">
        <w:rPr>
          <w:sz w:val="18"/>
          <w:szCs w:val="18"/>
        </w:rPr>
        <w:instrText xml:space="preserve"> ADDIN ZOTERO_ITEM CSL_CITATION {"citationID":"D5ilVATZ","properties":{"formattedCitation":"\\super 2\\nosupersub{}","plainCitation":"2","noteIndex":0},"citationItems":[{"id":1817,"uris":["http://zotero.org/users/local/0EUyVHis/items/D2KHVABZ"],"itemData":{"id":1817,"type":"article-journal","abstract":"The energy of a large number of oxidation reactions of 3d transition metal oxides is computed using the generalized gradient approach (GGA) and GGA+U methods. Two substantial contributions to the error in GGA oxidation energies are identified. The first contribution originates from the overbinding of GGA in the O2 molecule and only occurs when the oxidant is O2. The second error occurs in all oxidation reactions and is related to the correlation error in 3d orbitals in GGA. Strong self-interaction in GGA systematically penalizes a reduced state (with more d electrons) over an oxidized state, resulting in an overestimation of oxidation energies. The constant error in the oxidation energy from the O2 binding error can be corrected by fitting the formation enthalpy of simple nontransition metal oxides. Removal of the O2 binding error makes it possible to address the correlation effects in 3d transition metal oxides with the GGA+U method. Calculated oxidation energies agree well with experimental data for reasonable and consistent values of U.","container-title":"Physical Review B","DOI":"10.1103/PhysRevB.73.195107","issue":"19","journalAbbreviation":"Phys. Rev. B","note":"publisher: American Physical Society","page":"195107","source":"APS","title":"Oxidation energies of transition metal oxides within the GGA+U framework","volume":"73","author":[{"family":"Wang","given":"Lei"},{"family":"Maxisch","given":"Thomas"},{"family":"Ceder","given":"Gerbrand"}],"issued":{"date-parts":[["2006",5,4]]}}}],"schema":"https://github.com/citation-style-language/schema/raw/master/csl-citation.json"} </w:instrText>
      </w:r>
      <w:r w:rsidR="00590555">
        <w:rPr>
          <w:sz w:val="18"/>
          <w:szCs w:val="18"/>
        </w:rPr>
        <w:fldChar w:fldCharType="separate"/>
      </w:r>
      <w:r w:rsidR="00590555" w:rsidRPr="00590555">
        <w:rPr>
          <w:rFonts w:cs="Times New Roman"/>
          <w:sz w:val="18"/>
          <w:szCs w:val="24"/>
          <w:vertAlign w:val="superscript"/>
        </w:rPr>
        <w:t>2</w:t>
      </w:r>
      <w:r w:rsidR="00590555">
        <w:rPr>
          <w:sz w:val="18"/>
          <w:szCs w:val="18"/>
        </w:rPr>
        <w:fldChar w:fldCharType="end"/>
      </w:r>
      <w:r w:rsidRPr="00C9539F">
        <w:rPr>
          <w:sz w:val="18"/>
          <w:szCs w:val="18"/>
        </w:rPr>
        <w:t xml:space="preserve">. Here </w:t>
      </w:r>
      <m:oMath>
        <m:r>
          <w:rPr>
            <w:rFonts w:ascii="Cambria Math" w:hAnsi="Cambria Math"/>
            <w:sz w:val="18"/>
            <w:szCs w:val="18"/>
          </w:rPr>
          <m:t>x</m:t>
        </m:r>
      </m:oMath>
      <w:r w:rsidRPr="00C9539F">
        <w:rPr>
          <w:sz w:val="18"/>
          <w:szCs w:val="18"/>
        </w:rPr>
        <w:t xml:space="preserve"> and </w:t>
      </w:r>
      <m:oMath>
        <m:r>
          <w:rPr>
            <w:rFonts w:ascii="Cambria Math" w:hAnsi="Cambria Math"/>
            <w:sz w:val="18"/>
            <w:szCs w:val="18"/>
          </w:rPr>
          <m:t>y</m:t>
        </m:r>
      </m:oMath>
      <w:r w:rsidRPr="00C9539F">
        <w:rPr>
          <w:sz w:val="18"/>
          <w:szCs w:val="18"/>
        </w:rPr>
        <w:t xml:space="preserve"> represents number of lithium and oxygen atoms in supercells, respectively, that are used in DFT calculation.</w:t>
      </w:r>
      <w:r w:rsidR="004F0902">
        <w:rPr>
          <w:sz w:val="18"/>
          <w:szCs w:val="18"/>
        </w:rPr>
        <w:t xml:space="preserve"> (b) Oxygen vacancy formation energy as a function of lithium composition n in Li</w:t>
      </w:r>
      <w:r w:rsidR="004F0902" w:rsidRPr="006766BD">
        <w:rPr>
          <w:sz w:val="18"/>
          <w:szCs w:val="18"/>
          <w:vertAlign w:val="subscript"/>
        </w:rPr>
        <w:t>n</w:t>
      </w:r>
      <w:r w:rsidR="004F0902">
        <w:rPr>
          <w:sz w:val="18"/>
          <w:szCs w:val="18"/>
        </w:rPr>
        <w:t>La</w:t>
      </w:r>
      <w:r w:rsidR="004F0902" w:rsidRPr="006766BD">
        <w:rPr>
          <w:sz w:val="18"/>
          <w:szCs w:val="18"/>
          <w:vertAlign w:val="subscript"/>
        </w:rPr>
        <w:t>0.5</w:t>
      </w:r>
      <w:r w:rsidR="004F0902">
        <w:rPr>
          <w:sz w:val="18"/>
          <w:szCs w:val="18"/>
        </w:rPr>
        <w:t>TiO</w:t>
      </w:r>
      <w:r w:rsidR="004F0902" w:rsidRPr="006766BD">
        <w:rPr>
          <w:sz w:val="18"/>
          <w:szCs w:val="18"/>
          <w:vertAlign w:val="subscript"/>
        </w:rPr>
        <w:t>3-y/8</w:t>
      </w:r>
      <w:r w:rsidR="004F0902">
        <w:rPr>
          <w:sz w:val="18"/>
          <w:szCs w:val="18"/>
        </w:rPr>
        <w:t>, where n = x/8.</w:t>
      </w:r>
      <w:r w:rsidRPr="00C9539F">
        <w:rPr>
          <w:sz w:val="18"/>
          <w:szCs w:val="18"/>
        </w:rPr>
        <w:t xml:space="preserve">   </w:t>
      </w:r>
    </w:p>
    <w:p w14:paraId="0680E5B1" w14:textId="4242A589" w:rsidR="00C9539F" w:rsidRDefault="00C9539F">
      <w:pPr>
        <w:rPr>
          <w:sz w:val="18"/>
          <w:szCs w:val="18"/>
        </w:rPr>
      </w:pPr>
      <w:r>
        <w:rPr>
          <w:sz w:val="18"/>
          <w:szCs w:val="18"/>
        </w:rPr>
        <w:br w:type="page"/>
      </w:r>
    </w:p>
    <w:p w14:paraId="30D84518" w14:textId="77777777" w:rsidR="001A209D" w:rsidRDefault="001A209D" w:rsidP="001A209D">
      <w:pPr>
        <w:jc w:val="both"/>
        <w:rPr>
          <w:sz w:val="18"/>
          <w:szCs w:val="18"/>
        </w:rPr>
      </w:pPr>
      <w:r>
        <w:rPr>
          <w:noProof/>
          <w:sz w:val="18"/>
          <w:szCs w:val="18"/>
        </w:rPr>
        <w:lastRenderedPageBreak/>
        <w:drawing>
          <wp:inline distT="0" distB="0" distL="0" distR="0" wp14:anchorId="5E936FF8" wp14:editId="593B58BB">
            <wp:extent cx="5669280" cy="28115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280" cy="2811597"/>
                    </a:xfrm>
                    <a:prstGeom prst="rect">
                      <a:avLst/>
                    </a:prstGeom>
                    <a:noFill/>
                  </pic:spPr>
                </pic:pic>
              </a:graphicData>
            </a:graphic>
          </wp:inline>
        </w:drawing>
      </w:r>
    </w:p>
    <w:p w14:paraId="73DF74DE" w14:textId="761B2AC3" w:rsidR="001A209D" w:rsidRDefault="001A209D" w:rsidP="001A209D">
      <w:pPr>
        <w:jc w:val="both"/>
        <w:rPr>
          <w:sz w:val="18"/>
          <w:szCs w:val="18"/>
        </w:rPr>
      </w:pPr>
      <w:r w:rsidRPr="00E95304">
        <w:rPr>
          <w:b/>
          <w:bCs/>
          <w:sz w:val="18"/>
          <w:szCs w:val="18"/>
        </w:rPr>
        <w:t>Figure S</w:t>
      </w:r>
      <w:r w:rsidR="00355E06">
        <w:rPr>
          <w:b/>
          <w:bCs/>
          <w:sz w:val="18"/>
          <w:szCs w:val="18"/>
        </w:rPr>
        <w:t>1</w:t>
      </w:r>
      <w:r w:rsidR="00740088">
        <w:rPr>
          <w:b/>
          <w:bCs/>
          <w:sz w:val="18"/>
          <w:szCs w:val="18"/>
        </w:rPr>
        <w:t>1</w:t>
      </w:r>
      <w:r w:rsidRPr="00E95304">
        <w:rPr>
          <w:b/>
          <w:bCs/>
          <w:sz w:val="18"/>
          <w:szCs w:val="18"/>
        </w:rPr>
        <w:t>. DC polarization test of Ni/LLTO/Ni.</w:t>
      </w:r>
      <w:r w:rsidRPr="00E95304">
        <w:rPr>
          <w:sz w:val="18"/>
          <w:szCs w:val="18"/>
        </w:rPr>
        <w:t xml:space="preserve"> (a) Testing protocol of the device. DC polarization results with </w:t>
      </w:r>
      <w:r w:rsidR="009424BE">
        <w:rPr>
          <w:sz w:val="18"/>
          <w:szCs w:val="18"/>
        </w:rPr>
        <w:t>varia</w:t>
      </w:r>
      <w:r w:rsidR="003B661E">
        <w:rPr>
          <w:sz w:val="18"/>
          <w:szCs w:val="18"/>
        </w:rPr>
        <w:t>ble</w:t>
      </w:r>
      <w:r w:rsidRPr="00E95304">
        <w:rPr>
          <w:sz w:val="18"/>
          <w:szCs w:val="18"/>
        </w:rPr>
        <w:t xml:space="preserve"> rest time: (b) t = 0.1 [sec], (b) t = 1.0 [sec], and (c) t = 60 [sec]. Here cross-section area and thickness are ≈ 0.01 cm</w:t>
      </w:r>
      <w:r w:rsidRPr="00E95304">
        <w:rPr>
          <w:sz w:val="18"/>
          <w:szCs w:val="18"/>
          <w:vertAlign w:val="superscript"/>
        </w:rPr>
        <w:t>2</w:t>
      </w:r>
      <w:r w:rsidRPr="00E95304">
        <w:rPr>
          <w:sz w:val="18"/>
          <w:szCs w:val="18"/>
        </w:rPr>
        <w:t xml:space="preserve">. Thickness of </w:t>
      </w:r>
      <w:r w:rsidR="00370623" w:rsidRPr="00E95304">
        <w:rPr>
          <w:sz w:val="18"/>
          <w:szCs w:val="18"/>
        </w:rPr>
        <w:t>samples</w:t>
      </w:r>
      <w:r w:rsidRPr="00E95304">
        <w:rPr>
          <w:sz w:val="18"/>
          <w:szCs w:val="18"/>
        </w:rPr>
        <w:t xml:space="preserve"> used in (b), (c), and (d) are measured as 355, 309, and 426 nm, respectively.</w:t>
      </w:r>
    </w:p>
    <w:p w14:paraId="11D5456D" w14:textId="77777777" w:rsidR="00C9539F" w:rsidRPr="00C9539F" w:rsidRDefault="00C9539F" w:rsidP="00C9539F">
      <w:pPr>
        <w:jc w:val="both"/>
        <w:rPr>
          <w:sz w:val="18"/>
          <w:szCs w:val="18"/>
        </w:rPr>
      </w:pPr>
    </w:p>
    <w:p w14:paraId="0182C043" w14:textId="77777777" w:rsidR="00C9539F" w:rsidRPr="00E95304" w:rsidRDefault="00C9539F" w:rsidP="00E95304">
      <w:pPr>
        <w:jc w:val="both"/>
        <w:rPr>
          <w:sz w:val="18"/>
          <w:szCs w:val="18"/>
        </w:rPr>
      </w:pPr>
    </w:p>
    <w:p w14:paraId="4EBBA7AF" w14:textId="0D9C0763" w:rsidR="00E2204C" w:rsidRDefault="00E2204C">
      <w:pPr>
        <w:rPr>
          <w:sz w:val="18"/>
          <w:szCs w:val="18"/>
        </w:rPr>
      </w:pPr>
      <w:r>
        <w:rPr>
          <w:sz w:val="18"/>
          <w:szCs w:val="18"/>
        </w:rPr>
        <w:br w:type="page"/>
      </w:r>
    </w:p>
    <w:p w14:paraId="35D426E0" w14:textId="66AF773F" w:rsidR="00E95304" w:rsidRPr="00370623" w:rsidRDefault="00E2204C" w:rsidP="00E95304">
      <w:pPr>
        <w:jc w:val="both"/>
        <w:rPr>
          <w:i/>
          <w:iCs/>
          <w:sz w:val="32"/>
          <w:szCs w:val="32"/>
        </w:rPr>
      </w:pPr>
      <w:r w:rsidRPr="00370623">
        <w:rPr>
          <w:i/>
          <w:iCs/>
          <w:sz w:val="32"/>
          <w:szCs w:val="32"/>
        </w:rPr>
        <w:lastRenderedPageBreak/>
        <w:t>References</w:t>
      </w:r>
    </w:p>
    <w:p w14:paraId="7F4C309A" w14:textId="77777777" w:rsidR="00590555" w:rsidRPr="00590555" w:rsidRDefault="00E2204C" w:rsidP="00590555">
      <w:pPr>
        <w:pStyle w:val="Bibliography"/>
        <w:rPr>
          <w:rFonts w:cs="Times New Roman"/>
          <w:sz w:val="21"/>
        </w:rPr>
      </w:pPr>
      <w:r w:rsidRPr="006766BD">
        <w:rPr>
          <w:sz w:val="21"/>
          <w:szCs w:val="21"/>
        </w:rPr>
        <w:fldChar w:fldCharType="begin"/>
      </w:r>
      <w:r>
        <w:rPr>
          <w:sz w:val="21"/>
          <w:szCs w:val="21"/>
        </w:rPr>
        <w:instrText xml:space="preserve"> ADDIN ZOTERO_BIBL {"uncited":[],"omitted":[],"custom":[]} CSL_BIBLIOGRAPHY </w:instrText>
      </w:r>
      <w:r w:rsidRPr="006766BD">
        <w:rPr>
          <w:sz w:val="21"/>
          <w:szCs w:val="21"/>
        </w:rPr>
        <w:fldChar w:fldCharType="separate"/>
      </w:r>
      <w:r w:rsidR="00590555" w:rsidRPr="00590555">
        <w:rPr>
          <w:rFonts w:cs="Times New Roman"/>
          <w:sz w:val="21"/>
        </w:rPr>
        <w:t>(1)</w:t>
      </w:r>
      <w:r w:rsidR="00590555" w:rsidRPr="00590555">
        <w:rPr>
          <w:rFonts w:cs="Times New Roman"/>
          <w:sz w:val="21"/>
        </w:rPr>
        <w:tab/>
        <w:t xml:space="preserve">Shimizu, R.; Cheng, D.; Weaver, J. L.; Zhang, M.; Lu, B.; Wynn, T. A.; Burger, R.; Kim, M.; Zhu, G.; Meng, Y. S. Unraveling the Stable Cathode Electrolyte Interface in All Solid-State Thin-Film Battery Operating at 5 V. </w:t>
      </w:r>
      <w:r w:rsidR="00590555" w:rsidRPr="00590555">
        <w:rPr>
          <w:rFonts w:cs="Times New Roman"/>
          <w:i/>
          <w:iCs/>
          <w:sz w:val="21"/>
        </w:rPr>
        <w:t>Advanced Energy Materials</w:t>
      </w:r>
      <w:r w:rsidR="00590555" w:rsidRPr="00590555">
        <w:rPr>
          <w:rFonts w:cs="Times New Roman"/>
          <w:sz w:val="21"/>
        </w:rPr>
        <w:t xml:space="preserve"> </w:t>
      </w:r>
      <w:r w:rsidR="00590555" w:rsidRPr="00590555">
        <w:rPr>
          <w:rFonts w:cs="Times New Roman"/>
          <w:b/>
          <w:bCs/>
          <w:sz w:val="21"/>
        </w:rPr>
        <w:t>2022</w:t>
      </w:r>
      <w:r w:rsidR="00590555" w:rsidRPr="00590555">
        <w:rPr>
          <w:rFonts w:cs="Times New Roman"/>
          <w:sz w:val="21"/>
        </w:rPr>
        <w:t>, 2201119. https://doi.org/10.1002/aenm.202201119.</w:t>
      </w:r>
    </w:p>
    <w:p w14:paraId="28F18220" w14:textId="77777777" w:rsidR="00590555" w:rsidRPr="00590555" w:rsidRDefault="00590555" w:rsidP="00590555">
      <w:pPr>
        <w:pStyle w:val="Bibliography"/>
        <w:rPr>
          <w:rFonts w:cs="Times New Roman"/>
          <w:sz w:val="21"/>
        </w:rPr>
      </w:pPr>
      <w:r w:rsidRPr="00590555">
        <w:rPr>
          <w:rFonts w:cs="Times New Roman"/>
          <w:sz w:val="21"/>
        </w:rPr>
        <w:t>(2)</w:t>
      </w:r>
      <w:r w:rsidRPr="00590555">
        <w:rPr>
          <w:rFonts w:cs="Times New Roman"/>
          <w:sz w:val="21"/>
        </w:rPr>
        <w:tab/>
        <w:t xml:space="preserve">Wang, L.; Maxisch, T.; Ceder, G. Oxidation Energies of Transition Metal Oxides within the GGA+U Framework. </w:t>
      </w:r>
      <w:r w:rsidRPr="00590555">
        <w:rPr>
          <w:rFonts w:cs="Times New Roman"/>
          <w:i/>
          <w:iCs/>
          <w:sz w:val="21"/>
        </w:rPr>
        <w:t>Phys. Rev. B</w:t>
      </w:r>
      <w:r w:rsidRPr="00590555">
        <w:rPr>
          <w:rFonts w:cs="Times New Roman"/>
          <w:sz w:val="21"/>
        </w:rPr>
        <w:t xml:space="preserve"> </w:t>
      </w:r>
      <w:r w:rsidRPr="00590555">
        <w:rPr>
          <w:rFonts w:cs="Times New Roman"/>
          <w:b/>
          <w:bCs/>
          <w:sz w:val="21"/>
        </w:rPr>
        <w:t>2006</w:t>
      </w:r>
      <w:r w:rsidRPr="00590555">
        <w:rPr>
          <w:rFonts w:cs="Times New Roman"/>
          <w:sz w:val="21"/>
        </w:rPr>
        <w:t xml:space="preserve">, </w:t>
      </w:r>
      <w:r w:rsidRPr="00590555">
        <w:rPr>
          <w:rFonts w:cs="Times New Roman"/>
          <w:i/>
          <w:iCs/>
          <w:sz w:val="21"/>
        </w:rPr>
        <w:t>73</w:t>
      </w:r>
      <w:r w:rsidRPr="00590555">
        <w:rPr>
          <w:rFonts w:cs="Times New Roman"/>
          <w:sz w:val="21"/>
        </w:rPr>
        <w:t xml:space="preserve"> (19), 195107. https://doi.org/10.1103/PhysRevB.73.195107.</w:t>
      </w:r>
    </w:p>
    <w:p w14:paraId="266100D5" w14:textId="2C680ADF" w:rsidR="00E2204C" w:rsidRPr="00E95304" w:rsidRDefault="00E2204C" w:rsidP="00E2204C">
      <w:pPr>
        <w:jc w:val="both"/>
        <w:rPr>
          <w:sz w:val="18"/>
          <w:szCs w:val="18"/>
        </w:rPr>
      </w:pPr>
      <w:r w:rsidRPr="006766BD">
        <w:rPr>
          <w:sz w:val="21"/>
          <w:szCs w:val="21"/>
        </w:rPr>
        <w:fldChar w:fldCharType="end"/>
      </w:r>
    </w:p>
    <w:sectPr w:rsidR="00E2204C" w:rsidRPr="00E953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304"/>
    <w:rsid w:val="000A19C9"/>
    <w:rsid w:val="000B2EBE"/>
    <w:rsid w:val="000F7D23"/>
    <w:rsid w:val="00132F41"/>
    <w:rsid w:val="0014103F"/>
    <w:rsid w:val="00191ECB"/>
    <w:rsid w:val="001A209D"/>
    <w:rsid w:val="00286B68"/>
    <w:rsid w:val="002B415D"/>
    <w:rsid w:val="002D03FE"/>
    <w:rsid w:val="00327E7D"/>
    <w:rsid w:val="00355E06"/>
    <w:rsid w:val="00370623"/>
    <w:rsid w:val="0039765C"/>
    <w:rsid w:val="003B5A9E"/>
    <w:rsid w:val="003B661E"/>
    <w:rsid w:val="00490FC7"/>
    <w:rsid w:val="004F0678"/>
    <w:rsid w:val="004F0902"/>
    <w:rsid w:val="00590555"/>
    <w:rsid w:val="005A28FB"/>
    <w:rsid w:val="005C308A"/>
    <w:rsid w:val="00617935"/>
    <w:rsid w:val="00645578"/>
    <w:rsid w:val="006766BD"/>
    <w:rsid w:val="00740088"/>
    <w:rsid w:val="00884C1C"/>
    <w:rsid w:val="008B3EDD"/>
    <w:rsid w:val="008E2E84"/>
    <w:rsid w:val="009424BE"/>
    <w:rsid w:val="009457B4"/>
    <w:rsid w:val="009934D4"/>
    <w:rsid w:val="00A15ED6"/>
    <w:rsid w:val="00A16D62"/>
    <w:rsid w:val="00AF660A"/>
    <w:rsid w:val="00BD6300"/>
    <w:rsid w:val="00BE5FF7"/>
    <w:rsid w:val="00C272EA"/>
    <w:rsid w:val="00C9539F"/>
    <w:rsid w:val="00CC22B1"/>
    <w:rsid w:val="00CF2A6C"/>
    <w:rsid w:val="00D12BA7"/>
    <w:rsid w:val="00D17C95"/>
    <w:rsid w:val="00D8544B"/>
    <w:rsid w:val="00D9663A"/>
    <w:rsid w:val="00E2204C"/>
    <w:rsid w:val="00E33A3F"/>
    <w:rsid w:val="00E95304"/>
    <w:rsid w:val="00F95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FB08E"/>
  <w15:chartTrackingRefBased/>
  <w15:docId w15:val="{AB4D449A-3005-427E-9B1E-FA4752B1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30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7935"/>
    <w:rPr>
      <w:sz w:val="16"/>
      <w:szCs w:val="16"/>
    </w:rPr>
  </w:style>
  <w:style w:type="paragraph" w:styleId="CommentText">
    <w:name w:val="annotation text"/>
    <w:basedOn w:val="Normal"/>
    <w:link w:val="CommentTextChar"/>
    <w:uiPriority w:val="99"/>
    <w:unhideWhenUsed/>
    <w:rsid w:val="00617935"/>
    <w:pPr>
      <w:spacing w:line="240" w:lineRule="auto"/>
    </w:pPr>
    <w:rPr>
      <w:sz w:val="20"/>
      <w:szCs w:val="20"/>
    </w:rPr>
  </w:style>
  <w:style w:type="character" w:customStyle="1" w:styleId="CommentTextChar">
    <w:name w:val="Comment Text Char"/>
    <w:basedOn w:val="DefaultParagraphFont"/>
    <w:link w:val="CommentText"/>
    <w:uiPriority w:val="99"/>
    <w:rsid w:val="0061793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17935"/>
    <w:rPr>
      <w:b/>
      <w:bCs/>
    </w:rPr>
  </w:style>
  <w:style w:type="character" w:customStyle="1" w:styleId="CommentSubjectChar">
    <w:name w:val="Comment Subject Char"/>
    <w:basedOn w:val="CommentTextChar"/>
    <w:link w:val="CommentSubject"/>
    <w:uiPriority w:val="99"/>
    <w:semiHidden/>
    <w:rsid w:val="00617935"/>
    <w:rPr>
      <w:rFonts w:ascii="Times New Roman" w:hAnsi="Times New Roman"/>
      <w:b/>
      <w:bCs/>
      <w:sz w:val="20"/>
      <w:szCs w:val="20"/>
    </w:rPr>
  </w:style>
  <w:style w:type="paragraph" w:styleId="Revision">
    <w:name w:val="Revision"/>
    <w:hidden/>
    <w:uiPriority w:val="99"/>
    <w:semiHidden/>
    <w:rsid w:val="005C308A"/>
    <w:pPr>
      <w:spacing w:after="0" w:line="240" w:lineRule="auto"/>
    </w:pPr>
    <w:rPr>
      <w:rFonts w:ascii="Times New Roman" w:hAnsi="Times New Roman"/>
    </w:rPr>
  </w:style>
  <w:style w:type="paragraph" w:styleId="Bibliography">
    <w:name w:val="Bibliography"/>
    <w:basedOn w:val="Normal"/>
    <w:next w:val="Normal"/>
    <w:uiPriority w:val="37"/>
    <w:unhideWhenUsed/>
    <w:rsid w:val="00E2204C"/>
    <w:pPr>
      <w:tabs>
        <w:tab w:val="left" w:pos="384"/>
      </w:tabs>
      <w:spacing w:after="0" w:line="240" w:lineRule="auto"/>
      <w:ind w:left="384" w:hanging="384"/>
    </w:pPr>
  </w:style>
  <w:style w:type="paragraph" w:styleId="NormalWeb">
    <w:name w:val="Normal (Web)"/>
    <w:basedOn w:val="Normal"/>
    <w:uiPriority w:val="99"/>
    <w:semiHidden/>
    <w:unhideWhenUsed/>
    <w:rsid w:val="000F7D2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4771">
      <w:bodyDiv w:val="1"/>
      <w:marLeft w:val="0"/>
      <w:marRight w:val="0"/>
      <w:marTop w:val="0"/>
      <w:marBottom w:val="0"/>
      <w:divBdr>
        <w:top w:val="none" w:sz="0" w:space="0" w:color="auto"/>
        <w:left w:val="none" w:sz="0" w:space="0" w:color="auto"/>
        <w:bottom w:val="none" w:sz="0" w:space="0" w:color="auto"/>
        <w:right w:val="none" w:sz="0" w:space="0" w:color="auto"/>
      </w:divBdr>
    </w:div>
    <w:div w:id="476531817">
      <w:bodyDiv w:val="1"/>
      <w:marLeft w:val="0"/>
      <w:marRight w:val="0"/>
      <w:marTop w:val="0"/>
      <w:marBottom w:val="0"/>
      <w:divBdr>
        <w:top w:val="none" w:sz="0" w:space="0" w:color="auto"/>
        <w:left w:val="none" w:sz="0" w:space="0" w:color="auto"/>
        <w:bottom w:val="none" w:sz="0" w:space="0" w:color="auto"/>
        <w:right w:val="none" w:sz="0" w:space="0" w:color="auto"/>
      </w:divBdr>
    </w:div>
    <w:div w:id="995457682">
      <w:bodyDiv w:val="1"/>
      <w:marLeft w:val="0"/>
      <w:marRight w:val="0"/>
      <w:marTop w:val="0"/>
      <w:marBottom w:val="0"/>
      <w:divBdr>
        <w:top w:val="none" w:sz="0" w:space="0" w:color="auto"/>
        <w:left w:val="none" w:sz="0" w:space="0" w:color="auto"/>
        <w:bottom w:val="none" w:sz="0" w:space="0" w:color="auto"/>
        <w:right w:val="none" w:sz="0" w:space="0" w:color="auto"/>
      </w:divBdr>
    </w:div>
    <w:div w:id="1094980674">
      <w:bodyDiv w:val="1"/>
      <w:marLeft w:val="0"/>
      <w:marRight w:val="0"/>
      <w:marTop w:val="0"/>
      <w:marBottom w:val="0"/>
      <w:divBdr>
        <w:top w:val="none" w:sz="0" w:space="0" w:color="auto"/>
        <w:left w:val="none" w:sz="0" w:space="0" w:color="auto"/>
        <w:bottom w:val="none" w:sz="0" w:space="0" w:color="auto"/>
        <w:right w:val="none" w:sz="0" w:space="0" w:color="auto"/>
      </w:divBdr>
    </w:div>
    <w:div w:id="1358699524">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658536062">
      <w:bodyDiv w:val="1"/>
      <w:marLeft w:val="0"/>
      <w:marRight w:val="0"/>
      <w:marTop w:val="0"/>
      <w:marBottom w:val="0"/>
      <w:divBdr>
        <w:top w:val="none" w:sz="0" w:space="0" w:color="auto"/>
        <w:left w:val="none" w:sz="0" w:space="0" w:color="auto"/>
        <w:bottom w:val="none" w:sz="0" w:space="0" w:color="auto"/>
        <w:right w:val="none" w:sz="0" w:space="0" w:color="auto"/>
      </w:divBdr>
    </w:div>
    <w:div w:id="203707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F7197-093F-4C64-98A4-27F634A20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13</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Ryosuke Shimizu</dc:creator>
  <cp:keywords/>
  <dc:description/>
  <cp:lastModifiedBy>Ryosuke Shimizu</cp:lastModifiedBy>
  <cp:revision>9</cp:revision>
  <dcterms:created xsi:type="dcterms:W3CDTF">2023-09-30T03:36:00Z</dcterms:created>
  <dcterms:modified xsi:type="dcterms:W3CDTF">2023-12-27T05:34:00Z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id="GTjyA8gb"/&gt;&lt;style id="http://www.zotero.org/styles/american-chemical-society" hasBibliography="1" bibliographyStyleHasBeenSet="1"/&gt;&lt;prefs&gt;&lt;pref name="fieldType" value="Field"/&gt;&lt;/prefs&gt;&lt;/data&gt;</vt:lpwstr>
  </property>
</Properties>
</file>