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AE9CF" w14:textId="04AF0FD3" w:rsidR="005345EE" w:rsidRPr="005345EE" w:rsidRDefault="005345EE" w:rsidP="00373D45">
      <w:pPr>
        <w:spacing w:before="240" w:after="0" w:line="480" w:lineRule="auto"/>
        <w:rPr>
          <w:rFonts w:ascii="Arial" w:hAnsi="Arial" w:cs="Arial"/>
          <w:b/>
          <w:bCs/>
          <w:color w:val="000000" w:themeColor="text1"/>
        </w:rPr>
      </w:pPr>
      <w:r w:rsidRPr="005345EE">
        <w:rPr>
          <w:rFonts w:ascii="Arial" w:hAnsi="Arial" w:cs="Arial"/>
          <w:b/>
          <w:bCs/>
          <w:color w:val="000000" w:themeColor="text1"/>
        </w:rPr>
        <w:t>S</w:t>
      </w:r>
      <w:r w:rsidR="00125D1A">
        <w:rPr>
          <w:rFonts w:ascii="Arial" w:hAnsi="Arial" w:cs="Arial"/>
          <w:b/>
          <w:bCs/>
          <w:color w:val="000000" w:themeColor="text1"/>
        </w:rPr>
        <w:t>1</w:t>
      </w:r>
      <w:r w:rsidRPr="005345EE">
        <w:rPr>
          <w:rFonts w:ascii="Arial" w:hAnsi="Arial" w:cs="Arial"/>
          <w:b/>
          <w:bCs/>
          <w:color w:val="000000" w:themeColor="text1"/>
        </w:rPr>
        <w:t xml:space="preserve"> </w:t>
      </w:r>
      <w:r w:rsidR="00125D1A">
        <w:rPr>
          <w:rFonts w:ascii="Arial" w:hAnsi="Arial" w:cs="Arial"/>
          <w:b/>
          <w:bCs/>
          <w:color w:val="000000" w:themeColor="text1"/>
        </w:rPr>
        <w:t>Note</w:t>
      </w:r>
      <w:r w:rsidRPr="005345EE">
        <w:rPr>
          <w:rFonts w:ascii="Arial" w:hAnsi="Arial" w:cs="Arial"/>
          <w:b/>
          <w:bCs/>
          <w:color w:val="000000" w:themeColor="text1"/>
        </w:rPr>
        <w:t xml:space="preserve">: Long-read alignments capture novel cell line-specific gene fusion </w:t>
      </w:r>
      <w:proofErr w:type="gramStart"/>
      <w:r w:rsidRPr="005345EE">
        <w:rPr>
          <w:rFonts w:ascii="Arial" w:hAnsi="Arial" w:cs="Arial"/>
          <w:b/>
          <w:bCs/>
          <w:color w:val="000000" w:themeColor="text1"/>
        </w:rPr>
        <w:t>events</w:t>
      </w:r>
      <w:proofErr w:type="gramEnd"/>
    </w:p>
    <w:p w14:paraId="396877C0" w14:textId="485A4EFC" w:rsidR="005345EE" w:rsidRDefault="005345EE" w:rsidP="00373D45">
      <w:pPr>
        <w:spacing w:line="480" w:lineRule="auto"/>
        <w:rPr>
          <w:rFonts w:ascii="Arial" w:hAnsi="Arial" w:cs="Arial"/>
          <w:color w:val="000000" w:themeColor="text1"/>
        </w:rPr>
      </w:pPr>
      <w:r w:rsidRPr="005345EE">
        <w:rPr>
          <w:rFonts w:ascii="Arial" w:hAnsi="Arial" w:cs="Arial"/>
          <w:color w:val="000000" w:themeColor="text1"/>
        </w:rPr>
        <w:t xml:space="preserve">An important feature that can be detected with long reads is gene fusion. Long reads are particularly useful in the reliable detection of gene fusions, as they not only detect the junction but also are more likely to cover uniquely mappable sequences on both sides of the discontinuity. Using </w:t>
      </w:r>
      <w:proofErr w:type="spellStart"/>
      <w:r w:rsidRPr="005345EE">
        <w:rPr>
          <w:rFonts w:ascii="Arial" w:hAnsi="Arial" w:cs="Arial"/>
          <w:color w:val="000000" w:themeColor="text1"/>
        </w:rPr>
        <w:t>LongGF</w:t>
      </w:r>
      <w:proofErr w:type="spellEnd"/>
      <w:r w:rsidRPr="005345EE">
        <w:rPr>
          <w:rFonts w:ascii="Arial" w:hAnsi="Arial" w:cs="Arial"/>
          <w:color w:val="000000" w:themeColor="text1"/>
        </w:rPr>
        <w:t xml:space="preserve"> </w:t>
      </w:r>
      <w:r w:rsidRPr="005345EE">
        <w:rPr>
          <w:rFonts w:ascii="Arial" w:hAnsi="Arial" w:cs="Arial"/>
          <w:noProof/>
          <w:color w:val="000000" w:themeColor="text1"/>
        </w:rPr>
        <w:t>[1]</w:t>
      </w:r>
      <w:r w:rsidRPr="005345EE">
        <w:rPr>
          <w:rFonts w:ascii="Arial" w:hAnsi="Arial" w:cs="Arial"/>
          <w:color w:val="000000" w:themeColor="text1"/>
        </w:rPr>
        <w:t xml:space="preserve"> with long reads from HAP1 cells, we detected &gt;20 gene fusion events supported by at least two reads in each of the two HAP1 long-read replicates (S1</w:t>
      </w:r>
      <w:r w:rsidR="00A2668E">
        <w:rPr>
          <w:rFonts w:ascii="Arial" w:hAnsi="Arial" w:cs="Arial"/>
          <w:color w:val="000000" w:themeColor="text1"/>
        </w:rPr>
        <w:t>L</w:t>
      </w:r>
      <w:r w:rsidRPr="005345EE">
        <w:rPr>
          <w:rFonts w:ascii="Arial" w:hAnsi="Arial" w:cs="Arial"/>
          <w:color w:val="000000" w:themeColor="text1"/>
        </w:rPr>
        <w:t xml:space="preserve"> Fig). Notably, we were able to detect the </w:t>
      </w:r>
      <w:proofErr w:type="gramStart"/>
      <w:r w:rsidRPr="005345EE">
        <w:rPr>
          <w:rFonts w:ascii="Arial" w:hAnsi="Arial" w:cs="Arial"/>
          <w:color w:val="000000" w:themeColor="text1"/>
        </w:rPr>
        <w:t>BCR::</w:t>
      </w:r>
      <w:proofErr w:type="gramEnd"/>
      <w:r w:rsidRPr="005345EE">
        <w:rPr>
          <w:rFonts w:ascii="Arial" w:hAnsi="Arial" w:cs="Arial"/>
          <w:color w:val="000000" w:themeColor="text1"/>
        </w:rPr>
        <w:t xml:space="preserve">ABL fusion which is a key mutagenic fusion in this leukemia cell line </w:t>
      </w:r>
      <w:r w:rsidRPr="005345EE">
        <w:rPr>
          <w:rFonts w:ascii="Arial" w:hAnsi="Arial" w:cs="Arial"/>
          <w:noProof/>
          <w:color w:val="000000" w:themeColor="text1"/>
        </w:rPr>
        <w:t>[2]</w:t>
      </w:r>
      <w:r w:rsidRPr="005345EE">
        <w:rPr>
          <w:rFonts w:ascii="Arial" w:hAnsi="Arial" w:cs="Arial"/>
          <w:color w:val="000000" w:themeColor="text1"/>
        </w:rPr>
        <w:t xml:space="preserve">. We compared gene fusion events in our long-read transcriptome data with a comparable long-read genomic DNA dataset in HAP1 cells </w:t>
      </w:r>
      <w:r w:rsidRPr="005345EE">
        <w:rPr>
          <w:rFonts w:ascii="Arial" w:hAnsi="Arial" w:cs="Arial"/>
          <w:noProof/>
          <w:color w:val="000000" w:themeColor="text1"/>
        </w:rPr>
        <w:t>[3]</w:t>
      </w:r>
      <w:r w:rsidRPr="005345EE">
        <w:rPr>
          <w:rFonts w:ascii="Arial" w:hAnsi="Arial" w:cs="Arial"/>
          <w:color w:val="000000" w:themeColor="text1"/>
        </w:rPr>
        <w:t xml:space="preserve">. Surprisingly, we found only one common fusion, which was </w:t>
      </w:r>
      <w:proofErr w:type="gramStart"/>
      <w:r w:rsidRPr="005345EE">
        <w:rPr>
          <w:rFonts w:ascii="Arial" w:hAnsi="Arial" w:cs="Arial"/>
          <w:color w:val="000000" w:themeColor="text1"/>
        </w:rPr>
        <w:t>BCR::</w:t>
      </w:r>
      <w:proofErr w:type="gramEnd"/>
      <w:r w:rsidRPr="005345EE">
        <w:rPr>
          <w:rFonts w:ascii="Arial" w:hAnsi="Arial" w:cs="Arial"/>
          <w:color w:val="000000" w:themeColor="text1"/>
        </w:rPr>
        <w:t>ABL. Therefore, our long-read transcriptome analyses unveiled novel gene fusion events in the HAP1 cells, possibly due to enhancement of sensitivity in our chromatin-focused pool of transcripts. Intriguingly, we did not detect any gene-fusion in the non-leukemia HL1 cells (S1L Fig), suggesting a cell line-specific detection of translocations in our dataset that is not due to technical artifacts in the library preparation.</w:t>
      </w:r>
    </w:p>
    <w:p w14:paraId="3EF3B2B8" w14:textId="3C7BA17C" w:rsidR="00F166D7" w:rsidRPr="00125D1A" w:rsidRDefault="00F166D7" w:rsidP="00842E1E">
      <w:pPr>
        <w:spacing w:after="0" w:line="480" w:lineRule="auto"/>
        <w:rPr>
          <w:rFonts w:ascii="Arial" w:hAnsi="Arial" w:cs="Arial"/>
          <w:b/>
          <w:bCs/>
          <w:color w:val="000000" w:themeColor="text1"/>
        </w:rPr>
      </w:pPr>
      <w:r w:rsidRPr="00125D1A">
        <w:rPr>
          <w:rFonts w:ascii="Arial" w:hAnsi="Arial" w:cs="Arial"/>
          <w:b/>
          <w:bCs/>
          <w:color w:val="000000" w:themeColor="text1"/>
        </w:rPr>
        <w:t>Reference</w:t>
      </w:r>
      <w:r w:rsidR="00350EFA">
        <w:rPr>
          <w:rFonts w:ascii="Arial" w:hAnsi="Arial" w:cs="Arial"/>
          <w:b/>
          <w:bCs/>
          <w:color w:val="000000" w:themeColor="text1"/>
        </w:rPr>
        <w:t>s</w:t>
      </w:r>
    </w:p>
    <w:p w14:paraId="75E1AE31" w14:textId="77777777" w:rsidR="00F166D7" w:rsidRPr="005345EE" w:rsidRDefault="00F166D7" w:rsidP="00F166D7">
      <w:pPr>
        <w:pStyle w:val="EndNoteBibliography"/>
        <w:tabs>
          <w:tab w:val="left" w:pos="270"/>
          <w:tab w:val="left" w:pos="360"/>
        </w:tabs>
        <w:spacing w:after="0"/>
        <w:rPr>
          <w:rFonts w:ascii="Arial" w:hAnsi="Arial" w:cs="Arial"/>
          <w:noProof/>
        </w:rPr>
      </w:pPr>
      <w:r w:rsidRPr="005345EE">
        <w:rPr>
          <w:rFonts w:ascii="Arial" w:hAnsi="Arial" w:cs="Arial"/>
          <w:noProof/>
        </w:rPr>
        <w:t>1.</w:t>
      </w:r>
      <w:r w:rsidRPr="005345EE">
        <w:rPr>
          <w:rFonts w:ascii="Arial" w:hAnsi="Arial" w:cs="Arial"/>
          <w:noProof/>
        </w:rPr>
        <w:tab/>
        <w:t>Liu Q, Hu Y, Stucky A, Fang L, Zhong JF, Wang K. LongGF: computational algorithm and software tool for fast and accurate detection of gene fusions by long-read transcriptome sequencing. BMC genomics. 2020;21(Suppl 11):793. Epub 2020/12/30. doi: 10.1186/s12864-020-07207-4. PubMed PMID: 33372596; PubMed Central PMCID: PMCPMC7771079.</w:t>
      </w:r>
    </w:p>
    <w:p w14:paraId="6DE497BE" w14:textId="77777777" w:rsidR="00F166D7" w:rsidRPr="005345EE" w:rsidRDefault="00F166D7" w:rsidP="00F166D7">
      <w:pPr>
        <w:pStyle w:val="EndNoteBibliography"/>
        <w:tabs>
          <w:tab w:val="left" w:pos="270"/>
          <w:tab w:val="left" w:pos="360"/>
        </w:tabs>
        <w:spacing w:after="0"/>
        <w:rPr>
          <w:rFonts w:ascii="Arial" w:hAnsi="Arial" w:cs="Arial"/>
          <w:noProof/>
        </w:rPr>
      </w:pPr>
      <w:r w:rsidRPr="005345EE">
        <w:rPr>
          <w:rFonts w:ascii="Arial" w:hAnsi="Arial" w:cs="Arial"/>
          <w:noProof/>
        </w:rPr>
        <w:t>2.</w:t>
      </w:r>
      <w:r w:rsidRPr="005345EE">
        <w:rPr>
          <w:rFonts w:ascii="Arial" w:hAnsi="Arial" w:cs="Arial"/>
          <w:noProof/>
        </w:rPr>
        <w:tab/>
        <w:t>Andersson BS, Collins VP, Kurzrock R, Larkin DW, Childs C, Ost A, et al. KBM-7, a human myeloid leukemia cell line with double Philadelphia chromosomes lacking normal c-ABL and BCR transcripts. Leukemia. 1995;9(12):2100-8. Epub 1995/12/01. PubMed PMID: 8609723.</w:t>
      </w:r>
    </w:p>
    <w:p w14:paraId="759E3D4B" w14:textId="77777777" w:rsidR="00F166D7" w:rsidRPr="005345EE" w:rsidRDefault="00F166D7" w:rsidP="00F166D7">
      <w:pPr>
        <w:pStyle w:val="EndNoteBibliography"/>
        <w:tabs>
          <w:tab w:val="left" w:pos="270"/>
          <w:tab w:val="left" w:pos="360"/>
        </w:tabs>
        <w:spacing w:after="0"/>
        <w:rPr>
          <w:rFonts w:ascii="Arial" w:hAnsi="Arial" w:cs="Arial"/>
          <w:noProof/>
        </w:rPr>
      </w:pPr>
      <w:r w:rsidRPr="005345EE">
        <w:rPr>
          <w:rFonts w:ascii="Arial" w:hAnsi="Arial" w:cs="Arial"/>
          <w:noProof/>
        </w:rPr>
        <w:t>3.</w:t>
      </w:r>
      <w:r w:rsidRPr="005345EE">
        <w:rPr>
          <w:rFonts w:ascii="Arial" w:hAnsi="Arial" w:cs="Arial"/>
          <w:noProof/>
        </w:rPr>
        <w:tab/>
        <w:t>Law WD, Warren RL, McCallion AS. Establishment of an eHAP1 human haploid cell line hybrid reference genome assembled from short and long reads. Genomics. 2020;112(3):2379-84. Epub 2020/01/22. doi: 10.1016/j.ygeno.2020.01.009. PubMed PMID: 31962144.</w:t>
      </w:r>
    </w:p>
    <w:p w14:paraId="4EFD9669" w14:textId="21F2E60D" w:rsidR="00175004" w:rsidRPr="006162E8" w:rsidRDefault="00175004" w:rsidP="00CA6967">
      <w:pPr>
        <w:spacing w:after="0" w:line="240" w:lineRule="auto"/>
        <w:rPr>
          <w:rFonts w:ascii="Arial" w:eastAsia="Arial" w:hAnsi="Arial" w:cs="Arial"/>
          <w:b/>
          <w:bCs/>
          <w:color w:val="000000"/>
        </w:rPr>
      </w:pPr>
    </w:p>
    <w:sectPr w:rsidR="00175004" w:rsidRPr="006162E8" w:rsidSect="00FB45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aavi">
    <w:panose1 w:val="020B0502040204020203"/>
    <w:charset w:val="00"/>
    <w:family w:val="swiss"/>
    <w:pitch w:val="variable"/>
    <w:sig w:usb0="0002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0286"/>
    <w:multiLevelType w:val="hybridMultilevel"/>
    <w:tmpl w:val="00D088E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F01095"/>
    <w:multiLevelType w:val="hybridMultilevel"/>
    <w:tmpl w:val="A2ECAF0A"/>
    <w:lvl w:ilvl="0" w:tplc="8FB8F44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F02CC"/>
    <w:multiLevelType w:val="hybridMultilevel"/>
    <w:tmpl w:val="F45860D4"/>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916359"/>
    <w:multiLevelType w:val="hybridMultilevel"/>
    <w:tmpl w:val="50C884D2"/>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A0D31"/>
    <w:multiLevelType w:val="hybridMultilevel"/>
    <w:tmpl w:val="791EEAAA"/>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D702D8"/>
    <w:multiLevelType w:val="hybridMultilevel"/>
    <w:tmpl w:val="50C884D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1613E60"/>
    <w:multiLevelType w:val="hybridMultilevel"/>
    <w:tmpl w:val="3AC4E31A"/>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3E3D9B"/>
    <w:multiLevelType w:val="hybridMultilevel"/>
    <w:tmpl w:val="600AFB38"/>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830114"/>
    <w:multiLevelType w:val="hybridMultilevel"/>
    <w:tmpl w:val="A2ECAF0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5DB36C4"/>
    <w:multiLevelType w:val="hybridMultilevel"/>
    <w:tmpl w:val="846A37C2"/>
    <w:lvl w:ilvl="0" w:tplc="55EA8A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985024">
    <w:abstractNumId w:val="2"/>
  </w:num>
  <w:num w:numId="2" w16cid:durableId="1943876134">
    <w:abstractNumId w:val="6"/>
  </w:num>
  <w:num w:numId="3" w16cid:durableId="201289269">
    <w:abstractNumId w:val="1"/>
  </w:num>
  <w:num w:numId="4" w16cid:durableId="1131367530">
    <w:abstractNumId w:val="8"/>
  </w:num>
  <w:num w:numId="5" w16cid:durableId="957758291">
    <w:abstractNumId w:val="4"/>
  </w:num>
  <w:num w:numId="6" w16cid:durableId="592781772">
    <w:abstractNumId w:val="3"/>
  </w:num>
  <w:num w:numId="7" w16cid:durableId="1276400694">
    <w:abstractNumId w:val="0"/>
  </w:num>
  <w:num w:numId="8" w16cid:durableId="1770155136">
    <w:abstractNumId w:val="7"/>
  </w:num>
  <w:num w:numId="9" w16cid:durableId="861629647">
    <w:abstractNumId w:val="5"/>
  </w:num>
  <w:num w:numId="10" w16cid:durableId="1599748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5345EE"/>
    <w:rsid w:val="00011642"/>
    <w:rsid w:val="00040F65"/>
    <w:rsid w:val="00056E54"/>
    <w:rsid w:val="00093209"/>
    <w:rsid w:val="000B21AC"/>
    <w:rsid w:val="001179F6"/>
    <w:rsid w:val="00125D1A"/>
    <w:rsid w:val="0015391D"/>
    <w:rsid w:val="00175004"/>
    <w:rsid w:val="001A7FDC"/>
    <w:rsid w:val="001B7843"/>
    <w:rsid w:val="001D5064"/>
    <w:rsid w:val="00203294"/>
    <w:rsid w:val="00223D2A"/>
    <w:rsid w:val="0029277A"/>
    <w:rsid w:val="002A6D8B"/>
    <w:rsid w:val="002D42E8"/>
    <w:rsid w:val="002F47F4"/>
    <w:rsid w:val="00303580"/>
    <w:rsid w:val="00306E36"/>
    <w:rsid w:val="00325130"/>
    <w:rsid w:val="00333EEC"/>
    <w:rsid w:val="00341661"/>
    <w:rsid w:val="00350EFA"/>
    <w:rsid w:val="00354AD3"/>
    <w:rsid w:val="00373F97"/>
    <w:rsid w:val="003A215E"/>
    <w:rsid w:val="003A5A85"/>
    <w:rsid w:val="003D25E8"/>
    <w:rsid w:val="00447D77"/>
    <w:rsid w:val="004760ED"/>
    <w:rsid w:val="0048286D"/>
    <w:rsid w:val="0049732D"/>
    <w:rsid w:val="004A2A1A"/>
    <w:rsid w:val="004B3140"/>
    <w:rsid w:val="004C7A3E"/>
    <w:rsid w:val="004D1558"/>
    <w:rsid w:val="004F3263"/>
    <w:rsid w:val="004F56F6"/>
    <w:rsid w:val="005261F5"/>
    <w:rsid w:val="005345EE"/>
    <w:rsid w:val="0053716C"/>
    <w:rsid w:val="005B1750"/>
    <w:rsid w:val="006162E8"/>
    <w:rsid w:val="006165C8"/>
    <w:rsid w:val="006229A4"/>
    <w:rsid w:val="0062533D"/>
    <w:rsid w:val="006303DC"/>
    <w:rsid w:val="00657B77"/>
    <w:rsid w:val="00684CCF"/>
    <w:rsid w:val="006F52D4"/>
    <w:rsid w:val="007170A3"/>
    <w:rsid w:val="00730DC7"/>
    <w:rsid w:val="00775D9D"/>
    <w:rsid w:val="0078366B"/>
    <w:rsid w:val="007A6825"/>
    <w:rsid w:val="007E6FD1"/>
    <w:rsid w:val="00842E1E"/>
    <w:rsid w:val="00890591"/>
    <w:rsid w:val="00894DEE"/>
    <w:rsid w:val="008B4A68"/>
    <w:rsid w:val="008F351A"/>
    <w:rsid w:val="0091002F"/>
    <w:rsid w:val="0091602A"/>
    <w:rsid w:val="0092162F"/>
    <w:rsid w:val="00972ED3"/>
    <w:rsid w:val="009B1F09"/>
    <w:rsid w:val="009D3C46"/>
    <w:rsid w:val="009D736A"/>
    <w:rsid w:val="00A05002"/>
    <w:rsid w:val="00A16886"/>
    <w:rsid w:val="00A2668E"/>
    <w:rsid w:val="00A3637E"/>
    <w:rsid w:val="00A450A1"/>
    <w:rsid w:val="00A502E4"/>
    <w:rsid w:val="00A516A9"/>
    <w:rsid w:val="00A76BA7"/>
    <w:rsid w:val="00A8760F"/>
    <w:rsid w:val="00AA5FAE"/>
    <w:rsid w:val="00B118F9"/>
    <w:rsid w:val="00B47BA8"/>
    <w:rsid w:val="00B542A1"/>
    <w:rsid w:val="00B7119C"/>
    <w:rsid w:val="00B75BBD"/>
    <w:rsid w:val="00B93730"/>
    <w:rsid w:val="00BB2AD9"/>
    <w:rsid w:val="00BC701E"/>
    <w:rsid w:val="00BE11FD"/>
    <w:rsid w:val="00BE3C3B"/>
    <w:rsid w:val="00C571FC"/>
    <w:rsid w:val="00C6571A"/>
    <w:rsid w:val="00C75F2A"/>
    <w:rsid w:val="00CA6967"/>
    <w:rsid w:val="00CC3DE5"/>
    <w:rsid w:val="00CD0DD0"/>
    <w:rsid w:val="00D0734E"/>
    <w:rsid w:val="00D14A23"/>
    <w:rsid w:val="00D23472"/>
    <w:rsid w:val="00D53F53"/>
    <w:rsid w:val="00D63EB3"/>
    <w:rsid w:val="00D94C3D"/>
    <w:rsid w:val="00DC12AF"/>
    <w:rsid w:val="00DF4B1E"/>
    <w:rsid w:val="00E27784"/>
    <w:rsid w:val="00E41598"/>
    <w:rsid w:val="00E507D9"/>
    <w:rsid w:val="00E93D0D"/>
    <w:rsid w:val="00EA6A4D"/>
    <w:rsid w:val="00EC0382"/>
    <w:rsid w:val="00ED0523"/>
    <w:rsid w:val="00EE236A"/>
    <w:rsid w:val="00EE3C93"/>
    <w:rsid w:val="00F166D7"/>
    <w:rsid w:val="00F54F48"/>
    <w:rsid w:val="00F80AA9"/>
    <w:rsid w:val="00F967CE"/>
    <w:rsid w:val="00FB4503"/>
    <w:rsid w:val="3712D077"/>
    <w:rsid w:val="3F3D34A2"/>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8F94A"/>
  <w15:chartTrackingRefBased/>
  <w15:docId w15:val="{AA82BBBB-873E-1F49-9863-0B438883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 w:val="24"/>
        <w:szCs w:val="24"/>
        <w:lang w:val="en-US" w:eastAsia="en-US" w:bidi="pa-IN"/>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5EE"/>
    <w:pPr>
      <w:spacing w:after="240" w:line="276" w:lineRule="auto"/>
    </w:pPr>
    <w:rPr>
      <w:rFonts w:asciiTheme="minorHAnsi" w:hAnsiTheme="minorHAnsi" w:cstheme="minorBidi"/>
      <w:kern w:val="0"/>
      <w:sz w:val="22"/>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345EE"/>
    <w:pPr>
      <w:ind w:left="720"/>
      <w:contextualSpacing/>
    </w:pPr>
  </w:style>
  <w:style w:type="character" w:customStyle="1" w:styleId="ListParagraphChar">
    <w:name w:val="List Paragraph Char"/>
    <w:basedOn w:val="DefaultParagraphFont"/>
    <w:link w:val="ListParagraph"/>
    <w:uiPriority w:val="34"/>
    <w:rsid w:val="005345EE"/>
    <w:rPr>
      <w:rFonts w:asciiTheme="minorHAnsi" w:hAnsiTheme="minorHAnsi" w:cstheme="minorBidi"/>
      <w:kern w:val="0"/>
      <w:sz w:val="22"/>
      <w:szCs w:val="22"/>
      <w:lang w:bidi="ar-SA"/>
      <w14:ligatures w14:val="none"/>
    </w:rPr>
  </w:style>
  <w:style w:type="paragraph" w:customStyle="1" w:styleId="EndNoteBibliographyTitle">
    <w:name w:val="EndNote Bibliography Title"/>
    <w:basedOn w:val="Normal"/>
    <w:link w:val="EndNoteBibliographyTitleChar"/>
    <w:rsid w:val="005345EE"/>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5345EE"/>
    <w:rPr>
      <w:rFonts w:ascii="Calibri" w:hAnsi="Calibri" w:cs="Calibri"/>
      <w:kern w:val="0"/>
      <w:sz w:val="22"/>
      <w:szCs w:val="22"/>
      <w:lang w:bidi="ar-SA"/>
      <w14:ligatures w14:val="none"/>
    </w:rPr>
  </w:style>
  <w:style w:type="paragraph" w:customStyle="1" w:styleId="EndNoteBibliography">
    <w:name w:val="EndNote Bibliography"/>
    <w:basedOn w:val="Normal"/>
    <w:link w:val="EndNoteBibliographyChar"/>
    <w:rsid w:val="005345EE"/>
    <w:pPr>
      <w:spacing w:line="240" w:lineRule="auto"/>
    </w:pPr>
    <w:rPr>
      <w:rFonts w:ascii="Calibri" w:hAnsi="Calibri" w:cs="Calibri"/>
    </w:rPr>
  </w:style>
  <w:style w:type="character" w:customStyle="1" w:styleId="EndNoteBibliographyChar">
    <w:name w:val="EndNote Bibliography Char"/>
    <w:basedOn w:val="DefaultParagraphFont"/>
    <w:link w:val="EndNoteBibliography"/>
    <w:rsid w:val="005345EE"/>
    <w:rPr>
      <w:rFonts w:ascii="Calibri" w:hAnsi="Calibri" w:cs="Calibri"/>
      <w:kern w:val="0"/>
      <w:sz w:val="22"/>
      <w:szCs w:val="22"/>
      <w:lang w:bidi="ar-SA"/>
      <w14:ligatures w14:val="none"/>
    </w:rPr>
  </w:style>
  <w:style w:type="paragraph" w:styleId="Revision">
    <w:name w:val="Revision"/>
    <w:hidden/>
    <w:uiPriority w:val="99"/>
    <w:semiHidden/>
    <w:rsid w:val="005345EE"/>
    <w:rPr>
      <w:rFonts w:asciiTheme="minorHAnsi" w:hAnsiTheme="minorHAnsi" w:cstheme="minorBidi"/>
      <w:kern w:val="0"/>
      <w:sz w:val="22"/>
      <w:szCs w:val="22"/>
      <w:lang w:bidi="ar-SA"/>
      <w14:ligatures w14:val="none"/>
    </w:rPr>
  </w:style>
  <w:style w:type="character" w:styleId="CommentReference">
    <w:name w:val="annotation reference"/>
    <w:basedOn w:val="DefaultParagraphFont"/>
    <w:uiPriority w:val="99"/>
    <w:semiHidden/>
    <w:unhideWhenUsed/>
    <w:rsid w:val="005345EE"/>
    <w:rPr>
      <w:sz w:val="16"/>
      <w:szCs w:val="16"/>
    </w:rPr>
  </w:style>
  <w:style w:type="paragraph" w:styleId="CommentText">
    <w:name w:val="annotation text"/>
    <w:basedOn w:val="Normal"/>
    <w:link w:val="CommentTextChar"/>
    <w:uiPriority w:val="99"/>
    <w:semiHidden/>
    <w:unhideWhenUsed/>
    <w:rsid w:val="005345EE"/>
    <w:pPr>
      <w:spacing w:line="240" w:lineRule="auto"/>
    </w:pPr>
    <w:rPr>
      <w:sz w:val="20"/>
      <w:szCs w:val="20"/>
    </w:rPr>
  </w:style>
  <w:style w:type="character" w:customStyle="1" w:styleId="CommentTextChar">
    <w:name w:val="Comment Text Char"/>
    <w:basedOn w:val="DefaultParagraphFont"/>
    <w:link w:val="CommentText"/>
    <w:uiPriority w:val="99"/>
    <w:semiHidden/>
    <w:rsid w:val="005345EE"/>
    <w:rPr>
      <w:rFonts w:asciiTheme="minorHAnsi" w:hAnsiTheme="minorHAnsi" w:cstheme="minorBidi"/>
      <w:kern w:val="0"/>
      <w:sz w:val="20"/>
      <w:szCs w:val="20"/>
      <w:lang w:bidi="ar-SA"/>
      <w14:ligatures w14:val="none"/>
    </w:rPr>
  </w:style>
  <w:style w:type="paragraph" w:styleId="CommentSubject">
    <w:name w:val="annotation subject"/>
    <w:basedOn w:val="CommentText"/>
    <w:next w:val="CommentText"/>
    <w:link w:val="CommentSubjectChar"/>
    <w:uiPriority w:val="99"/>
    <w:semiHidden/>
    <w:unhideWhenUsed/>
    <w:rsid w:val="005345EE"/>
    <w:rPr>
      <w:b/>
      <w:bCs/>
    </w:rPr>
  </w:style>
  <w:style w:type="character" w:customStyle="1" w:styleId="CommentSubjectChar">
    <w:name w:val="Comment Subject Char"/>
    <w:basedOn w:val="CommentTextChar"/>
    <w:link w:val="CommentSubject"/>
    <w:uiPriority w:val="99"/>
    <w:semiHidden/>
    <w:rsid w:val="005345EE"/>
    <w:rPr>
      <w:rFonts w:asciiTheme="minorHAnsi" w:hAnsiTheme="minorHAnsi" w:cstheme="minorBidi"/>
      <w:b/>
      <w:bCs/>
      <w:kern w:val="0"/>
      <w:sz w:val="20"/>
      <w:szCs w:val="2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320</Words>
  <Characters>1825</Characters>
  <Application>Microsoft Office Word</Application>
  <DocSecurity>0</DocSecurity>
  <Lines>15</Lines>
  <Paragraphs>4</Paragraphs>
  <ScaleCrop>false</ScaleCrop>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Amoldeep Kainth</dc:creator>
  <cp:keywords/>
  <dc:description/>
  <cp:lastModifiedBy>Amoldeep Kainth</cp:lastModifiedBy>
  <cp:revision>7</cp:revision>
  <dcterms:created xsi:type="dcterms:W3CDTF">2023-10-18T16:14:00Z</dcterms:created>
  <dcterms:modified xsi:type="dcterms:W3CDTF">2023-10-18T17:36:00Z</dcterms:modified>
</cp:coreProperties>
</file>