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50C7DB" w14:textId="77777777" w:rsidR="006B0AA2" w:rsidRPr="00B60E27" w:rsidRDefault="006B0AA2" w:rsidP="006B0AA2">
      <w:pPr>
        <w:pStyle w:val="Title2"/>
        <w:rPr>
          <w:b w:val="0"/>
          <w:color w:val="000000" w:themeColor="text1"/>
          <w:sz w:val="32"/>
          <w:szCs w:val="32"/>
        </w:rPr>
      </w:pPr>
      <w:bookmarkStart w:id="0" w:name="_Hlk168300728"/>
      <w:r w:rsidRPr="00B60E27">
        <w:rPr>
          <w:b w:val="0"/>
          <w:color w:val="000000" w:themeColor="text1"/>
          <w:sz w:val="32"/>
          <w:szCs w:val="32"/>
        </w:rPr>
        <w:t xml:space="preserve">Supporting Information </w:t>
      </w:r>
    </w:p>
    <w:p w14:paraId="691002C2" w14:textId="77777777" w:rsidR="006B0AA2" w:rsidRPr="00B60E27" w:rsidRDefault="006B0AA2" w:rsidP="006B0AA2">
      <w:pPr>
        <w:pStyle w:val="Tableofcontents"/>
        <w:rPr>
          <w:color w:val="000000" w:themeColor="text1"/>
        </w:rPr>
      </w:pPr>
    </w:p>
    <w:p w14:paraId="2646C364" w14:textId="77777777" w:rsidR="006B0AA2" w:rsidRPr="00B60E27" w:rsidRDefault="006B0AA2" w:rsidP="006B0AA2">
      <w:pPr>
        <w:pStyle w:val="Tableofcontents"/>
        <w:rPr>
          <w:color w:val="000000" w:themeColor="text1"/>
        </w:rPr>
      </w:pPr>
    </w:p>
    <w:p w14:paraId="03C290EC" w14:textId="77777777" w:rsidR="006B0AA2" w:rsidRPr="00B60E27" w:rsidRDefault="006B0AA2" w:rsidP="006B0AA2">
      <w:pPr>
        <w:pStyle w:val="Tableofcontents"/>
        <w:rPr>
          <w:color w:val="000000" w:themeColor="text1"/>
        </w:rPr>
      </w:pPr>
      <w:r w:rsidRPr="00B60E27">
        <w:rPr>
          <w:color w:val="000000" w:themeColor="text1"/>
        </w:rPr>
        <w:t>Melt-Functionalization of Cellulose Nanocrystals using Dynamic Hindered Ureas</w:t>
      </w:r>
    </w:p>
    <w:p w14:paraId="5A3E6D0C" w14:textId="77777777" w:rsidR="006B0AA2" w:rsidRPr="00B60E27" w:rsidRDefault="006B0AA2" w:rsidP="006B0AA2">
      <w:pPr>
        <w:pStyle w:val="Tableofcontents"/>
        <w:rPr>
          <w:color w:val="000000" w:themeColor="text1"/>
        </w:rPr>
      </w:pPr>
    </w:p>
    <w:p w14:paraId="27EA51DB" w14:textId="6336D87E" w:rsidR="006B0AA2" w:rsidRPr="00B60E27" w:rsidRDefault="006B0AA2" w:rsidP="006B0AA2">
      <w:pPr>
        <w:pStyle w:val="AuthorsFull"/>
        <w:rPr>
          <w:color w:val="000000" w:themeColor="text1"/>
        </w:rPr>
      </w:pPr>
      <w:r w:rsidRPr="00B60E27">
        <w:rPr>
          <w:color w:val="000000" w:themeColor="text1"/>
        </w:rPr>
        <w:t xml:space="preserve">Zehra Oluz, Nicholas Macke, Sarah Candelaria, Abrianna Ambus, Aurora Zemborain, Chinwe S. Udemgba, Adam M. Weiss, </w:t>
      </w:r>
      <w:r w:rsidR="00875052" w:rsidRPr="00B60E27">
        <w:rPr>
          <w:color w:val="000000" w:themeColor="text1"/>
        </w:rPr>
        <w:t>Céline Calvin</w:t>
      </w:r>
      <w:r w:rsidR="00875052">
        <w:rPr>
          <w:color w:val="000000" w:themeColor="text1"/>
        </w:rPr>
        <w:t>o</w:t>
      </w:r>
      <w:r w:rsidR="00A82219">
        <w:rPr>
          <w:color w:val="000000" w:themeColor="text1"/>
        </w:rPr>
        <w:t>*</w:t>
      </w:r>
      <w:r w:rsidR="00875052">
        <w:rPr>
          <w:color w:val="000000" w:themeColor="text1"/>
        </w:rPr>
        <w:t xml:space="preserve">, </w:t>
      </w:r>
      <w:r w:rsidRPr="00B60E27">
        <w:rPr>
          <w:color w:val="000000" w:themeColor="text1"/>
        </w:rPr>
        <w:t>Stuart J. Rowan*</w:t>
      </w:r>
    </w:p>
    <w:p w14:paraId="635318FF" w14:textId="77777777" w:rsidR="006B0AA2" w:rsidRPr="00B60E27" w:rsidRDefault="006B0AA2" w:rsidP="006B0AA2">
      <w:pPr>
        <w:pStyle w:val="Maintext"/>
        <w:rPr>
          <w:color w:val="000000" w:themeColor="text1"/>
        </w:rPr>
      </w:pPr>
    </w:p>
    <w:p w14:paraId="05F2D1B2" w14:textId="77777777" w:rsidR="006B0AA2" w:rsidRPr="00B60E27" w:rsidRDefault="006B0AA2" w:rsidP="006B0AA2">
      <w:pPr>
        <w:pStyle w:val="ListParagraph"/>
        <w:numPr>
          <w:ilvl w:val="0"/>
          <w:numId w:val="1"/>
        </w:numPr>
        <w:spacing w:line="480" w:lineRule="auto"/>
        <w:ind w:hanging="720"/>
        <w:rPr>
          <w:bCs/>
          <w:color w:val="000000" w:themeColor="text1"/>
        </w:rPr>
      </w:pPr>
      <w:r w:rsidRPr="00B60E27">
        <w:rPr>
          <w:bCs/>
          <w:color w:val="000000" w:themeColor="text1"/>
        </w:rPr>
        <w:t>Materials, Methods, and Instrumentation</w:t>
      </w:r>
    </w:p>
    <w:p w14:paraId="4F635216" w14:textId="77777777" w:rsidR="006B0AA2" w:rsidRPr="00B60E27" w:rsidRDefault="006B0AA2" w:rsidP="006B0AA2">
      <w:pPr>
        <w:pStyle w:val="ListParagraph"/>
        <w:numPr>
          <w:ilvl w:val="1"/>
          <w:numId w:val="2"/>
        </w:numPr>
        <w:spacing w:line="480" w:lineRule="auto"/>
        <w:ind w:left="720" w:hanging="720"/>
        <w:rPr>
          <w:bCs/>
          <w:color w:val="000000" w:themeColor="text1"/>
        </w:rPr>
      </w:pPr>
      <w:r w:rsidRPr="00B60E27">
        <w:rPr>
          <w:bCs/>
          <w:color w:val="000000" w:themeColor="text1"/>
        </w:rPr>
        <w:t>Materials</w:t>
      </w:r>
    </w:p>
    <w:p w14:paraId="3050E737" w14:textId="0A16B95F" w:rsidR="006B0AA2" w:rsidRPr="00B60E27" w:rsidRDefault="006B0AA2" w:rsidP="006B0AA2">
      <w:pPr>
        <w:spacing w:line="480" w:lineRule="auto"/>
        <w:jc w:val="both"/>
        <w:rPr>
          <w:color w:val="000000" w:themeColor="text1"/>
          <w:lang w:val="en-US"/>
        </w:rPr>
      </w:pPr>
      <w:r w:rsidRPr="00B60E27">
        <w:rPr>
          <w:color w:val="000000" w:themeColor="text1"/>
          <w:lang w:val="en-US"/>
        </w:rPr>
        <w:t xml:space="preserve">If not specified otherwise, all compounds and solvents were used as received, without further purification. Hydrochloric acid (HCl), sodium bromide (NaBr), sodium hypochlorite (NaOCl), D-(+)-galactose, sulfuric acid, dodecyl isocyanate, </w:t>
      </w:r>
      <w:r w:rsidRPr="00B60E27">
        <w:rPr>
          <w:i/>
          <w:color w:val="000000" w:themeColor="text1"/>
          <w:lang w:val="en-US"/>
        </w:rPr>
        <w:t>N-tert</w:t>
      </w:r>
      <w:r w:rsidRPr="00B60E27">
        <w:rPr>
          <w:color w:val="000000" w:themeColor="text1"/>
          <w:lang w:val="en-US"/>
        </w:rPr>
        <w:t>-butylmethylamine, methoxy-poly(ethylene glycol) (2,000 g/mol and 10,000 g/mol, PEG</w:t>
      </w:r>
      <w:r w:rsidRPr="00B60E27">
        <w:rPr>
          <w:color w:val="000000" w:themeColor="text1"/>
          <w:vertAlign w:val="subscript"/>
          <w:lang w:val="en-US"/>
        </w:rPr>
        <w:t>2k</w:t>
      </w:r>
      <w:r w:rsidRPr="00B60E27">
        <w:rPr>
          <w:color w:val="000000" w:themeColor="text1"/>
          <w:lang w:val="en-US"/>
        </w:rPr>
        <w:t>-OH and PEG</w:t>
      </w:r>
      <w:r w:rsidRPr="00B60E27">
        <w:rPr>
          <w:color w:val="000000" w:themeColor="text1"/>
          <w:vertAlign w:val="subscript"/>
          <w:lang w:val="en-US"/>
        </w:rPr>
        <w:t>10k</w:t>
      </w:r>
      <w:r w:rsidRPr="00B60E27">
        <w:rPr>
          <w:color w:val="000000" w:themeColor="text1"/>
          <w:lang w:val="en-US"/>
        </w:rPr>
        <w:t xml:space="preserve">-OH), hexamethylene diisocyanate, dibutyltin dilaurate (DBTDL), disperse orange 3 (DO3), benzyl alcohol, 1,5,7-Triazabicyclo[4.4.0]dec-5-ene, </w:t>
      </w:r>
      <w:r w:rsidRPr="00B60E27">
        <w:rPr>
          <w:rFonts w:ascii="Symbol" w:eastAsia="Symbol" w:hAnsi="Symbol" w:cs="Symbol"/>
          <w:color w:val="000000" w:themeColor="text1"/>
          <w:lang w:val="en-US"/>
        </w:rPr>
        <w:t></w:t>
      </w:r>
      <w:r w:rsidRPr="00B60E27">
        <w:rPr>
          <w:color w:val="000000" w:themeColor="text1"/>
          <w:lang w:val="en-US"/>
        </w:rPr>
        <w:t xml:space="preserve">-caprolactone, </w:t>
      </w:r>
      <w:bookmarkStart w:id="1" w:name="_Hlk160541825"/>
      <w:r w:rsidRPr="00B60E27">
        <w:rPr>
          <w:color w:val="000000" w:themeColor="text1"/>
          <w:lang w:val="en-US"/>
        </w:rPr>
        <w:t>ethyl α-bromoisobutyrate</w:t>
      </w:r>
      <w:bookmarkEnd w:id="1"/>
      <w:r w:rsidRPr="00B60E27">
        <w:rPr>
          <w:color w:val="000000" w:themeColor="text1"/>
          <w:lang w:val="en-US"/>
        </w:rPr>
        <w:t xml:space="preserve"> (EBiB), butyl acrylate, tris[2-(dimethylamino)ethyl]amine (Me</w:t>
      </w:r>
      <w:r w:rsidRPr="00B60E27">
        <w:rPr>
          <w:color w:val="000000" w:themeColor="text1"/>
          <w:vertAlign w:val="subscript"/>
          <w:lang w:val="en-US"/>
        </w:rPr>
        <w:t>6</w:t>
      </w:r>
      <w:r w:rsidRPr="00B60E27">
        <w:rPr>
          <w:color w:val="000000" w:themeColor="text1"/>
          <w:lang w:val="en-US"/>
        </w:rPr>
        <w:t>TREN), copper (II) bromide (CuBr</w:t>
      </w:r>
      <w:r w:rsidRPr="00B60E27">
        <w:rPr>
          <w:color w:val="000000" w:themeColor="text1"/>
          <w:vertAlign w:val="subscript"/>
          <w:lang w:val="en-US"/>
        </w:rPr>
        <w:t>2</w:t>
      </w:r>
      <w:r w:rsidRPr="00B60E27">
        <w:rPr>
          <w:color w:val="000000" w:themeColor="text1"/>
          <w:lang w:val="en-US"/>
        </w:rPr>
        <w:t>), allyl isocyanate, 2,2-dimethoxy-2-phenylacetophenone (DMPA), triethylamine (TEA) and chloroform-d</w:t>
      </w:r>
      <w:r w:rsidR="00EC4F49">
        <w:rPr>
          <w:color w:val="000000" w:themeColor="text1"/>
          <w:lang w:val="en-US"/>
        </w:rPr>
        <w:t xml:space="preserve"> (CDCl</w:t>
      </w:r>
      <w:r w:rsidR="00EC4F49">
        <w:rPr>
          <w:color w:val="000000" w:themeColor="text1"/>
          <w:vertAlign w:val="subscript"/>
          <w:lang w:val="en-US"/>
        </w:rPr>
        <w:t>3</w:t>
      </w:r>
      <w:r w:rsidR="00EC4F49">
        <w:rPr>
          <w:color w:val="000000" w:themeColor="text1"/>
          <w:lang w:val="en-US"/>
        </w:rPr>
        <w:t>)</w:t>
      </w:r>
      <w:r w:rsidRPr="00B60E27">
        <w:rPr>
          <w:color w:val="000000" w:themeColor="text1"/>
          <w:lang w:val="en-US"/>
        </w:rPr>
        <w:t xml:space="preserve"> were all purchased from Sigma-Aldrich. Whatman filter paper, sodium hydroxide (NaOH), sodium carbonate, copper (0) wire, basic alumina, neutral alumina, and all solvents, acetone, toluene, hexanes, dimethyl sulfoxide (DMSO), diethyl ether, chloroform, tetrahydrofuran (THF), dichloromethane (DCM), ethyl acetate, and N,N-dimethylformamide (DMF), were purchased from Fisher Scientific. (2,2,6,6-tetramethylpiperidin-1-yl)oxyl (TEMPO) was purchased from Ambeed, poly-(L)-lysine was purchased from Ted Pella, 1,6,-hexanedithiol was purchased from Oakwood Chemical, </w:t>
      </w:r>
      <w:bookmarkStart w:id="2" w:name="_Hlk171343749"/>
      <w:r w:rsidRPr="00B60E27">
        <w:rPr>
          <w:color w:val="000000" w:themeColor="text1"/>
          <w:lang w:val="en-US"/>
        </w:rPr>
        <w:t>and PLA 4060D was kindly provided by NatureWorks</w:t>
      </w:r>
      <w:bookmarkEnd w:id="2"/>
      <w:r w:rsidRPr="00B60E27">
        <w:rPr>
          <w:color w:val="000000" w:themeColor="text1"/>
          <w:lang w:val="en-US"/>
        </w:rPr>
        <w:t>.</w:t>
      </w:r>
    </w:p>
    <w:p w14:paraId="2AC2FEED" w14:textId="77777777" w:rsidR="006B0AA2" w:rsidRPr="00B60E27" w:rsidRDefault="006B0AA2" w:rsidP="006B0AA2">
      <w:pPr>
        <w:pStyle w:val="ListParagraph"/>
        <w:numPr>
          <w:ilvl w:val="1"/>
          <w:numId w:val="2"/>
        </w:numPr>
        <w:spacing w:line="480" w:lineRule="auto"/>
        <w:ind w:left="720" w:hanging="720"/>
        <w:jc w:val="both"/>
        <w:rPr>
          <w:color w:val="000000" w:themeColor="text1"/>
          <w:lang w:val="en-US"/>
        </w:rPr>
      </w:pPr>
      <w:r w:rsidRPr="00B60E27">
        <w:rPr>
          <w:color w:val="000000" w:themeColor="text1"/>
          <w:lang w:val="en-US"/>
        </w:rPr>
        <w:t>Methods</w:t>
      </w:r>
    </w:p>
    <w:p w14:paraId="15BA8AB0" w14:textId="77777777" w:rsidR="006B0AA2" w:rsidRPr="00B60E27" w:rsidRDefault="006B0AA2" w:rsidP="006B0AA2">
      <w:pPr>
        <w:pStyle w:val="ListParagraph"/>
        <w:numPr>
          <w:ilvl w:val="2"/>
          <w:numId w:val="2"/>
        </w:numPr>
        <w:spacing w:line="480" w:lineRule="auto"/>
        <w:jc w:val="both"/>
        <w:rPr>
          <w:bCs/>
          <w:color w:val="000000" w:themeColor="text1"/>
          <w:lang w:val="en-US"/>
        </w:rPr>
      </w:pPr>
      <w:r w:rsidRPr="00B60E27">
        <w:rPr>
          <w:bCs/>
          <w:color w:val="000000" w:themeColor="text1"/>
          <w:lang w:val="en-US"/>
        </w:rPr>
        <w:t xml:space="preserve">Preparation of </w:t>
      </w:r>
      <w:r w:rsidRPr="00B60E27">
        <w:rPr>
          <w:bCs/>
          <w:i/>
          <w:iCs/>
          <w:color w:val="000000" w:themeColor="text1"/>
          <w:lang w:val="en-US"/>
        </w:rPr>
        <w:t>c</w:t>
      </w:r>
      <w:r w:rsidRPr="00B60E27">
        <w:rPr>
          <w:bCs/>
          <w:color w:val="000000" w:themeColor="text1"/>
          <w:lang w:val="en-US"/>
        </w:rPr>
        <w:t>-CNC-OSO</w:t>
      </w:r>
      <w:r w:rsidRPr="00B60E27">
        <w:rPr>
          <w:bCs/>
          <w:color w:val="000000" w:themeColor="text1"/>
          <w:vertAlign w:val="subscript"/>
          <w:lang w:val="en-US"/>
        </w:rPr>
        <w:t>3</w:t>
      </w:r>
    </w:p>
    <w:p w14:paraId="30674B72" w14:textId="77777777" w:rsidR="006B0AA2" w:rsidRPr="00B60E27" w:rsidRDefault="006B0AA2" w:rsidP="006B0AA2">
      <w:pPr>
        <w:spacing w:line="480" w:lineRule="auto"/>
        <w:jc w:val="both"/>
        <w:rPr>
          <w:bCs/>
          <w:color w:val="000000" w:themeColor="text1"/>
          <w:lang w:val="en-US"/>
        </w:rPr>
      </w:pPr>
      <w:r w:rsidRPr="00B60E27">
        <w:rPr>
          <w:color w:val="000000" w:themeColor="text1"/>
          <w:lang w:val="en-US"/>
        </w:rPr>
        <w:lastRenderedPageBreak/>
        <w:t xml:space="preserve">10 g of Whatman Number 1 Grade Filter Paper were cut into small pieces, poured into 500 mL deionized water, and blended until formation of a pulp. The CNC-pulp solution was then placed into an ice bath and 280 mL of concentrated sulfuric acid (98 %) was slowly added under stirring. During the addition, the temperature of the reaction was maintained below 35°C. After complete addition, the mixture was heated to 45 °C and stirred for 5 h. The mixture was then cooled to room temperature and filtered through a fine-fritted glass filter. The CNCs were centrifuged at 8000 rpm and resuspended in water ~5 times until the supernatant reached a neutral pH. Finally, the thoroughly washed material was suspended in DI and freeze-dried to yield </w:t>
      </w:r>
      <w:r w:rsidRPr="00B60E27">
        <w:rPr>
          <w:i/>
          <w:iCs/>
          <w:color w:val="000000" w:themeColor="text1"/>
          <w:lang w:val="en-US"/>
        </w:rPr>
        <w:t>c</w:t>
      </w:r>
      <w:r w:rsidRPr="00B60E27">
        <w:rPr>
          <w:color w:val="000000" w:themeColor="text1"/>
          <w:lang w:val="en-US"/>
        </w:rPr>
        <w:t>-CNC-OSO</w:t>
      </w:r>
      <w:r w:rsidRPr="00B60E27">
        <w:rPr>
          <w:color w:val="000000" w:themeColor="text1"/>
          <w:vertAlign w:val="subscript"/>
          <w:lang w:val="en-US"/>
        </w:rPr>
        <w:t>3</w:t>
      </w:r>
      <w:r w:rsidRPr="00B60E27">
        <w:rPr>
          <w:color w:val="000000" w:themeColor="text1"/>
          <w:vertAlign w:val="superscript"/>
          <w:lang w:val="en-US"/>
        </w:rPr>
        <w:t>-</w:t>
      </w:r>
      <w:r w:rsidRPr="00B60E27">
        <w:rPr>
          <w:color w:val="000000" w:themeColor="text1"/>
          <w:lang w:val="en-US"/>
        </w:rPr>
        <w:t xml:space="preserve"> in fluffy powder form (7.6 g).</w:t>
      </w:r>
    </w:p>
    <w:p w14:paraId="05C60F29" w14:textId="77777777" w:rsidR="006B0AA2" w:rsidRPr="00B60E27" w:rsidRDefault="006B0AA2" w:rsidP="006B0AA2">
      <w:pPr>
        <w:pStyle w:val="ListParagraph"/>
        <w:numPr>
          <w:ilvl w:val="2"/>
          <w:numId w:val="2"/>
        </w:numPr>
        <w:spacing w:line="480" w:lineRule="auto"/>
        <w:jc w:val="both"/>
        <w:rPr>
          <w:bCs/>
          <w:color w:val="000000" w:themeColor="text1"/>
          <w:vertAlign w:val="superscript"/>
          <w:lang w:val="en-US"/>
        </w:rPr>
      </w:pPr>
      <w:r w:rsidRPr="00B60E27">
        <w:rPr>
          <w:bCs/>
          <w:color w:val="000000" w:themeColor="text1"/>
          <w:lang w:val="en-US"/>
        </w:rPr>
        <w:t xml:space="preserve">Preparation of </w:t>
      </w:r>
      <w:r w:rsidRPr="00B60E27">
        <w:rPr>
          <w:bCs/>
          <w:i/>
          <w:iCs/>
          <w:color w:val="000000" w:themeColor="text1"/>
          <w:lang w:val="en-US"/>
        </w:rPr>
        <w:t>c</w:t>
      </w:r>
      <w:r w:rsidRPr="00B60E27">
        <w:rPr>
          <w:bCs/>
          <w:color w:val="000000" w:themeColor="text1"/>
          <w:lang w:val="en-US"/>
        </w:rPr>
        <w:t>-CNC-OH</w:t>
      </w:r>
    </w:p>
    <w:p w14:paraId="1A405AF5" w14:textId="77777777" w:rsidR="006B0AA2" w:rsidRPr="00B60E27" w:rsidRDefault="006B0AA2" w:rsidP="006B0AA2">
      <w:pPr>
        <w:pStyle w:val="NoSpacing"/>
        <w:spacing w:line="480" w:lineRule="auto"/>
        <w:jc w:val="both"/>
        <w:rPr>
          <w:color w:val="000000" w:themeColor="text1"/>
          <w:lang w:val="en-US"/>
        </w:rPr>
      </w:pPr>
      <w:r w:rsidRPr="00B60E27">
        <w:rPr>
          <w:color w:val="000000" w:themeColor="text1"/>
          <w:lang w:val="en-US"/>
        </w:rPr>
        <w:t xml:space="preserve">10 g of Whatman Number 1 Grade Filter Paper were cut into small pieces, mixed with 500 mL deionized water, and blended into a uniform pulp. In a 2 L round bottom flask, 75 mL of concentrated HCl was combined with 225 mL of DI water and heated to 100 °C. Once at temperature, the CNC-pulp solution was added to the HCl solution and stirred for 90 minutes. The mixture was then filtered through fine-fritted glass filter before resuspending the </w:t>
      </w:r>
      <w:r w:rsidRPr="00B60E27">
        <w:rPr>
          <w:i/>
          <w:iCs/>
          <w:color w:val="000000" w:themeColor="text1"/>
          <w:lang w:val="en-US"/>
        </w:rPr>
        <w:t>c</w:t>
      </w:r>
      <w:r w:rsidRPr="00B60E27">
        <w:rPr>
          <w:color w:val="000000" w:themeColor="text1"/>
          <w:lang w:val="en-US"/>
        </w:rPr>
        <w:t xml:space="preserve">-CNC-OH in DI water. The CNCs were centrifuged at 8000 rpm and resuspended in water ~5 times until the supernatant reached neutral pH. Finally, the thoroughly washed material was suspended in DI water and freeze-dried to yield </w:t>
      </w:r>
      <w:r w:rsidRPr="00B60E27">
        <w:rPr>
          <w:i/>
          <w:iCs/>
          <w:color w:val="000000" w:themeColor="text1"/>
          <w:lang w:val="en-US"/>
        </w:rPr>
        <w:t>c</w:t>
      </w:r>
      <w:r w:rsidRPr="00B60E27">
        <w:rPr>
          <w:color w:val="000000" w:themeColor="text1"/>
          <w:lang w:val="en-US"/>
        </w:rPr>
        <w:t>-CNC-OH in fluffy powder form (7 g).</w:t>
      </w:r>
    </w:p>
    <w:p w14:paraId="31EE3249" w14:textId="77777777" w:rsidR="006B0AA2" w:rsidRPr="00B60E27" w:rsidRDefault="006B0AA2" w:rsidP="006B0AA2">
      <w:pPr>
        <w:pStyle w:val="NoSpacing"/>
        <w:numPr>
          <w:ilvl w:val="2"/>
          <w:numId w:val="2"/>
        </w:numPr>
        <w:spacing w:line="480" w:lineRule="auto"/>
        <w:jc w:val="both"/>
        <w:rPr>
          <w:color w:val="000000" w:themeColor="text1"/>
          <w:lang w:val="en-US"/>
        </w:rPr>
      </w:pPr>
      <w:r w:rsidRPr="00B60E27">
        <w:rPr>
          <w:color w:val="000000" w:themeColor="text1"/>
          <w:lang w:val="en-US"/>
        </w:rPr>
        <w:t xml:space="preserve">Preparation of </w:t>
      </w:r>
      <w:r w:rsidRPr="00B60E27">
        <w:rPr>
          <w:i/>
          <w:iCs/>
          <w:color w:val="000000" w:themeColor="text1"/>
          <w:lang w:val="en-US"/>
        </w:rPr>
        <w:t>c</w:t>
      </w:r>
      <w:r w:rsidRPr="00B60E27">
        <w:rPr>
          <w:color w:val="000000" w:themeColor="text1"/>
          <w:lang w:val="en-US"/>
        </w:rPr>
        <w:t>-CNC-COOH via TEMPO Oxidation</w:t>
      </w:r>
    </w:p>
    <w:p w14:paraId="1A0BE6B9" w14:textId="77777777" w:rsidR="006B0AA2" w:rsidRPr="00B60E27" w:rsidRDefault="006B0AA2" w:rsidP="006B0AA2">
      <w:pPr>
        <w:pStyle w:val="NoSpacing"/>
        <w:spacing w:line="480" w:lineRule="auto"/>
        <w:jc w:val="both"/>
        <w:rPr>
          <w:color w:val="000000" w:themeColor="text1"/>
          <w:lang w:val="en-US"/>
        </w:rPr>
      </w:pPr>
      <w:r w:rsidRPr="00B60E27">
        <w:rPr>
          <w:color w:val="000000" w:themeColor="text1"/>
          <w:lang w:val="en-US"/>
        </w:rPr>
        <w:t xml:space="preserve">TEMPO oxidation of </w:t>
      </w:r>
      <w:r w:rsidRPr="00B60E27">
        <w:rPr>
          <w:i/>
          <w:iCs/>
          <w:color w:val="000000" w:themeColor="text1"/>
          <w:lang w:val="en-US"/>
        </w:rPr>
        <w:t>c</w:t>
      </w:r>
      <w:r w:rsidRPr="00B60E27">
        <w:rPr>
          <w:color w:val="000000" w:themeColor="text1"/>
          <w:lang w:val="en-US"/>
        </w:rPr>
        <w:t>-CNC-OH was conducted based on a prior literature report.</w:t>
      </w:r>
      <w:r w:rsidRPr="00B60E27">
        <w:rPr>
          <w:color w:val="000000" w:themeColor="text1"/>
          <w:lang w:val="en-US"/>
        </w:rPr>
        <w:fldChar w:fldCharType="begin" w:fldLock="1"/>
      </w:r>
      <w:r w:rsidRPr="00B60E27">
        <w:rPr>
          <w:color w:val="000000" w:themeColor="text1"/>
          <w:lang w:val="en-US"/>
        </w:rPr>
        <w:instrText>ADDIN CSL_CITATION {"citationItems":[{"id":"ITEM-1","itemData":{"DOI":"10.1007/s10570-017-1319-5","ISSN":"1572882X","abstract":"Cellulose nanocrystals were successfully oxidized with sodium hypochlorite using catalytic amounts of sodium bromide and 2,2,6,6-tetramethylpiperidine-1-oxyl (TEMPO) radical at pH 10 in water. Carboxylate groups were selectively introduced at the surface of the crystals up to a total acid content of 1200 mmol kg−1 without damaging the integrity of the crystals. The final acid content can easily be tuned by varying the amount of oxidant introduced. The effect of temperature, the quantity of oxidant and co-catalyst on the reaction kinetics were studied. Several methods were used for the characterization of the oxidized material like field emission scanning electron microscopy, diffuse reflectance infrared spectroscopy and thermogravimetric analysis.","author":[{"dropping-particle":"","family":"Fraschini","given":"Carole","non-dropping-particle":"","parse-names":false,"suffix":""},{"dropping-particle":"","family":"Chauve","given":"Grégory","non-dropping-particle":"","parse-names":false,"suffix":""},{"dropping-particle":"","family":"Bouchard","given":"Jean","non-dropping-particle":"","parse-names":false,"suffix":""}],"container-title":"Cellulose","id":"ITEM-1","issue":"7","issued":{"date-parts":[["2017"]]},"page":"2775-2790","title":"TEMPO-mediated surface oxidation of cellulose nanocrystals (CNCs)","type":"article-journal","volume":"24"},"uris":["http://www.mendeley.com/documents/?uuid=888f11c5-979a-43ee-a8d3-5d97b296dd7f"]}],"mendeley":{"formattedCitation":"&lt;sup&gt;[51]&lt;/sup&gt;","plainTextFormattedCitation":"[51]","previouslyFormattedCitation":"&lt;sup&gt;[51]&lt;/sup&gt;"},"properties":{"noteIndex":0},"schema":"https://github.com/citation-style-language/schema/raw/master/csl-citation.json"}</w:instrText>
      </w:r>
      <w:r w:rsidRPr="00B60E27">
        <w:rPr>
          <w:color w:val="000000" w:themeColor="text1"/>
          <w:lang w:val="en-US"/>
        </w:rPr>
        <w:fldChar w:fldCharType="separate"/>
      </w:r>
      <w:r w:rsidRPr="00B60E27">
        <w:rPr>
          <w:noProof/>
          <w:color w:val="000000" w:themeColor="text1"/>
          <w:vertAlign w:val="superscript"/>
          <w:lang w:val="en-US"/>
        </w:rPr>
        <w:t>[51]</w:t>
      </w:r>
      <w:r w:rsidRPr="00B60E27">
        <w:rPr>
          <w:color w:val="000000" w:themeColor="text1"/>
          <w:lang w:val="en-US"/>
        </w:rPr>
        <w:fldChar w:fldCharType="end"/>
      </w:r>
      <w:r w:rsidRPr="00B60E27">
        <w:rPr>
          <w:color w:val="000000" w:themeColor="text1"/>
          <w:lang w:val="en-US"/>
        </w:rPr>
        <w:t xml:space="preserve"> In brief, 7 g of </w:t>
      </w:r>
      <w:r w:rsidRPr="00B60E27">
        <w:rPr>
          <w:i/>
          <w:iCs/>
          <w:color w:val="000000" w:themeColor="text1"/>
          <w:lang w:val="en-US"/>
        </w:rPr>
        <w:t>c</w:t>
      </w:r>
      <w:r w:rsidRPr="00B60E27">
        <w:rPr>
          <w:color w:val="000000" w:themeColor="text1"/>
          <w:lang w:val="en-US"/>
        </w:rPr>
        <w:t xml:space="preserve">-CNC-OH were dispersed in 700 mL of DI water and dispersed with probe sonication. To the dispersed CNCs, pre-dissolved TEMPO (0.109 g, 0.7 mmol), NaBr (0.306 g, 3.5 mmol), and NaOCl (14.08 mL, 210 mmol) were added. The pH was adjusted to 10-10.5 and maintained in that range using 1 M NaOH for 2 hours, or until the pH stopped decreasing. Once the reaction was complete, the solution was filtered through fine-fritted glass filter before resuspending the </w:t>
      </w:r>
      <w:r w:rsidRPr="00B60E27">
        <w:rPr>
          <w:i/>
          <w:iCs/>
          <w:color w:val="000000" w:themeColor="text1"/>
          <w:lang w:val="en-US"/>
        </w:rPr>
        <w:t>c</w:t>
      </w:r>
      <w:r w:rsidRPr="00B60E27">
        <w:rPr>
          <w:color w:val="000000" w:themeColor="text1"/>
          <w:lang w:val="en-US"/>
        </w:rPr>
        <w:t xml:space="preserve">-CNC-COOH in DI water. The CNCs were centrifuged at 8000 rpm and resuspended in water </w:t>
      </w:r>
      <w:r w:rsidRPr="00B60E27">
        <w:rPr>
          <w:color w:val="000000" w:themeColor="text1"/>
          <w:lang w:val="en-US"/>
        </w:rPr>
        <w:lastRenderedPageBreak/>
        <w:t xml:space="preserve">~5 times. Finally, the thoroughly washed material was suspended in DI water and freeze-dried to yield </w:t>
      </w:r>
      <w:r w:rsidRPr="00B60E27">
        <w:rPr>
          <w:i/>
          <w:iCs/>
          <w:color w:val="000000" w:themeColor="text1"/>
          <w:lang w:val="en-US"/>
        </w:rPr>
        <w:t>c</w:t>
      </w:r>
      <w:r w:rsidRPr="00B60E27">
        <w:rPr>
          <w:color w:val="000000" w:themeColor="text1"/>
          <w:lang w:val="en-US"/>
        </w:rPr>
        <w:t>-CNC-COOH as a fluffy white powder (6 g).</w:t>
      </w:r>
    </w:p>
    <w:p w14:paraId="559F16A1" w14:textId="77777777" w:rsidR="006B0AA2" w:rsidRPr="00B60E27" w:rsidRDefault="006B0AA2" w:rsidP="006B0AA2">
      <w:pPr>
        <w:pStyle w:val="ListParagraph"/>
        <w:numPr>
          <w:ilvl w:val="2"/>
          <w:numId w:val="2"/>
        </w:numPr>
        <w:spacing w:line="480" w:lineRule="auto"/>
        <w:jc w:val="both"/>
        <w:rPr>
          <w:color w:val="000000" w:themeColor="text1"/>
          <w:lang w:val="en-US"/>
        </w:rPr>
      </w:pPr>
      <w:r w:rsidRPr="00B60E27">
        <w:rPr>
          <w:color w:val="000000" w:themeColor="text1"/>
          <w:lang w:val="en-US"/>
        </w:rPr>
        <w:t>Determination of Surface Carboxylate Concentration</w:t>
      </w:r>
    </w:p>
    <w:p w14:paraId="53340D02" w14:textId="77777777" w:rsidR="006B0AA2" w:rsidRPr="00B60E27" w:rsidRDefault="006B0AA2" w:rsidP="006B0AA2">
      <w:pPr>
        <w:spacing w:line="480" w:lineRule="auto"/>
        <w:jc w:val="both"/>
        <w:rPr>
          <w:color w:val="000000" w:themeColor="text1"/>
          <w:lang w:val="en-US"/>
        </w:rPr>
      </w:pPr>
      <w:r w:rsidRPr="00B60E27">
        <w:rPr>
          <w:color w:val="000000" w:themeColor="text1"/>
          <w:lang w:val="en-US"/>
        </w:rPr>
        <w:t xml:space="preserve">To determine the carboxylate content of the isolated and oxidized </w:t>
      </w:r>
      <w:r w:rsidRPr="00B60E27">
        <w:rPr>
          <w:i/>
          <w:iCs/>
          <w:color w:val="000000" w:themeColor="text1"/>
          <w:lang w:val="en-US"/>
        </w:rPr>
        <w:t>c</w:t>
      </w:r>
      <w:r w:rsidRPr="00B60E27">
        <w:rPr>
          <w:color w:val="000000" w:themeColor="text1"/>
          <w:lang w:val="en-US"/>
        </w:rPr>
        <w:t>-CNC-COOH, conductivity titration was performed with a pH probe by recording conductivity and pH following dropwise addition of 0.01M NaOH. The resulting conductivity data was plotted against the volume of added NaOH and the weak acid plateau was used to determine the concentration of carboxylates on the surface of the CNCs. The functional group density was determined using the following equation:</w:t>
      </w:r>
    </w:p>
    <w:p w14:paraId="0EE3DC7F" w14:textId="77777777" w:rsidR="006B0AA2" w:rsidRPr="00B60E27" w:rsidRDefault="006B0AA2" w:rsidP="006B0AA2">
      <w:pPr>
        <w:spacing w:line="480" w:lineRule="auto"/>
        <w:jc w:val="center"/>
        <w:rPr>
          <w:color w:val="000000" w:themeColor="text1"/>
          <w:lang w:val="en-US"/>
        </w:rPr>
      </w:pPr>
      <m:oMathPara>
        <m:oMath>
          <m:r>
            <w:rPr>
              <w:rFonts w:ascii="Cambria Math" w:hAnsi="Cambria Math"/>
              <w:color w:val="000000" w:themeColor="text1"/>
              <w:lang w:val="en-US"/>
            </w:rPr>
            <m:t xml:space="preserve">Carboxylate Density </m:t>
          </m:r>
          <m:d>
            <m:dPr>
              <m:ctrlPr>
                <w:rPr>
                  <w:rFonts w:ascii="Cambria Math" w:hAnsi="Cambria Math"/>
                  <w:i/>
                  <w:color w:val="000000" w:themeColor="text1"/>
                  <w:lang w:val="en-US"/>
                </w:rPr>
              </m:ctrlPr>
            </m:dPr>
            <m:e>
              <m:f>
                <m:fPr>
                  <m:ctrlPr>
                    <w:rPr>
                      <w:rFonts w:ascii="Cambria Math" w:hAnsi="Cambria Math"/>
                      <w:i/>
                      <w:color w:val="000000" w:themeColor="text1"/>
                      <w:lang w:val="en-US"/>
                    </w:rPr>
                  </m:ctrlPr>
                </m:fPr>
                <m:num>
                  <m:r>
                    <w:rPr>
                      <w:rFonts w:ascii="Cambria Math" w:hAnsi="Cambria Math"/>
                      <w:color w:val="000000" w:themeColor="text1"/>
                      <w:lang w:val="en-US"/>
                    </w:rPr>
                    <m:t>mol</m:t>
                  </m:r>
                </m:num>
                <m:den>
                  <m:r>
                    <w:rPr>
                      <w:rFonts w:ascii="Cambria Math" w:hAnsi="Cambria Math"/>
                      <w:color w:val="000000" w:themeColor="text1"/>
                      <w:lang w:val="en-US"/>
                    </w:rPr>
                    <m:t>kg</m:t>
                  </m:r>
                </m:den>
              </m:f>
            </m:e>
          </m:d>
          <m:r>
            <w:rPr>
              <w:rFonts w:ascii="Cambria Math" w:hAnsi="Cambria Math"/>
              <w:color w:val="000000" w:themeColor="text1"/>
              <w:lang w:val="en-US"/>
            </w:rPr>
            <m:t>=</m:t>
          </m:r>
          <m:f>
            <m:fPr>
              <m:ctrlPr>
                <w:rPr>
                  <w:rFonts w:ascii="Cambria Math" w:hAnsi="Cambria Math"/>
                  <w:i/>
                  <w:color w:val="000000" w:themeColor="text1"/>
                  <w:lang w:val="en-US"/>
                </w:rPr>
              </m:ctrlPr>
            </m:fPr>
            <m:num>
              <m:r>
                <w:rPr>
                  <w:rFonts w:ascii="Cambria Math" w:hAnsi="Cambria Math"/>
                  <w:color w:val="000000" w:themeColor="text1"/>
                  <w:lang w:val="en-US"/>
                </w:rPr>
                <m:t xml:space="preserve">Concentration × </m:t>
              </m:r>
              <m:sSub>
                <m:sSubPr>
                  <m:ctrlPr>
                    <w:rPr>
                      <w:rFonts w:ascii="Cambria Math" w:hAnsi="Cambria Math"/>
                      <w:i/>
                      <w:color w:val="000000" w:themeColor="text1"/>
                      <w:lang w:val="en-US"/>
                    </w:rPr>
                  </m:ctrlPr>
                </m:sSubPr>
                <m:e>
                  <m:r>
                    <w:rPr>
                      <w:rFonts w:ascii="Cambria Math" w:hAnsi="Cambria Math"/>
                      <w:color w:val="000000" w:themeColor="text1"/>
                      <w:lang w:val="en-US"/>
                    </w:rPr>
                    <m:t>Volume</m:t>
                  </m:r>
                </m:e>
                <m:sub>
                  <m:r>
                    <w:rPr>
                      <w:rFonts w:ascii="Cambria Math" w:hAnsi="Cambria Math"/>
                      <w:color w:val="000000" w:themeColor="text1"/>
                      <w:lang w:val="en-US"/>
                    </w:rPr>
                    <m:t>plateau</m:t>
                  </m:r>
                </m:sub>
              </m:sSub>
            </m:num>
            <m:den>
              <m:r>
                <w:rPr>
                  <w:rFonts w:ascii="Cambria Math" w:hAnsi="Cambria Math"/>
                  <w:color w:val="000000" w:themeColor="text1"/>
                  <w:lang w:val="en-US"/>
                </w:rPr>
                <m:t>Mass (kg)</m:t>
              </m:r>
            </m:den>
          </m:f>
        </m:oMath>
      </m:oMathPara>
    </w:p>
    <w:p w14:paraId="568EB4A6" w14:textId="02D9C529" w:rsidR="006B0AA2" w:rsidRPr="00B60E27" w:rsidRDefault="006B0AA2" w:rsidP="006B0AA2">
      <w:pPr>
        <w:spacing w:line="480" w:lineRule="auto"/>
        <w:jc w:val="both"/>
        <w:rPr>
          <w:color w:val="000000" w:themeColor="text1"/>
          <w:lang w:val="en-US"/>
        </w:rPr>
      </w:pPr>
      <w:r w:rsidRPr="00B60E27">
        <w:rPr>
          <w:color w:val="000000" w:themeColor="text1"/>
          <w:lang w:val="en-US"/>
        </w:rPr>
        <w:t>To convert from surface concentration (mol/</w:t>
      </w:r>
      <w:r w:rsidR="00EC4F49">
        <w:rPr>
          <w:color w:val="000000" w:themeColor="text1"/>
          <w:lang w:val="en-US"/>
        </w:rPr>
        <w:t>k</w:t>
      </w:r>
      <w:r w:rsidRPr="00B60E27">
        <w:rPr>
          <w:color w:val="000000" w:themeColor="text1"/>
          <w:lang w:val="en-US"/>
        </w:rPr>
        <w:t>g) to surface density (groups/nm</w:t>
      </w:r>
      <w:r w:rsidRPr="00B60E27">
        <w:rPr>
          <w:color w:val="000000" w:themeColor="text1"/>
          <w:vertAlign w:val="superscript"/>
          <w:lang w:val="en-US"/>
        </w:rPr>
        <w:t>2</w:t>
      </w:r>
      <w:r w:rsidRPr="00B60E27">
        <w:rPr>
          <w:color w:val="000000" w:themeColor="text1"/>
          <w:lang w:val="en-US"/>
        </w:rPr>
        <w:t>), the calculated value is multiplied by 3.21, which was calculated based on the crystal structure of cellulose I</w:t>
      </w:r>
      <w:r w:rsidRPr="00B60E27">
        <w:rPr>
          <w:rFonts w:ascii="Calibri" w:hAnsi="Calibri" w:cs="Calibri"/>
          <w:color w:val="000000" w:themeColor="text1"/>
          <w:lang w:val="en-US"/>
        </w:rPr>
        <w:t>β</w:t>
      </w:r>
      <w:r w:rsidRPr="00B60E27">
        <w:rPr>
          <w:color w:val="000000" w:themeColor="text1"/>
          <w:lang w:val="en-US"/>
        </w:rPr>
        <w:t xml:space="preserve"> as well as the CNC dimensions measured via AFM.</w:t>
      </w:r>
      <w:r w:rsidRPr="00B60E27">
        <w:rPr>
          <w:color w:val="000000" w:themeColor="text1"/>
          <w:lang w:val="en-US"/>
        </w:rPr>
        <w:fldChar w:fldCharType="begin" w:fldLock="1"/>
      </w:r>
      <w:r w:rsidRPr="00B60E27">
        <w:rPr>
          <w:color w:val="000000" w:themeColor="text1"/>
          <w:lang w:val="en-US"/>
        </w:rPr>
        <w:instrText>ADDIN CSL_CITATION {"citationItems":[{"id":"ITEM-1","itemData":{"DOI":"10.1002/pol.20220127","ISSN":"26424169","abstract":"Poly(lactic acid) (PLA) is a commercially available bio-based polymer that is a potential alternative to many commodity petrochemical-based polymers. However, PLA's thermomechanical properties limit its use in many applications. Incorporating polymer-grafted cellulose nanocrystals (CNCs) is one potential route to improving these mechanical properties. One key challenge in using these polymer-grafted nanoparticles is to understand which variables associated with polymer grafting are most important for improving composite properties. In this work, poly(ethylene glycol)-grafted CNCs are used to study the effects of polymer grafting density and molecular weight on the properties of PLA composites. All CNC nanofillers are found to reinforce PLA above the glass transition temperature, but non-grafted CNCs and CNCs grafted with short PEG chains (&lt;2 kg mol−1) are found to cause significant embrittlement, generally resulting in less than 3% elongation-at-break. By grafting higher molecular weight PEG (10 kg mol−1) onto the CNCs at a grafting density where the polymer chains are predicted to be in the semi-dilute polymer brush conformation (~0.1 chains nm−2), embrittlement can be avoided.","author":[{"dropping-particle":"","family":"Macke","given":"Nicholas","non-dropping-particle":"","parse-names":false,"suffix":""},{"dropping-particle":"","family":"Hemmingsen","given":"Christina M.","non-dropping-particle":"","parse-names":false,"suffix":""},{"dropping-particle":"","family":"Rowan","given":"Stuart J.","non-dropping-particle":"","parse-names":false,"suffix":""}],"container-title":"Journal of Polymer Science","id":"ITEM-1","issued":{"date-parts":[["2022"]]},"page":"3318-3330","title":"The effect of polymer grafting on the mechanical properties of PEG-grafted cellulose nanocrystals in poly(lactic acid)","type":"article-journal","volume":"60"},"uris":["http://www.mendeley.com/documents/?uuid=34dcc24f-97fd-431d-984f-bafa117e5f8d"]}],"mendeley":{"formattedCitation":"&lt;sup&gt;[15]&lt;/sup&gt;","plainTextFormattedCitation":"[15]","previouslyFormattedCitation":"&lt;sup&gt;[15]&lt;/sup&gt;"},"properties":{"noteIndex":0},"schema":"https://github.com/citation-style-language/schema/raw/master/csl-citation.json"}</w:instrText>
      </w:r>
      <w:r w:rsidRPr="00B60E27">
        <w:rPr>
          <w:color w:val="000000" w:themeColor="text1"/>
          <w:lang w:val="en-US"/>
        </w:rPr>
        <w:fldChar w:fldCharType="separate"/>
      </w:r>
      <w:r w:rsidRPr="00B60E27">
        <w:rPr>
          <w:noProof/>
          <w:color w:val="000000" w:themeColor="text1"/>
          <w:vertAlign w:val="superscript"/>
          <w:lang w:val="en-US"/>
        </w:rPr>
        <w:t>[15]</w:t>
      </w:r>
      <w:r w:rsidRPr="00B60E27">
        <w:rPr>
          <w:color w:val="000000" w:themeColor="text1"/>
          <w:lang w:val="en-US"/>
        </w:rPr>
        <w:fldChar w:fldCharType="end"/>
      </w:r>
      <w:r w:rsidRPr="00B60E27">
        <w:rPr>
          <w:color w:val="000000" w:themeColor="text1"/>
          <w:lang w:val="en-US"/>
        </w:rPr>
        <w:t xml:space="preserve"> For example, a measured surface concentration of 0.37 mol/kg equates to 1.2 groups/nm</w:t>
      </w:r>
      <w:r w:rsidRPr="00B60E27">
        <w:rPr>
          <w:color w:val="000000" w:themeColor="text1"/>
          <w:vertAlign w:val="superscript"/>
          <w:lang w:val="en-US"/>
        </w:rPr>
        <w:t>2</w:t>
      </w:r>
      <w:r w:rsidRPr="00B60E27">
        <w:rPr>
          <w:color w:val="000000" w:themeColor="text1"/>
          <w:lang w:val="en-US"/>
        </w:rPr>
        <w:t>.</w:t>
      </w:r>
    </w:p>
    <w:p w14:paraId="3BB52D34" w14:textId="77777777" w:rsidR="006B0AA2" w:rsidRPr="00B60E27" w:rsidRDefault="006B0AA2" w:rsidP="006B0AA2">
      <w:pPr>
        <w:pStyle w:val="ListParagraph"/>
        <w:numPr>
          <w:ilvl w:val="2"/>
          <w:numId w:val="2"/>
        </w:numPr>
        <w:spacing w:line="480" w:lineRule="auto"/>
        <w:jc w:val="both"/>
        <w:rPr>
          <w:color w:val="000000" w:themeColor="text1"/>
          <w:lang w:val="en-US"/>
        </w:rPr>
      </w:pPr>
      <w:r w:rsidRPr="00B60E27">
        <w:rPr>
          <w:color w:val="000000" w:themeColor="text1"/>
          <w:lang w:val="en-US"/>
        </w:rPr>
        <w:t>Synthesis of the Isopropylidene-Protected D-galactose (PG)</w:t>
      </w:r>
    </w:p>
    <w:p w14:paraId="3094091F" w14:textId="13F913C2" w:rsidR="006B0AA2" w:rsidRPr="00B60E27" w:rsidRDefault="006B0AA2" w:rsidP="006B0AA2">
      <w:pPr>
        <w:spacing w:line="480" w:lineRule="auto"/>
        <w:jc w:val="both"/>
        <w:rPr>
          <w:color w:val="000000" w:themeColor="text1"/>
          <w:lang w:val="en-US"/>
        </w:rPr>
      </w:pPr>
      <w:r w:rsidRPr="00B60E27">
        <w:rPr>
          <w:color w:val="000000" w:themeColor="text1"/>
          <w:lang w:val="en-GB"/>
        </w:rPr>
        <w:t>The isopropylidene protection of D-(+)-galactose was prepared following a previously reported procedure.</w:t>
      </w:r>
      <w:r w:rsidRPr="00B60E27">
        <w:rPr>
          <w:color w:val="000000" w:themeColor="text1"/>
          <w:lang w:val="en-US"/>
        </w:rPr>
        <w:fldChar w:fldCharType="begin" w:fldLock="1"/>
      </w:r>
      <w:r w:rsidRPr="00B60E27">
        <w:rPr>
          <w:color w:val="000000" w:themeColor="text1"/>
          <w:lang w:val="en-US"/>
        </w:rPr>
        <w:instrText>ADDIN CSL_CITATION {"citationItems":[{"id":"ITEM-1","itemData":{"ISSN":"1523-7060","author":[{"dropping-particle":"","family":"Gille","given":"Annika","non-dropping-particle":"","parse-names":false,"suffix":""},{"dropping-particle":"","family":"Hiersemann","given":"Martin","non-dropping-particle":"","parse-names":false,"suffix":""}],"container-title":"Organic letters","id":"ITEM-1","issue":"22","issued":{"date-parts":[["2010"]]},"page":"5258-5261","publisher":"ACS Publications","title":"(-)-Lytophilippine A: Synthesis of a C1-C18 Building Block","type":"article-journal","volume":"12"},"uris":["http://www.mendeley.com/documents/?uuid=b213761d-f4be-4e0b-8ee1-5645ad0321bc","http://www.mendeley.com/documents/?uuid=8fb341bd-04fa-47cb-a286-abd50c135762"]}],"mendeley":{"formattedCitation":"&lt;sup&gt;[37]&lt;/sup&gt;","plainTextFormattedCitation":"[37]","previouslyFormattedCitation":"&lt;sup&gt;[37]&lt;/sup&gt;"},"properties":{"noteIndex":0},"schema":"https://github.com/citation-style-language/schema/raw/master/csl-citation.json"}</w:instrText>
      </w:r>
      <w:r w:rsidRPr="00B60E27">
        <w:rPr>
          <w:color w:val="000000" w:themeColor="text1"/>
          <w:lang w:val="en-US"/>
        </w:rPr>
        <w:fldChar w:fldCharType="separate"/>
      </w:r>
      <w:r w:rsidRPr="00B60E27">
        <w:rPr>
          <w:noProof/>
          <w:color w:val="000000" w:themeColor="text1"/>
          <w:vertAlign w:val="superscript"/>
          <w:lang w:val="en-US"/>
        </w:rPr>
        <w:t>[37]</w:t>
      </w:r>
      <w:r w:rsidRPr="00B60E27">
        <w:rPr>
          <w:color w:val="000000" w:themeColor="text1"/>
          <w:lang w:val="en-US"/>
        </w:rPr>
        <w:fldChar w:fldCharType="end"/>
      </w:r>
      <w:r w:rsidRPr="00B60E27">
        <w:rPr>
          <w:color w:val="000000" w:themeColor="text1"/>
          <w:lang w:val="en-US"/>
        </w:rPr>
        <w:t xml:space="preserve"> D-(+)-galactose (5 g, 27.7 mmol, 1 eq</w:t>
      </w:r>
      <w:r w:rsidR="00EC4F49">
        <w:rPr>
          <w:color w:val="000000" w:themeColor="text1"/>
          <w:lang w:val="en-US"/>
        </w:rPr>
        <w:t>.</w:t>
      </w:r>
      <w:r w:rsidRPr="00B60E27">
        <w:rPr>
          <w:color w:val="000000" w:themeColor="text1"/>
          <w:lang w:val="en-US"/>
        </w:rPr>
        <w:t xml:space="preserve">) was dissolved in acetone (185 mL) and the solution was put in an ice bath. Concentrated sulfuric acid (98%) was added dropwise into the mixture (5.5 mL, 1.1 mL/g). The reaction mixture was then stirred at room temperature for 5 h and neutralized with a solution of sodium carbonate until reaching a pH of 7. The resulting white precipitate was filtered and washed with acetone. The filtrate was collected and dried under high vacuum to remove residual solvent and yield the protected galactose (PG) as a light-yellow oil. </w:t>
      </w:r>
      <w:r w:rsidRPr="00B60E27">
        <w:rPr>
          <w:color w:val="000000" w:themeColor="text1"/>
          <w:vertAlign w:val="superscript"/>
          <w:lang w:val="en-US"/>
        </w:rPr>
        <w:t>1</w:t>
      </w:r>
      <w:r w:rsidRPr="00B60E27">
        <w:rPr>
          <w:color w:val="000000" w:themeColor="text1"/>
          <w:lang w:val="en-US"/>
        </w:rPr>
        <w:t>H NMR (400 MHz, CDCl</w:t>
      </w:r>
      <w:r w:rsidRPr="00B60E27">
        <w:rPr>
          <w:color w:val="000000" w:themeColor="text1"/>
          <w:vertAlign w:val="subscript"/>
          <w:lang w:val="en-US"/>
        </w:rPr>
        <w:t>3</w:t>
      </w:r>
      <w:r w:rsidRPr="00B60E27">
        <w:rPr>
          <w:color w:val="000000" w:themeColor="text1"/>
          <w:lang w:val="en-US"/>
        </w:rPr>
        <w:t>) δ 5.56 (d, J = 5.0 Hz, 1H), 4.61 (dd, J = 8.0, 2.5 Hz, 1H), 4.33 (dd, J = 4.92, 2.63 Hz, 1H), 4.27 (dd, J = 8.1, 1.7 Hz, 1H), 3.90 – 3.80 (m, 2H), 3.72 (dd, J = 10.8, 3.5 Hz, 1H), 1.52 (s, 3H), 1.45 (s, 3H), 1.33 (s, 6H).</w:t>
      </w:r>
    </w:p>
    <w:p w14:paraId="3A2EACF3" w14:textId="77777777" w:rsidR="006B0AA2" w:rsidRPr="00B60E27" w:rsidRDefault="006B0AA2" w:rsidP="006B0AA2">
      <w:pPr>
        <w:pStyle w:val="ListParagraph"/>
        <w:numPr>
          <w:ilvl w:val="2"/>
          <w:numId w:val="2"/>
        </w:numPr>
        <w:spacing w:line="480" w:lineRule="auto"/>
        <w:jc w:val="both"/>
        <w:rPr>
          <w:color w:val="000000" w:themeColor="text1"/>
          <w:lang w:val="en-US"/>
        </w:rPr>
      </w:pPr>
      <w:r w:rsidRPr="00B60E27">
        <w:rPr>
          <w:color w:val="000000" w:themeColor="text1"/>
          <w:lang w:val="en-US"/>
        </w:rPr>
        <w:lastRenderedPageBreak/>
        <w:t>Synthesis of alkyl end-functionalized hindered urea (Dodecyl-HU)</w:t>
      </w:r>
    </w:p>
    <w:p w14:paraId="2BADB315" w14:textId="6BB2D4F9" w:rsidR="006B0AA2" w:rsidRPr="00B60E27" w:rsidRDefault="006B0AA2" w:rsidP="006B0AA2">
      <w:pPr>
        <w:spacing w:line="480" w:lineRule="auto"/>
        <w:jc w:val="both"/>
        <w:rPr>
          <w:color w:val="000000" w:themeColor="text1"/>
          <w:lang w:val="en-US"/>
        </w:rPr>
      </w:pPr>
      <w:r w:rsidRPr="00B60E27">
        <w:rPr>
          <w:color w:val="000000" w:themeColor="text1"/>
          <w:lang w:val="en-US"/>
        </w:rPr>
        <w:t>Dodecyl isocyanate (1.14 mL, 5.3 mmol, 1</w:t>
      </w:r>
      <w:r w:rsidR="00EC4F49">
        <w:rPr>
          <w:color w:val="000000" w:themeColor="text1"/>
          <w:lang w:val="en-US"/>
        </w:rPr>
        <w:t xml:space="preserve"> </w:t>
      </w:r>
      <w:r w:rsidRPr="00B60E27">
        <w:rPr>
          <w:color w:val="000000" w:themeColor="text1"/>
          <w:lang w:val="en-US"/>
        </w:rPr>
        <w:t>eq</w:t>
      </w:r>
      <w:r w:rsidR="00EC4F49">
        <w:rPr>
          <w:color w:val="000000" w:themeColor="text1"/>
          <w:lang w:val="en-US"/>
        </w:rPr>
        <w:t>.</w:t>
      </w:r>
      <w:r w:rsidRPr="00B60E27">
        <w:rPr>
          <w:color w:val="000000" w:themeColor="text1"/>
          <w:lang w:val="en-US"/>
        </w:rPr>
        <w:t xml:space="preserve">) and </w:t>
      </w:r>
      <w:r w:rsidRPr="00B60E27">
        <w:rPr>
          <w:i/>
          <w:iCs/>
          <w:color w:val="000000" w:themeColor="text1"/>
          <w:lang w:val="en-US"/>
        </w:rPr>
        <w:t>N-tert</w:t>
      </w:r>
      <w:r w:rsidRPr="00B60E27">
        <w:rPr>
          <w:color w:val="000000" w:themeColor="text1"/>
          <w:lang w:val="en-US"/>
        </w:rPr>
        <w:t>-butylmethylamine</w:t>
      </w:r>
      <w:r w:rsidRPr="00B60E27">
        <w:rPr>
          <w:b/>
          <w:bCs/>
          <w:color w:val="000000" w:themeColor="text1"/>
          <w:lang w:val="en-US"/>
        </w:rPr>
        <w:t xml:space="preserve"> </w:t>
      </w:r>
      <w:r w:rsidRPr="00B60E27">
        <w:rPr>
          <w:color w:val="000000" w:themeColor="text1"/>
          <w:lang w:val="en-US"/>
        </w:rPr>
        <w:t>(0.65 mL, 5.5 mmol, 1.02</w:t>
      </w:r>
      <w:r w:rsidR="00EC4F49">
        <w:rPr>
          <w:color w:val="000000" w:themeColor="text1"/>
          <w:lang w:val="en-US"/>
        </w:rPr>
        <w:t xml:space="preserve"> </w:t>
      </w:r>
      <w:r w:rsidRPr="00B60E27">
        <w:rPr>
          <w:color w:val="000000" w:themeColor="text1"/>
          <w:lang w:val="en-US"/>
        </w:rPr>
        <w:t>eq</w:t>
      </w:r>
      <w:r w:rsidR="00EC4F49">
        <w:rPr>
          <w:color w:val="000000" w:themeColor="text1"/>
          <w:lang w:val="en-US"/>
        </w:rPr>
        <w:t>.</w:t>
      </w:r>
      <w:r w:rsidRPr="00B60E27">
        <w:rPr>
          <w:color w:val="000000" w:themeColor="text1"/>
          <w:lang w:val="en-US"/>
        </w:rPr>
        <w:t xml:space="preserve">) were solubilized in dry toluene (100 mL). The mixture was stirred at room temperature for 6 h. The resulting precipitate was filtered, thoroughly washed with hexanes, and dried under high vacuum to yield dodecyl-HU as a white powder. </w:t>
      </w:r>
      <w:r w:rsidRPr="00B60E27">
        <w:rPr>
          <w:color w:val="000000" w:themeColor="text1"/>
          <w:vertAlign w:val="superscript"/>
          <w:lang w:val="en-US"/>
        </w:rPr>
        <w:t>1</w:t>
      </w:r>
      <w:r w:rsidRPr="00B60E27">
        <w:rPr>
          <w:color w:val="000000" w:themeColor="text1"/>
          <w:lang w:val="en-US"/>
        </w:rPr>
        <w:t>H NMR (400 MHz, CDCl</w:t>
      </w:r>
      <w:r w:rsidRPr="00B60E27">
        <w:rPr>
          <w:color w:val="000000" w:themeColor="text1"/>
          <w:vertAlign w:val="subscript"/>
          <w:lang w:val="en-US"/>
        </w:rPr>
        <w:t>3</w:t>
      </w:r>
      <w:r w:rsidRPr="00B60E27">
        <w:rPr>
          <w:color w:val="000000" w:themeColor="text1"/>
          <w:lang w:val="en-US"/>
        </w:rPr>
        <w:t>) δ 4.22 (br, 1H), 3.17 (dt, J = 7.5, 5.6 Hz, 2H), 2.81 (s, 3H), 1.48 (t, J = 7.3 Hz, 3H), 1.39 (s, 9H), 1.34 – 1.20 (m, 18H), 0.87 (t, J = 6.8 Hz, 3H).</w:t>
      </w:r>
    </w:p>
    <w:p w14:paraId="41BBE713" w14:textId="77777777" w:rsidR="006B0AA2" w:rsidRPr="00B60E27" w:rsidRDefault="006B0AA2" w:rsidP="006B0AA2">
      <w:pPr>
        <w:pStyle w:val="ListParagraph"/>
        <w:numPr>
          <w:ilvl w:val="2"/>
          <w:numId w:val="2"/>
        </w:numPr>
        <w:spacing w:line="480" w:lineRule="auto"/>
        <w:jc w:val="both"/>
        <w:rPr>
          <w:color w:val="000000" w:themeColor="text1"/>
          <w:lang w:val="en-US"/>
        </w:rPr>
      </w:pPr>
      <w:r w:rsidRPr="00B60E27">
        <w:rPr>
          <w:color w:val="000000" w:themeColor="text1"/>
          <w:lang w:val="en-US"/>
        </w:rPr>
        <w:t xml:space="preserve">Procedure for PG and Docedyl-HU model reaction in melt </w:t>
      </w:r>
    </w:p>
    <w:p w14:paraId="609C9174" w14:textId="77777777" w:rsidR="006B0AA2" w:rsidRPr="00B60E27" w:rsidRDefault="006B0AA2" w:rsidP="006B0AA2">
      <w:pPr>
        <w:spacing w:after="240" w:line="480" w:lineRule="auto"/>
        <w:jc w:val="both"/>
        <w:rPr>
          <w:color w:val="000000" w:themeColor="text1"/>
          <w:lang w:val="en-US"/>
        </w:rPr>
      </w:pPr>
      <w:r w:rsidRPr="00B60E27">
        <w:rPr>
          <w:color w:val="000000" w:themeColor="text1"/>
          <w:lang w:val="en-US"/>
        </w:rPr>
        <w:t>In a desired ratio, PG and dodecyl-HU compounds were dissolved in a small vial using a minimal amount of acetone (ca. 1-2 mL). A final weight of 200 mg of compound was targeted, to ensure enough material for analysis. The solvent was removed under high pressure vacuum overnight to yield a dried solid powder. The powder was then heated to 120 °C and stirred in ambient atmosphere for 8 h. The experiment was tracked with in-situ FTIR, focusing on the urea and urethane peaks at 1645 and 1722 cm</w:t>
      </w:r>
      <w:r w:rsidRPr="00B60E27">
        <w:rPr>
          <w:color w:val="000000" w:themeColor="text1"/>
          <w:vertAlign w:val="superscript"/>
          <w:lang w:val="en-US"/>
        </w:rPr>
        <w:t>-1</w:t>
      </w:r>
      <w:r w:rsidRPr="00B60E27">
        <w:rPr>
          <w:color w:val="000000" w:themeColor="text1"/>
          <w:lang w:val="en-US"/>
        </w:rPr>
        <w:t xml:space="preserve">, respectively. </w:t>
      </w:r>
      <w:bookmarkStart w:id="3" w:name="_Hlk170991469"/>
      <w:r w:rsidRPr="00B60E27">
        <w:rPr>
          <w:color w:val="000000" w:themeColor="text1"/>
          <w:lang w:val="en-US"/>
        </w:rPr>
        <w:t xml:space="preserve">The resulting compound was precipitated in cold hexanes and dried under high vacuum to obtain a white powder before being characterized with </w:t>
      </w:r>
      <w:r w:rsidRPr="00B60E27">
        <w:rPr>
          <w:color w:val="000000" w:themeColor="text1"/>
          <w:vertAlign w:val="superscript"/>
          <w:lang w:val="en-US"/>
        </w:rPr>
        <w:t>1</w:t>
      </w:r>
      <w:r w:rsidRPr="00B60E27">
        <w:rPr>
          <w:color w:val="000000" w:themeColor="text1"/>
          <w:lang w:val="en-US"/>
        </w:rPr>
        <w:t xml:space="preserve">H NMR. </w:t>
      </w:r>
      <w:r w:rsidRPr="00B60E27">
        <w:rPr>
          <w:color w:val="000000" w:themeColor="text1"/>
          <w:vertAlign w:val="superscript"/>
          <w:lang w:val="en-US"/>
        </w:rPr>
        <w:t>1</w:t>
      </w:r>
      <w:r w:rsidRPr="00B60E27">
        <w:rPr>
          <w:color w:val="000000" w:themeColor="text1"/>
          <w:lang w:val="en-US"/>
        </w:rPr>
        <w:t>H NMR (400 MHz, CDCl</w:t>
      </w:r>
      <w:r w:rsidRPr="00B60E27">
        <w:rPr>
          <w:color w:val="000000" w:themeColor="text1"/>
          <w:vertAlign w:val="subscript"/>
          <w:lang w:val="en-US"/>
        </w:rPr>
        <w:t>3</w:t>
      </w:r>
      <w:r w:rsidRPr="00B60E27">
        <w:rPr>
          <w:color w:val="000000" w:themeColor="text1"/>
          <w:lang w:val="en-US"/>
        </w:rPr>
        <w:t xml:space="preserve">): </w:t>
      </w:r>
      <w:r w:rsidRPr="00B60E27">
        <w:rPr>
          <w:i/>
          <w:color w:val="000000" w:themeColor="text1"/>
        </w:rPr>
        <w:t>δ</w:t>
      </w:r>
      <w:r w:rsidRPr="00B60E27">
        <w:rPr>
          <w:color w:val="000000" w:themeColor="text1"/>
          <w:lang w:val="en-US"/>
        </w:rPr>
        <w:t xml:space="preserve"> = 5.54 (d, 1H), 4.77 (br, 1H), 4.60 (d, 1H), 4.31 (dd, 2H), 4.25 (d, 1H), 4.12 (t, 1H</w:t>
      </w:r>
      <w:r w:rsidRPr="00B60E27">
        <w:rPr>
          <w:iCs/>
          <w:color w:val="000000" w:themeColor="text1"/>
          <w:lang w:val="en-US"/>
        </w:rPr>
        <w:t>),</w:t>
      </w:r>
      <w:r w:rsidRPr="00B60E27">
        <w:rPr>
          <w:color w:val="000000" w:themeColor="text1"/>
          <w:lang w:val="en-US"/>
        </w:rPr>
        <w:t xml:space="preserve"> 4.03 (br, 1H</w:t>
      </w:r>
      <w:r w:rsidRPr="00B60E27">
        <w:rPr>
          <w:iCs/>
          <w:color w:val="000000" w:themeColor="text1"/>
          <w:lang w:val="en-US"/>
        </w:rPr>
        <w:t>),</w:t>
      </w:r>
      <w:r w:rsidRPr="00B60E27">
        <w:rPr>
          <w:color w:val="000000" w:themeColor="text1"/>
          <w:lang w:val="en-US"/>
        </w:rPr>
        <w:t xml:space="preserve"> 3.14 (dd, 2H), 1.60-1.20 (m, 32H), 0.88 (t, 3H).</w:t>
      </w:r>
    </w:p>
    <w:bookmarkEnd w:id="3"/>
    <w:p w14:paraId="7184E8E7" w14:textId="77777777" w:rsidR="006B0AA2" w:rsidRPr="00B60E27" w:rsidRDefault="006B0AA2" w:rsidP="006B0AA2">
      <w:pPr>
        <w:pStyle w:val="ListParagraph"/>
        <w:numPr>
          <w:ilvl w:val="2"/>
          <w:numId w:val="2"/>
        </w:numPr>
        <w:spacing w:line="480" w:lineRule="auto"/>
        <w:jc w:val="both"/>
        <w:rPr>
          <w:color w:val="000000" w:themeColor="text1"/>
          <w:lang w:val="en-US"/>
        </w:rPr>
      </w:pPr>
      <w:r w:rsidRPr="00B60E27">
        <w:rPr>
          <w:color w:val="000000" w:themeColor="text1"/>
          <w:lang w:val="en-US"/>
        </w:rPr>
        <w:t>Synthesis of Isocyanate-terminated PEG (PEG-NCO)</w:t>
      </w:r>
    </w:p>
    <w:p w14:paraId="12E7D6FD" w14:textId="77777777" w:rsidR="006B0AA2" w:rsidRPr="00B60E27" w:rsidRDefault="006B0AA2" w:rsidP="006B0AA2">
      <w:pPr>
        <w:spacing w:line="480" w:lineRule="auto"/>
        <w:jc w:val="both"/>
        <w:rPr>
          <w:color w:val="000000" w:themeColor="text1"/>
          <w:lang w:val="en-US"/>
        </w:rPr>
      </w:pPr>
      <w:r w:rsidRPr="00B60E27">
        <w:rPr>
          <w:color w:val="000000" w:themeColor="text1"/>
          <w:lang w:val="en-US"/>
        </w:rPr>
        <w:t xml:space="preserve">Poly (ethylene glycol) methyl ether (2 g, 1 mmol), previously azeotropically dried from toluene under high vacuum, was dissolved in dry toluene (20 mL) under inert atmosphere. Hexamethylene diisocyanate (1.6 ml, 10 mmol) and a trace amount of DBTDL were added into the solution. The mixture was heated at 40 °C under stirring and nitrogen atmosphere for 2 h. The polymer was precipitated in cold hexanes (200 mL) twice from a concentrated toluene solution, taking extreme care to keep the polymer under inert atmosphere as much as possible. </w:t>
      </w:r>
      <w:r w:rsidRPr="00B60E27">
        <w:rPr>
          <w:color w:val="000000" w:themeColor="text1"/>
          <w:lang w:val="en-US"/>
        </w:rPr>
        <w:lastRenderedPageBreak/>
        <w:t xml:space="preserve">The resulting PEG-NCO was dried under high vacuum to yield a solid white material for characterization. </w:t>
      </w:r>
      <w:r w:rsidRPr="00B60E27">
        <w:rPr>
          <w:color w:val="000000" w:themeColor="text1"/>
          <w:vertAlign w:val="superscript"/>
          <w:lang w:val="en-US"/>
        </w:rPr>
        <w:t>1</w:t>
      </w:r>
      <w:r w:rsidRPr="00B60E27">
        <w:rPr>
          <w:color w:val="000000" w:themeColor="text1"/>
          <w:lang w:val="en-US"/>
        </w:rPr>
        <w:t>H NMR (400 MHz, CDCl</w:t>
      </w:r>
      <w:r w:rsidRPr="00B60E27">
        <w:rPr>
          <w:color w:val="000000" w:themeColor="text1"/>
          <w:vertAlign w:val="subscript"/>
          <w:lang w:val="en-US"/>
        </w:rPr>
        <w:t>3</w:t>
      </w:r>
      <w:r w:rsidRPr="00B60E27">
        <w:rPr>
          <w:color w:val="000000" w:themeColor="text1"/>
          <w:lang w:val="en-US"/>
        </w:rPr>
        <w:t xml:space="preserve">) </w:t>
      </w:r>
      <w:r w:rsidRPr="00B60E27">
        <w:rPr>
          <w:color w:val="000000" w:themeColor="text1"/>
        </w:rPr>
        <w:t>δ</w:t>
      </w:r>
      <w:r w:rsidRPr="00B60E27">
        <w:rPr>
          <w:color w:val="000000" w:themeColor="text1"/>
          <w:lang w:val="en-US"/>
        </w:rPr>
        <w:t xml:space="preserve"> 4.83 (br, 1H), 4.21 (t, </w:t>
      </w:r>
      <w:r w:rsidRPr="00B60E27">
        <w:rPr>
          <w:i/>
          <w:iCs/>
          <w:color w:val="000000" w:themeColor="text1"/>
          <w:lang w:val="en-US"/>
        </w:rPr>
        <w:t>J</w:t>
      </w:r>
      <w:r w:rsidRPr="00B60E27">
        <w:rPr>
          <w:color w:val="000000" w:themeColor="text1"/>
          <w:lang w:val="en-US"/>
        </w:rPr>
        <w:t xml:space="preserve"> = 4.8 Hz, 2H), 3.83 – 3.42 (backbone), 3.37 (s, 3H), 3.30 (t, </w:t>
      </w:r>
      <w:r w:rsidRPr="00B60E27">
        <w:rPr>
          <w:i/>
          <w:iCs/>
          <w:color w:val="000000" w:themeColor="text1"/>
          <w:lang w:val="en-US"/>
        </w:rPr>
        <w:t>J</w:t>
      </w:r>
      <w:r w:rsidRPr="00B60E27">
        <w:rPr>
          <w:color w:val="000000" w:themeColor="text1"/>
          <w:lang w:val="en-US"/>
        </w:rPr>
        <w:t xml:space="preserve"> = 6.6 Hz, 2H), 3.16 (q, </w:t>
      </w:r>
      <w:r w:rsidRPr="00B60E27">
        <w:rPr>
          <w:i/>
          <w:iCs/>
          <w:color w:val="000000" w:themeColor="text1"/>
          <w:lang w:val="en-US"/>
        </w:rPr>
        <w:t>J</w:t>
      </w:r>
      <w:r w:rsidRPr="00B60E27">
        <w:rPr>
          <w:color w:val="000000" w:themeColor="text1"/>
          <w:lang w:val="en-US"/>
        </w:rPr>
        <w:t xml:space="preserve"> = 6.7 Hz, 2H), 1.67 – 1.20 (m, 8H). SEC (THF) M</w:t>
      </w:r>
      <w:r w:rsidRPr="00B60E27">
        <w:rPr>
          <w:color w:val="000000" w:themeColor="text1"/>
          <w:vertAlign w:val="subscript"/>
          <w:lang w:val="en-US"/>
        </w:rPr>
        <w:t>n, 2k</w:t>
      </w:r>
      <w:r w:rsidRPr="00B60E27">
        <w:rPr>
          <w:color w:val="000000" w:themeColor="text1"/>
          <w:lang w:val="en-US"/>
        </w:rPr>
        <w:t xml:space="preserve"> = 4,730 g/mol, Ð</w:t>
      </w:r>
      <w:r w:rsidRPr="00B60E27">
        <w:rPr>
          <w:color w:val="000000" w:themeColor="text1"/>
          <w:vertAlign w:val="subscript"/>
          <w:lang w:val="en-US"/>
        </w:rPr>
        <w:t>2k</w:t>
      </w:r>
      <w:r w:rsidRPr="00B60E27">
        <w:rPr>
          <w:color w:val="000000" w:themeColor="text1"/>
          <w:lang w:val="en-US"/>
        </w:rPr>
        <w:t xml:space="preserve"> = 1.10; M</w:t>
      </w:r>
      <w:r w:rsidRPr="00B60E27">
        <w:rPr>
          <w:color w:val="000000" w:themeColor="text1"/>
          <w:vertAlign w:val="subscript"/>
          <w:lang w:val="en-US"/>
        </w:rPr>
        <w:t>n, 10k</w:t>
      </w:r>
      <w:r w:rsidRPr="00B60E27">
        <w:rPr>
          <w:color w:val="000000" w:themeColor="text1"/>
          <w:lang w:val="en-US"/>
        </w:rPr>
        <w:t xml:space="preserve"> = 10,600 g/mol, Ð</w:t>
      </w:r>
      <w:r w:rsidRPr="00B60E27">
        <w:rPr>
          <w:color w:val="000000" w:themeColor="text1"/>
          <w:vertAlign w:val="subscript"/>
          <w:lang w:val="en-US"/>
        </w:rPr>
        <w:t>10k</w:t>
      </w:r>
      <w:r w:rsidRPr="00B60E27">
        <w:rPr>
          <w:color w:val="000000" w:themeColor="text1"/>
          <w:lang w:val="en-US"/>
        </w:rPr>
        <w:t xml:space="preserve"> = 1.008.</w:t>
      </w:r>
    </w:p>
    <w:p w14:paraId="632F5F21" w14:textId="77777777" w:rsidR="006B0AA2" w:rsidRPr="00B60E27" w:rsidRDefault="006B0AA2" w:rsidP="006B0AA2">
      <w:pPr>
        <w:pStyle w:val="ListParagraph"/>
        <w:numPr>
          <w:ilvl w:val="2"/>
          <w:numId w:val="2"/>
        </w:numPr>
        <w:spacing w:line="480" w:lineRule="auto"/>
        <w:jc w:val="both"/>
        <w:rPr>
          <w:color w:val="000000" w:themeColor="text1"/>
          <w:lang w:val="en-US"/>
        </w:rPr>
      </w:pPr>
      <w:r w:rsidRPr="00B60E27">
        <w:rPr>
          <w:color w:val="000000" w:themeColor="text1"/>
          <w:lang w:val="en-US"/>
        </w:rPr>
        <w:t>Synthesis of Hindered-urea Terminated PEG (PEG-HU)</w:t>
      </w:r>
    </w:p>
    <w:p w14:paraId="2B61702C" w14:textId="77777777" w:rsidR="006B0AA2" w:rsidRPr="00B60E27" w:rsidRDefault="006B0AA2" w:rsidP="006B0AA2">
      <w:pPr>
        <w:spacing w:line="480" w:lineRule="auto"/>
        <w:jc w:val="both"/>
        <w:rPr>
          <w:color w:val="000000" w:themeColor="text1"/>
          <w:lang w:val="en-US"/>
        </w:rPr>
      </w:pPr>
      <w:r w:rsidRPr="00B60E27">
        <w:rPr>
          <w:color w:val="000000" w:themeColor="text1"/>
          <w:lang w:val="en-US"/>
        </w:rPr>
        <w:t xml:space="preserve">Dried PEG-NCO (1.75 g, 0.8 mmol) and </w:t>
      </w:r>
      <w:r w:rsidRPr="00B60E27">
        <w:rPr>
          <w:i/>
          <w:iCs/>
          <w:color w:val="000000" w:themeColor="text1"/>
          <w:lang w:val="en-US"/>
        </w:rPr>
        <w:t>N-tert</w:t>
      </w:r>
      <w:r w:rsidRPr="00B60E27">
        <w:rPr>
          <w:color w:val="000000" w:themeColor="text1"/>
          <w:lang w:val="en-US"/>
        </w:rPr>
        <w:t>-butylmethylamine</w:t>
      </w:r>
      <w:r w:rsidRPr="00B60E27">
        <w:rPr>
          <w:b/>
          <w:bCs/>
          <w:color w:val="000000" w:themeColor="text1"/>
          <w:lang w:val="en-US"/>
        </w:rPr>
        <w:t xml:space="preserve"> </w:t>
      </w:r>
      <w:r w:rsidRPr="00B60E27">
        <w:rPr>
          <w:color w:val="000000" w:themeColor="text1"/>
          <w:lang w:val="en-US"/>
        </w:rPr>
        <w:t xml:space="preserve">(0.945 mL, 8 mmol) were dissolved in dry toluene (35 mL) under inert atmosphere. The mixture was stirred at room temperature for 2 h. The product was then precipitated 4 times in cold hexane (350 mL) from a concentrated toluene solution and dried to yield PEG-HU as a solid white material. </w:t>
      </w:r>
      <w:r w:rsidRPr="00B60E27">
        <w:rPr>
          <w:color w:val="000000" w:themeColor="text1"/>
          <w:vertAlign w:val="superscript"/>
          <w:lang w:val="en-US"/>
        </w:rPr>
        <w:t>1</w:t>
      </w:r>
      <w:r w:rsidRPr="00B60E27">
        <w:rPr>
          <w:color w:val="000000" w:themeColor="text1"/>
          <w:lang w:val="en-US"/>
        </w:rPr>
        <w:t>H NMR (400 MHz, CDCl</w:t>
      </w:r>
      <w:r w:rsidRPr="00B60E27">
        <w:rPr>
          <w:color w:val="000000" w:themeColor="text1"/>
          <w:vertAlign w:val="subscript"/>
          <w:lang w:val="en-US"/>
        </w:rPr>
        <w:t>3</w:t>
      </w:r>
      <w:r w:rsidRPr="00B60E27">
        <w:rPr>
          <w:color w:val="000000" w:themeColor="text1"/>
          <w:lang w:val="en-US"/>
        </w:rPr>
        <w:t xml:space="preserve">) </w:t>
      </w:r>
      <w:r w:rsidRPr="00B60E27">
        <w:rPr>
          <w:color w:val="000000" w:themeColor="text1"/>
        </w:rPr>
        <w:t>δ</w:t>
      </w:r>
      <w:r w:rsidRPr="00B60E27">
        <w:rPr>
          <w:color w:val="000000" w:themeColor="text1"/>
          <w:lang w:val="en-US"/>
        </w:rPr>
        <w:t xml:space="preserve"> 4.86 (br, 1H), 4.28 (br, 1H), 4.20 (t, </w:t>
      </w:r>
      <w:r w:rsidRPr="00B60E27">
        <w:rPr>
          <w:i/>
          <w:iCs/>
          <w:color w:val="000000" w:themeColor="text1"/>
          <w:lang w:val="en-US"/>
        </w:rPr>
        <w:t>J</w:t>
      </w:r>
      <w:r w:rsidRPr="00B60E27">
        <w:rPr>
          <w:color w:val="000000" w:themeColor="text1"/>
          <w:lang w:val="en-US"/>
        </w:rPr>
        <w:t xml:space="preserve"> = 4.7 Hz, 2H), 3.83 – 3.42 (backbone), 3.37 (s, 3H), 3.16 (m, 4H), 2.81 (s, 3H), 1.48 (m, 4H), 1.38 (s, 9H), 1.33 (m, 4H). SEC (THF) M</w:t>
      </w:r>
      <w:r w:rsidRPr="00B60E27">
        <w:rPr>
          <w:color w:val="000000" w:themeColor="text1"/>
          <w:vertAlign w:val="subscript"/>
          <w:lang w:val="en-US"/>
        </w:rPr>
        <w:t>n, 2k</w:t>
      </w:r>
      <w:r w:rsidRPr="00B60E27">
        <w:rPr>
          <w:color w:val="000000" w:themeColor="text1"/>
          <w:lang w:val="en-US"/>
        </w:rPr>
        <w:t xml:space="preserve"> = 3,130 g/mol, Ð</w:t>
      </w:r>
      <w:r w:rsidRPr="00B60E27">
        <w:rPr>
          <w:color w:val="000000" w:themeColor="text1"/>
          <w:vertAlign w:val="subscript"/>
          <w:lang w:val="en-US"/>
        </w:rPr>
        <w:t>2k</w:t>
      </w:r>
      <w:r w:rsidRPr="00B60E27">
        <w:rPr>
          <w:color w:val="000000" w:themeColor="text1"/>
          <w:lang w:val="en-US"/>
        </w:rPr>
        <w:t xml:space="preserve"> = 1.10, M</w:t>
      </w:r>
      <w:r w:rsidRPr="00B60E27">
        <w:rPr>
          <w:color w:val="000000" w:themeColor="text1"/>
          <w:vertAlign w:val="subscript"/>
          <w:lang w:val="en-US"/>
        </w:rPr>
        <w:t>n, 10k</w:t>
      </w:r>
      <w:r w:rsidRPr="00B60E27">
        <w:rPr>
          <w:color w:val="000000" w:themeColor="text1"/>
          <w:lang w:val="en-US"/>
        </w:rPr>
        <w:t xml:space="preserve"> = 13,000 g/mol, Ð</w:t>
      </w:r>
      <w:r w:rsidRPr="00B60E27">
        <w:rPr>
          <w:color w:val="000000" w:themeColor="text1"/>
          <w:vertAlign w:val="subscript"/>
          <w:lang w:val="en-US"/>
        </w:rPr>
        <w:t>10k</w:t>
      </w:r>
      <w:r w:rsidRPr="00B60E27">
        <w:rPr>
          <w:color w:val="000000" w:themeColor="text1"/>
          <w:lang w:val="en-US"/>
        </w:rPr>
        <w:t xml:space="preserve"> = 1.07.</w:t>
      </w:r>
    </w:p>
    <w:p w14:paraId="54191323" w14:textId="77777777" w:rsidR="006B0AA2" w:rsidRPr="00B60E27" w:rsidRDefault="006B0AA2" w:rsidP="006B0AA2">
      <w:pPr>
        <w:pStyle w:val="ListParagraph"/>
        <w:numPr>
          <w:ilvl w:val="2"/>
          <w:numId w:val="2"/>
        </w:numPr>
        <w:spacing w:line="480" w:lineRule="auto"/>
        <w:jc w:val="both"/>
        <w:rPr>
          <w:color w:val="000000" w:themeColor="text1"/>
          <w:lang w:val="en-US"/>
        </w:rPr>
      </w:pPr>
      <w:r w:rsidRPr="00B60E27">
        <w:rPr>
          <w:color w:val="000000" w:themeColor="text1"/>
          <w:lang w:val="en-US"/>
        </w:rPr>
        <w:t>Synthesis of Disperse Orange 3-terminated PEG (PEG-DO3)</w:t>
      </w:r>
    </w:p>
    <w:p w14:paraId="610006AC" w14:textId="77777777" w:rsidR="006B0AA2" w:rsidRPr="00B60E27" w:rsidRDefault="006B0AA2" w:rsidP="006B0AA2">
      <w:pPr>
        <w:spacing w:line="480" w:lineRule="auto"/>
        <w:jc w:val="both"/>
        <w:rPr>
          <w:color w:val="000000" w:themeColor="text1"/>
          <w:lang w:val="en-US"/>
        </w:rPr>
      </w:pPr>
      <w:r w:rsidRPr="00B60E27">
        <w:rPr>
          <w:color w:val="000000" w:themeColor="text1"/>
          <w:lang w:val="en-US"/>
        </w:rPr>
        <w:t xml:space="preserve">PEG-HU (1 g, 0.5 mmol) was dissolved in dry DMSO along with DO3 (1.21 g, 5 mmol). The solution was heated to 120°C under vacuum (200 mbar) for 2 hours to remove the urea blocking group without evaporating the solvent. The DMSO was removed via liquid-liquid extraction with water and chloroform, where the DMSO went into the aqueous layer and the product remained in the organic layer. After concentrating, the organic layer was precipitated in diethyl ether 3 times before drying and characterizing the resulting PEG-DO3. </w:t>
      </w:r>
      <w:r w:rsidRPr="00B60E27">
        <w:rPr>
          <w:color w:val="000000" w:themeColor="text1"/>
          <w:vertAlign w:val="superscript"/>
          <w:lang w:val="en-US"/>
        </w:rPr>
        <w:t>1</w:t>
      </w:r>
      <w:r w:rsidRPr="00B60E27">
        <w:rPr>
          <w:color w:val="000000" w:themeColor="text1"/>
          <w:lang w:val="en-US"/>
        </w:rPr>
        <w:t>H NMR (400 MHz, CDCl</w:t>
      </w:r>
      <w:r w:rsidRPr="00B60E27">
        <w:rPr>
          <w:color w:val="000000" w:themeColor="text1"/>
          <w:vertAlign w:val="subscript"/>
          <w:lang w:val="en-US"/>
        </w:rPr>
        <w:t>3</w:t>
      </w:r>
      <w:r w:rsidRPr="00B60E27">
        <w:rPr>
          <w:color w:val="000000" w:themeColor="text1"/>
          <w:lang w:val="en-US"/>
        </w:rPr>
        <w:t xml:space="preserve">) </w:t>
      </w:r>
      <w:r w:rsidRPr="00B60E27">
        <w:rPr>
          <w:color w:val="000000" w:themeColor="text1"/>
        </w:rPr>
        <w:t>δ</w:t>
      </w:r>
      <w:r w:rsidRPr="00B60E27">
        <w:rPr>
          <w:color w:val="000000" w:themeColor="text1"/>
          <w:lang w:val="en-US"/>
        </w:rPr>
        <w:t xml:space="preserve"> 8.41 – 7.55 (ar, 8H), 5.70 (br, 1H), 5.10 (br, 1H), 4.20 (t, </w:t>
      </w:r>
      <w:r w:rsidRPr="00B60E27">
        <w:rPr>
          <w:i/>
          <w:iCs/>
          <w:color w:val="000000" w:themeColor="text1"/>
          <w:lang w:val="en-US"/>
        </w:rPr>
        <w:t>J</w:t>
      </w:r>
      <w:r w:rsidRPr="00B60E27">
        <w:rPr>
          <w:color w:val="000000" w:themeColor="text1"/>
          <w:lang w:val="en-US"/>
        </w:rPr>
        <w:t xml:space="preserve"> = 4.7 Hz, 2H), 3.83 – 3.42 (backbone), 3.37 (s, 3H), 3.22 (m, 4H), 1.48 (m, 4H), 1.33 (m, 4H).</w:t>
      </w:r>
    </w:p>
    <w:p w14:paraId="590CCFF8" w14:textId="77777777" w:rsidR="006B0AA2" w:rsidRPr="00B60E27" w:rsidRDefault="006B0AA2" w:rsidP="006B0AA2">
      <w:pPr>
        <w:pStyle w:val="ListParagraph"/>
        <w:numPr>
          <w:ilvl w:val="2"/>
          <w:numId w:val="2"/>
        </w:numPr>
        <w:spacing w:line="480" w:lineRule="auto"/>
        <w:jc w:val="both"/>
        <w:rPr>
          <w:color w:val="000000" w:themeColor="text1"/>
          <w:lang w:val="en-US"/>
        </w:rPr>
      </w:pPr>
      <w:r w:rsidRPr="00B60E27">
        <w:rPr>
          <w:color w:val="000000" w:themeColor="text1"/>
          <w:lang w:val="en-US"/>
        </w:rPr>
        <w:t>Synthesis of Polycaprolactone (PCL)</w:t>
      </w:r>
    </w:p>
    <w:p w14:paraId="5B9354FA" w14:textId="3A75790D" w:rsidR="006B0AA2" w:rsidRPr="00B60E27" w:rsidRDefault="006B0AA2" w:rsidP="006B0AA2">
      <w:pPr>
        <w:spacing w:line="480" w:lineRule="auto"/>
        <w:jc w:val="both"/>
        <w:rPr>
          <w:b/>
          <w:bCs/>
          <w:color w:val="000000" w:themeColor="text1"/>
          <w:lang w:val="en-US"/>
        </w:rPr>
      </w:pPr>
      <w:r w:rsidRPr="00B60E27">
        <w:rPr>
          <w:color w:val="000000" w:themeColor="text1"/>
          <w:lang w:val="en-US"/>
        </w:rPr>
        <w:t>Benzyl alcohol (0.24 mL, 23.1 mmol), 1,5,7-triazabicyclo[4</w:t>
      </w:r>
      <w:r w:rsidR="00EC4F49">
        <w:rPr>
          <w:color w:val="000000" w:themeColor="text1"/>
          <w:lang w:val="en-US"/>
        </w:rPr>
        <w:t>.</w:t>
      </w:r>
      <w:r w:rsidRPr="00B60E27">
        <w:rPr>
          <w:color w:val="000000" w:themeColor="text1"/>
          <w:lang w:val="en-US"/>
        </w:rPr>
        <w:t>4</w:t>
      </w:r>
      <w:r w:rsidR="00EC4F49">
        <w:rPr>
          <w:color w:val="000000" w:themeColor="text1"/>
          <w:lang w:val="en-US"/>
        </w:rPr>
        <w:t>.</w:t>
      </w:r>
      <w:r w:rsidRPr="00B60E27">
        <w:rPr>
          <w:color w:val="000000" w:themeColor="text1"/>
          <w:lang w:val="en-US"/>
        </w:rPr>
        <w:t>0]dec-5-ene (6.4 mg, 0.05 mmol, 0.1 mol</w:t>
      </w:r>
      <w:r w:rsidR="00EC4F49">
        <w:rPr>
          <w:color w:val="000000" w:themeColor="text1"/>
          <w:lang w:val="en-US"/>
        </w:rPr>
        <w:t>.</w:t>
      </w:r>
      <w:r w:rsidRPr="00B60E27">
        <w:rPr>
          <w:color w:val="000000" w:themeColor="text1"/>
          <w:lang w:val="en-US"/>
        </w:rPr>
        <w:t xml:space="preserve">%), and </w:t>
      </w:r>
      <w:r w:rsidRPr="00B60E27">
        <w:rPr>
          <w:rFonts w:ascii="Symbol" w:eastAsia="Symbol" w:hAnsi="Symbol" w:cs="Symbol"/>
          <w:color w:val="000000" w:themeColor="text1"/>
          <w:lang w:val="en-US"/>
        </w:rPr>
        <w:t></w:t>
      </w:r>
      <w:r w:rsidRPr="00B60E27">
        <w:rPr>
          <w:color w:val="000000" w:themeColor="text1"/>
          <w:lang w:val="en-US"/>
        </w:rPr>
        <w:t xml:space="preserve">-caprolactone (5 mL, 462.4 mmol) were mixed under inert atmosphere. The mixture was heated at 60 °C for 4 hours, then quenched with benzyl alcohol (2.5 mL). The polymer was precipitated 5 times in cold diethyl ether (200 mL) from </w:t>
      </w:r>
      <w:r w:rsidRPr="00B60E27">
        <w:rPr>
          <w:color w:val="000000" w:themeColor="text1"/>
          <w:lang w:val="en-US"/>
        </w:rPr>
        <w:lastRenderedPageBreak/>
        <w:t>concentrated solution of THF and dried to yield PCL</w:t>
      </w:r>
      <w:r w:rsidRPr="00B60E27">
        <w:rPr>
          <w:b/>
          <w:bCs/>
          <w:color w:val="000000" w:themeColor="text1"/>
          <w:lang w:val="en-US"/>
        </w:rPr>
        <w:t xml:space="preserve"> </w:t>
      </w:r>
      <w:r w:rsidRPr="00B60E27">
        <w:rPr>
          <w:color w:val="000000" w:themeColor="text1"/>
          <w:lang w:val="en-US"/>
        </w:rPr>
        <w:t xml:space="preserve">as a white solid material. </w:t>
      </w:r>
      <w:r w:rsidRPr="00B60E27">
        <w:rPr>
          <w:color w:val="000000" w:themeColor="text1"/>
          <w:vertAlign w:val="superscript"/>
          <w:lang w:val="en-US"/>
        </w:rPr>
        <w:t>1</w:t>
      </w:r>
      <w:r w:rsidRPr="00B60E27">
        <w:rPr>
          <w:color w:val="000000" w:themeColor="text1"/>
          <w:lang w:val="en-US"/>
        </w:rPr>
        <w:t>H NMR (400 MHz, CDCl</w:t>
      </w:r>
      <w:r w:rsidRPr="00B60E27">
        <w:rPr>
          <w:color w:val="000000" w:themeColor="text1"/>
          <w:vertAlign w:val="subscript"/>
          <w:lang w:val="en-US"/>
        </w:rPr>
        <w:t>3</w:t>
      </w:r>
      <w:r w:rsidRPr="00B60E27">
        <w:rPr>
          <w:color w:val="000000" w:themeColor="text1"/>
          <w:lang w:val="en-US"/>
        </w:rPr>
        <w:t xml:space="preserve">) </w:t>
      </w:r>
      <w:r w:rsidRPr="00B60E27">
        <w:rPr>
          <w:color w:val="000000" w:themeColor="text1"/>
        </w:rPr>
        <w:t>δ</w:t>
      </w:r>
      <w:r w:rsidRPr="00B60E27">
        <w:rPr>
          <w:color w:val="000000" w:themeColor="text1"/>
          <w:lang w:val="en-US"/>
        </w:rPr>
        <w:t xml:space="preserve"> 7.35 (ar, 5H), 4.05 (m, 2H), 2.30 (m, 2H), 1.64 (m, 4H), 1.38 (m, 2H). SEC (THF) M</w:t>
      </w:r>
      <w:r w:rsidRPr="00B60E27">
        <w:rPr>
          <w:color w:val="000000" w:themeColor="text1"/>
          <w:vertAlign w:val="subscript"/>
          <w:lang w:val="en-US"/>
        </w:rPr>
        <w:t>n</w:t>
      </w:r>
      <w:r w:rsidRPr="00B60E27">
        <w:rPr>
          <w:color w:val="000000" w:themeColor="text1"/>
          <w:lang w:val="en-US"/>
        </w:rPr>
        <w:t xml:space="preserve"> = 9,070 g/mol, Ð = 1.23.</w:t>
      </w:r>
    </w:p>
    <w:p w14:paraId="3E2FECA3" w14:textId="77777777" w:rsidR="006B0AA2" w:rsidRPr="00B60E27" w:rsidRDefault="006B0AA2" w:rsidP="006B0AA2">
      <w:pPr>
        <w:pStyle w:val="ListParagraph"/>
        <w:numPr>
          <w:ilvl w:val="2"/>
          <w:numId w:val="2"/>
        </w:numPr>
        <w:spacing w:line="480" w:lineRule="auto"/>
        <w:jc w:val="both"/>
        <w:rPr>
          <w:color w:val="000000" w:themeColor="text1"/>
          <w:lang w:val="en-US"/>
        </w:rPr>
      </w:pPr>
      <w:r w:rsidRPr="00B60E27">
        <w:rPr>
          <w:color w:val="000000" w:themeColor="text1"/>
          <w:lang w:val="en-US"/>
        </w:rPr>
        <w:t>Synthesis of PCL end-functionalize isocyanate (PCL-NCO)</w:t>
      </w:r>
    </w:p>
    <w:p w14:paraId="4F95FFAE" w14:textId="77777777" w:rsidR="006B0AA2" w:rsidRPr="00B60E27" w:rsidRDefault="006B0AA2" w:rsidP="006B0AA2">
      <w:pPr>
        <w:spacing w:line="480" w:lineRule="auto"/>
        <w:jc w:val="both"/>
        <w:rPr>
          <w:color w:val="000000" w:themeColor="text1"/>
          <w:lang w:val="en-US"/>
        </w:rPr>
      </w:pPr>
      <w:r w:rsidRPr="00B60E27">
        <w:rPr>
          <w:color w:val="000000" w:themeColor="text1"/>
          <w:lang w:val="en-US"/>
        </w:rPr>
        <w:t>PCL (2.051 g, 1.26 mmol), previously azeotropically dried from toluene under high vacuum, was dissolved in dry THF (100 mL) under inert conditions. Hexamethylene diisocyanate (3 mL, 25 mmol) and a tiny amount of DBTDL were added into the solution. The mixture was heated at 40 °C under stirring and nitrogen atmosphere for 2 h. The polymer was precipitated 4 times in cold diethyl ether (100 mL) from a concentrated THF solution and dried to yield PCL-NCO as a white solid material.</w:t>
      </w:r>
      <w:r w:rsidRPr="00B60E27">
        <w:rPr>
          <w:color w:val="000000" w:themeColor="text1"/>
          <w:vertAlign w:val="superscript"/>
          <w:lang w:val="en-US"/>
        </w:rPr>
        <w:t xml:space="preserve"> 1</w:t>
      </w:r>
      <w:r w:rsidRPr="00B60E27">
        <w:rPr>
          <w:color w:val="000000" w:themeColor="text1"/>
          <w:lang w:val="en-US"/>
        </w:rPr>
        <w:t>H NMR (400 MHz, CDCl</w:t>
      </w:r>
      <w:r w:rsidRPr="00B60E27">
        <w:rPr>
          <w:color w:val="000000" w:themeColor="text1"/>
          <w:vertAlign w:val="subscript"/>
          <w:lang w:val="en-US"/>
        </w:rPr>
        <w:t>3</w:t>
      </w:r>
      <w:r w:rsidRPr="00B60E27">
        <w:rPr>
          <w:color w:val="000000" w:themeColor="text1"/>
          <w:lang w:val="en-US"/>
        </w:rPr>
        <w:t>) δ 7.35 (ar, 5H), 4.68 (br, 1H), 4.06 (m, backbone), 3.30 (m, 2H), 3.16 (m, 2H),  2.30 (m, backbone), 1.64 (m, backbone), 1.51 (m, 4H), 1.38 (m, backbone), 1.28 (m, 4H). SEC (THF) M</w:t>
      </w:r>
      <w:r w:rsidRPr="00B60E27">
        <w:rPr>
          <w:color w:val="000000" w:themeColor="text1"/>
          <w:vertAlign w:val="subscript"/>
          <w:lang w:val="en-US"/>
        </w:rPr>
        <w:t>n</w:t>
      </w:r>
      <w:r w:rsidRPr="00B60E27">
        <w:rPr>
          <w:color w:val="000000" w:themeColor="text1"/>
          <w:lang w:val="en-US"/>
        </w:rPr>
        <w:t xml:space="preserve"> = 14,300 g/mol, Ð = 1.43.</w:t>
      </w:r>
    </w:p>
    <w:p w14:paraId="487EA794" w14:textId="77777777" w:rsidR="006B0AA2" w:rsidRPr="00B60E27" w:rsidRDefault="006B0AA2" w:rsidP="006B0AA2">
      <w:pPr>
        <w:pStyle w:val="ListParagraph"/>
        <w:numPr>
          <w:ilvl w:val="2"/>
          <w:numId w:val="2"/>
        </w:numPr>
        <w:spacing w:line="480" w:lineRule="auto"/>
        <w:jc w:val="both"/>
        <w:rPr>
          <w:color w:val="000000" w:themeColor="text1"/>
          <w:lang w:val="en-US"/>
        </w:rPr>
      </w:pPr>
      <w:r w:rsidRPr="00B60E27">
        <w:rPr>
          <w:color w:val="000000" w:themeColor="text1"/>
          <w:lang w:val="en-US"/>
        </w:rPr>
        <w:t>Synthesis of PCL end-functionalize hindered urea (PCL-HU)</w:t>
      </w:r>
    </w:p>
    <w:p w14:paraId="3DEFABC9" w14:textId="77777777" w:rsidR="006B0AA2" w:rsidRPr="00B60E27" w:rsidRDefault="006B0AA2" w:rsidP="006B0AA2">
      <w:pPr>
        <w:spacing w:line="480" w:lineRule="auto"/>
        <w:jc w:val="both"/>
        <w:rPr>
          <w:color w:val="000000" w:themeColor="text1"/>
          <w:lang w:val="en-US"/>
        </w:rPr>
      </w:pPr>
      <w:r w:rsidRPr="00B60E27">
        <w:rPr>
          <w:color w:val="000000" w:themeColor="text1"/>
          <w:lang w:val="en-US"/>
        </w:rPr>
        <w:t xml:space="preserve">Dried PCL-NCO (1.72 g) and </w:t>
      </w:r>
      <w:r w:rsidRPr="00B60E27">
        <w:rPr>
          <w:i/>
          <w:iCs/>
          <w:color w:val="000000" w:themeColor="text1"/>
          <w:lang w:val="en-US"/>
        </w:rPr>
        <w:t>N-tert</w:t>
      </w:r>
      <w:r w:rsidRPr="00B60E27">
        <w:rPr>
          <w:color w:val="000000" w:themeColor="text1"/>
          <w:lang w:val="en-US"/>
        </w:rPr>
        <w:t>-butylmethylamine</w:t>
      </w:r>
      <w:r w:rsidRPr="00B60E27">
        <w:rPr>
          <w:b/>
          <w:bCs/>
          <w:color w:val="000000" w:themeColor="text1"/>
          <w:lang w:val="en-US"/>
        </w:rPr>
        <w:t xml:space="preserve"> </w:t>
      </w:r>
      <w:r w:rsidRPr="00B60E27">
        <w:rPr>
          <w:color w:val="000000" w:themeColor="text1"/>
          <w:lang w:val="en-US"/>
        </w:rPr>
        <w:t xml:space="preserve">(2 mL, 16.68 mmol) were dissolved in dry THF (60 mL) under inert atmosphere. The mixture was stirred at room temperature for 2 h. The product was then precipitated 4 times in cold ether (100 mL) from a concentrated THF solution and dried to yield PCL-HU as a solid white material. </w:t>
      </w:r>
      <w:r w:rsidRPr="00B60E27">
        <w:rPr>
          <w:color w:val="000000" w:themeColor="text1"/>
          <w:vertAlign w:val="superscript"/>
          <w:lang w:val="en-US"/>
        </w:rPr>
        <w:t>1</w:t>
      </w:r>
      <w:r w:rsidRPr="00B60E27">
        <w:rPr>
          <w:color w:val="000000" w:themeColor="text1"/>
          <w:lang w:val="en-US"/>
        </w:rPr>
        <w:t>H NMR (400 MHz, CDCl</w:t>
      </w:r>
      <w:r w:rsidRPr="00B60E27">
        <w:rPr>
          <w:color w:val="000000" w:themeColor="text1"/>
          <w:vertAlign w:val="subscript"/>
          <w:lang w:val="en-US"/>
        </w:rPr>
        <w:t>3</w:t>
      </w:r>
      <w:r w:rsidRPr="00B60E27">
        <w:rPr>
          <w:color w:val="000000" w:themeColor="text1"/>
          <w:lang w:val="en-US"/>
        </w:rPr>
        <w:t>) δ 7.35 (ar, 5H), 4.74 (br, 1H), 4.29 (br, 1H), 4.06 (m, backbone), 3.16 (m, 4H), 2.81 (s, 3H), 2.30 (m, backbone), 1.64 (m, backbone), 1.50 (m, 4H), 1.38 (m, backbone + 9H), 1.25 (m, 4H). SEC (THF) M</w:t>
      </w:r>
      <w:r w:rsidRPr="00B60E27">
        <w:rPr>
          <w:color w:val="000000" w:themeColor="text1"/>
          <w:vertAlign w:val="subscript"/>
          <w:lang w:val="en-US"/>
        </w:rPr>
        <w:t>n</w:t>
      </w:r>
      <w:r w:rsidRPr="00B60E27">
        <w:rPr>
          <w:color w:val="000000" w:themeColor="text1"/>
          <w:lang w:val="en-US"/>
        </w:rPr>
        <w:t xml:space="preserve"> = 11,100 g/mol, Ð = 1.34.</w:t>
      </w:r>
    </w:p>
    <w:p w14:paraId="2E9E21C0" w14:textId="77777777" w:rsidR="006B0AA2" w:rsidRPr="00B60E27" w:rsidRDefault="006B0AA2" w:rsidP="006B0AA2">
      <w:pPr>
        <w:pStyle w:val="ListParagraph"/>
        <w:numPr>
          <w:ilvl w:val="2"/>
          <w:numId w:val="2"/>
        </w:numPr>
        <w:spacing w:line="480" w:lineRule="auto"/>
        <w:jc w:val="both"/>
        <w:rPr>
          <w:color w:val="000000" w:themeColor="text1"/>
          <w:lang w:val="en-US"/>
        </w:rPr>
      </w:pPr>
      <w:r w:rsidRPr="00B60E27">
        <w:rPr>
          <w:color w:val="000000" w:themeColor="text1"/>
          <w:lang w:val="en-US"/>
        </w:rPr>
        <w:t>Synthesis of Poly(Butyl Acrylate) (PBA-Br)</w:t>
      </w:r>
    </w:p>
    <w:p w14:paraId="03819387" w14:textId="77777777" w:rsidR="006B0AA2" w:rsidRPr="00B60E27" w:rsidRDefault="006B0AA2" w:rsidP="006B0AA2">
      <w:pPr>
        <w:spacing w:line="480" w:lineRule="auto"/>
        <w:jc w:val="both"/>
        <w:rPr>
          <w:color w:val="000000" w:themeColor="text1"/>
          <w:lang w:val="en-US"/>
        </w:rPr>
      </w:pPr>
      <w:r w:rsidRPr="00B60E27">
        <w:rPr>
          <w:color w:val="000000" w:themeColor="text1"/>
          <w:lang w:val="en-US"/>
        </w:rPr>
        <w:t>PBA-Br was synthesized via Cu(0)-mediated living radical polymerization, following a published procedure.</w:t>
      </w:r>
      <w:r w:rsidRPr="00B60E27">
        <w:rPr>
          <w:color w:val="000000" w:themeColor="text1"/>
          <w:lang w:val="en-US"/>
        </w:rPr>
        <w:fldChar w:fldCharType="begin" w:fldLock="1"/>
      </w:r>
      <w:r w:rsidRPr="00B60E27">
        <w:rPr>
          <w:color w:val="000000" w:themeColor="text1"/>
          <w:lang w:val="en-US"/>
        </w:rPr>
        <w:instrText>ADDIN CSL_CITATION {"citationItems":[{"id":"ITEM-1","itemData":{"DOI":"10.1021/acs.chemrev.5b00191","ISSN":"0009-2665","author":[{"dropping-particle":"","family":"Anastasaki","given":"Athina","non-dropping-particle":"","parse-names":false,"suffix":""},{"dropping-particle":"","family":"Nikolaou","given":"Vasiliki","non-dropping-particle":"","parse-names":false,"suffix":""},{"dropping-particle":"","family":"Nurumbetov","given":"Gabit","non-dropping-particle":"","parse-names":false,"suffix":""},{"dropping-particle":"","family":"Wilson","given":"Paul","non-dropping-particle":"","parse-names":false,"suffix":""},{"dropping-particle":"","family":"Kempe","given":"Kristian","non-dropping-particle":"","parse-names":false,"suffix":""},{"dropping-particle":"","family":"Quinn","given":"John F.","non-dropping-particle":"","parse-names":false,"suffix":""},{"dropping-particle":"","family":"Davis","given":"Thomas P.","non-dropping-particle":"","parse-names":false,"suffix":""},{"dropping-particle":"","family":"Whittaker","given":"Michael R.","non-dropping-particle":"","parse-names":false,"suffix":""},{"dropping-particle":"","family":"Haddleton","given":"David M.","non-dropping-particle":"","parse-names":false,"suffix":""}],"container-title":"Chemical Reviews","id":"ITEM-1","issue":"3","issued":{"date-parts":[["2016","2","10"]]},"note":"Basically the bible for SET-LRP with a large list of monomers, solvents, initiators, ligands, etc. Also has a pared down procedure for water and solvent SET-LRP.","page":"835-877","title":"Cu(0)-Mediated Living Radical Polymerization: A Versatile Tool for Materials Synthesis","type":"article-journal","volume":"116"},"uris":["http://www.mendeley.com/documents/?uuid=d524b678-63de-4d18-9b1e-5f297e553666"]}],"mendeley":{"formattedCitation":"&lt;sup&gt;[52]&lt;/sup&gt;","plainTextFormattedCitation":"[52]","previouslyFormattedCitation":"&lt;sup&gt;[52]&lt;/sup&gt;"},"properties":{"noteIndex":0},"schema":"https://github.com/citation-style-language/schema/raw/master/csl-citation.json"}</w:instrText>
      </w:r>
      <w:r w:rsidRPr="00B60E27">
        <w:rPr>
          <w:color w:val="000000" w:themeColor="text1"/>
          <w:lang w:val="en-US"/>
        </w:rPr>
        <w:fldChar w:fldCharType="separate"/>
      </w:r>
      <w:r w:rsidRPr="00B60E27">
        <w:rPr>
          <w:noProof/>
          <w:color w:val="000000" w:themeColor="text1"/>
          <w:vertAlign w:val="superscript"/>
          <w:lang w:val="en-US"/>
        </w:rPr>
        <w:t>[52]</w:t>
      </w:r>
      <w:r w:rsidRPr="00B60E27">
        <w:rPr>
          <w:color w:val="000000" w:themeColor="text1"/>
          <w:lang w:val="en-US"/>
        </w:rPr>
        <w:fldChar w:fldCharType="end"/>
      </w:r>
      <w:r w:rsidRPr="00B60E27">
        <w:rPr>
          <w:color w:val="000000" w:themeColor="text1"/>
          <w:lang w:val="en-US"/>
        </w:rPr>
        <w:t xml:space="preserve"> In brief, butyl acrylate was filtered through basic alumina to remove any inhibitor, then the initiator (EBiB) (1 eq.), monomer (targeting 10,000 g/mol at 50% conversion), CuBr</w:t>
      </w:r>
      <w:r w:rsidRPr="00B60E27">
        <w:rPr>
          <w:color w:val="000000" w:themeColor="text1"/>
          <w:vertAlign w:val="subscript"/>
          <w:lang w:val="en-US"/>
        </w:rPr>
        <w:t>2</w:t>
      </w:r>
      <w:r w:rsidRPr="00B60E27">
        <w:rPr>
          <w:color w:val="000000" w:themeColor="text1"/>
          <w:lang w:val="en-US"/>
        </w:rPr>
        <w:t xml:space="preserve"> (0.05 eq.), and DMF (targeting 75 vol.% relative to all other reactants) were all added to a round-bottom flask. The flask was sparged with inert gas for 15 minutes before </w:t>
      </w:r>
      <w:r w:rsidRPr="00B60E27">
        <w:rPr>
          <w:color w:val="000000" w:themeColor="text1"/>
          <w:lang w:val="en-US"/>
        </w:rPr>
        <w:lastRenderedPageBreak/>
        <w:t xml:space="preserve">adding the Me6TREN ligand (0.12 eq.). A stir bar was wrapped in 10 cm of copper wire and cleaned with concentrated HCl, then rinsed with acetone and DMF before dropping it into the flask to begin the reaction. NMR aliquots were taken every 30 minutes to track conversion and the reaction was quenched by opening it to air and removing the stir bar once it reached 50% conversion. The polymer was purified by rotary evaporation of any remaining monomer, redissolving in DCM, running it through a neutral alumina plug to remove the copper and ligand, then drying on high vacuum overnight before characterizing. The pure polymer was characterized with </w:t>
      </w:r>
      <w:r w:rsidRPr="00B60E27">
        <w:rPr>
          <w:color w:val="000000" w:themeColor="text1"/>
          <w:vertAlign w:val="superscript"/>
          <w:lang w:val="en-US"/>
        </w:rPr>
        <w:t>1</w:t>
      </w:r>
      <w:r w:rsidRPr="00B60E27">
        <w:rPr>
          <w:color w:val="000000" w:themeColor="text1"/>
          <w:lang w:val="en-US"/>
        </w:rPr>
        <w:t xml:space="preserve">H NMR and SEC to confirm the product. </w:t>
      </w:r>
      <w:r w:rsidRPr="00B60E27">
        <w:rPr>
          <w:color w:val="000000" w:themeColor="text1"/>
          <w:vertAlign w:val="superscript"/>
          <w:lang w:val="en-US"/>
        </w:rPr>
        <w:t>1</w:t>
      </w:r>
      <w:r w:rsidRPr="00B60E27">
        <w:rPr>
          <w:color w:val="000000" w:themeColor="text1"/>
          <w:lang w:val="en-US"/>
        </w:rPr>
        <w:t>H NMR (400 MHz, CDCl</w:t>
      </w:r>
      <w:r w:rsidRPr="00B60E27">
        <w:rPr>
          <w:color w:val="000000" w:themeColor="text1"/>
          <w:vertAlign w:val="subscript"/>
          <w:lang w:val="en-US"/>
        </w:rPr>
        <w:t>3</w:t>
      </w:r>
      <w:r w:rsidRPr="00B60E27">
        <w:rPr>
          <w:color w:val="000000" w:themeColor="text1"/>
          <w:lang w:val="en-US"/>
        </w:rPr>
        <w:t>) δ 4.03 (m, 2H), 2.28 (m, 1H), 1.90 (m, 1H), 1.60 (m, 3H), 1.37 (m, 2H), 0.93 (m, 3H). SEC (THF) M</w:t>
      </w:r>
      <w:r w:rsidRPr="00B60E27">
        <w:rPr>
          <w:color w:val="000000" w:themeColor="text1"/>
          <w:vertAlign w:val="subscript"/>
          <w:lang w:val="en-US"/>
        </w:rPr>
        <w:t>n</w:t>
      </w:r>
      <w:r w:rsidRPr="00B60E27">
        <w:rPr>
          <w:color w:val="000000" w:themeColor="text1"/>
          <w:lang w:val="en-US"/>
        </w:rPr>
        <w:t xml:space="preserve"> = 13,000 g/mol, Ð = 1.21.</w:t>
      </w:r>
    </w:p>
    <w:p w14:paraId="1D054E2E" w14:textId="77777777" w:rsidR="006B0AA2" w:rsidRPr="00B60E27" w:rsidRDefault="006B0AA2" w:rsidP="006B0AA2">
      <w:pPr>
        <w:pStyle w:val="ListParagraph"/>
        <w:numPr>
          <w:ilvl w:val="2"/>
          <w:numId w:val="2"/>
        </w:numPr>
        <w:spacing w:line="480" w:lineRule="auto"/>
        <w:jc w:val="both"/>
        <w:rPr>
          <w:color w:val="000000" w:themeColor="text1"/>
          <w:lang w:val="en-US"/>
        </w:rPr>
      </w:pPr>
      <w:r w:rsidRPr="00B60E27">
        <w:rPr>
          <w:color w:val="000000" w:themeColor="text1"/>
          <w:lang w:val="en-US"/>
        </w:rPr>
        <w:t>Preparation of Thio-HU for End Group Functionalization</w:t>
      </w:r>
    </w:p>
    <w:p w14:paraId="6F94EDA9" w14:textId="09C0860B" w:rsidR="006B0AA2" w:rsidRPr="00B60E27" w:rsidRDefault="006B0AA2" w:rsidP="006B0AA2">
      <w:pPr>
        <w:spacing w:line="480" w:lineRule="auto"/>
        <w:jc w:val="both"/>
        <w:rPr>
          <w:color w:val="000000" w:themeColor="text1"/>
          <w:lang w:val="en-US"/>
        </w:rPr>
      </w:pPr>
      <w:r w:rsidRPr="00B60E27">
        <w:rPr>
          <w:color w:val="000000" w:themeColor="text1"/>
          <w:lang w:val="en-US"/>
        </w:rPr>
        <w:t xml:space="preserve">Thio-HU was synthesized in a two-step process before being added to the polymer chain end. First, an allyl-hindered urea was synthesized by mixing allyl isocyanate (1 eq.) with </w:t>
      </w:r>
      <w:r w:rsidRPr="00B60E27">
        <w:rPr>
          <w:i/>
          <w:color w:val="000000" w:themeColor="text1"/>
          <w:lang w:val="en-US"/>
        </w:rPr>
        <w:t>N-tert</w:t>
      </w:r>
      <w:r w:rsidRPr="00B60E27">
        <w:rPr>
          <w:color w:val="000000" w:themeColor="text1"/>
          <w:lang w:val="en-US"/>
        </w:rPr>
        <w:t xml:space="preserve">-butylmethylamine (1.1 eq.) at 1M concentration in DCM. The resulting allyl-HU was purified with high vacuum to remove all solvent and remaining reactants, resulting in a white solid, before characterizing with </w:t>
      </w:r>
      <w:r w:rsidRPr="00B60E27">
        <w:rPr>
          <w:color w:val="000000" w:themeColor="text1"/>
          <w:vertAlign w:val="superscript"/>
          <w:lang w:val="en-US"/>
        </w:rPr>
        <w:t>1</w:t>
      </w:r>
      <w:r w:rsidRPr="00B60E27">
        <w:rPr>
          <w:color w:val="000000" w:themeColor="text1"/>
          <w:lang w:val="en-US"/>
        </w:rPr>
        <w:t>H NMR</w:t>
      </w:r>
      <w:r w:rsidR="00EC4F49">
        <w:rPr>
          <w:color w:val="000000" w:themeColor="text1"/>
          <w:lang w:val="en-US"/>
        </w:rPr>
        <w:t xml:space="preserve">, </w:t>
      </w:r>
      <w:r w:rsidR="00EC4F49" w:rsidRPr="00B60E27">
        <w:rPr>
          <w:color w:val="000000" w:themeColor="text1"/>
          <w:vertAlign w:val="superscript"/>
          <w:lang w:val="en-US"/>
        </w:rPr>
        <w:t>13</w:t>
      </w:r>
      <w:r w:rsidR="00EC4F49" w:rsidRPr="00B60E27">
        <w:rPr>
          <w:color w:val="000000" w:themeColor="text1"/>
          <w:lang w:val="en-US"/>
        </w:rPr>
        <w:t>C NMR</w:t>
      </w:r>
      <w:r w:rsidR="00EC4F49">
        <w:rPr>
          <w:color w:val="000000" w:themeColor="text1"/>
          <w:lang w:val="en-US"/>
        </w:rPr>
        <w:t>,</w:t>
      </w:r>
      <w:r w:rsidRPr="00B60E27">
        <w:rPr>
          <w:color w:val="000000" w:themeColor="text1"/>
          <w:lang w:val="en-US"/>
        </w:rPr>
        <w:t xml:space="preserve"> and high-resolution mass spectrometry. </w:t>
      </w:r>
      <w:r w:rsidRPr="00B60E27">
        <w:rPr>
          <w:color w:val="000000" w:themeColor="text1"/>
          <w:vertAlign w:val="superscript"/>
          <w:lang w:val="en-US"/>
        </w:rPr>
        <w:t>1</w:t>
      </w:r>
      <w:r w:rsidRPr="00B60E27">
        <w:rPr>
          <w:color w:val="000000" w:themeColor="text1"/>
          <w:lang w:val="en-US"/>
        </w:rPr>
        <w:t>H NMR (400 MHz, CDCl</w:t>
      </w:r>
      <w:r w:rsidRPr="00B60E27">
        <w:rPr>
          <w:color w:val="000000" w:themeColor="text1"/>
          <w:vertAlign w:val="subscript"/>
          <w:lang w:val="en-US"/>
        </w:rPr>
        <w:t>3</w:t>
      </w:r>
      <w:r w:rsidRPr="00B60E27">
        <w:rPr>
          <w:color w:val="000000" w:themeColor="text1"/>
          <w:lang w:val="en-US"/>
        </w:rPr>
        <w:t xml:space="preserve">) </w:t>
      </w:r>
      <w:r w:rsidRPr="00B60E27">
        <w:rPr>
          <w:color w:val="000000" w:themeColor="text1"/>
        </w:rPr>
        <w:t>δ</w:t>
      </w:r>
      <w:r w:rsidRPr="00B60E27">
        <w:rPr>
          <w:color w:val="000000" w:themeColor="text1"/>
          <w:lang w:val="en-US"/>
        </w:rPr>
        <w:t xml:space="preserve"> 5.87 (ddt, </w:t>
      </w:r>
      <w:r w:rsidRPr="00B60E27">
        <w:rPr>
          <w:i/>
          <w:iCs/>
          <w:color w:val="000000" w:themeColor="text1"/>
          <w:lang w:val="en-US"/>
        </w:rPr>
        <w:t>J</w:t>
      </w:r>
      <w:r w:rsidRPr="00B60E27">
        <w:rPr>
          <w:color w:val="000000" w:themeColor="text1"/>
          <w:lang w:val="en-US"/>
        </w:rPr>
        <w:t xml:space="preserve"> = 17.2, 10.2, 5.6 Hz, 1H), 5.14 (dq, </w:t>
      </w:r>
      <w:r w:rsidRPr="00B60E27">
        <w:rPr>
          <w:i/>
          <w:iCs/>
          <w:color w:val="000000" w:themeColor="text1"/>
          <w:lang w:val="en-US"/>
        </w:rPr>
        <w:t>J</w:t>
      </w:r>
      <w:r w:rsidRPr="00B60E27">
        <w:rPr>
          <w:color w:val="000000" w:themeColor="text1"/>
          <w:lang w:val="en-US"/>
        </w:rPr>
        <w:t xml:space="preserve"> = 17.2, 1.7 Hz, 1H), 5.06 (dq, </w:t>
      </w:r>
      <w:r w:rsidRPr="00B60E27">
        <w:rPr>
          <w:i/>
          <w:iCs/>
          <w:color w:val="000000" w:themeColor="text1"/>
          <w:lang w:val="en-US"/>
        </w:rPr>
        <w:t>J</w:t>
      </w:r>
      <w:r w:rsidRPr="00B60E27">
        <w:rPr>
          <w:color w:val="000000" w:themeColor="text1"/>
          <w:lang w:val="en-US"/>
        </w:rPr>
        <w:t xml:space="preserve"> = 10.2, 1.5 Hz, 1H), 4.33 (br, 1H), 3.80 (tt, </w:t>
      </w:r>
      <w:r w:rsidRPr="00B60E27">
        <w:rPr>
          <w:i/>
          <w:iCs/>
          <w:color w:val="000000" w:themeColor="text1"/>
          <w:lang w:val="en-US"/>
        </w:rPr>
        <w:t>J</w:t>
      </w:r>
      <w:r w:rsidRPr="00B60E27">
        <w:rPr>
          <w:color w:val="000000" w:themeColor="text1"/>
          <w:lang w:val="en-US"/>
        </w:rPr>
        <w:t xml:space="preserve"> = 5.6, 1.6 Hz, 2H), 2.82 (s, 3H), 1.37 (s, 9H). </w:t>
      </w:r>
      <w:r w:rsidRPr="00B60E27">
        <w:rPr>
          <w:color w:val="000000" w:themeColor="text1"/>
          <w:vertAlign w:val="superscript"/>
          <w:lang w:val="en-US"/>
        </w:rPr>
        <w:t>13</w:t>
      </w:r>
      <w:r w:rsidRPr="00B60E27">
        <w:rPr>
          <w:color w:val="000000" w:themeColor="text1"/>
          <w:lang w:val="en-US"/>
        </w:rPr>
        <w:t>C NMR (101 MHz, CDCl</w:t>
      </w:r>
      <w:r w:rsidRPr="00B60E27">
        <w:rPr>
          <w:color w:val="000000" w:themeColor="text1"/>
          <w:vertAlign w:val="subscript"/>
          <w:lang w:val="en-US"/>
        </w:rPr>
        <w:t>3</w:t>
      </w:r>
      <w:r w:rsidRPr="00B60E27">
        <w:rPr>
          <w:color w:val="000000" w:themeColor="text1"/>
          <w:lang w:val="en-US"/>
        </w:rPr>
        <w:t xml:space="preserve">) </w:t>
      </w:r>
      <w:r w:rsidRPr="00B60E27">
        <w:rPr>
          <w:color w:val="000000" w:themeColor="text1"/>
        </w:rPr>
        <w:t>δ</w:t>
      </w:r>
      <w:r w:rsidRPr="00B60E27">
        <w:rPr>
          <w:color w:val="000000" w:themeColor="text1"/>
          <w:lang w:val="en-US"/>
        </w:rPr>
        <w:t xml:space="preserve"> 159.09 (C = O), 136.13 (C = </w:t>
      </w:r>
      <w:r w:rsidRPr="00B60E27">
        <w:rPr>
          <w:b/>
          <w:bCs/>
          <w:color w:val="000000" w:themeColor="text1"/>
          <w:lang w:val="en-US"/>
        </w:rPr>
        <w:t xml:space="preserve">C </w:t>
      </w:r>
      <w:r w:rsidRPr="00B60E27">
        <w:rPr>
          <w:color w:val="000000" w:themeColor="text1"/>
          <w:lang w:val="en-US"/>
        </w:rPr>
        <w:t>– C), 115.40 (</w:t>
      </w:r>
      <w:r w:rsidRPr="00B60E27">
        <w:rPr>
          <w:b/>
          <w:bCs/>
          <w:color w:val="000000" w:themeColor="text1"/>
          <w:lang w:val="en-US"/>
        </w:rPr>
        <w:t>C</w:t>
      </w:r>
      <w:r w:rsidRPr="00B60E27">
        <w:rPr>
          <w:color w:val="000000" w:themeColor="text1"/>
          <w:lang w:val="en-US"/>
        </w:rPr>
        <w:t xml:space="preserve"> = C), 55.71 (C), 43.31 (C = C</w:t>
      </w:r>
      <w:r w:rsidRPr="00B60E27">
        <w:rPr>
          <w:b/>
          <w:bCs/>
          <w:color w:val="000000" w:themeColor="text1"/>
          <w:lang w:val="en-US"/>
        </w:rPr>
        <w:t xml:space="preserve"> </w:t>
      </w:r>
      <w:r w:rsidRPr="00B60E27">
        <w:rPr>
          <w:color w:val="000000" w:themeColor="text1"/>
          <w:lang w:val="en-US"/>
        </w:rPr>
        <w:t xml:space="preserve">– </w:t>
      </w:r>
      <w:r w:rsidRPr="00B60E27">
        <w:rPr>
          <w:b/>
          <w:bCs/>
          <w:color w:val="000000" w:themeColor="text1"/>
          <w:lang w:val="en-US"/>
        </w:rPr>
        <w:t>C</w:t>
      </w:r>
      <w:r w:rsidRPr="00B60E27">
        <w:rPr>
          <w:color w:val="000000" w:themeColor="text1"/>
          <w:lang w:val="en-US"/>
        </w:rPr>
        <w:t>), 31.84 (CH</w:t>
      </w:r>
      <w:r w:rsidRPr="00B60E27">
        <w:rPr>
          <w:color w:val="000000" w:themeColor="text1"/>
          <w:vertAlign w:val="subscript"/>
          <w:lang w:val="en-US"/>
        </w:rPr>
        <w:t>3</w:t>
      </w:r>
      <w:r w:rsidRPr="00B60E27">
        <w:rPr>
          <w:color w:val="000000" w:themeColor="text1"/>
          <w:lang w:val="en-US"/>
        </w:rPr>
        <w:t>), 29.05 (3CH</w:t>
      </w:r>
      <w:r w:rsidRPr="00B60E27">
        <w:rPr>
          <w:color w:val="000000" w:themeColor="text1"/>
          <w:vertAlign w:val="subscript"/>
          <w:lang w:val="en-US"/>
        </w:rPr>
        <w:t>3</w:t>
      </w:r>
      <w:r w:rsidRPr="00B60E27">
        <w:rPr>
          <w:color w:val="000000" w:themeColor="text1"/>
          <w:lang w:val="en-US"/>
        </w:rPr>
        <w:t xml:space="preserve">). HRMS (ESI) </w:t>
      </w:r>
      <w:r w:rsidRPr="00B60E27">
        <w:rPr>
          <w:i/>
          <w:color w:val="000000" w:themeColor="text1"/>
          <w:lang w:val="en-US"/>
        </w:rPr>
        <w:t>m</w:t>
      </w:r>
      <w:r w:rsidRPr="00B60E27">
        <w:rPr>
          <w:color w:val="000000" w:themeColor="text1"/>
          <w:lang w:val="en-US"/>
        </w:rPr>
        <w:t>/</w:t>
      </w:r>
      <w:r w:rsidRPr="00B60E27">
        <w:rPr>
          <w:i/>
          <w:color w:val="000000" w:themeColor="text1"/>
          <w:lang w:val="en-US"/>
        </w:rPr>
        <w:t>z</w:t>
      </w:r>
      <w:r w:rsidRPr="00B60E27">
        <w:rPr>
          <w:color w:val="000000" w:themeColor="text1"/>
          <w:lang w:val="en-US"/>
        </w:rPr>
        <w:t>: [M + H]</w:t>
      </w:r>
      <w:r w:rsidRPr="00B60E27">
        <w:rPr>
          <w:color w:val="000000" w:themeColor="text1"/>
          <w:vertAlign w:val="superscript"/>
          <w:lang w:val="en-US"/>
        </w:rPr>
        <w:t>+</w:t>
      </w:r>
      <w:r w:rsidRPr="00B60E27">
        <w:rPr>
          <w:color w:val="000000" w:themeColor="text1"/>
          <w:lang w:val="en-US"/>
        </w:rPr>
        <w:t xml:space="preserve"> calcd for </w:t>
      </w:r>
      <w:r w:rsidRPr="00B60E27">
        <w:rPr>
          <w:color w:val="000000" w:themeColor="text1"/>
          <w:shd w:val="clear" w:color="auto" w:fill="FFFFFF"/>
          <w:lang w:val="en-US"/>
        </w:rPr>
        <w:t>C</w:t>
      </w:r>
      <w:r w:rsidRPr="00B60E27">
        <w:rPr>
          <w:color w:val="000000" w:themeColor="text1"/>
          <w:shd w:val="clear" w:color="auto" w:fill="FFFFFF"/>
          <w:vertAlign w:val="subscript"/>
          <w:lang w:val="en-US"/>
        </w:rPr>
        <w:t>9</w:t>
      </w:r>
      <w:r w:rsidRPr="00B60E27">
        <w:rPr>
          <w:color w:val="000000" w:themeColor="text1"/>
          <w:shd w:val="clear" w:color="auto" w:fill="FFFFFF"/>
          <w:lang w:val="en-US"/>
        </w:rPr>
        <w:t>H</w:t>
      </w:r>
      <w:r w:rsidRPr="00B60E27">
        <w:rPr>
          <w:color w:val="000000" w:themeColor="text1"/>
          <w:shd w:val="clear" w:color="auto" w:fill="FFFFFF"/>
          <w:vertAlign w:val="subscript"/>
          <w:lang w:val="en-US"/>
        </w:rPr>
        <w:t>18</w:t>
      </w:r>
      <w:r w:rsidRPr="00B60E27">
        <w:rPr>
          <w:color w:val="000000" w:themeColor="text1"/>
          <w:shd w:val="clear" w:color="auto" w:fill="FFFFFF"/>
          <w:lang w:val="en-US"/>
        </w:rPr>
        <w:t>N</w:t>
      </w:r>
      <w:r w:rsidRPr="00B60E27">
        <w:rPr>
          <w:color w:val="000000" w:themeColor="text1"/>
          <w:shd w:val="clear" w:color="auto" w:fill="FFFFFF"/>
          <w:vertAlign w:val="subscript"/>
          <w:lang w:val="en-US"/>
        </w:rPr>
        <w:t>2</w:t>
      </w:r>
      <w:r w:rsidRPr="00B60E27">
        <w:rPr>
          <w:color w:val="000000" w:themeColor="text1"/>
          <w:shd w:val="clear" w:color="auto" w:fill="FFFFFF"/>
          <w:lang w:val="en-US"/>
        </w:rPr>
        <w:t>O</w:t>
      </w:r>
      <w:r w:rsidRPr="00B60E27">
        <w:rPr>
          <w:color w:val="000000" w:themeColor="text1"/>
          <w:lang w:val="en-US"/>
        </w:rPr>
        <w:t xml:space="preserve">, </w:t>
      </w:r>
      <w:r w:rsidRPr="00B60E27">
        <w:rPr>
          <w:color w:val="000000" w:themeColor="text1"/>
          <w:shd w:val="clear" w:color="auto" w:fill="FFFFFF"/>
          <w:lang w:val="en-US"/>
        </w:rPr>
        <w:t>171.1453</w:t>
      </w:r>
      <w:r w:rsidRPr="00B60E27">
        <w:rPr>
          <w:color w:val="000000" w:themeColor="text1"/>
          <w:lang w:val="en-US"/>
        </w:rPr>
        <w:t xml:space="preserve">; found, </w:t>
      </w:r>
      <w:r w:rsidRPr="00B60E27">
        <w:rPr>
          <w:color w:val="000000" w:themeColor="text1"/>
          <w:shd w:val="clear" w:color="auto" w:fill="FFFFFF"/>
          <w:lang w:val="en-US"/>
        </w:rPr>
        <w:t>171.1497</w:t>
      </w:r>
      <w:r w:rsidRPr="00B60E27">
        <w:rPr>
          <w:color w:val="000000" w:themeColor="text1"/>
          <w:lang w:val="en-US"/>
        </w:rPr>
        <w:t>.</w:t>
      </w:r>
    </w:p>
    <w:p w14:paraId="3F6E5A04" w14:textId="0DE7B647" w:rsidR="006B0AA2" w:rsidRPr="00B60E27" w:rsidRDefault="006B0AA2" w:rsidP="006B0AA2">
      <w:pPr>
        <w:spacing w:line="480" w:lineRule="auto"/>
        <w:jc w:val="both"/>
        <w:rPr>
          <w:color w:val="000000" w:themeColor="text1"/>
          <w:lang w:val="en-US"/>
        </w:rPr>
      </w:pPr>
      <w:r w:rsidRPr="00B60E27">
        <w:rPr>
          <w:color w:val="000000" w:themeColor="text1"/>
          <w:lang w:val="en-US"/>
        </w:rPr>
        <w:t xml:space="preserve">A thiol group was added to the allyl-HU by dissolving 1 eq. of allyl-HU in 15 eq. of 1,6-hexanedithiol along with 0.5 eq. DMPA photoinitiator. Once dissolved, the solution was placed on a low-power UV source (bug zapper) for 30 minutes. The resulting thio-HU molecule was purified by loading the crude mixture onto a silica column with 9:1 hexanes:ethyl acetate. This 9:1 mixture pushed the excess dithiol and initiator fragments through, while retaining the </w:t>
      </w:r>
      <w:r w:rsidRPr="00B60E27">
        <w:rPr>
          <w:color w:val="000000" w:themeColor="text1"/>
          <w:lang w:val="en-US"/>
        </w:rPr>
        <w:lastRenderedPageBreak/>
        <w:t xml:space="preserve">product in the column. The product was then flushed from the column using pure ethyl acetate. Thio-HU was then dried as a yellow oil before characterization with </w:t>
      </w:r>
      <w:r w:rsidRPr="00B60E27">
        <w:rPr>
          <w:color w:val="000000" w:themeColor="text1"/>
          <w:vertAlign w:val="superscript"/>
          <w:lang w:val="en-US"/>
        </w:rPr>
        <w:t>1</w:t>
      </w:r>
      <w:r w:rsidRPr="00B60E27">
        <w:rPr>
          <w:color w:val="000000" w:themeColor="text1"/>
          <w:lang w:val="en-US"/>
        </w:rPr>
        <w:t>H NMR</w:t>
      </w:r>
      <w:r w:rsidR="00EC4F49">
        <w:rPr>
          <w:color w:val="000000" w:themeColor="text1"/>
          <w:lang w:val="en-US"/>
        </w:rPr>
        <w:t xml:space="preserve">, </w:t>
      </w:r>
      <w:r w:rsidR="00EC4F49" w:rsidRPr="00B60E27">
        <w:rPr>
          <w:color w:val="000000" w:themeColor="text1"/>
          <w:vertAlign w:val="superscript"/>
          <w:lang w:val="en-US"/>
        </w:rPr>
        <w:t>13</w:t>
      </w:r>
      <w:r w:rsidR="00EC4F49" w:rsidRPr="00B60E27">
        <w:rPr>
          <w:color w:val="000000" w:themeColor="text1"/>
          <w:lang w:val="en-US"/>
        </w:rPr>
        <w:t>C NMR</w:t>
      </w:r>
      <w:r w:rsidR="00EC4F49">
        <w:rPr>
          <w:color w:val="000000" w:themeColor="text1"/>
          <w:lang w:val="en-US"/>
        </w:rPr>
        <w:t>,</w:t>
      </w:r>
      <w:r w:rsidRPr="00B60E27">
        <w:rPr>
          <w:color w:val="000000" w:themeColor="text1"/>
          <w:lang w:val="en-US"/>
        </w:rPr>
        <w:t xml:space="preserve"> and high resolution mass spectrometry. </w:t>
      </w:r>
      <w:r w:rsidRPr="00B60E27">
        <w:rPr>
          <w:color w:val="000000" w:themeColor="text1"/>
          <w:vertAlign w:val="superscript"/>
          <w:lang w:val="en-US"/>
        </w:rPr>
        <w:t>1</w:t>
      </w:r>
      <w:r w:rsidRPr="00B60E27">
        <w:rPr>
          <w:color w:val="000000" w:themeColor="text1"/>
          <w:lang w:val="en-US"/>
        </w:rPr>
        <w:t>H NMR (400 MHz, CDCl</w:t>
      </w:r>
      <w:r w:rsidRPr="00B60E27">
        <w:rPr>
          <w:color w:val="000000" w:themeColor="text1"/>
          <w:vertAlign w:val="subscript"/>
          <w:lang w:val="en-US"/>
        </w:rPr>
        <w:t>3</w:t>
      </w:r>
      <w:r w:rsidRPr="00B60E27">
        <w:rPr>
          <w:color w:val="000000" w:themeColor="text1"/>
          <w:lang w:val="en-US"/>
        </w:rPr>
        <w:t xml:space="preserve">) </w:t>
      </w:r>
      <w:r w:rsidRPr="00B60E27">
        <w:rPr>
          <w:color w:val="000000" w:themeColor="text1"/>
        </w:rPr>
        <w:t>δ</w:t>
      </w:r>
      <w:r w:rsidRPr="00B60E27">
        <w:rPr>
          <w:color w:val="000000" w:themeColor="text1"/>
          <w:lang w:val="en-US"/>
        </w:rPr>
        <w:t xml:space="preserve"> 4.51 (br, 1H), 3.27 (td, </w:t>
      </w:r>
      <w:r w:rsidRPr="00B60E27">
        <w:rPr>
          <w:i/>
          <w:iCs/>
          <w:color w:val="000000" w:themeColor="text1"/>
          <w:lang w:val="en-US"/>
        </w:rPr>
        <w:t>J</w:t>
      </w:r>
      <w:r w:rsidRPr="00B60E27">
        <w:rPr>
          <w:color w:val="000000" w:themeColor="text1"/>
          <w:lang w:val="en-US"/>
        </w:rPr>
        <w:t xml:space="preserve"> = 6.7, 5.6 Hz, 2H), 2.80 (s, 3H), 2.57 – 2.44 (m, 6H), 1.78 (qi, </w:t>
      </w:r>
      <w:r w:rsidRPr="00B60E27">
        <w:rPr>
          <w:i/>
          <w:iCs/>
          <w:color w:val="000000" w:themeColor="text1"/>
          <w:lang w:val="en-US"/>
        </w:rPr>
        <w:t>J</w:t>
      </w:r>
      <w:r w:rsidRPr="00B60E27">
        <w:rPr>
          <w:color w:val="000000" w:themeColor="text1"/>
          <w:lang w:val="en-US"/>
        </w:rPr>
        <w:t xml:space="preserve"> = 6.9 Hz, 2H), 1.65 – 1.50 (m, 4H), 1.37 (m, 13H), 1.31 (t, </w:t>
      </w:r>
      <w:r w:rsidRPr="00B60E27">
        <w:rPr>
          <w:i/>
          <w:iCs/>
          <w:color w:val="000000" w:themeColor="text1"/>
          <w:lang w:val="en-US"/>
        </w:rPr>
        <w:t>J</w:t>
      </w:r>
      <w:r w:rsidRPr="00B60E27">
        <w:rPr>
          <w:color w:val="000000" w:themeColor="text1"/>
          <w:lang w:val="en-US"/>
        </w:rPr>
        <w:t xml:space="preserve"> = 7.8 Hz, 1H). </w:t>
      </w:r>
      <w:r w:rsidRPr="00B60E27">
        <w:rPr>
          <w:color w:val="000000" w:themeColor="text1"/>
          <w:vertAlign w:val="superscript"/>
          <w:lang w:val="en-US"/>
        </w:rPr>
        <w:t>13</w:t>
      </w:r>
      <w:r w:rsidRPr="00B60E27">
        <w:rPr>
          <w:color w:val="000000" w:themeColor="text1"/>
          <w:lang w:val="en-US"/>
        </w:rPr>
        <w:t>C NMR (101 MHz, CDCl</w:t>
      </w:r>
      <w:r w:rsidRPr="00B60E27">
        <w:rPr>
          <w:color w:val="000000" w:themeColor="text1"/>
          <w:vertAlign w:val="subscript"/>
          <w:lang w:val="en-US"/>
        </w:rPr>
        <w:t>3</w:t>
      </w:r>
      <w:r w:rsidRPr="00B60E27">
        <w:rPr>
          <w:color w:val="000000" w:themeColor="text1"/>
          <w:lang w:val="en-US"/>
        </w:rPr>
        <w:t xml:space="preserve">) </w:t>
      </w:r>
      <w:r w:rsidRPr="00B60E27">
        <w:rPr>
          <w:color w:val="000000" w:themeColor="text1"/>
        </w:rPr>
        <w:t>δ</w:t>
      </w:r>
      <w:r w:rsidRPr="00B60E27">
        <w:rPr>
          <w:color w:val="000000" w:themeColor="text1"/>
          <w:lang w:val="en-US"/>
        </w:rPr>
        <w:t xml:space="preserve"> 159.36 (C = O), 55.62 (C), 40.08 (C – N), 33.94 (CH</w:t>
      </w:r>
      <w:r w:rsidRPr="00B60E27">
        <w:rPr>
          <w:color w:val="000000" w:themeColor="text1"/>
          <w:vertAlign w:val="subscript"/>
          <w:lang w:val="en-US"/>
        </w:rPr>
        <w:t>2</w:t>
      </w:r>
      <w:r w:rsidRPr="00B60E27">
        <w:rPr>
          <w:color w:val="000000" w:themeColor="text1"/>
          <w:lang w:val="en-US"/>
        </w:rPr>
        <w:t>), 32.16 (S – C), 31.88 (CH</w:t>
      </w:r>
      <w:r w:rsidRPr="00B60E27">
        <w:rPr>
          <w:color w:val="000000" w:themeColor="text1"/>
          <w:vertAlign w:val="subscript"/>
          <w:lang w:val="en-US"/>
        </w:rPr>
        <w:t>3</w:t>
      </w:r>
      <w:r w:rsidRPr="00B60E27">
        <w:rPr>
          <w:color w:val="000000" w:themeColor="text1"/>
          <w:lang w:val="en-US"/>
        </w:rPr>
        <w:t>), 30.01 (CH</w:t>
      </w:r>
      <w:r w:rsidRPr="00B60E27">
        <w:rPr>
          <w:color w:val="000000" w:themeColor="text1"/>
          <w:vertAlign w:val="subscript"/>
          <w:lang w:val="en-US"/>
        </w:rPr>
        <w:t>2</w:t>
      </w:r>
      <w:r w:rsidRPr="00B60E27">
        <w:rPr>
          <w:color w:val="000000" w:themeColor="text1"/>
          <w:lang w:val="en-US"/>
        </w:rPr>
        <w:t>), 29.96 (CH</w:t>
      </w:r>
      <w:r w:rsidRPr="00B60E27">
        <w:rPr>
          <w:color w:val="000000" w:themeColor="text1"/>
          <w:vertAlign w:val="subscript"/>
          <w:lang w:val="en-US"/>
        </w:rPr>
        <w:t>2</w:t>
      </w:r>
      <w:r w:rsidRPr="00B60E27">
        <w:rPr>
          <w:color w:val="000000" w:themeColor="text1"/>
          <w:lang w:val="en-US"/>
        </w:rPr>
        <w:t>), 29.51 (CH</w:t>
      </w:r>
      <w:r w:rsidRPr="00B60E27">
        <w:rPr>
          <w:color w:val="000000" w:themeColor="text1"/>
          <w:vertAlign w:val="subscript"/>
          <w:lang w:val="en-US"/>
        </w:rPr>
        <w:t>2</w:t>
      </w:r>
      <w:r w:rsidRPr="00B60E27">
        <w:rPr>
          <w:color w:val="000000" w:themeColor="text1"/>
          <w:lang w:val="en-US"/>
        </w:rPr>
        <w:t>), 29.08 (3CH</w:t>
      </w:r>
      <w:r w:rsidRPr="00B60E27">
        <w:rPr>
          <w:color w:val="000000" w:themeColor="text1"/>
          <w:vertAlign w:val="subscript"/>
          <w:lang w:val="en-US"/>
        </w:rPr>
        <w:t>3</w:t>
      </w:r>
      <w:r w:rsidRPr="00B60E27">
        <w:rPr>
          <w:color w:val="000000" w:themeColor="text1"/>
          <w:lang w:val="en-US"/>
        </w:rPr>
        <w:t>), 28.39 (CH</w:t>
      </w:r>
      <w:r w:rsidRPr="00B60E27">
        <w:rPr>
          <w:color w:val="000000" w:themeColor="text1"/>
          <w:vertAlign w:val="subscript"/>
          <w:lang w:val="en-US"/>
        </w:rPr>
        <w:t>2</w:t>
      </w:r>
      <w:r w:rsidRPr="00B60E27">
        <w:rPr>
          <w:color w:val="000000" w:themeColor="text1"/>
          <w:lang w:val="en-US"/>
        </w:rPr>
        <w:t>), 28.02 (CH</w:t>
      </w:r>
      <w:r w:rsidRPr="00B60E27">
        <w:rPr>
          <w:color w:val="000000" w:themeColor="text1"/>
          <w:vertAlign w:val="subscript"/>
          <w:lang w:val="en-US"/>
        </w:rPr>
        <w:t>2</w:t>
      </w:r>
      <w:r w:rsidRPr="00B60E27">
        <w:rPr>
          <w:color w:val="000000" w:themeColor="text1"/>
          <w:lang w:val="en-US"/>
        </w:rPr>
        <w:t>), 24.64 (CH</w:t>
      </w:r>
      <w:r w:rsidRPr="00B60E27">
        <w:rPr>
          <w:color w:val="000000" w:themeColor="text1"/>
          <w:vertAlign w:val="subscript"/>
          <w:lang w:val="en-US"/>
        </w:rPr>
        <w:t>2</w:t>
      </w:r>
      <w:r w:rsidRPr="00B60E27">
        <w:rPr>
          <w:color w:val="000000" w:themeColor="text1"/>
          <w:lang w:val="en-US"/>
        </w:rPr>
        <w:t xml:space="preserve">). HRMS (ESI) </w:t>
      </w:r>
      <w:r w:rsidRPr="00B60E27">
        <w:rPr>
          <w:i/>
          <w:color w:val="000000" w:themeColor="text1"/>
          <w:lang w:val="en-US"/>
        </w:rPr>
        <w:t>m</w:t>
      </w:r>
      <w:r w:rsidRPr="00B60E27">
        <w:rPr>
          <w:color w:val="000000" w:themeColor="text1"/>
          <w:lang w:val="en-US"/>
        </w:rPr>
        <w:t>/</w:t>
      </w:r>
      <w:r w:rsidRPr="00B60E27">
        <w:rPr>
          <w:i/>
          <w:color w:val="000000" w:themeColor="text1"/>
          <w:lang w:val="en-US"/>
        </w:rPr>
        <w:t>z</w:t>
      </w:r>
      <w:r w:rsidRPr="00B60E27">
        <w:rPr>
          <w:color w:val="000000" w:themeColor="text1"/>
          <w:lang w:val="en-US"/>
        </w:rPr>
        <w:t>: [M + H]</w:t>
      </w:r>
      <w:r w:rsidRPr="00B60E27">
        <w:rPr>
          <w:color w:val="000000" w:themeColor="text1"/>
          <w:vertAlign w:val="superscript"/>
          <w:lang w:val="en-US"/>
        </w:rPr>
        <w:t>+</w:t>
      </w:r>
      <w:r w:rsidRPr="00B60E27">
        <w:rPr>
          <w:color w:val="000000" w:themeColor="text1"/>
          <w:lang w:val="en-US"/>
        </w:rPr>
        <w:t xml:space="preserve"> calcd for </w:t>
      </w:r>
      <w:r w:rsidRPr="00B60E27">
        <w:rPr>
          <w:color w:val="000000" w:themeColor="text1"/>
          <w:shd w:val="clear" w:color="auto" w:fill="FFFFFF"/>
          <w:lang w:val="en-US"/>
        </w:rPr>
        <w:t>C</w:t>
      </w:r>
      <w:r w:rsidRPr="00B60E27">
        <w:rPr>
          <w:color w:val="000000" w:themeColor="text1"/>
          <w:shd w:val="clear" w:color="auto" w:fill="FFFFFF"/>
          <w:vertAlign w:val="subscript"/>
          <w:lang w:val="en-US"/>
        </w:rPr>
        <w:t>15</w:t>
      </w:r>
      <w:r w:rsidRPr="00B60E27">
        <w:rPr>
          <w:color w:val="000000" w:themeColor="text1"/>
          <w:shd w:val="clear" w:color="auto" w:fill="FFFFFF"/>
          <w:lang w:val="en-US"/>
        </w:rPr>
        <w:t>H</w:t>
      </w:r>
      <w:r w:rsidRPr="00B60E27">
        <w:rPr>
          <w:color w:val="000000" w:themeColor="text1"/>
          <w:shd w:val="clear" w:color="auto" w:fill="FFFFFF"/>
          <w:vertAlign w:val="subscript"/>
          <w:lang w:val="en-US"/>
        </w:rPr>
        <w:t>32</w:t>
      </w:r>
      <w:r w:rsidRPr="00B60E27">
        <w:rPr>
          <w:color w:val="000000" w:themeColor="text1"/>
          <w:shd w:val="clear" w:color="auto" w:fill="FFFFFF"/>
          <w:lang w:val="en-US"/>
        </w:rPr>
        <w:t>N</w:t>
      </w:r>
      <w:r w:rsidRPr="00B60E27">
        <w:rPr>
          <w:color w:val="000000" w:themeColor="text1"/>
          <w:shd w:val="clear" w:color="auto" w:fill="FFFFFF"/>
          <w:vertAlign w:val="subscript"/>
          <w:lang w:val="en-US"/>
        </w:rPr>
        <w:t>2</w:t>
      </w:r>
      <w:r w:rsidRPr="00B60E27">
        <w:rPr>
          <w:color w:val="000000" w:themeColor="text1"/>
          <w:shd w:val="clear" w:color="auto" w:fill="FFFFFF"/>
          <w:lang w:val="en-US"/>
        </w:rPr>
        <w:t>OS</w:t>
      </w:r>
      <w:r w:rsidRPr="00B60E27">
        <w:rPr>
          <w:color w:val="000000" w:themeColor="text1"/>
          <w:shd w:val="clear" w:color="auto" w:fill="FFFFFF"/>
          <w:vertAlign w:val="subscript"/>
          <w:lang w:val="en-US"/>
        </w:rPr>
        <w:t>2</w:t>
      </w:r>
      <w:r w:rsidRPr="00B60E27">
        <w:rPr>
          <w:color w:val="000000" w:themeColor="text1"/>
          <w:lang w:val="en-US"/>
        </w:rPr>
        <w:t xml:space="preserve">, </w:t>
      </w:r>
      <w:r w:rsidRPr="00B60E27">
        <w:rPr>
          <w:color w:val="000000" w:themeColor="text1"/>
          <w:shd w:val="clear" w:color="auto" w:fill="FFFFFF"/>
          <w:lang w:val="en-US"/>
        </w:rPr>
        <w:t>321.1990</w:t>
      </w:r>
      <w:r w:rsidRPr="00B60E27">
        <w:rPr>
          <w:color w:val="000000" w:themeColor="text1"/>
          <w:lang w:val="en-US"/>
        </w:rPr>
        <w:t xml:space="preserve">; found, </w:t>
      </w:r>
      <w:r w:rsidRPr="00B60E27">
        <w:rPr>
          <w:color w:val="000000" w:themeColor="text1"/>
          <w:shd w:val="clear" w:color="auto" w:fill="FFFFFF"/>
          <w:lang w:val="en-US"/>
        </w:rPr>
        <w:t>321.2041</w:t>
      </w:r>
      <w:r w:rsidRPr="00B60E27">
        <w:rPr>
          <w:color w:val="000000" w:themeColor="text1"/>
          <w:lang w:val="en-US"/>
        </w:rPr>
        <w:t>.</w:t>
      </w:r>
    </w:p>
    <w:p w14:paraId="07801B68" w14:textId="77777777" w:rsidR="006B0AA2" w:rsidRPr="00B60E27" w:rsidRDefault="006B0AA2" w:rsidP="006B0AA2">
      <w:pPr>
        <w:pStyle w:val="ListParagraph"/>
        <w:numPr>
          <w:ilvl w:val="2"/>
          <w:numId w:val="2"/>
        </w:numPr>
        <w:spacing w:line="480" w:lineRule="auto"/>
        <w:jc w:val="both"/>
        <w:rPr>
          <w:color w:val="000000" w:themeColor="text1"/>
          <w:lang w:val="en-US"/>
        </w:rPr>
      </w:pPr>
      <w:r w:rsidRPr="00B60E27">
        <w:rPr>
          <w:color w:val="000000" w:themeColor="text1"/>
          <w:lang w:val="en-US"/>
        </w:rPr>
        <w:t>Synthesis of Hindered Urea-Terminated PBA (PBA-HU)</w:t>
      </w:r>
    </w:p>
    <w:p w14:paraId="58A810FD" w14:textId="77777777" w:rsidR="006B0AA2" w:rsidRPr="00B60E27" w:rsidRDefault="006B0AA2" w:rsidP="006B0AA2">
      <w:pPr>
        <w:spacing w:line="480" w:lineRule="auto"/>
        <w:jc w:val="both"/>
        <w:rPr>
          <w:color w:val="000000" w:themeColor="text1"/>
        </w:rPr>
      </w:pPr>
      <w:r w:rsidRPr="00B60E27">
        <w:rPr>
          <w:color w:val="000000" w:themeColor="text1"/>
          <w:lang w:val="en-US"/>
        </w:rPr>
        <w:t xml:space="preserve">Thio-HU was added to PBA-Br chain ends via nucleophilic substitution. The bromine-terminated polymer (1 eq.) was dissolved in acetone at 500 mg/mL along with TEA (10 eq.). The solution was then purged with inert gas for 5 minutes before adding thio-HU (2 eq.). The reaction was allowed to proceed for 24 hours before another 2 eq. of thio-HU were added under inert atmosphere. This process was repeated until 5 total additions were made, totaling 10 eq. of thio-HU. The resulting HU-terminated PBA-HU was purified by running the crude solution through a silica plug with 65:35 hexanes:ethyl acetate, where the PBA-HU eluted first, followed by the other reagents. The products were then dried before characterization with </w:t>
      </w:r>
      <w:r w:rsidRPr="00B60E27">
        <w:rPr>
          <w:color w:val="000000" w:themeColor="text1"/>
          <w:vertAlign w:val="superscript"/>
          <w:lang w:val="en-US"/>
        </w:rPr>
        <w:t>1</w:t>
      </w:r>
      <w:r w:rsidRPr="00B60E27">
        <w:rPr>
          <w:color w:val="000000" w:themeColor="text1"/>
          <w:lang w:val="en-US"/>
        </w:rPr>
        <w:t xml:space="preserve">H NMR and SEC. </w:t>
      </w:r>
      <w:r w:rsidRPr="00B60E27">
        <w:rPr>
          <w:color w:val="000000" w:themeColor="text1"/>
          <w:vertAlign w:val="superscript"/>
          <w:lang w:val="en-US"/>
        </w:rPr>
        <w:t>1</w:t>
      </w:r>
      <w:r w:rsidRPr="00B60E27">
        <w:rPr>
          <w:color w:val="000000" w:themeColor="text1"/>
          <w:lang w:val="en-US"/>
        </w:rPr>
        <w:t>H NMR (400 MHz, CDCl</w:t>
      </w:r>
      <w:r w:rsidRPr="00B60E27">
        <w:rPr>
          <w:color w:val="000000" w:themeColor="text1"/>
          <w:vertAlign w:val="subscript"/>
          <w:lang w:val="en-US"/>
        </w:rPr>
        <w:t>3</w:t>
      </w:r>
      <w:r w:rsidRPr="00B60E27">
        <w:rPr>
          <w:color w:val="000000" w:themeColor="text1"/>
          <w:lang w:val="en-US"/>
        </w:rPr>
        <w:t>) δ 4.51 (br, 1H), 4.03 (m, backbone), 3.29 (m, 2H), 2.81 (s, 3H), 2.52 (m, 6H), 2.27 (m, backbone), 1.90 (m, backbone), 1.80 (m, 4H), 1.60 (m, backbone), 1.39 (s, 9H), 1.37 (m, backbone), 0.93 (m, backbone). SEC (THF) M</w:t>
      </w:r>
      <w:r w:rsidRPr="00B60E27">
        <w:rPr>
          <w:color w:val="000000" w:themeColor="text1"/>
          <w:vertAlign w:val="subscript"/>
          <w:lang w:val="en-US"/>
        </w:rPr>
        <w:t>n</w:t>
      </w:r>
      <w:r w:rsidRPr="00B60E27">
        <w:rPr>
          <w:color w:val="000000" w:themeColor="text1"/>
          <w:lang w:val="en-US"/>
        </w:rPr>
        <w:t xml:space="preserve"> = 11,900 g/mol, Ð = 1.04.</w:t>
      </w:r>
    </w:p>
    <w:p w14:paraId="42A09A31" w14:textId="77777777" w:rsidR="006B0AA2" w:rsidRPr="00B60E27" w:rsidRDefault="006B0AA2" w:rsidP="006B0AA2">
      <w:pPr>
        <w:pStyle w:val="ListParagraph"/>
        <w:numPr>
          <w:ilvl w:val="2"/>
          <w:numId w:val="2"/>
        </w:numPr>
        <w:spacing w:line="480" w:lineRule="auto"/>
        <w:jc w:val="both"/>
        <w:rPr>
          <w:color w:val="000000" w:themeColor="text1"/>
          <w:lang w:val="en-US"/>
        </w:rPr>
      </w:pPr>
      <w:r w:rsidRPr="00B60E27">
        <w:rPr>
          <w:color w:val="000000" w:themeColor="text1"/>
          <w:lang w:val="en-US"/>
        </w:rPr>
        <w:t xml:space="preserve">Functionalization of </w:t>
      </w:r>
      <w:r w:rsidRPr="00B60E27">
        <w:rPr>
          <w:i/>
          <w:iCs/>
          <w:color w:val="000000" w:themeColor="text1"/>
          <w:lang w:val="en-US"/>
        </w:rPr>
        <w:t>c</w:t>
      </w:r>
      <w:r w:rsidRPr="00B60E27">
        <w:rPr>
          <w:color w:val="000000" w:themeColor="text1"/>
          <w:lang w:val="en-US"/>
        </w:rPr>
        <w:t>-CNC-</w:t>
      </w:r>
      <w:r w:rsidRPr="00B60E27">
        <w:rPr>
          <w:i/>
          <w:iCs/>
          <w:color w:val="000000" w:themeColor="text1"/>
          <w:lang w:val="en-US"/>
        </w:rPr>
        <w:t>g</w:t>
      </w:r>
      <w:r w:rsidRPr="00B60E27">
        <w:rPr>
          <w:color w:val="000000" w:themeColor="text1"/>
          <w:lang w:val="en-US"/>
        </w:rPr>
        <w:t>-</w:t>
      </w:r>
      <w:r w:rsidRPr="00B60E27">
        <w:rPr>
          <w:i/>
          <w:iCs/>
          <w:color w:val="000000" w:themeColor="text1"/>
          <w:lang w:val="en-US"/>
        </w:rPr>
        <w:t>Polymer</w:t>
      </w:r>
      <w:r w:rsidRPr="00B60E27">
        <w:rPr>
          <w:color w:val="000000" w:themeColor="text1"/>
          <w:lang w:val="en-US"/>
        </w:rPr>
        <w:t xml:space="preserve"> in Melt </w:t>
      </w:r>
    </w:p>
    <w:p w14:paraId="2648334D" w14:textId="77777777" w:rsidR="006B0AA2" w:rsidRPr="00B60E27" w:rsidRDefault="006B0AA2" w:rsidP="006B0AA2">
      <w:pPr>
        <w:spacing w:line="480" w:lineRule="auto"/>
        <w:jc w:val="both"/>
        <w:rPr>
          <w:color w:val="000000" w:themeColor="text1"/>
          <w:lang w:val="en-US"/>
        </w:rPr>
      </w:pPr>
      <w:r w:rsidRPr="00B60E27">
        <w:rPr>
          <w:color w:val="000000" w:themeColor="text1"/>
          <w:lang w:val="en-US"/>
        </w:rPr>
        <w:t xml:space="preserve">The </w:t>
      </w:r>
      <w:r w:rsidRPr="00B60E27">
        <w:rPr>
          <w:i/>
          <w:iCs/>
          <w:color w:val="000000" w:themeColor="text1"/>
          <w:lang w:val="en-US"/>
        </w:rPr>
        <w:t>c</w:t>
      </w:r>
      <w:r w:rsidRPr="00B60E27">
        <w:rPr>
          <w:color w:val="000000" w:themeColor="text1"/>
          <w:lang w:val="en-US"/>
        </w:rPr>
        <w:t xml:space="preserve">-CNC-COOH (30 to 200 mg) were dispersed in 25 mL of deionized water by ultrasonication for 15 min, then solvent exchanged into acetone (see below). Relative to the CNC mass, hindered-urea-terminated polymer of the desired molar ratio was added to the CNC suspension and placed in a sonic bath until completely dissolved. The solvent was removed </w:t>
      </w:r>
      <w:r w:rsidRPr="00B60E27">
        <w:rPr>
          <w:color w:val="000000" w:themeColor="text1"/>
          <w:lang w:val="en-US"/>
        </w:rPr>
        <w:lastRenderedPageBreak/>
        <w:t>under high vacuum overnight to yield a dried powder. Once dry, the mixture was placed in an oil bath at 130°C and 120 mbar vacuum was applied to pull off the released volatile amine. After 2</w:t>
      </w:r>
      <w:bookmarkStart w:id="4" w:name="_Hlk139965893"/>
      <w:r w:rsidRPr="00B60E27">
        <w:rPr>
          <w:color w:val="000000" w:themeColor="text1"/>
          <w:lang w:val="en-US"/>
        </w:rPr>
        <w:t xml:space="preserve"> hours, heat was removed and a mixture of water/acetone in a 1:1 ratio (50 mL) was added to the PEG grafting reactions, or THF for PCL and PBA reactions</w:t>
      </w:r>
      <w:bookmarkEnd w:id="4"/>
      <w:r w:rsidRPr="00B60E27">
        <w:rPr>
          <w:color w:val="000000" w:themeColor="text1"/>
          <w:lang w:val="en-US"/>
        </w:rPr>
        <w:t xml:space="preserve">. </w:t>
      </w:r>
      <w:bookmarkStart w:id="5" w:name="_Hlk142058882"/>
      <w:r w:rsidRPr="00B60E27">
        <w:rPr>
          <w:color w:val="000000" w:themeColor="text1"/>
          <w:lang w:val="en-US"/>
        </w:rPr>
        <w:t xml:space="preserve">The mixture was centrifuged and resuspended in the same solvent 10 times to remove non-attached polymer. The resulting </w:t>
      </w:r>
      <w:r w:rsidRPr="00B60E27">
        <w:rPr>
          <w:i/>
          <w:iCs/>
          <w:color w:val="000000" w:themeColor="text1"/>
          <w:lang w:val="en-US"/>
        </w:rPr>
        <w:t>c</w:t>
      </w:r>
      <w:r w:rsidRPr="00B60E27">
        <w:rPr>
          <w:color w:val="000000" w:themeColor="text1"/>
          <w:lang w:val="en-US"/>
        </w:rPr>
        <w:t>-CNC-</w:t>
      </w:r>
      <w:r w:rsidRPr="00B60E27">
        <w:rPr>
          <w:i/>
          <w:iCs/>
          <w:color w:val="000000" w:themeColor="text1"/>
          <w:lang w:val="en-US"/>
        </w:rPr>
        <w:t>g</w:t>
      </w:r>
      <w:r w:rsidRPr="00B60E27">
        <w:rPr>
          <w:color w:val="000000" w:themeColor="text1"/>
          <w:lang w:val="en-US"/>
        </w:rPr>
        <w:t>-</w:t>
      </w:r>
      <w:r w:rsidRPr="00B60E27">
        <w:rPr>
          <w:i/>
          <w:iCs/>
          <w:color w:val="000000" w:themeColor="text1"/>
          <w:lang w:val="en-US"/>
        </w:rPr>
        <w:t>Polymer</w:t>
      </w:r>
      <w:r w:rsidRPr="00B60E27">
        <w:rPr>
          <w:color w:val="000000" w:themeColor="text1"/>
          <w:lang w:val="en-US"/>
        </w:rPr>
        <w:t xml:space="preserve"> were suspended in water and freeze-dried to obtain a fluffy powder.</w:t>
      </w:r>
    </w:p>
    <w:bookmarkEnd w:id="5"/>
    <w:p w14:paraId="3AE4E139" w14:textId="77777777" w:rsidR="006B0AA2" w:rsidRPr="00B60E27" w:rsidRDefault="006B0AA2" w:rsidP="006B0AA2">
      <w:pPr>
        <w:pStyle w:val="ListParagraph"/>
        <w:numPr>
          <w:ilvl w:val="2"/>
          <w:numId w:val="2"/>
        </w:numPr>
        <w:spacing w:line="480" w:lineRule="auto"/>
        <w:rPr>
          <w:color w:val="000000" w:themeColor="text1"/>
          <w:lang w:val="en-US"/>
        </w:rPr>
      </w:pPr>
      <w:r w:rsidRPr="00B60E27">
        <w:rPr>
          <w:color w:val="000000" w:themeColor="text1"/>
          <w:lang w:val="en-US"/>
        </w:rPr>
        <w:t>Measuring Non-Grafted Polymer Chains</w:t>
      </w:r>
    </w:p>
    <w:p w14:paraId="79A10FC9" w14:textId="77777777" w:rsidR="006B0AA2" w:rsidRPr="00B60E27" w:rsidRDefault="006B0AA2" w:rsidP="006B0AA2">
      <w:pPr>
        <w:spacing w:line="480" w:lineRule="auto"/>
        <w:jc w:val="both"/>
        <w:rPr>
          <w:color w:val="000000" w:themeColor="text1"/>
          <w:lang w:val="en-US"/>
        </w:rPr>
      </w:pPr>
      <w:r w:rsidRPr="00B60E27">
        <w:rPr>
          <w:color w:val="000000" w:themeColor="text1"/>
          <w:lang w:val="en-US"/>
        </w:rPr>
        <w:t xml:space="preserve">A UV-Vis calibration curve was created for PEG-DO3 in 1:1 water/acetone mixture from 100 mM to 10 nM. The functionalization of </w:t>
      </w:r>
      <w:r w:rsidRPr="00B60E27">
        <w:rPr>
          <w:i/>
          <w:iCs/>
          <w:color w:val="000000" w:themeColor="text1"/>
          <w:lang w:val="en-US"/>
        </w:rPr>
        <w:t>c</w:t>
      </w:r>
      <w:r w:rsidRPr="00B60E27">
        <w:rPr>
          <w:color w:val="000000" w:themeColor="text1"/>
          <w:lang w:val="en-US"/>
        </w:rPr>
        <w:t>-CNC-</w:t>
      </w:r>
      <w:r w:rsidRPr="00B60E27">
        <w:rPr>
          <w:i/>
          <w:iCs/>
          <w:color w:val="000000" w:themeColor="text1"/>
          <w:lang w:val="en-US"/>
        </w:rPr>
        <w:t>g</w:t>
      </w:r>
      <w:r w:rsidRPr="00B60E27">
        <w:rPr>
          <w:color w:val="000000" w:themeColor="text1"/>
          <w:lang w:val="en-US"/>
        </w:rPr>
        <w:t>-PEG was carried out as described before. After the grafting reaction was completed, a mixture of water/acetone in a 1:1 ratio (50 mL) containing 1 eq. of PEG-DO3 (relative to the PEG-HU added to the original reaction) was added to the medium. The mixture was centrifuged and resuspended in the same solvent couple, and the supernatants were analyzed with UV-Vis spectroscopy to track the removal of non-grafted polymer.</w:t>
      </w:r>
    </w:p>
    <w:p w14:paraId="32E7882F" w14:textId="77777777" w:rsidR="006B0AA2" w:rsidRPr="00B60E27" w:rsidRDefault="006B0AA2" w:rsidP="006B0AA2">
      <w:pPr>
        <w:pStyle w:val="ListParagraph"/>
        <w:numPr>
          <w:ilvl w:val="2"/>
          <w:numId w:val="2"/>
        </w:numPr>
        <w:spacing w:line="480" w:lineRule="auto"/>
        <w:jc w:val="both"/>
        <w:rPr>
          <w:color w:val="000000" w:themeColor="text1"/>
          <w:lang w:val="en-US"/>
        </w:rPr>
      </w:pPr>
      <w:r w:rsidRPr="00B60E27">
        <w:rPr>
          <w:color w:val="000000" w:themeColor="text1"/>
          <w:lang w:val="en-US"/>
        </w:rPr>
        <w:t>Solvent Exchange of CNCs</w:t>
      </w:r>
    </w:p>
    <w:p w14:paraId="776037C8" w14:textId="77777777" w:rsidR="006B0AA2" w:rsidRPr="00B60E27" w:rsidRDefault="006B0AA2" w:rsidP="006B0AA2">
      <w:pPr>
        <w:spacing w:line="480" w:lineRule="auto"/>
        <w:jc w:val="both"/>
        <w:rPr>
          <w:color w:val="000000" w:themeColor="text1"/>
          <w:lang w:val="en-US"/>
        </w:rPr>
      </w:pPr>
      <w:r w:rsidRPr="00B60E27">
        <w:rPr>
          <w:color w:val="000000" w:themeColor="text1"/>
          <w:lang w:val="en-US"/>
        </w:rPr>
        <w:t>To disperse CNCs in non-aqueous solvents such as acetone, solvent exchange can be done to improve the quality of the suspension. In essence, 100 mg of CNCs are dispersed in 20 mL of DI water in a centrifuge tube using an ultrasonic bath before adding 20 mL of acetone. After mixing, the acetone/water suspension is centrifuged (10,000 g for 10 minutes) and the supernatant is poured off and replace by another 1:1 mixture of acetone:water. The precipitate is resuspended using a sonic bath and vortexer before centrifuging once again. The supernatant is then poured off and replace by pure acetone. Once the precipitate is resuspended, the CNCs form a more stable dispersion in acetone.</w:t>
      </w:r>
    </w:p>
    <w:p w14:paraId="4148E326" w14:textId="77777777" w:rsidR="006B0AA2" w:rsidRPr="00B60E27" w:rsidRDefault="006B0AA2" w:rsidP="006B0AA2">
      <w:pPr>
        <w:pStyle w:val="ListParagraph"/>
        <w:numPr>
          <w:ilvl w:val="2"/>
          <w:numId w:val="2"/>
        </w:numPr>
        <w:spacing w:line="480" w:lineRule="auto"/>
        <w:jc w:val="both"/>
        <w:rPr>
          <w:color w:val="000000" w:themeColor="text1"/>
          <w:lang w:val="en-US"/>
        </w:rPr>
      </w:pPr>
      <w:r w:rsidRPr="00B60E27">
        <w:rPr>
          <w:color w:val="000000" w:themeColor="text1"/>
          <w:lang w:val="en-US"/>
        </w:rPr>
        <w:t>CNC + PCL and CNC + PBA FTIR Calibration Curves</w:t>
      </w:r>
    </w:p>
    <w:p w14:paraId="243F0D6F" w14:textId="77777777" w:rsidR="006B0AA2" w:rsidRPr="00B60E27" w:rsidRDefault="006B0AA2" w:rsidP="006B0AA2">
      <w:pPr>
        <w:spacing w:line="480" w:lineRule="auto"/>
        <w:jc w:val="both"/>
        <w:rPr>
          <w:color w:val="000000" w:themeColor="text1"/>
          <w:lang w:val="en-US"/>
        </w:rPr>
      </w:pPr>
      <w:r w:rsidRPr="00B60E27">
        <w:rPr>
          <w:color w:val="000000" w:themeColor="text1"/>
          <w:lang w:val="en-US"/>
        </w:rPr>
        <w:t xml:space="preserve">To measure the polymer content of grafted CNCs, FTIR calibration curves were generated for PCL and PBA. In a small vial, 5-10 mg of </w:t>
      </w:r>
      <w:r w:rsidRPr="00B60E27">
        <w:rPr>
          <w:i/>
          <w:iCs/>
          <w:color w:val="000000" w:themeColor="text1"/>
          <w:lang w:val="en-US"/>
        </w:rPr>
        <w:t>c</w:t>
      </w:r>
      <w:r w:rsidRPr="00B60E27">
        <w:rPr>
          <w:color w:val="000000" w:themeColor="text1"/>
          <w:lang w:val="en-US"/>
        </w:rPr>
        <w:t xml:space="preserve">-CNC-COOH were mixed with the desired amount </w:t>
      </w:r>
      <w:r w:rsidRPr="00B60E27">
        <w:rPr>
          <w:color w:val="000000" w:themeColor="text1"/>
          <w:lang w:val="en-US"/>
        </w:rPr>
        <w:lastRenderedPageBreak/>
        <w:t>of polymer using a 20 mg/mL stock solution in MeOH to target samples with 5, 10, 15, 20, and 25 wt.% polymer. Minimal additional MeOH was added, and a spatula was used to ensure thorough mixing. The vials were immediately placed under high vacuum to remove the methanol and ensure a uniform distribution of polymer within the CNCs. Once dry, the samples were analyzed using FTIR and a calibration curve was developed based the representative carbonyl peak of each polymer (1724 cm</w:t>
      </w:r>
      <w:r w:rsidRPr="00B60E27">
        <w:rPr>
          <w:color w:val="000000" w:themeColor="text1"/>
          <w:vertAlign w:val="superscript"/>
          <w:lang w:val="en-US"/>
        </w:rPr>
        <w:t>-1</w:t>
      </w:r>
      <w:r w:rsidRPr="00B60E27">
        <w:rPr>
          <w:color w:val="000000" w:themeColor="text1"/>
          <w:lang w:val="en-US"/>
        </w:rPr>
        <w:t xml:space="preserve"> for PCL, and 1730 cm</w:t>
      </w:r>
      <w:r w:rsidRPr="00B60E27">
        <w:rPr>
          <w:color w:val="000000" w:themeColor="text1"/>
          <w:vertAlign w:val="superscript"/>
          <w:lang w:val="en-US"/>
        </w:rPr>
        <w:t>-1</w:t>
      </w:r>
      <w:r w:rsidRPr="00B60E27">
        <w:rPr>
          <w:color w:val="000000" w:themeColor="text1"/>
          <w:lang w:val="en-US"/>
        </w:rPr>
        <w:t xml:space="preserve"> for PBA).</w:t>
      </w:r>
    </w:p>
    <w:p w14:paraId="21F332FE" w14:textId="77777777" w:rsidR="006B0AA2" w:rsidRPr="00B60E27" w:rsidRDefault="006B0AA2" w:rsidP="006B0AA2">
      <w:pPr>
        <w:pStyle w:val="ListParagraph"/>
        <w:numPr>
          <w:ilvl w:val="2"/>
          <w:numId w:val="2"/>
        </w:numPr>
        <w:spacing w:line="480" w:lineRule="auto"/>
        <w:jc w:val="both"/>
        <w:rPr>
          <w:color w:val="000000" w:themeColor="text1"/>
          <w:lang w:val="en-US"/>
        </w:rPr>
      </w:pPr>
      <w:bookmarkStart w:id="6" w:name="_Hlk171343768"/>
      <w:r w:rsidRPr="00B60E27">
        <w:rPr>
          <w:color w:val="000000" w:themeColor="text1"/>
          <w:lang w:val="en-US"/>
        </w:rPr>
        <w:t>Preparation of PLA + CNC composites</w:t>
      </w:r>
    </w:p>
    <w:p w14:paraId="09F801AF" w14:textId="77777777" w:rsidR="006B0AA2" w:rsidRPr="00B60E27" w:rsidRDefault="006B0AA2" w:rsidP="006B0AA2">
      <w:pPr>
        <w:spacing w:line="480" w:lineRule="auto"/>
        <w:jc w:val="both"/>
        <w:rPr>
          <w:color w:val="000000" w:themeColor="text1"/>
          <w:lang w:val="en-US"/>
        </w:rPr>
      </w:pPr>
      <w:r w:rsidRPr="00B60E27">
        <w:rPr>
          <w:color w:val="000000" w:themeColor="text1"/>
          <w:lang w:val="en-US"/>
        </w:rPr>
        <w:t>A 10 wt.% PLA stock solution was prepared by dissolving 30 g of PLA in 270 g of CHCl</w:t>
      </w:r>
      <w:r w:rsidRPr="00B60E27">
        <w:rPr>
          <w:color w:val="000000" w:themeColor="text1"/>
          <w:vertAlign w:val="subscript"/>
          <w:lang w:val="en-US"/>
        </w:rPr>
        <w:t>3</w:t>
      </w:r>
      <w:r w:rsidRPr="00B60E27">
        <w:rPr>
          <w:color w:val="000000" w:themeColor="text1"/>
          <w:lang w:val="en-US"/>
        </w:rPr>
        <w:t xml:space="preserve">. Films with 5 wt.% </w:t>
      </w:r>
      <w:r w:rsidRPr="00B60E27">
        <w:rPr>
          <w:i/>
          <w:iCs/>
          <w:color w:val="000000" w:themeColor="text1"/>
          <w:lang w:val="en-US"/>
        </w:rPr>
        <w:t>c</w:t>
      </w:r>
      <w:r w:rsidRPr="00B60E27">
        <w:rPr>
          <w:color w:val="000000" w:themeColor="text1"/>
          <w:lang w:val="en-US"/>
        </w:rPr>
        <w:t>-CNC-</w:t>
      </w:r>
      <w:r w:rsidRPr="00B60E27">
        <w:rPr>
          <w:i/>
          <w:iCs/>
          <w:color w:val="000000" w:themeColor="text1"/>
          <w:lang w:val="en-US"/>
        </w:rPr>
        <w:t>g</w:t>
      </w:r>
      <w:r w:rsidRPr="00B60E27">
        <w:rPr>
          <w:color w:val="000000" w:themeColor="text1"/>
          <w:lang w:val="en-US"/>
        </w:rPr>
        <w:t>-PEG</w:t>
      </w:r>
      <w:r w:rsidRPr="00B60E27">
        <w:rPr>
          <w:color w:val="000000" w:themeColor="text1"/>
          <w:vertAlign w:val="subscript"/>
          <w:lang w:val="en-US"/>
        </w:rPr>
        <w:t>2k</w:t>
      </w:r>
      <w:r w:rsidRPr="00B60E27">
        <w:rPr>
          <w:color w:val="000000" w:themeColor="text1"/>
          <w:lang w:val="en-US"/>
        </w:rPr>
        <w:t xml:space="preserve"> and </w:t>
      </w:r>
      <w:r w:rsidRPr="00B60E27">
        <w:rPr>
          <w:i/>
          <w:iCs/>
          <w:color w:val="000000" w:themeColor="text1"/>
          <w:lang w:val="en-US"/>
        </w:rPr>
        <w:t>c</w:t>
      </w:r>
      <w:r w:rsidRPr="00B60E27">
        <w:rPr>
          <w:color w:val="000000" w:themeColor="text1"/>
          <w:lang w:val="en-US"/>
        </w:rPr>
        <w:t>-CNC-</w:t>
      </w:r>
      <w:r w:rsidRPr="00B60E27">
        <w:rPr>
          <w:i/>
          <w:iCs/>
          <w:color w:val="000000" w:themeColor="text1"/>
          <w:lang w:val="en-US"/>
        </w:rPr>
        <w:t>g</w:t>
      </w:r>
      <w:r w:rsidRPr="00B60E27">
        <w:rPr>
          <w:color w:val="000000" w:themeColor="text1"/>
          <w:lang w:val="en-US"/>
        </w:rPr>
        <w:t>-PEG</w:t>
      </w:r>
      <w:r w:rsidRPr="00B60E27">
        <w:rPr>
          <w:color w:val="000000" w:themeColor="text1"/>
          <w:vertAlign w:val="subscript"/>
          <w:lang w:val="en-US"/>
        </w:rPr>
        <w:t>10k</w:t>
      </w:r>
      <w:r w:rsidRPr="00B60E27">
        <w:rPr>
          <w:color w:val="000000" w:themeColor="text1"/>
          <w:lang w:val="en-US"/>
        </w:rPr>
        <w:t xml:space="preserve"> were prepared. The desired CNCs (e.g. 50 mg) were directly suspended in 20 ml of CHCl</w:t>
      </w:r>
      <w:r w:rsidRPr="00B60E27">
        <w:rPr>
          <w:color w:val="000000" w:themeColor="text1"/>
          <w:vertAlign w:val="subscript"/>
          <w:lang w:val="en-US"/>
        </w:rPr>
        <w:t>3</w:t>
      </w:r>
      <w:r w:rsidRPr="00B60E27">
        <w:rPr>
          <w:color w:val="000000" w:themeColor="text1"/>
          <w:lang w:val="en-US"/>
        </w:rPr>
        <w:t xml:space="preserve"> using a sonic bath and vigorous shaking. The 10 wt.% PLA stock solution (10.0 g) was then added to the CNC suspension and thoroughly mixed. The resulting solution was allowed to mix in a sonic bath for a few hours and then cast into a Teflon petri dish to dry overnight. After removing the films from the petri dish, they were further dried in a vacuum oven at 60 °C for 48h before melt-pressing at 120 °C to obtain films of uniform thickness.</w:t>
      </w:r>
    </w:p>
    <w:p w14:paraId="0A654E06" w14:textId="77777777" w:rsidR="006B0AA2" w:rsidRPr="00B60E27" w:rsidRDefault="006B0AA2" w:rsidP="006B0AA2">
      <w:pPr>
        <w:pStyle w:val="ListParagraph"/>
        <w:numPr>
          <w:ilvl w:val="2"/>
          <w:numId w:val="2"/>
        </w:numPr>
        <w:spacing w:line="480" w:lineRule="auto"/>
        <w:jc w:val="both"/>
        <w:rPr>
          <w:color w:val="000000" w:themeColor="text1"/>
          <w:lang w:val="en-US"/>
        </w:rPr>
      </w:pPr>
      <w:r w:rsidRPr="00B60E27">
        <w:rPr>
          <w:color w:val="000000" w:themeColor="text1"/>
          <w:lang w:val="en-US"/>
        </w:rPr>
        <w:t xml:space="preserve">Tensile testing of composites </w:t>
      </w:r>
    </w:p>
    <w:p w14:paraId="6B6EFF8A" w14:textId="77777777" w:rsidR="006B0AA2" w:rsidRPr="00B60E27" w:rsidRDefault="006B0AA2" w:rsidP="006B0AA2">
      <w:pPr>
        <w:spacing w:line="480" w:lineRule="auto"/>
        <w:jc w:val="both"/>
        <w:rPr>
          <w:color w:val="000000" w:themeColor="text1"/>
          <w:lang w:val="en-US"/>
        </w:rPr>
      </w:pPr>
      <w:r w:rsidRPr="00B60E27">
        <w:rPr>
          <w:color w:val="000000" w:themeColor="text1"/>
          <w:lang w:val="en-US"/>
        </w:rPr>
        <w:t>Tensile testing of composite materials was conducted following the ASTM D1708 standard. The video extensometer was used to monitor the elongation before yielding, while the crosshead distance was used to monitor the elongation after yielding, providing more accurate elongation measurements in the elastic regime and accounting for uneven plastic deformation after yielding. All samples were tested in triplicate and the average tensile strength and elongation at break were extracted for each sample.</w:t>
      </w:r>
    </w:p>
    <w:bookmarkEnd w:id="6"/>
    <w:p w14:paraId="1C4E364A" w14:textId="77777777" w:rsidR="006B0AA2" w:rsidRPr="00B60E27" w:rsidRDefault="006B0AA2" w:rsidP="006B0AA2">
      <w:pPr>
        <w:spacing w:line="480" w:lineRule="auto"/>
        <w:jc w:val="both"/>
        <w:rPr>
          <w:color w:val="000000" w:themeColor="text1"/>
          <w:lang w:val="en-US"/>
        </w:rPr>
      </w:pPr>
    </w:p>
    <w:p w14:paraId="7F8570BF" w14:textId="77777777" w:rsidR="006B0AA2" w:rsidRPr="00B60E27" w:rsidRDefault="006B0AA2" w:rsidP="006B0AA2">
      <w:pPr>
        <w:pStyle w:val="ListParagraph"/>
        <w:numPr>
          <w:ilvl w:val="1"/>
          <w:numId w:val="2"/>
        </w:numPr>
        <w:spacing w:line="480" w:lineRule="auto"/>
        <w:ind w:left="720" w:hanging="720"/>
        <w:jc w:val="both"/>
        <w:rPr>
          <w:color w:val="000000" w:themeColor="text1"/>
          <w:lang w:val="en-US"/>
        </w:rPr>
      </w:pPr>
      <w:r w:rsidRPr="00B60E27">
        <w:rPr>
          <w:color w:val="000000" w:themeColor="text1"/>
          <w:lang w:val="en-US"/>
        </w:rPr>
        <w:t>Instrumentation</w:t>
      </w:r>
    </w:p>
    <w:p w14:paraId="3D43549C" w14:textId="77777777" w:rsidR="006B0AA2" w:rsidRPr="00B60E27" w:rsidRDefault="006B0AA2" w:rsidP="006B0AA2">
      <w:pPr>
        <w:spacing w:line="480" w:lineRule="auto"/>
        <w:jc w:val="both"/>
        <w:rPr>
          <w:color w:val="000000" w:themeColor="text1"/>
          <w:lang w:val="en-US"/>
        </w:rPr>
      </w:pPr>
      <w:r w:rsidRPr="00B60E27">
        <w:rPr>
          <w:i/>
          <w:iCs/>
          <w:color w:val="000000" w:themeColor="text1"/>
          <w:lang w:val="en-US"/>
        </w:rPr>
        <w:t>Atomic Force Microscopy (AFM)</w:t>
      </w:r>
      <w:r w:rsidRPr="00B60E27">
        <w:rPr>
          <w:color w:val="000000" w:themeColor="text1"/>
          <w:lang w:val="en-US"/>
        </w:rPr>
        <w:t xml:space="preserve"> was done with a Cypher ES Environmental equipped with FS-1500 probes (Asylum Research) to determine the dimensions of CNCs. Crystals were </w:t>
      </w:r>
      <w:r w:rsidRPr="00B60E27">
        <w:rPr>
          <w:color w:val="000000" w:themeColor="text1"/>
          <w:lang w:val="en-US"/>
        </w:rPr>
        <w:lastRenderedPageBreak/>
        <w:t xml:space="preserve">dispersed in water by ultrasonication (10 min, 25% power, 3 s on/off cycle) at a concentration of 0.01% (w/w). A mica surface was mechanically exfoliated, treated with 50 </w:t>
      </w:r>
      <w:r w:rsidRPr="00B60E27">
        <w:rPr>
          <w:color w:val="000000" w:themeColor="text1"/>
        </w:rPr>
        <w:t>μ</w:t>
      </w:r>
      <w:r w:rsidRPr="00B60E27">
        <w:rPr>
          <w:color w:val="000000" w:themeColor="text1"/>
          <w:lang w:val="en-US"/>
        </w:rPr>
        <w:t>L poly(</w:t>
      </w:r>
      <w:r w:rsidRPr="00B60E27">
        <w:rPr>
          <w:color w:val="000000" w:themeColor="text1"/>
          <w:sz w:val="20"/>
          <w:szCs w:val="20"/>
          <w:lang w:val="en-US"/>
        </w:rPr>
        <w:t>L</w:t>
      </w:r>
      <w:r w:rsidRPr="00B60E27">
        <w:rPr>
          <w:color w:val="000000" w:themeColor="text1"/>
          <w:lang w:val="en-US"/>
        </w:rPr>
        <w:t xml:space="preserve">-lysine), gently rinsed with DI water, then 50 </w:t>
      </w:r>
      <w:r w:rsidRPr="00B60E27">
        <w:rPr>
          <w:color w:val="000000" w:themeColor="text1"/>
        </w:rPr>
        <w:t>μ</w:t>
      </w:r>
      <w:r w:rsidRPr="00B60E27">
        <w:rPr>
          <w:color w:val="000000" w:themeColor="text1"/>
          <w:lang w:val="en-US"/>
        </w:rPr>
        <w:t>L of the freshly prepared CNC dispersion was drop-cast onto the surface. The dispersions were gently rinsed with DI water after 3 minutes and substrates were air-dried overnight prior to imaging. The images were recorded using tapping mode and the data was analyzed with Gwyddion software (Czech Metrology Institute).</w:t>
      </w:r>
    </w:p>
    <w:p w14:paraId="5B11BD03" w14:textId="77777777" w:rsidR="006B0AA2" w:rsidRPr="00B60E27" w:rsidRDefault="006B0AA2" w:rsidP="006B0AA2">
      <w:pPr>
        <w:spacing w:line="480" w:lineRule="auto"/>
        <w:jc w:val="both"/>
        <w:rPr>
          <w:color w:val="000000" w:themeColor="text1"/>
          <w:lang w:val="en-US"/>
        </w:rPr>
      </w:pPr>
      <w:bookmarkStart w:id="7" w:name="_Hlk165570113"/>
      <w:r w:rsidRPr="00B60E27">
        <w:rPr>
          <w:i/>
          <w:iCs/>
          <w:color w:val="000000" w:themeColor="text1"/>
          <w:lang w:val="en-US"/>
        </w:rPr>
        <w:t>Conductometric titrations</w:t>
      </w:r>
      <w:r w:rsidRPr="00B60E27">
        <w:rPr>
          <w:b/>
          <w:bCs/>
          <w:color w:val="000000" w:themeColor="text1"/>
          <w:lang w:val="en-US"/>
        </w:rPr>
        <w:t xml:space="preserve"> </w:t>
      </w:r>
      <w:r w:rsidRPr="00B60E27">
        <w:rPr>
          <w:color w:val="000000" w:themeColor="text1"/>
          <w:lang w:val="en-US"/>
        </w:rPr>
        <w:t xml:space="preserve">of carboxylate and sulfate functional groups on the surface of the CNCs were performed using an Accumet XLbenchtop pH/conductivity meter on aqueous solutions. In brief, 30 mg of the desired CNCs were dispersed in 80 mL of DI water using probe sonication. For </w:t>
      </w:r>
      <w:r w:rsidRPr="00B60E27">
        <w:rPr>
          <w:i/>
          <w:iCs/>
          <w:color w:val="000000" w:themeColor="text1"/>
          <w:lang w:val="en-US"/>
        </w:rPr>
        <w:t>c</w:t>
      </w:r>
      <w:r w:rsidRPr="00B60E27">
        <w:rPr>
          <w:color w:val="000000" w:themeColor="text1"/>
          <w:lang w:val="en-US"/>
        </w:rPr>
        <w:t xml:space="preserve">-CNC-COOH the solution was acidified to a pH of 2-3 using concentrated HCl, then 0.01 M NaOH was titrated in using a syringe pump. For </w:t>
      </w:r>
      <w:r w:rsidRPr="00B60E27">
        <w:rPr>
          <w:i/>
          <w:iCs/>
          <w:color w:val="000000" w:themeColor="text1"/>
          <w:lang w:val="en-US"/>
        </w:rPr>
        <w:t>c</w:t>
      </w:r>
      <w:r w:rsidRPr="00B60E27">
        <w:rPr>
          <w:color w:val="000000" w:themeColor="text1"/>
          <w:lang w:val="en-US"/>
        </w:rPr>
        <w:t>-CNC-OSO</w:t>
      </w:r>
      <w:r w:rsidRPr="00B60E27">
        <w:rPr>
          <w:color w:val="000000" w:themeColor="text1"/>
          <w:vertAlign w:val="subscript"/>
          <w:lang w:val="en-US"/>
        </w:rPr>
        <w:t>3</w:t>
      </w:r>
      <w:r w:rsidRPr="00B60E27">
        <w:rPr>
          <w:color w:val="000000" w:themeColor="text1"/>
          <w:lang w:val="en-US"/>
        </w:rPr>
        <w:t>, 0.01 M NaOH was directly titrated without acidification. Data was recorded at regular intervals and plotted as Conductivity vs. Volume added to determine the functional group content of the nanoparticles.</w:t>
      </w:r>
    </w:p>
    <w:bookmarkEnd w:id="7"/>
    <w:p w14:paraId="528CFBD9" w14:textId="77777777" w:rsidR="006B0AA2" w:rsidRPr="00B60E27" w:rsidRDefault="006B0AA2" w:rsidP="006B0AA2">
      <w:pPr>
        <w:spacing w:line="480" w:lineRule="auto"/>
        <w:jc w:val="both"/>
        <w:rPr>
          <w:color w:val="000000" w:themeColor="text1"/>
          <w:lang w:val="en-US"/>
        </w:rPr>
      </w:pPr>
      <w:r w:rsidRPr="00B60E27">
        <w:rPr>
          <w:i/>
          <w:iCs/>
          <w:color w:val="000000" w:themeColor="text1"/>
          <w:lang w:val="en-US"/>
        </w:rPr>
        <w:t>Fourier transform infrared (FTIR) spectroscopy</w:t>
      </w:r>
      <w:r w:rsidRPr="00B60E27">
        <w:rPr>
          <w:color w:val="000000" w:themeColor="text1"/>
          <w:lang w:val="en-US"/>
        </w:rPr>
        <w:t xml:space="preserve"> of solid samples was carried out using a Shimadzu IRTracer-100 Fourier transform infrared spectrometer in the attenuated total reflection (ATR) geometry with a monolithic diamond ATR crystal. </w:t>
      </w:r>
      <w:r w:rsidRPr="00B60E27">
        <w:rPr>
          <w:rFonts w:eastAsia="SimSun"/>
          <w:color w:val="000000" w:themeColor="text1"/>
          <w:shd w:val="clear" w:color="auto" w:fill="FFFFFF"/>
          <w:lang w:val="en-US" w:eastAsia="en-US"/>
        </w:rPr>
        <w:t>The sample temperature was controlled under a vacuum</w:t>
      </w:r>
      <w:r w:rsidRPr="00B60E27">
        <w:rPr>
          <w:color w:val="000000" w:themeColor="text1"/>
          <w:lang w:val="en-US"/>
        </w:rPr>
        <w:t xml:space="preserve"> using the PIKE GladiATR accessory. Data was collected in the range of 4000–400 cm</w:t>
      </w:r>
      <w:r w:rsidRPr="00B60E27">
        <w:rPr>
          <w:color w:val="000000" w:themeColor="text1"/>
          <w:vertAlign w:val="superscript"/>
          <w:lang w:val="en-US"/>
        </w:rPr>
        <w:t>-1</w:t>
      </w:r>
      <w:r w:rsidRPr="00B60E27">
        <w:rPr>
          <w:color w:val="000000" w:themeColor="text1"/>
          <w:lang w:val="en-US"/>
        </w:rPr>
        <w:t>, averaging over 45 scans, and treated with Shimadzu LabSolutions IR software.</w:t>
      </w:r>
    </w:p>
    <w:p w14:paraId="05A692EB" w14:textId="77777777" w:rsidR="006B0AA2" w:rsidRPr="00B60E27" w:rsidRDefault="006B0AA2" w:rsidP="006B0AA2">
      <w:pPr>
        <w:spacing w:line="480" w:lineRule="auto"/>
        <w:rPr>
          <w:color w:val="000000" w:themeColor="text1"/>
          <w:lang w:val="en-US"/>
        </w:rPr>
      </w:pPr>
      <w:r w:rsidRPr="00B60E27">
        <w:rPr>
          <w:i/>
          <w:iCs/>
          <w:color w:val="000000" w:themeColor="text1"/>
          <w:lang w:val="en-US"/>
        </w:rPr>
        <w:t>High resolution mass spectrometry (HRMS)</w:t>
      </w:r>
      <w:r w:rsidRPr="00B60E27">
        <w:rPr>
          <w:color w:val="000000" w:themeColor="text1"/>
          <w:lang w:val="en-US"/>
        </w:rPr>
        <w:t xml:space="preserve"> was performed on an Agilent 6224 ToF-MS using electrospray ionization (ESI).</w:t>
      </w:r>
    </w:p>
    <w:p w14:paraId="625F081A" w14:textId="77777777" w:rsidR="006B0AA2" w:rsidRPr="00B60E27" w:rsidRDefault="006B0AA2" w:rsidP="006B0AA2">
      <w:pPr>
        <w:spacing w:line="480" w:lineRule="auto"/>
        <w:jc w:val="both"/>
        <w:rPr>
          <w:color w:val="000000" w:themeColor="text1"/>
          <w:lang w:val="en-GB"/>
        </w:rPr>
      </w:pPr>
      <w:r w:rsidRPr="00B60E27">
        <w:rPr>
          <w:i/>
          <w:iCs/>
          <w:color w:val="000000" w:themeColor="text1"/>
          <w:lang w:val="en-US"/>
        </w:rPr>
        <w:t>Nuclear magnetic resonance (NMR)</w:t>
      </w:r>
      <w:r w:rsidRPr="00B60E27">
        <w:rPr>
          <w:color w:val="000000" w:themeColor="text1"/>
          <w:lang w:val="en-US"/>
        </w:rPr>
        <w:t xml:space="preserve"> was carried out at ambient temperature on a Bruker Avance II+ 400 spectrometer at frequencies 400 MHz for </w:t>
      </w:r>
      <w:r w:rsidRPr="00B60E27">
        <w:rPr>
          <w:color w:val="000000" w:themeColor="text1"/>
          <w:vertAlign w:val="superscript"/>
          <w:lang w:val="en-US"/>
        </w:rPr>
        <w:t>1</w:t>
      </w:r>
      <w:r w:rsidRPr="00B60E27">
        <w:rPr>
          <w:color w:val="000000" w:themeColor="text1"/>
          <w:lang w:val="en-US"/>
        </w:rPr>
        <w:t xml:space="preserve">H nuclei and 101 MHz for </w:t>
      </w:r>
      <w:r w:rsidRPr="00B60E27">
        <w:rPr>
          <w:color w:val="000000" w:themeColor="text1"/>
          <w:vertAlign w:val="superscript"/>
          <w:lang w:val="en-US"/>
        </w:rPr>
        <w:t>13</w:t>
      </w:r>
      <w:r w:rsidRPr="00B60E27">
        <w:rPr>
          <w:color w:val="000000" w:themeColor="text1"/>
          <w:lang w:val="en-US"/>
        </w:rPr>
        <w:t>C nuclei. Spectra were calibrated to the residual solvent peak of CDCl</w:t>
      </w:r>
      <w:r w:rsidRPr="00B60E27">
        <w:rPr>
          <w:color w:val="000000" w:themeColor="text1"/>
          <w:vertAlign w:val="subscript"/>
          <w:lang w:val="en-US"/>
        </w:rPr>
        <w:t>3</w:t>
      </w:r>
      <w:r w:rsidRPr="00B60E27">
        <w:rPr>
          <w:color w:val="000000" w:themeColor="text1"/>
          <w:lang w:val="en-US"/>
        </w:rPr>
        <w:t xml:space="preserve"> (7.26 ppm </w:t>
      </w:r>
      <w:r w:rsidRPr="00B60E27">
        <w:rPr>
          <w:color w:val="000000" w:themeColor="text1"/>
          <w:vertAlign w:val="superscript"/>
          <w:lang w:val="en-US"/>
        </w:rPr>
        <w:t>1</w:t>
      </w:r>
      <w:r w:rsidRPr="00B60E27">
        <w:rPr>
          <w:color w:val="000000" w:themeColor="text1"/>
          <w:lang w:val="en-US"/>
        </w:rPr>
        <w:t xml:space="preserve">H NMR, 77.16 ppm for </w:t>
      </w:r>
      <w:r w:rsidRPr="00B60E27">
        <w:rPr>
          <w:color w:val="000000" w:themeColor="text1"/>
          <w:vertAlign w:val="superscript"/>
          <w:lang w:val="en-US"/>
        </w:rPr>
        <w:t>13</w:t>
      </w:r>
      <w:r w:rsidRPr="00B60E27">
        <w:rPr>
          <w:color w:val="000000" w:themeColor="text1"/>
          <w:lang w:val="en-US"/>
        </w:rPr>
        <w:t xml:space="preserve">C NMR) and </w:t>
      </w:r>
      <w:r w:rsidRPr="00B60E27">
        <w:rPr>
          <w:color w:val="000000" w:themeColor="text1"/>
          <w:lang w:val="en-GB"/>
        </w:rPr>
        <w:t xml:space="preserve">processed with MestReNova software. All chemical shifts, δ, are reported in parts per million (ppm) with coupling constant in Hz (multiplicity: s = singlet, d = doublet, </w:t>
      </w:r>
      <w:r w:rsidRPr="00B60E27">
        <w:rPr>
          <w:color w:val="000000" w:themeColor="text1"/>
          <w:lang w:val="en-GB"/>
        </w:rPr>
        <w:lastRenderedPageBreak/>
        <w:t>dd = double doublet, td = triple doublet, t = triplet, dt = double triplet, tt = triple triplet, ddt = double double triplet, q = quadruplet, dq = double quadruplet, qi = quintuplet, m = multiplet, br = broad signal, ar = aromatic signal).</w:t>
      </w:r>
    </w:p>
    <w:p w14:paraId="72C6B944" w14:textId="77777777" w:rsidR="006B0AA2" w:rsidRPr="00B60E27" w:rsidRDefault="006B0AA2" w:rsidP="006B0AA2">
      <w:pPr>
        <w:spacing w:line="480" w:lineRule="auto"/>
        <w:jc w:val="both"/>
        <w:rPr>
          <w:color w:val="000000" w:themeColor="text1"/>
          <w:lang w:val="en-US"/>
        </w:rPr>
      </w:pPr>
      <w:r w:rsidRPr="00B60E27">
        <w:rPr>
          <w:bCs/>
          <w:i/>
          <w:iCs/>
          <w:color w:val="000000" w:themeColor="text1"/>
          <w:lang w:val="en-GB"/>
        </w:rPr>
        <w:t>Size exclusion chromatography (SEC)</w:t>
      </w:r>
      <w:r w:rsidRPr="00B60E27">
        <w:rPr>
          <w:color w:val="000000" w:themeColor="text1"/>
          <w:lang w:val="en-US"/>
        </w:rPr>
        <w:t xml:space="preserve"> of the polymers was performed on a Shimadzu Prominence High Performance Liquid Chromatography system using an eluent mobile phase of THF at a flow rate of 1 mL/min. Separation was achieved using two PLgel mixed-D columns (Agilent) maintained at ambient temperature with pore sizes suitable for materials with effective molecular weights from ~200 to 400,000 g/mol. The differential refractive index signal was collected using a Wyatt Optilab T-rEX differential refractometer (λ = 658 nm), and on-line multi-angle light scattering (MALS) measurement was performed using a Wyatt Dawn Heleos II light scattering detector. Data analysis was carried out using Wyatt Astra VII software. Weight-averaged molecular weights (</w:t>
      </w:r>
      <w:r w:rsidRPr="00B60E27">
        <w:rPr>
          <w:i/>
          <w:color w:val="000000" w:themeColor="text1"/>
          <w:lang w:val="en-US"/>
        </w:rPr>
        <w:t>M</w:t>
      </w:r>
      <w:r w:rsidRPr="00B60E27">
        <w:rPr>
          <w:i/>
          <w:color w:val="000000" w:themeColor="text1"/>
          <w:vertAlign w:val="subscript"/>
          <w:lang w:val="en-US"/>
        </w:rPr>
        <w:t>w</w:t>
      </w:r>
      <w:r w:rsidRPr="00B60E27">
        <w:rPr>
          <w:color w:val="000000" w:themeColor="text1"/>
          <w:lang w:val="en-US"/>
        </w:rPr>
        <w:t>)</w:t>
      </w:r>
      <w:r w:rsidRPr="00B60E27">
        <w:rPr>
          <w:i/>
          <w:color w:val="000000" w:themeColor="text1"/>
          <w:lang w:val="en-US"/>
        </w:rPr>
        <w:t xml:space="preserve"> </w:t>
      </w:r>
      <w:r w:rsidRPr="00B60E27">
        <w:rPr>
          <w:color w:val="000000" w:themeColor="text1"/>
          <w:lang w:val="en-US"/>
        </w:rPr>
        <w:t xml:space="preserve">were determined by MALS, and </w:t>
      </w:r>
      <w:r w:rsidRPr="00B60E27">
        <w:rPr>
          <w:color w:val="000000" w:themeColor="text1"/>
          <w:lang w:val="en-GB"/>
        </w:rPr>
        <w:t>number-average molecular weights (</w:t>
      </w:r>
      <w:r w:rsidRPr="00B60E27">
        <w:rPr>
          <w:i/>
          <w:color w:val="000000" w:themeColor="text1"/>
          <w:lang w:val="en-GB"/>
        </w:rPr>
        <w:t>M</w:t>
      </w:r>
      <w:r w:rsidRPr="00B60E27">
        <w:rPr>
          <w:color w:val="000000" w:themeColor="text1"/>
          <w:vertAlign w:val="subscript"/>
          <w:lang w:val="en-GB"/>
        </w:rPr>
        <w:t>n</w:t>
      </w:r>
      <w:r w:rsidRPr="00B60E27">
        <w:rPr>
          <w:color w:val="000000" w:themeColor="text1"/>
          <w:lang w:val="en-GB"/>
        </w:rPr>
        <w:t>) were determined in comparison to narrow dispersity polystyrene calibration standards (from 1,800 to 400,000 g mol</w:t>
      </w:r>
      <w:r w:rsidRPr="00B60E27">
        <w:rPr>
          <w:color w:val="000000" w:themeColor="text1"/>
          <w:vertAlign w:val="superscript"/>
          <w:lang w:val="en-GB"/>
        </w:rPr>
        <w:t>–1</w:t>
      </w:r>
      <w:r w:rsidRPr="00B60E27">
        <w:rPr>
          <w:color w:val="000000" w:themeColor="text1"/>
          <w:lang w:val="en-GB"/>
        </w:rPr>
        <w:t>)</w:t>
      </w:r>
      <w:r w:rsidRPr="00B60E27">
        <w:rPr>
          <w:color w:val="000000" w:themeColor="text1"/>
          <w:lang w:val="en-US"/>
        </w:rPr>
        <w:t>.</w:t>
      </w:r>
    </w:p>
    <w:p w14:paraId="4CBE4E27" w14:textId="77777777" w:rsidR="006B0AA2" w:rsidRPr="00B60E27" w:rsidRDefault="006B0AA2" w:rsidP="006B0AA2">
      <w:pPr>
        <w:spacing w:line="480" w:lineRule="auto"/>
        <w:jc w:val="both"/>
        <w:rPr>
          <w:color w:val="000000" w:themeColor="text1"/>
          <w:lang w:val="en-US"/>
        </w:rPr>
      </w:pPr>
      <w:r w:rsidRPr="00B60E27">
        <w:rPr>
          <w:i/>
          <w:iCs/>
          <w:color w:val="000000" w:themeColor="text1"/>
          <w:lang w:val="en-US"/>
        </w:rPr>
        <w:t>Thermogravimetric analysis (TGA)</w:t>
      </w:r>
      <w:r w:rsidRPr="00B60E27">
        <w:rPr>
          <w:b/>
          <w:bCs/>
          <w:color w:val="000000" w:themeColor="text1"/>
          <w:lang w:val="en-US"/>
        </w:rPr>
        <w:t xml:space="preserve"> </w:t>
      </w:r>
      <w:r w:rsidRPr="00B60E27">
        <w:rPr>
          <w:color w:val="000000" w:themeColor="text1"/>
          <w:lang w:val="en-US"/>
        </w:rPr>
        <w:t>was performed using a TA Instruments Discovery thermogravimetric analyzer. Samples (~5mg) were loaded in Pt crucibles and heated under a N</w:t>
      </w:r>
      <w:r w:rsidRPr="00B60E27">
        <w:rPr>
          <w:color w:val="000000" w:themeColor="text1"/>
          <w:vertAlign w:val="subscript"/>
          <w:lang w:val="en-US"/>
        </w:rPr>
        <w:t>2</w:t>
      </w:r>
      <w:r w:rsidRPr="00B60E27">
        <w:rPr>
          <w:color w:val="000000" w:themeColor="text1"/>
          <w:lang w:val="en-US"/>
        </w:rPr>
        <w:t xml:space="preserve"> atmosphere. High resolution dynamic procedure with default settings (sensitivity=1, ramp=10 to 700 °C, resolution=5) were applied. Data was processed in TA Instruments Trios software.</w:t>
      </w:r>
    </w:p>
    <w:p w14:paraId="3BC9101A" w14:textId="77777777" w:rsidR="006B0AA2" w:rsidRPr="00B60E27" w:rsidRDefault="006B0AA2" w:rsidP="006B0AA2">
      <w:pPr>
        <w:spacing w:line="480" w:lineRule="auto"/>
        <w:jc w:val="both"/>
        <w:rPr>
          <w:b/>
          <w:bCs/>
          <w:color w:val="000000" w:themeColor="text1"/>
          <w:lang w:val="en-US"/>
        </w:rPr>
      </w:pPr>
      <w:r w:rsidRPr="00B60E27">
        <w:rPr>
          <w:i/>
          <w:iCs/>
          <w:color w:val="000000" w:themeColor="text1"/>
          <w:lang w:val="en-US"/>
        </w:rPr>
        <w:t>Wide-angle X-ray scattering (WAXS)</w:t>
      </w:r>
      <w:r w:rsidRPr="00B60E27">
        <w:rPr>
          <w:color w:val="000000" w:themeColor="text1"/>
          <w:lang w:val="en-US"/>
        </w:rPr>
        <w:t xml:space="preserve"> patterns were recorded using a SAXSLAB GANESHA 300XL system with Cu Kα source (λ= 0.154 nm) at a voltage of 40 kV and 40 mA power. Powder samples were tightly packed inside plastic washers and were held in place between two pieces of Kapton tape. The data were collected in the 2-theta angle range of 1-32° for 20 minutes. The crystallinity index was calculated using MATLAB R2018a by modelling the (1,-1,0), (1,1,0), (1,0,2), and (2,0,0) cellulose-1β peaks and the residual amorphous component to Gaussian distribution functions as described previously.</w:t>
      </w:r>
      <w:r w:rsidRPr="00B60E27">
        <w:rPr>
          <w:b/>
          <w:bCs/>
          <w:color w:val="000000" w:themeColor="text1"/>
          <w:lang w:val="en-US"/>
        </w:rPr>
        <w:fldChar w:fldCharType="begin" w:fldLock="1"/>
      </w:r>
      <w:r w:rsidRPr="00B60E27">
        <w:rPr>
          <w:b/>
          <w:bCs/>
          <w:color w:val="000000" w:themeColor="text1"/>
          <w:lang w:val="en-US"/>
        </w:rPr>
        <w:instrText>ADDIN CSL_CITATION {"citationItems":[{"id":"ITEM-1","itemData":{"DOI":"10.1007/s10570-013-0030-4","ISBN":"1572-882X","ISSN":"09690239","abstract":"Cellulose samples are routinely analyzed by X-ray diffraction to determine their crystal type (polymorph) and crystallinity. However, the connection is seldom made between those efforts and the crystal structures of cellulose that have been proposed with synchrotron X-radiation and neutron diffraction over the past decade or so. In part, this desirable connection is thwarted by the use of different conventions for description of the unit cells of the crystal structures. In the present work, powder diffraction patterns from cellulose Ia, Ib, II, IIII, and IIIII were calculated based on the published atomic coordinates and unit cell dimensions contained in modified ‘‘crystal information files’’ (.cif) that are supplied in the Supplementary Information. The calculations used peak widths at half maximum height of both 0.1 and 1.5 2h, providing both highly resolved indications of the contributions of each contributing reflection to the observable diffraction peaks as well as intensity profiles that more closely resemble those from practical cellulose samples. Miller indices are shown for each contributing peak that conform to the convention with c as the fiber axis, a right-handed relationship among the axes and the length of a\\b. Adoption of this convention, already used for crystal structure determinations, is also urged for routine studies of polymorph and crystallinity. The calculated patterns are shown with and without preferred orientation along the fiber axis. Diffraction intensities, output by the Mercury program from the Cambridge Crystallographic Data Centre, have several uses including comparisons with experimental data. Calculated intensities from different polymorphs can be added in varying proportions using a spreadsheet program to simulate patterns such as those from partially mercerized cellulose or various composites.","author":[{"dropping-particle":"","family":"French","given":"Alfred D.","non-dropping-particle":"","parse-names":false,"suffix":""}],"container-title":"Cellulose","id":"ITEM-1","issue":"2","issued":{"date-parts":[["2014"]]},"note":"Crystal peaks for cellulose","page":"885-896","title":"Idealized powder diffraction patterns for cellulose polymorphs","type":"article-journal","volume":"21"},"uris":["http://www.mendeley.com/documents/?uuid=e9b58c11-3e79-4a7d-b082-95354c099d4a"]},{"id":"ITEM-2","itemData":{"DOI":"https://doi.org/10.1186/1754-6834-3-10","ISSN":"15322319","author":[{"dropping-particle":"","family":"Park","given":"Sunkyu","non-dropping-particle":"","parse-names":false,"suffix":""},{"dropping-particle":"","family":"Baker","given":"John O.","non-dropping-particle":"","parse-names":false,"suffix":""},{"dropping-particle":"","family":"Himmel","given":"Michael E.","non-dropping-particle":"","parse-names":false,"suffix":""},{"dropping-particle":"","family":"Parilla","given":"Philip A.","non-dropping-particle":"","parse-names":false,"suffix":""},{"dropping-particle":"","family":"Johnson","given":"David K.","non-dropping-particle":"","parse-names":false,"suffix":""}],"container-title":"Biotechnology for Biofuels","id":"ITEM-2","issued":{"date-parts":[["2010"]]},"page":"1-10","title":"Cellulose crystallinity index: measurement techniques and their impact on interpreting cellulase performance","type":"article-journal","volume":"3"},"uris":["http://www.mendeley.com/documents/?uuid=4d5a79aa-625b-4589-a1e7-fe7d29e5ee47"]}],"mendeley":{"formattedCitation":"&lt;sup&gt;[53,54]&lt;/sup&gt;","plainTextFormattedCitation":"[53,54]","previouslyFormattedCitation":"&lt;sup&gt;[53,54]&lt;/sup&gt;"},"properties":{"noteIndex":0},"schema":"https://github.com/citation-style-language/schema/raw/master/csl-citation.json"}</w:instrText>
      </w:r>
      <w:r w:rsidRPr="00B60E27">
        <w:rPr>
          <w:b/>
          <w:bCs/>
          <w:color w:val="000000" w:themeColor="text1"/>
          <w:lang w:val="en-US"/>
        </w:rPr>
        <w:fldChar w:fldCharType="separate"/>
      </w:r>
      <w:r w:rsidRPr="00B60E27">
        <w:rPr>
          <w:bCs/>
          <w:noProof/>
          <w:color w:val="000000" w:themeColor="text1"/>
          <w:vertAlign w:val="superscript"/>
          <w:lang w:val="en-US"/>
        </w:rPr>
        <w:t>[53,54]</w:t>
      </w:r>
      <w:r w:rsidRPr="00B60E27">
        <w:rPr>
          <w:b/>
          <w:bCs/>
          <w:color w:val="000000" w:themeColor="text1"/>
          <w:lang w:val="en-US"/>
        </w:rPr>
        <w:fldChar w:fldCharType="end"/>
      </w:r>
    </w:p>
    <w:p w14:paraId="2B7B786F" w14:textId="77777777" w:rsidR="006B0AA2" w:rsidRPr="00B60E27" w:rsidRDefault="006B0AA2" w:rsidP="006B0AA2">
      <w:pPr>
        <w:spacing w:line="480" w:lineRule="auto"/>
        <w:jc w:val="both"/>
        <w:rPr>
          <w:color w:val="000000" w:themeColor="text1"/>
          <w:lang w:val="en-US"/>
        </w:rPr>
      </w:pPr>
      <w:r w:rsidRPr="00B60E27">
        <w:rPr>
          <w:i/>
          <w:iCs/>
          <w:color w:val="000000" w:themeColor="text1"/>
          <w:lang w:val="en-US"/>
        </w:rPr>
        <w:lastRenderedPageBreak/>
        <w:t>Probe Ultrasonication</w:t>
      </w:r>
      <w:r w:rsidRPr="00B60E27">
        <w:rPr>
          <w:color w:val="000000" w:themeColor="text1"/>
          <w:lang w:val="en-US"/>
        </w:rPr>
        <w:t xml:space="preserve"> was carried out on a Branson SFX 550 instrument equipped with a 13 mm probe. Sonication was conducted at 20% amplitude with 5 seconds on and 5 seconds off per cycle while the sample vial was submerged in ice water to prevent significant heating.</w:t>
      </w:r>
    </w:p>
    <w:p w14:paraId="3AC7FCA3" w14:textId="77777777" w:rsidR="006B0AA2" w:rsidRPr="00B60E27" w:rsidRDefault="006B0AA2" w:rsidP="006B0AA2">
      <w:pPr>
        <w:spacing w:line="480" w:lineRule="auto"/>
        <w:jc w:val="both"/>
        <w:rPr>
          <w:iCs/>
          <w:color w:val="000000" w:themeColor="text1"/>
          <w:lang w:val="en-US"/>
        </w:rPr>
      </w:pPr>
      <w:r w:rsidRPr="00B60E27">
        <w:rPr>
          <w:i/>
          <w:iCs/>
          <w:color w:val="000000" w:themeColor="text1"/>
          <w:lang w:val="en-US"/>
        </w:rPr>
        <w:t>Ultraviolet-Visible Light (UV-Vis) Spectroscopy</w:t>
      </w:r>
      <w:r w:rsidRPr="00B60E27">
        <w:rPr>
          <w:color w:val="000000" w:themeColor="text1"/>
          <w:lang w:val="en-US"/>
        </w:rPr>
        <w:t xml:space="preserve"> was conducted on a </w:t>
      </w:r>
      <w:r w:rsidRPr="00B60E27">
        <w:rPr>
          <w:iCs/>
          <w:color w:val="000000" w:themeColor="text1"/>
          <w:lang w:val="en-US"/>
        </w:rPr>
        <w:t>Shimadzu UV-3600 Plus UV-Vis-NIR spectrophotometer from 350-800 nm wavelengths. Samples were run at 1 nm resolution in quartz cuvettes.</w:t>
      </w:r>
    </w:p>
    <w:p w14:paraId="2533C98A" w14:textId="77777777" w:rsidR="006B0AA2" w:rsidRPr="00B60E27" w:rsidRDefault="006B0AA2" w:rsidP="006B0AA2">
      <w:pPr>
        <w:spacing w:line="480" w:lineRule="auto"/>
        <w:jc w:val="both"/>
        <w:rPr>
          <w:iCs/>
          <w:color w:val="000000" w:themeColor="text1"/>
          <w:lang w:val="en-US"/>
        </w:rPr>
      </w:pPr>
      <w:bookmarkStart w:id="8" w:name="_Hlk171343859"/>
      <w:r w:rsidRPr="00B60E27">
        <w:rPr>
          <w:i/>
          <w:color w:val="000000" w:themeColor="text1"/>
          <w:lang w:val="en-US"/>
        </w:rPr>
        <w:t xml:space="preserve">Melt Pressing </w:t>
      </w:r>
      <w:r w:rsidRPr="00B60E27">
        <w:rPr>
          <w:iCs/>
          <w:color w:val="000000" w:themeColor="text1"/>
          <w:lang w:val="en-US"/>
        </w:rPr>
        <w:t>was done on a Carver AccuStamp Model 3693 melt press at 120 °C at 2 tons of pressure for 3 minutes.</w:t>
      </w:r>
    </w:p>
    <w:p w14:paraId="4EC7822E" w14:textId="77777777" w:rsidR="006B0AA2" w:rsidRPr="00B60E27" w:rsidRDefault="006B0AA2" w:rsidP="006B0AA2">
      <w:pPr>
        <w:spacing w:line="480" w:lineRule="auto"/>
        <w:jc w:val="both"/>
        <w:rPr>
          <w:color w:val="000000" w:themeColor="text1"/>
          <w:lang w:val="en-US"/>
        </w:rPr>
      </w:pPr>
      <w:r w:rsidRPr="00B60E27">
        <w:rPr>
          <w:i/>
          <w:iCs/>
          <w:color w:val="000000" w:themeColor="text1"/>
          <w:lang w:val="en-US"/>
        </w:rPr>
        <w:t>Tensile testing</w:t>
      </w:r>
      <w:r w:rsidRPr="00B60E27">
        <w:rPr>
          <w:color w:val="000000" w:themeColor="text1"/>
          <w:lang w:val="en-US"/>
        </w:rPr>
        <w:t xml:space="preserve"> was conducted with a Zwick-Roell zwickiLine Z0.5 instrument. Dogbones in accordance with ASTM D1708 were measured up to the yield point with a VideoXtens extensometer, then by crosshead tracking after yielding.</w:t>
      </w:r>
    </w:p>
    <w:p w14:paraId="56DA10C0" w14:textId="77777777" w:rsidR="006B0AA2" w:rsidRPr="00B60E27" w:rsidRDefault="006B0AA2" w:rsidP="006B0AA2">
      <w:pPr>
        <w:spacing w:line="480" w:lineRule="auto"/>
        <w:jc w:val="both"/>
        <w:rPr>
          <w:iCs/>
          <w:color w:val="000000" w:themeColor="text1"/>
          <w:lang w:val="en-US"/>
        </w:rPr>
      </w:pPr>
      <w:r w:rsidRPr="00B60E27">
        <w:rPr>
          <w:i/>
          <w:color w:val="000000" w:themeColor="text1"/>
          <w:lang w:val="en-US"/>
        </w:rPr>
        <w:t>Dynamic mechanical analysis (DMA)</w:t>
      </w:r>
      <w:r w:rsidRPr="00B60E27">
        <w:rPr>
          <w:iCs/>
          <w:color w:val="000000" w:themeColor="text1"/>
          <w:lang w:val="en-US"/>
        </w:rPr>
        <w:t xml:space="preserve"> was performed on a TA Instruments RSA-G2 DMA on films of each sample (~ 3 mm x 1 mm x 20 mm). Temperature ramps were run from 25 to 100 °C at 3 °C per min at a frequency of 1 Hz.</w:t>
      </w:r>
    </w:p>
    <w:bookmarkEnd w:id="8"/>
    <w:p w14:paraId="06C18120" w14:textId="77777777" w:rsidR="006B0AA2" w:rsidRPr="00B60E27" w:rsidRDefault="006B0AA2" w:rsidP="006B0AA2">
      <w:pPr>
        <w:spacing w:line="480" w:lineRule="auto"/>
        <w:jc w:val="both"/>
        <w:rPr>
          <w:color w:val="000000" w:themeColor="text1"/>
          <w:lang w:val="en-US"/>
        </w:rPr>
      </w:pPr>
      <w:r w:rsidRPr="00B60E27">
        <w:rPr>
          <w:color w:val="000000" w:themeColor="text1"/>
          <w:lang w:val="en-US"/>
        </w:rPr>
        <w:br w:type="page"/>
      </w:r>
    </w:p>
    <w:p w14:paraId="48836744" w14:textId="77777777" w:rsidR="006B0AA2" w:rsidRPr="00B60E27" w:rsidRDefault="006B0AA2" w:rsidP="006B0AA2">
      <w:pPr>
        <w:pStyle w:val="ListParagraph"/>
        <w:numPr>
          <w:ilvl w:val="0"/>
          <w:numId w:val="2"/>
        </w:numPr>
        <w:rPr>
          <w:bCs/>
          <w:color w:val="000000" w:themeColor="text1"/>
          <w:lang w:val="en-US"/>
        </w:rPr>
      </w:pPr>
      <w:r w:rsidRPr="00B60E27">
        <w:rPr>
          <w:bCs/>
          <w:color w:val="000000" w:themeColor="text1"/>
          <w:lang w:val="en-US"/>
        </w:rPr>
        <w:lastRenderedPageBreak/>
        <w:t>Supporting Figures</w:t>
      </w:r>
    </w:p>
    <w:p w14:paraId="741D6FD8" w14:textId="77777777" w:rsidR="006B0AA2" w:rsidRPr="00B60E27" w:rsidRDefault="006B0AA2" w:rsidP="006B0AA2">
      <w:pPr>
        <w:jc w:val="center"/>
        <w:rPr>
          <w:b/>
          <w:color w:val="000000" w:themeColor="text1"/>
          <w:sz w:val="28"/>
          <w:szCs w:val="28"/>
          <w:lang w:val="en-US"/>
        </w:rPr>
      </w:pPr>
    </w:p>
    <w:p w14:paraId="2858B100" w14:textId="77777777" w:rsidR="006B0AA2" w:rsidRPr="00B60E27" w:rsidRDefault="006B0AA2" w:rsidP="006B0AA2">
      <w:pPr>
        <w:pStyle w:val="SchemeS6"/>
        <w:rPr>
          <w:color w:val="000000" w:themeColor="text1"/>
        </w:rPr>
      </w:pPr>
      <w:r w:rsidRPr="00B60E27">
        <w:rPr>
          <w:noProof/>
          <w:color w:val="000000" w:themeColor="text1"/>
          <w:lang w:val="en-IN" w:eastAsia="en-IN"/>
        </w:rPr>
        <w:drawing>
          <wp:inline distT="0" distB="0" distL="0" distR="0" wp14:anchorId="5B311C83" wp14:editId="061FB106">
            <wp:extent cx="5943600" cy="3168015"/>
            <wp:effectExtent l="0" t="0" r="0" b="0"/>
            <wp:docPr id="104454863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48633" name="Picture 3" descr="A screenshot of a comput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168015"/>
                    </a:xfrm>
                    <a:prstGeom prst="rect">
                      <a:avLst/>
                    </a:prstGeom>
                    <a:noFill/>
                  </pic:spPr>
                </pic:pic>
              </a:graphicData>
            </a:graphic>
          </wp:inline>
        </w:drawing>
      </w:r>
    </w:p>
    <w:p w14:paraId="6D8B0678" w14:textId="77777777" w:rsidR="006B0AA2" w:rsidRPr="00B60E27" w:rsidRDefault="006B0AA2" w:rsidP="006B0AA2">
      <w:pPr>
        <w:pStyle w:val="SchemeS6"/>
        <w:rPr>
          <w:color w:val="000000" w:themeColor="text1"/>
        </w:rPr>
      </w:pPr>
    </w:p>
    <w:p w14:paraId="09840FA6" w14:textId="77777777" w:rsidR="006B0AA2" w:rsidRPr="00B60E27" w:rsidRDefault="006B0AA2" w:rsidP="006B0AA2">
      <w:pPr>
        <w:pStyle w:val="SchemeS6"/>
        <w:rPr>
          <w:color w:val="000000" w:themeColor="text1"/>
        </w:rPr>
      </w:pPr>
      <w:r w:rsidRPr="00B60E27">
        <w:rPr>
          <w:b/>
          <w:bCs/>
          <w:color w:val="000000" w:themeColor="text1"/>
        </w:rPr>
        <w:t>Figure S1. a)</w:t>
      </w:r>
      <w:r w:rsidRPr="00B60E27">
        <w:rPr>
          <w:color w:val="000000" w:themeColor="text1"/>
        </w:rPr>
        <w:t xml:space="preserve"> AFM height image of </w:t>
      </w:r>
      <w:r w:rsidRPr="00B60E27">
        <w:rPr>
          <w:i/>
          <w:color w:val="000000" w:themeColor="text1"/>
        </w:rPr>
        <w:t>c</w:t>
      </w:r>
      <w:r w:rsidRPr="00B60E27">
        <w:rPr>
          <w:color w:val="000000" w:themeColor="text1"/>
        </w:rPr>
        <w:t xml:space="preserve">-CNC-COOH, </w:t>
      </w:r>
      <w:r w:rsidRPr="00B60E27">
        <w:rPr>
          <w:b/>
          <w:bCs/>
          <w:color w:val="000000" w:themeColor="text1"/>
        </w:rPr>
        <w:t>b)</w:t>
      </w:r>
      <w:r w:rsidRPr="00B60E27">
        <w:rPr>
          <w:color w:val="000000" w:themeColor="text1"/>
        </w:rPr>
        <w:t xml:space="preserve"> a height profile extracted from the AFM image showing how height and width of the nanoparticles are measured, </w:t>
      </w:r>
      <w:r w:rsidRPr="00B60E27">
        <w:rPr>
          <w:b/>
          <w:bCs/>
          <w:color w:val="000000" w:themeColor="text1"/>
        </w:rPr>
        <w:t>c)</w:t>
      </w:r>
      <w:r w:rsidRPr="00B60E27">
        <w:rPr>
          <w:color w:val="000000" w:themeColor="text1"/>
        </w:rPr>
        <w:t xml:space="preserve"> a representative conductivity titration curve of </w:t>
      </w:r>
      <w:r w:rsidRPr="00B60E27">
        <w:rPr>
          <w:i/>
          <w:iCs/>
          <w:color w:val="000000" w:themeColor="text1"/>
        </w:rPr>
        <w:t>c</w:t>
      </w:r>
      <w:r w:rsidRPr="00B60E27">
        <w:rPr>
          <w:color w:val="000000" w:themeColor="text1"/>
        </w:rPr>
        <w:t xml:space="preserve">-CNC-COOH showing the weak acid plateau corresponding to -COOH neutralization, </w:t>
      </w:r>
      <w:r w:rsidRPr="00B60E27">
        <w:rPr>
          <w:b/>
          <w:bCs/>
          <w:color w:val="000000" w:themeColor="text1"/>
        </w:rPr>
        <w:t>d)</w:t>
      </w:r>
      <w:r w:rsidRPr="00B60E27">
        <w:rPr>
          <w:color w:val="000000" w:themeColor="text1"/>
        </w:rPr>
        <w:t xml:space="preserve"> WAXS of </w:t>
      </w:r>
      <w:r w:rsidRPr="00B60E27">
        <w:rPr>
          <w:i/>
          <w:color w:val="000000" w:themeColor="text1"/>
        </w:rPr>
        <w:t>c</w:t>
      </w:r>
      <w:r w:rsidRPr="00B60E27">
        <w:rPr>
          <w:color w:val="000000" w:themeColor="text1"/>
        </w:rPr>
        <w:t xml:space="preserve">-CNC-COOH showing the crystallinity index, and </w:t>
      </w:r>
      <w:r w:rsidRPr="00B60E27">
        <w:rPr>
          <w:b/>
          <w:bCs/>
          <w:color w:val="000000" w:themeColor="text1"/>
        </w:rPr>
        <w:t>e)</w:t>
      </w:r>
      <w:r w:rsidRPr="00B60E27">
        <w:rPr>
          <w:color w:val="000000" w:themeColor="text1"/>
        </w:rPr>
        <w:t xml:space="preserve"> the TGA degradation trace of the </w:t>
      </w:r>
      <w:r w:rsidRPr="00B60E27">
        <w:rPr>
          <w:i/>
          <w:color w:val="000000" w:themeColor="text1"/>
        </w:rPr>
        <w:t>c</w:t>
      </w:r>
      <w:r w:rsidRPr="00B60E27">
        <w:rPr>
          <w:color w:val="000000" w:themeColor="text1"/>
        </w:rPr>
        <w:t>-CNC-COOH.</w:t>
      </w:r>
    </w:p>
    <w:p w14:paraId="2A591611" w14:textId="77777777" w:rsidR="006B0AA2" w:rsidRPr="00B60E27" w:rsidRDefault="006B0AA2" w:rsidP="006B0AA2">
      <w:pPr>
        <w:pStyle w:val="SchemeS6"/>
        <w:rPr>
          <w:color w:val="000000" w:themeColor="text1"/>
        </w:rPr>
      </w:pPr>
    </w:p>
    <w:p w14:paraId="36B05DF2" w14:textId="77777777" w:rsidR="006B0AA2" w:rsidRPr="00B60E27" w:rsidRDefault="006B0AA2" w:rsidP="006B0AA2">
      <w:pPr>
        <w:pStyle w:val="SchemeS6"/>
        <w:rPr>
          <w:color w:val="000000" w:themeColor="text1"/>
        </w:rPr>
      </w:pPr>
      <w:r w:rsidRPr="00B60E27">
        <w:rPr>
          <w:noProof/>
          <w:color w:val="000000" w:themeColor="text1"/>
          <w:lang w:val="en-IN" w:eastAsia="en-IN"/>
        </w:rPr>
        <w:lastRenderedPageBreak/>
        <w:drawing>
          <wp:inline distT="0" distB="0" distL="0" distR="0" wp14:anchorId="08D6E815" wp14:editId="37922A3F">
            <wp:extent cx="5486400" cy="4347523"/>
            <wp:effectExtent l="0" t="0" r="0" b="0"/>
            <wp:docPr id="179475213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52132" name="Picture 2" descr="A screenshot of a compu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347523"/>
                    </a:xfrm>
                    <a:prstGeom prst="rect">
                      <a:avLst/>
                    </a:prstGeom>
                    <a:noFill/>
                  </pic:spPr>
                </pic:pic>
              </a:graphicData>
            </a:graphic>
          </wp:inline>
        </w:drawing>
      </w:r>
    </w:p>
    <w:p w14:paraId="2710E99A" w14:textId="77777777" w:rsidR="006B0AA2" w:rsidRPr="00B60E27" w:rsidRDefault="006B0AA2" w:rsidP="006B0AA2">
      <w:pPr>
        <w:pStyle w:val="SchemeS6"/>
        <w:rPr>
          <w:color w:val="000000" w:themeColor="text1"/>
        </w:rPr>
      </w:pPr>
    </w:p>
    <w:p w14:paraId="4EDE86DF" w14:textId="77777777" w:rsidR="006B0AA2" w:rsidRPr="00B60E27" w:rsidRDefault="006B0AA2" w:rsidP="006B0AA2">
      <w:pPr>
        <w:pStyle w:val="SchemeS6"/>
        <w:rPr>
          <w:color w:val="000000" w:themeColor="text1"/>
        </w:rPr>
      </w:pPr>
      <w:r w:rsidRPr="00B60E27">
        <w:rPr>
          <w:b/>
          <w:bCs/>
          <w:color w:val="000000" w:themeColor="text1"/>
        </w:rPr>
        <w:t>Figure S2. a)</w:t>
      </w:r>
      <w:r w:rsidRPr="00B60E27">
        <w:rPr>
          <w:color w:val="000000" w:themeColor="text1"/>
        </w:rPr>
        <w:t xml:space="preserve"> AFM height image of </w:t>
      </w:r>
      <w:r w:rsidRPr="00B60E27">
        <w:rPr>
          <w:i/>
          <w:color w:val="000000" w:themeColor="text1"/>
        </w:rPr>
        <w:t>c</w:t>
      </w:r>
      <w:r w:rsidRPr="00B60E27">
        <w:rPr>
          <w:color w:val="000000" w:themeColor="text1"/>
        </w:rPr>
        <w:t>-CNC-OSO</w:t>
      </w:r>
      <w:r w:rsidRPr="00B60E27">
        <w:rPr>
          <w:color w:val="000000" w:themeColor="text1"/>
          <w:vertAlign w:val="subscript"/>
        </w:rPr>
        <w:t>3</w:t>
      </w:r>
      <w:r w:rsidRPr="00B60E27">
        <w:rPr>
          <w:color w:val="000000" w:themeColor="text1"/>
        </w:rPr>
        <w:t xml:space="preserve">, </w:t>
      </w:r>
      <w:r w:rsidRPr="00B60E27">
        <w:rPr>
          <w:b/>
          <w:bCs/>
          <w:color w:val="000000" w:themeColor="text1"/>
        </w:rPr>
        <w:t>b)</w:t>
      </w:r>
      <w:r w:rsidRPr="00B60E27">
        <w:rPr>
          <w:color w:val="000000" w:themeColor="text1"/>
        </w:rPr>
        <w:t xml:space="preserve"> a representative conductivity titration curve of </w:t>
      </w:r>
      <w:r w:rsidRPr="00B60E27">
        <w:rPr>
          <w:i/>
          <w:iCs/>
          <w:color w:val="000000" w:themeColor="text1"/>
        </w:rPr>
        <w:t>c</w:t>
      </w:r>
      <w:r w:rsidRPr="00B60E27">
        <w:rPr>
          <w:color w:val="000000" w:themeColor="text1"/>
        </w:rPr>
        <w:t>-CNC-OSO</w:t>
      </w:r>
      <w:r w:rsidRPr="00B60E27">
        <w:rPr>
          <w:color w:val="000000" w:themeColor="text1"/>
          <w:vertAlign w:val="subscript"/>
        </w:rPr>
        <w:t>3</w:t>
      </w:r>
      <w:r w:rsidRPr="00B60E27">
        <w:rPr>
          <w:color w:val="000000" w:themeColor="text1"/>
        </w:rPr>
        <w:t xml:space="preserve">, </w:t>
      </w:r>
      <w:r w:rsidRPr="00B60E27">
        <w:rPr>
          <w:b/>
          <w:bCs/>
          <w:color w:val="000000" w:themeColor="text1"/>
        </w:rPr>
        <w:t>c)</w:t>
      </w:r>
      <w:r w:rsidRPr="00B60E27">
        <w:rPr>
          <w:color w:val="000000" w:themeColor="text1"/>
        </w:rPr>
        <w:t xml:space="preserve"> WAXS of </w:t>
      </w:r>
      <w:r w:rsidRPr="00B60E27">
        <w:rPr>
          <w:i/>
          <w:color w:val="000000" w:themeColor="text1"/>
        </w:rPr>
        <w:t>c</w:t>
      </w:r>
      <w:r w:rsidRPr="00B60E27">
        <w:rPr>
          <w:color w:val="000000" w:themeColor="text1"/>
        </w:rPr>
        <w:t>-CNC-OSO</w:t>
      </w:r>
      <w:r w:rsidRPr="00B60E27">
        <w:rPr>
          <w:color w:val="000000" w:themeColor="text1"/>
          <w:vertAlign w:val="subscript"/>
        </w:rPr>
        <w:t>3</w:t>
      </w:r>
      <w:r w:rsidRPr="00B60E27">
        <w:rPr>
          <w:color w:val="000000" w:themeColor="text1"/>
        </w:rPr>
        <w:t xml:space="preserve"> showing the crystallinity index, and </w:t>
      </w:r>
      <w:r w:rsidRPr="00B60E27">
        <w:rPr>
          <w:b/>
          <w:bCs/>
          <w:color w:val="000000" w:themeColor="text1"/>
        </w:rPr>
        <w:t>d)</w:t>
      </w:r>
      <w:r w:rsidRPr="00B60E27">
        <w:rPr>
          <w:color w:val="000000" w:themeColor="text1"/>
        </w:rPr>
        <w:t xml:space="preserve"> the TGA degradation trace of the </w:t>
      </w:r>
      <w:r w:rsidRPr="00B60E27">
        <w:rPr>
          <w:i/>
          <w:color w:val="000000" w:themeColor="text1"/>
        </w:rPr>
        <w:t>c</w:t>
      </w:r>
      <w:r w:rsidRPr="00B60E27">
        <w:rPr>
          <w:color w:val="000000" w:themeColor="text1"/>
        </w:rPr>
        <w:t>-CNC-OSO</w:t>
      </w:r>
      <w:r w:rsidRPr="00B60E27">
        <w:rPr>
          <w:color w:val="000000" w:themeColor="text1"/>
          <w:vertAlign w:val="subscript"/>
        </w:rPr>
        <w:t>3</w:t>
      </w:r>
      <w:r w:rsidRPr="00B60E27">
        <w:rPr>
          <w:color w:val="000000" w:themeColor="text1"/>
        </w:rPr>
        <w:t>.</w:t>
      </w:r>
    </w:p>
    <w:p w14:paraId="49E8EF41" w14:textId="77777777" w:rsidR="006B0AA2" w:rsidRPr="00B60E27" w:rsidRDefault="006B0AA2" w:rsidP="006B0AA2">
      <w:pPr>
        <w:pStyle w:val="SchemeS6"/>
        <w:rPr>
          <w:color w:val="000000" w:themeColor="text1"/>
        </w:rPr>
      </w:pPr>
    </w:p>
    <w:p w14:paraId="082F6D14" w14:textId="77777777" w:rsidR="006B0AA2" w:rsidRPr="00B60E27" w:rsidRDefault="006B0AA2" w:rsidP="006B0AA2">
      <w:pPr>
        <w:jc w:val="center"/>
        <w:rPr>
          <w:bCs/>
          <w:color w:val="000000" w:themeColor="text1"/>
          <w:sz w:val="22"/>
          <w:szCs w:val="22"/>
          <w:lang w:val="en-US"/>
        </w:rPr>
      </w:pPr>
      <w:r w:rsidRPr="00B60E27">
        <w:rPr>
          <w:bCs/>
          <w:noProof/>
          <w:color w:val="000000" w:themeColor="text1"/>
          <w:sz w:val="22"/>
          <w:szCs w:val="22"/>
          <w:lang w:val="en-IN" w:eastAsia="en-IN"/>
        </w:rPr>
        <w:drawing>
          <wp:inline distT="0" distB="0" distL="0" distR="0" wp14:anchorId="7D6B8AB3" wp14:editId="21B4F0BC">
            <wp:extent cx="5943600" cy="2923960"/>
            <wp:effectExtent l="0" t="0" r="0" b="0"/>
            <wp:docPr id="744307851"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07851" name="Picture 1" descr="A diagram of a graph&#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923960"/>
                    </a:xfrm>
                    <a:prstGeom prst="rect">
                      <a:avLst/>
                    </a:prstGeom>
                    <a:noFill/>
                  </pic:spPr>
                </pic:pic>
              </a:graphicData>
            </a:graphic>
          </wp:inline>
        </w:drawing>
      </w:r>
    </w:p>
    <w:p w14:paraId="1E78514A" w14:textId="77777777" w:rsidR="006B0AA2" w:rsidRPr="00B60E27" w:rsidRDefault="006B0AA2" w:rsidP="006B0AA2">
      <w:pPr>
        <w:jc w:val="center"/>
        <w:rPr>
          <w:bCs/>
          <w:color w:val="000000" w:themeColor="text1"/>
          <w:sz w:val="22"/>
          <w:szCs w:val="22"/>
          <w:lang w:val="en-US"/>
        </w:rPr>
      </w:pPr>
    </w:p>
    <w:p w14:paraId="08D34021" w14:textId="77777777" w:rsidR="006B0AA2" w:rsidRPr="00B60E27" w:rsidRDefault="006B0AA2" w:rsidP="006B0AA2">
      <w:pPr>
        <w:jc w:val="center"/>
        <w:rPr>
          <w:color w:val="000000" w:themeColor="text1"/>
          <w:sz w:val="22"/>
          <w:szCs w:val="22"/>
          <w:lang w:val="en-US"/>
        </w:rPr>
      </w:pPr>
      <w:r w:rsidRPr="00B60E27">
        <w:rPr>
          <w:b/>
          <w:bCs/>
          <w:color w:val="000000" w:themeColor="text1"/>
          <w:sz w:val="22"/>
          <w:szCs w:val="22"/>
          <w:lang w:val="en-US"/>
        </w:rPr>
        <w:t>Figure S3. a)</w:t>
      </w:r>
      <w:r w:rsidRPr="00B60E27">
        <w:rPr>
          <w:color w:val="000000" w:themeColor="text1"/>
          <w:sz w:val="22"/>
          <w:szCs w:val="22"/>
          <w:lang w:val="en-US"/>
        </w:rPr>
        <w:t xml:space="preserve"> Scheme of hindered urea (dodecyl-HU) dissociation upon heating and</w:t>
      </w:r>
      <w:r w:rsidRPr="00B60E27">
        <w:rPr>
          <w:b/>
          <w:color w:val="000000" w:themeColor="text1"/>
          <w:sz w:val="22"/>
          <w:szCs w:val="22"/>
          <w:lang w:val="en-US"/>
        </w:rPr>
        <w:t xml:space="preserve"> </w:t>
      </w:r>
      <w:r w:rsidRPr="00B60E27">
        <w:rPr>
          <w:b/>
          <w:bCs/>
          <w:color w:val="000000" w:themeColor="text1"/>
          <w:sz w:val="22"/>
          <w:szCs w:val="22"/>
          <w:lang w:val="en-US"/>
        </w:rPr>
        <w:t>b)</w:t>
      </w:r>
      <w:r w:rsidRPr="00B60E27">
        <w:rPr>
          <w:color w:val="000000" w:themeColor="text1"/>
          <w:sz w:val="22"/>
          <w:szCs w:val="22"/>
          <w:lang w:val="en-US"/>
        </w:rPr>
        <w:t xml:space="preserve"> FTIR spectra of the dodecyl-HU component at temperatures ranging from 80°C to 130°C, focusing on the signals at 1900-1000 cm</w:t>
      </w:r>
      <w:r w:rsidRPr="00B60E27">
        <w:rPr>
          <w:color w:val="000000" w:themeColor="text1"/>
          <w:sz w:val="22"/>
          <w:szCs w:val="22"/>
          <w:vertAlign w:val="superscript"/>
          <w:lang w:val="en-US"/>
        </w:rPr>
        <w:t>-1</w:t>
      </w:r>
      <w:r w:rsidRPr="00B60E27">
        <w:rPr>
          <w:color w:val="000000" w:themeColor="text1"/>
          <w:sz w:val="22"/>
          <w:szCs w:val="22"/>
          <w:lang w:val="en-US"/>
        </w:rPr>
        <w:t>.</w:t>
      </w:r>
    </w:p>
    <w:p w14:paraId="2B4FE6F7" w14:textId="77777777" w:rsidR="006B0AA2" w:rsidRPr="00B60E27" w:rsidRDefault="006B0AA2" w:rsidP="006B0AA2">
      <w:pPr>
        <w:jc w:val="center"/>
        <w:rPr>
          <w:color w:val="000000" w:themeColor="text1"/>
          <w:sz w:val="22"/>
          <w:szCs w:val="22"/>
          <w:lang w:val="en-US"/>
        </w:rPr>
      </w:pPr>
    </w:p>
    <w:p w14:paraId="335C5551" w14:textId="77777777" w:rsidR="006B0AA2" w:rsidRPr="00B60E27" w:rsidRDefault="006B0AA2" w:rsidP="006B0AA2">
      <w:pPr>
        <w:jc w:val="center"/>
        <w:rPr>
          <w:color w:val="000000" w:themeColor="text1"/>
          <w:sz w:val="22"/>
          <w:szCs w:val="22"/>
          <w:lang w:val="en-US"/>
        </w:rPr>
      </w:pPr>
      <w:bookmarkStart w:id="9" w:name="_Hlk170993342"/>
      <w:r w:rsidRPr="00B60E27">
        <w:rPr>
          <w:noProof/>
          <w:color w:val="000000" w:themeColor="text1"/>
          <w:sz w:val="22"/>
          <w:szCs w:val="22"/>
          <w:lang w:val="en-IN" w:eastAsia="en-IN"/>
        </w:rPr>
        <w:lastRenderedPageBreak/>
        <w:drawing>
          <wp:inline distT="0" distB="0" distL="0" distR="0" wp14:anchorId="358431F1" wp14:editId="2B7CB5A1">
            <wp:extent cx="5943600" cy="3299861"/>
            <wp:effectExtent l="0" t="0" r="0" b="0"/>
            <wp:docPr id="1992527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99861"/>
                    </a:xfrm>
                    <a:prstGeom prst="rect">
                      <a:avLst/>
                    </a:prstGeom>
                    <a:noFill/>
                  </pic:spPr>
                </pic:pic>
              </a:graphicData>
            </a:graphic>
          </wp:inline>
        </w:drawing>
      </w:r>
    </w:p>
    <w:p w14:paraId="7841D81E" w14:textId="77777777" w:rsidR="006B0AA2" w:rsidRPr="00B60E27" w:rsidRDefault="006B0AA2" w:rsidP="006B0AA2">
      <w:pPr>
        <w:jc w:val="center"/>
        <w:rPr>
          <w:color w:val="000000" w:themeColor="text1"/>
          <w:sz w:val="22"/>
          <w:szCs w:val="22"/>
          <w:lang w:val="en-US"/>
        </w:rPr>
      </w:pPr>
      <w:r w:rsidRPr="00B60E27">
        <w:rPr>
          <w:b/>
          <w:bCs/>
          <w:color w:val="000000" w:themeColor="text1"/>
        </w:rPr>
        <w:t xml:space="preserve">Figure S4. </w:t>
      </w:r>
      <w:r w:rsidRPr="00B60E27">
        <w:rPr>
          <w:color w:val="000000" w:themeColor="text1"/>
        </w:rPr>
        <w:t xml:space="preserve">The </w:t>
      </w:r>
      <w:r w:rsidRPr="00B60E27">
        <w:rPr>
          <w:color w:val="000000" w:themeColor="text1"/>
          <w:vertAlign w:val="superscript"/>
        </w:rPr>
        <w:t>1</w:t>
      </w:r>
      <w:r w:rsidRPr="00B60E27">
        <w:rPr>
          <w:color w:val="000000" w:themeColor="text1"/>
        </w:rPr>
        <w:t>H NMR spectrum of the product resulting from the reaction of dodecyl-HU with PG with key peaks labeled.</w:t>
      </w:r>
    </w:p>
    <w:bookmarkEnd w:id="9"/>
    <w:p w14:paraId="110CF2FC" w14:textId="77777777" w:rsidR="006B0AA2" w:rsidRPr="00B60E27" w:rsidRDefault="006B0AA2" w:rsidP="006B0AA2">
      <w:pPr>
        <w:jc w:val="center"/>
        <w:rPr>
          <w:color w:val="000000" w:themeColor="text1"/>
          <w:lang w:val="en-US"/>
        </w:rPr>
      </w:pPr>
    </w:p>
    <w:p w14:paraId="38D2593B" w14:textId="77777777" w:rsidR="006B0AA2" w:rsidRPr="00B60E27" w:rsidRDefault="006B0AA2" w:rsidP="006B0AA2">
      <w:pPr>
        <w:pStyle w:val="SchemeS6"/>
        <w:rPr>
          <w:color w:val="000000" w:themeColor="text1"/>
        </w:rPr>
      </w:pPr>
      <w:r w:rsidRPr="00B60E27">
        <w:rPr>
          <w:noProof/>
          <w:color w:val="000000" w:themeColor="text1"/>
          <w:lang w:val="en-IN" w:eastAsia="en-IN"/>
        </w:rPr>
        <w:drawing>
          <wp:inline distT="0" distB="0" distL="0" distR="0" wp14:anchorId="6A50BB7A" wp14:editId="2ABAD028">
            <wp:extent cx="2971800" cy="2304900"/>
            <wp:effectExtent l="0" t="0" r="0" b="0"/>
            <wp:docPr id="450603654" name="Picture 45060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1800" cy="2304900"/>
                    </a:xfrm>
                    <a:prstGeom prst="rect">
                      <a:avLst/>
                    </a:prstGeom>
                  </pic:spPr>
                </pic:pic>
              </a:graphicData>
            </a:graphic>
          </wp:inline>
        </w:drawing>
      </w:r>
    </w:p>
    <w:p w14:paraId="78B6024C" w14:textId="77777777" w:rsidR="006B0AA2" w:rsidRPr="00B60E27" w:rsidRDefault="006B0AA2" w:rsidP="006B0AA2">
      <w:pPr>
        <w:pStyle w:val="SchemeS6"/>
        <w:rPr>
          <w:color w:val="000000" w:themeColor="text1"/>
          <w:vertAlign w:val="subscript"/>
        </w:rPr>
      </w:pPr>
      <w:r w:rsidRPr="00B60E27">
        <w:rPr>
          <w:b/>
          <w:bCs/>
          <w:color w:val="000000" w:themeColor="text1"/>
        </w:rPr>
        <w:t>Figure S5.</w:t>
      </w:r>
      <w:r w:rsidRPr="00B60E27">
        <w:rPr>
          <w:color w:val="000000" w:themeColor="text1"/>
        </w:rPr>
        <w:t xml:space="preserve"> TGA of </w:t>
      </w:r>
      <w:r w:rsidRPr="00B60E27">
        <w:rPr>
          <w:i/>
          <w:iCs/>
          <w:color w:val="000000" w:themeColor="text1"/>
        </w:rPr>
        <w:t>c</w:t>
      </w:r>
      <w:r w:rsidRPr="00B60E27">
        <w:rPr>
          <w:color w:val="000000" w:themeColor="text1"/>
        </w:rPr>
        <w:t>-CNC-OSO</w:t>
      </w:r>
      <w:r w:rsidRPr="00B60E27">
        <w:rPr>
          <w:color w:val="000000" w:themeColor="text1"/>
          <w:vertAlign w:val="subscript"/>
        </w:rPr>
        <w:t>3</w:t>
      </w:r>
      <w:r w:rsidRPr="00B60E27">
        <w:rPr>
          <w:color w:val="000000" w:themeColor="text1"/>
        </w:rPr>
        <w:t xml:space="preserve"> and </w:t>
      </w:r>
      <w:r w:rsidRPr="00B60E27">
        <w:rPr>
          <w:i/>
          <w:iCs/>
          <w:color w:val="000000" w:themeColor="text1"/>
        </w:rPr>
        <w:t>c</w:t>
      </w:r>
      <w:r w:rsidRPr="00B60E27">
        <w:rPr>
          <w:color w:val="000000" w:themeColor="text1"/>
        </w:rPr>
        <w:t>-CNC-</w:t>
      </w:r>
      <w:r w:rsidRPr="00B60E27">
        <w:rPr>
          <w:i/>
          <w:iCs/>
          <w:color w:val="000000" w:themeColor="text1"/>
        </w:rPr>
        <w:t>g</w:t>
      </w:r>
      <w:r w:rsidRPr="00B60E27">
        <w:rPr>
          <w:color w:val="000000" w:themeColor="text1"/>
        </w:rPr>
        <w:t>-dodecane showing increased thermal stability in the grafted CNCs.</w:t>
      </w:r>
    </w:p>
    <w:p w14:paraId="798323F4" w14:textId="77777777" w:rsidR="006B0AA2" w:rsidRPr="00B60E27" w:rsidRDefault="006B0AA2" w:rsidP="006B0AA2">
      <w:pPr>
        <w:pStyle w:val="SchemeS6"/>
        <w:rPr>
          <w:color w:val="000000" w:themeColor="text1"/>
        </w:rPr>
      </w:pPr>
      <w:r w:rsidRPr="00B60E27">
        <w:rPr>
          <w:noProof/>
          <w:color w:val="000000" w:themeColor="text1"/>
          <w:lang w:val="en-IN" w:eastAsia="en-IN"/>
        </w:rPr>
        <w:lastRenderedPageBreak/>
        <w:drawing>
          <wp:inline distT="0" distB="0" distL="0" distR="0" wp14:anchorId="2DBD799C" wp14:editId="21F0B775">
            <wp:extent cx="5943600" cy="4420384"/>
            <wp:effectExtent l="0" t="0" r="0" b="0"/>
            <wp:docPr id="2130417633"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17633" name="Picture 4" descr="A screen 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20384"/>
                    </a:xfrm>
                    <a:prstGeom prst="rect">
                      <a:avLst/>
                    </a:prstGeom>
                    <a:noFill/>
                  </pic:spPr>
                </pic:pic>
              </a:graphicData>
            </a:graphic>
          </wp:inline>
        </w:drawing>
      </w:r>
    </w:p>
    <w:p w14:paraId="37073BB5" w14:textId="77777777" w:rsidR="006B0AA2" w:rsidRPr="00B60E27" w:rsidRDefault="006B0AA2" w:rsidP="006B0AA2">
      <w:pPr>
        <w:pStyle w:val="SchemeS6"/>
        <w:rPr>
          <w:color w:val="000000" w:themeColor="text1"/>
        </w:rPr>
      </w:pPr>
    </w:p>
    <w:p w14:paraId="2B8A502B" w14:textId="77777777" w:rsidR="006B0AA2" w:rsidRPr="00B60E27" w:rsidRDefault="006B0AA2" w:rsidP="006B0AA2">
      <w:pPr>
        <w:pStyle w:val="SchemeS6"/>
        <w:rPr>
          <w:color w:val="000000" w:themeColor="text1"/>
        </w:rPr>
      </w:pPr>
      <w:r w:rsidRPr="00B60E27">
        <w:rPr>
          <w:b/>
          <w:bCs/>
          <w:color w:val="000000" w:themeColor="text1"/>
        </w:rPr>
        <w:t>Figure S6. a)</w:t>
      </w:r>
      <w:r w:rsidRPr="00B60E27">
        <w:rPr>
          <w:color w:val="000000" w:themeColor="text1"/>
        </w:rPr>
        <w:t xml:space="preserve"> SEC traces and corresponding molecular weight and dispersity for PEG</w:t>
      </w:r>
      <w:r w:rsidRPr="00B60E27">
        <w:rPr>
          <w:color w:val="000000" w:themeColor="text1"/>
          <w:vertAlign w:val="subscript"/>
        </w:rPr>
        <w:t>2k</w:t>
      </w:r>
      <w:r w:rsidRPr="00B60E27">
        <w:rPr>
          <w:color w:val="000000" w:themeColor="text1"/>
        </w:rPr>
        <w:t>-OH, PEG</w:t>
      </w:r>
      <w:r w:rsidRPr="00B60E27">
        <w:rPr>
          <w:color w:val="000000" w:themeColor="text1"/>
          <w:vertAlign w:val="subscript"/>
        </w:rPr>
        <w:t>2k</w:t>
      </w:r>
      <w:r w:rsidRPr="00B60E27">
        <w:rPr>
          <w:color w:val="000000" w:themeColor="text1"/>
        </w:rPr>
        <w:t>-NCO, and PEG</w:t>
      </w:r>
      <w:r w:rsidRPr="00B60E27">
        <w:rPr>
          <w:color w:val="000000" w:themeColor="text1"/>
          <w:vertAlign w:val="subscript"/>
        </w:rPr>
        <w:t>2k</w:t>
      </w:r>
      <w:r w:rsidRPr="00B60E27">
        <w:rPr>
          <w:color w:val="000000" w:themeColor="text1"/>
        </w:rPr>
        <w:t xml:space="preserve">-HU, and </w:t>
      </w:r>
      <w:r w:rsidRPr="00B60E27">
        <w:rPr>
          <w:b/>
          <w:bCs/>
          <w:color w:val="000000" w:themeColor="text1"/>
        </w:rPr>
        <w:t>b)</w:t>
      </w:r>
      <w:r w:rsidRPr="00B60E27">
        <w:rPr>
          <w:color w:val="000000" w:themeColor="text1"/>
        </w:rPr>
        <w:t xml:space="preserve"> </w:t>
      </w:r>
      <w:r w:rsidRPr="00B60E27">
        <w:rPr>
          <w:color w:val="000000" w:themeColor="text1"/>
          <w:vertAlign w:val="superscript"/>
        </w:rPr>
        <w:t>1</w:t>
      </w:r>
      <w:r w:rsidRPr="00B60E27">
        <w:rPr>
          <w:color w:val="000000" w:themeColor="text1"/>
        </w:rPr>
        <w:t>H NMR spectra of PEG</w:t>
      </w:r>
      <w:r w:rsidRPr="00B60E27">
        <w:rPr>
          <w:color w:val="000000" w:themeColor="text1"/>
          <w:vertAlign w:val="subscript"/>
        </w:rPr>
        <w:t>2k</w:t>
      </w:r>
      <w:r w:rsidRPr="00B60E27">
        <w:rPr>
          <w:color w:val="000000" w:themeColor="text1"/>
        </w:rPr>
        <w:t>-OH, PEG</w:t>
      </w:r>
      <w:r w:rsidRPr="00B60E27">
        <w:rPr>
          <w:color w:val="000000" w:themeColor="text1"/>
          <w:vertAlign w:val="subscript"/>
        </w:rPr>
        <w:t>2k</w:t>
      </w:r>
      <w:r w:rsidRPr="00B60E27">
        <w:rPr>
          <w:color w:val="000000" w:themeColor="text1"/>
        </w:rPr>
        <w:t>-NCO, and PEG</w:t>
      </w:r>
      <w:r w:rsidRPr="00B60E27">
        <w:rPr>
          <w:color w:val="000000" w:themeColor="text1"/>
          <w:vertAlign w:val="subscript"/>
        </w:rPr>
        <w:t>2k</w:t>
      </w:r>
      <w:r w:rsidRPr="00B60E27">
        <w:rPr>
          <w:color w:val="000000" w:themeColor="text1"/>
        </w:rPr>
        <w:t>-HU with key peaks labeled.</w:t>
      </w:r>
    </w:p>
    <w:p w14:paraId="74324B0C" w14:textId="77777777" w:rsidR="006B0AA2" w:rsidRPr="00B60E27" w:rsidRDefault="006B0AA2" w:rsidP="006B0AA2">
      <w:pPr>
        <w:pStyle w:val="SchemeS6"/>
        <w:rPr>
          <w:color w:val="000000" w:themeColor="text1"/>
        </w:rPr>
      </w:pPr>
    </w:p>
    <w:p w14:paraId="48760BDC" w14:textId="77777777" w:rsidR="006B0AA2" w:rsidRPr="00B60E27" w:rsidRDefault="006B0AA2" w:rsidP="006B0AA2">
      <w:pPr>
        <w:pStyle w:val="SchemeS6"/>
        <w:rPr>
          <w:color w:val="000000" w:themeColor="text1"/>
        </w:rPr>
      </w:pPr>
      <w:r w:rsidRPr="00B60E27">
        <w:rPr>
          <w:noProof/>
          <w:color w:val="000000" w:themeColor="text1"/>
          <w:lang w:val="en-IN" w:eastAsia="en-IN"/>
        </w:rPr>
        <w:lastRenderedPageBreak/>
        <w:drawing>
          <wp:inline distT="0" distB="0" distL="0" distR="0" wp14:anchorId="695DB903" wp14:editId="1C486FAB">
            <wp:extent cx="5943600" cy="4424462"/>
            <wp:effectExtent l="0" t="0" r="0" b="0"/>
            <wp:docPr id="507994166" name="Picture 5"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94166" name="Picture 5" descr="A screen shot of a graph&#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24462"/>
                    </a:xfrm>
                    <a:prstGeom prst="rect">
                      <a:avLst/>
                    </a:prstGeom>
                    <a:noFill/>
                  </pic:spPr>
                </pic:pic>
              </a:graphicData>
            </a:graphic>
          </wp:inline>
        </w:drawing>
      </w:r>
    </w:p>
    <w:p w14:paraId="73B1E48A" w14:textId="77777777" w:rsidR="006B0AA2" w:rsidRPr="00B60E27" w:rsidRDefault="006B0AA2" w:rsidP="006B0AA2">
      <w:pPr>
        <w:pStyle w:val="SchemeS6"/>
        <w:rPr>
          <w:color w:val="000000" w:themeColor="text1"/>
        </w:rPr>
      </w:pPr>
    </w:p>
    <w:p w14:paraId="0A997860" w14:textId="77777777" w:rsidR="006B0AA2" w:rsidRPr="00B60E27" w:rsidRDefault="006B0AA2" w:rsidP="006B0AA2">
      <w:pPr>
        <w:pStyle w:val="SchemeS6"/>
        <w:rPr>
          <w:color w:val="000000" w:themeColor="text1"/>
        </w:rPr>
      </w:pPr>
      <w:r w:rsidRPr="00B60E27">
        <w:rPr>
          <w:b/>
          <w:bCs/>
          <w:color w:val="000000" w:themeColor="text1"/>
        </w:rPr>
        <w:t>Figure S7. a)</w:t>
      </w:r>
      <w:r w:rsidRPr="00B60E27">
        <w:rPr>
          <w:color w:val="000000" w:themeColor="text1"/>
        </w:rPr>
        <w:t xml:space="preserve"> SEC traces and corresponding molecular weight and dispersity for PEG</w:t>
      </w:r>
      <w:r w:rsidRPr="00B60E27">
        <w:rPr>
          <w:color w:val="000000" w:themeColor="text1"/>
          <w:vertAlign w:val="subscript"/>
        </w:rPr>
        <w:t>10k</w:t>
      </w:r>
      <w:r w:rsidRPr="00B60E27">
        <w:rPr>
          <w:color w:val="000000" w:themeColor="text1"/>
        </w:rPr>
        <w:t>-OH, PEG</w:t>
      </w:r>
      <w:r w:rsidRPr="00B60E27">
        <w:rPr>
          <w:color w:val="000000" w:themeColor="text1"/>
          <w:vertAlign w:val="subscript"/>
        </w:rPr>
        <w:t>10k</w:t>
      </w:r>
      <w:r w:rsidRPr="00B60E27">
        <w:rPr>
          <w:color w:val="000000" w:themeColor="text1"/>
        </w:rPr>
        <w:t>-NCO, and PEG</w:t>
      </w:r>
      <w:r w:rsidRPr="00B60E27">
        <w:rPr>
          <w:color w:val="000000" w:themeColor="text1"/>
          <w:vertAlign w:val="subscript"/>
        </w:rPr>
        <w:t>10k</w:t>
      </w:r>
      <w:r w:rsidRPr="00B60E27">
        <w:rPr>
          <w:color w:val="000000" w:themeColor="text1"/>
        </w:rPr>
        <w:t xml:space="preserve">-HU, and </w:t>
      </w:r>
      <w:r w:rsidRPr="00B60E27">
        <w:rPr>
          <w:b/>
          <w:bCs/>
          <w:color w:val="000000" w:themeColor="text1"/>
        </w:rPr>
        <w:t>b)</w:t>
      </w:r>
      <w:r w:rsidRPr="00B60E27">
        <w:rPr>
          <w:color w:val="000000" w:themeColor="text1"/>
        </w:rPr>
        <w:t xml:space="preserve"> </w:t>
      </w:r>
      <w:r w:rsidRPr="00B60E27">
        <w:rPr>
          <w:color w:val="000000" w:themeColor="text1"/>
          <w:vertAlign w:val="superscript"/>
        </w:rPr>
        <w:t>1</w:t>
      </w:r>
      <w:r w:rsidRPr="00B60E27">
        <w:rPr>
          <w:color w:val="000000" w:themeColor="text1"/>
        </w:rPr>
        <w:t>H NMR spectra of PEG</w:t>
      </w:r>
      <w:r w:rsidRPr="00B60E27">
        <w:rPr>
          <w:color w:val="000000" w:themeColor="text1"/>
          <w:vertAlign w:val="subscript"/>
        </w:rPr>
        <w:t>10k</w:t>
      </w:r>
      <w:r w:rsidRPr="00B60E27">
        <w:rPr>
          <w:color w:val="000000" w:themeColor="text1"/>
        </w:rPr>
        <w:t>-OH, PEG</w:t>
      </w:r>
      <w:r w:rsidRPr="00B60E27">
        <w:rPr>
          <w:color w:val="000000" w:themeColor="text1"/>
          <w:vertAlign w:val="subscript"/>
        </w:rPr>
        <w:t>10k</w:t>
      </w:r>
      <w:r w:rsidRPr="00B60E27">
        <w:rPr>
          <w:color w:val="000000" w:themeColor="text1"/>
        </w:rPr>
        <w:t>-NCO, and PEG</w:t>
      </w:r>
      <w:r w:rsidRPr="00B60E27">
        <w:rPr>
          <w:color w:val="000000" w:themeColor="text1"/>
          <w:vertAlign w:val="subscript"/>
        </w:rPr>
        <w:t>10k</w:t>
      </w:r>
      <w:r w:rsidRPr="00B60E27">
        <w:rPr>
          <w:color w:val="000000" w:themeColor="text1"/>
        </w:rPr>
        <w:t>-HU with key peaks labeled.</w:t>
      </w:r>
    </w:p>
    <w:p w14:paraId="3CABA044" w14:textId="77777777" w:rsidR="006B0AA2" w:rsidRPr="00B60E27" w:rsidRDefault="006B0AA2" w:rsidP="006B0AA2">
      <w:pPr>
        <w:pStyle w:val="SchemeS6"/>
        <w:rPr>
          <w:color w:val="000000" w:themeColor="text1"/>
        </w:rPr>
      </w:pPr>
    </w:p>
    <w:p w14:paraId="1F301CAF" w14:textId="77777777" w:rsidR="006B0AA2" w:rsidRPr="00B60E27" w:rsidRDefault="006B0AA2" w:rsidP="006B0AA2">
      <w:pPr>
        <w:pStyle w:val="SchemeS6"/>
        <w:rPr>
          <w:color w:val="000000" w:themeColor="text1"/>
        </w:rPr>
      </w:pPr>
      <w:r w:rsidRPr="00B60E27">
        <w:rPr>
          <w:noProof/>
          <w:color w:val="000000" w:themeColor="text1"/>
          <w:lang w:val="en-IN" w:eastAsia="en-IN"/>
        </w:rPr>
        <w:lastRenderedPageBreak/>
        <w:drawing>
          <wp:inline distT="0" distB="0" distL="0" distR="0" wp14:anchorId="5EB713C2" wp14:editId="1688E1BB">
            <wp:extent cx="5943600" cy="4424462"/>
            <wp:effectExtent l="0" t="0" r="0" b="0"/>
            <wp:docPr id="35566299" name="Picture 6"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6299" name="Picture 6" descr="A screen shot of a graph&#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24462"/>
                    </a:xfrm>
                    <a:prstGeom prst="rect">
                      <a:avLst/>
                    </a:prstGeom>
                    <a:noFill/>
                  </pic:spPr>
                </pic:pic>
              </a:graphicData>
            </a:graphic>
          </wp:inline>
        </w:drawing>
      </w:r>
    </w:p>
    <w:p w14:paraId="13C92019" w14:textId="77777777" w:rsidR="006B0AA2" w:rsidRPr="00B60E27" w:rsidRDefault="006B0AA2" w:rsidP="006B0AA2">
      <w:pPr>
        <w:pStyle w:val="SchemeS6"/>
        <w:rPr>
          <w:color w:val="000000" w:themeColor="text1"/>
        </w:rPr>
      </w:pPr>
    </w:p>
    <w:p w14:paraId="25E10D3D" w14:textId="77777777" w:rsidR="006B0AA2" w:rsidRPr="00B60E27" w:rsidRDefault="006B0AA2" w:rsidP="006B0AA2">
      <w:pPr>
        <w:pStyle w:val="SchemeS6"/>
        <w:rPr>
          <w:color w:val="000000" w:themeColor="text1"/>
        </w:rPr>
      </w:pPr>
      <w:r w:rsidRPr="00B60E27">
        <w:rPr>
          <w:b/>
          <w:bCs/>
          <w:color w:val="000000" w:themeColor="text1"/>
        </w:rPr>
        <w:t>Figure S8. a)</w:t>
      </w:r>
      <w:r w:rsidRPr="00B60E27">
        <w:rPr>
          <w:color w:val="000000" w:themeColor="text1"/>
        </w:rPr>
        <w:t xml:space="preserve"> SEC traces and corresponding molecular weight and dispersity for PCL</w:t>
      </w:r>
      <w:r w:rsidRPr="00B60E27">
        <w:rPr>
          <w:color w:val="000000" w:themeColor="text1"/>
          <w:vertAlign w:val="subscript"/>
        </w:rPr>
        <w:t>10k</w:t>
      </w:r>
      <w:r w:rsidRPr="00B60E27">
        <w:rPr>
          <w:color w:val="000000" w:themeColor="text1"/>
        </w:rPr>
        <w:t>-OH, PCL</w:t>
      </w:r>
      <w:r w:rsidRPr="00B60E27">
        <w:rPr>
          <w:color w:val="000000" w:themeColor="text1"/>
          <w:vertAlign w:val="subscript"/>
        </w:rPr>
        <w:t>10k</w:t>
      </w:r>
      <w:r w:rsidRPr="00B60E27">
        <w:rPr>
          <w:color w:val="000000" w:themeColor="text1"/>
        </w:rPr>
        <w:t>-NCO, and PCL</w:t>
      </w:r>
      <w:r w:rsidRPr="00B60E27">
        <w:rPr>
          <w:color w:val="000000" w:themeColor="text1"/>
          <w:vertAlign w:val="subscript"/>
        </w:rPr>
        <w:t>10k</w:t>
      </w:r>
      <w:r w:rsidRPr="00B60E27">
        <w:rPr>
          <w:color w:val="000000" w:themeColor="text1"/>
        </w:rPr>
        <w:t>-HU, and</w:t>
      </w:r>
      <w:r w:rsidRPr="00B60E27">
        <w:rPr>
          <w:b/>
          <w:bCs/>
          <w:color w:val="000000" w:themeColor="text1"/>
        </w:rPr>
        <w:t xml:space="preserve"> b)</w:t>
      </w:r>
      <w:r w:rsidRPr="00B60E27">
        <w:rPr>
          <w:color w:val="000000" w:themeColor="text1"/>
        </w:rPr>
        <w:t xml:space="preserve"> </w:t>
      </w:r>
      <w:r w:rsidRPr="00B60E27">
        <w:rPr>
          <w:color w:val="000000" w:themeColor="text1"/>
          <w:vertAlign w:val="superscript"/>
        </w:rPr>
        <w:t>1</w:t>
      </w:r>
      <w:r w:rsidRPr="00B60E27">
        <w:rPr>
          <w:color w:val="000000" w:themeColor="text1"/>
        </w:rPr>
        <w:t>H NMR spectra of PCL</w:t>
      </w:r>
      <w:r w:rsidRPr="00B60E27">
        <w:rPr>
          <w:color w:val="000000" w:themeColor="text1"/>
          <w:vertAlign w:val="subscript"/>
        </w:rPr>
        <w:t>10k</w:t>
      </w:r>
      <w:r w:rsidRPr="00B60E27">
        <w:rPr>
          <w:color w:val="000000" w:themeColor="text1"/>
        </w:rPr>
        <w:t>-OH, PCL</w:t>
      </w:r>
      <w:r w:rsidRPr="00B60E27">
        <w:rPr>
          <w:color w:val="000000" w:themeColor="text1"/>
          <w:vertAlign w:val="subscript"/>
        </w:rPr>
        <w:t>10k</w:t>
      </w:r>
      <w:r w:rsidRPr="00B60E27">
        <w:rPr>
          <w:color w:val="000000" w:themeColor="text1"/>
        </w:rPr>
        <w:t>-NCO, and PCL</w:t>
      </w:r>
      <w:r w:rsidRPr="00B60E27">
        <w:rPr>
          <w:color w:val="000000" w:themeColor="text1"/>
          <w:vertAlign w:val="subscript"/>
        </w:rPr>
        <w:t>10k</w:t>
      </w:r>
      <w:r w:rsidRPr="00B60E27">
        <w:rPr>
          <w:color w:val="000000" w:themeColor="text1"/>
        </w:rPr>
        <w:t>-HU with key peaks labeled.</w:t>
      </w:r>
    </w:p>
    <w:p w14:paraId="45C5B2CE" w14:textId="77777777" w:rsidR="006B0AA2" w:rsidRPr="00B60E27" w:rsidRDefault="006B0AA2" w:rsidP="006B0AA2">
      <w:pPr>
        <w:pStyle w:val="SchemeS6"/>
        <w:rPr>
          <w:color w:val="000000" w:themeColor="text1"/>
        </w:rPr>
      </w:pPr>
    </w:p>
    <w:p w14:paraId="4C6953EA" w14:textId="77777777" w:rsidR="006B0AA2" w:rsidRPr="00B60E27" w:rsidRDefault="006B0AA2" w:rsidP="006B0AA2">
      <w:pPr>
        <w:pStyle w:val="SchemeS6"/>
        <w:rPr>
          <w:color w:val="000000" w:themeColor="text1"/>
        </w:rPr>
      </w:pPr>
      <w:r w:rsidRPr="00B60E27">
        <w:rPr>
          <w:noProof/>
          <w:color w:val="000000" w:themeColor="text1"/>
          <w:lang w:val="en-IN" w:eastAsia="en-IN"/>
        </w:rPr>
        <w:drawing>
          <wp:inline distT="0" distB="0" distL="0" distR="0" wp14:anchorId="65CD3FD9" wp14:editId="642264FB">
            <wp:extent cx="5669280" cy="1917750"/>
            <wp:effectExtent l="0" t="0" r="0" b="0"/>
            <wp:docPr id="771215450"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15450" name="Picture 1" descr="A black background with white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9280" cy="1917750"/>
                    </a:xfrm>
                    <a:prstGeom prst="rect">
                      <a:avLst/>
                    </a:prstGeom>
                    <a:noFill/>
                  </pic:spPr>
                </pic:pic>
              </a:graphicData>
            </a:graphic>
          </wp:inline>
        </w:drawing>
      </w:r>
    </w:p>
    <w:p w14:paraId="7FC511FE" w14:textId="77777777" w:rsidR="006B0AA2" w:rsidRPr="00B60E27" w:rsidRDefault="006B0AA2" w:rsidP="006B0AA2">
      <w:pPr>
        <w:pStyle w:val="SchemeS6"/>
        <w:rPr>
          <w:color w:val="000000" w:themeColor="text1"/>
        </w:rPr>
      </w:pPr>
    </w:p>
    <w:p w14:paraId="4650433F" w14:textId="77777777" w:rsidR="006B0AA2" w:rsidRPr="00B60E27" w:rsidRDefault="006B0AA2" w:rsidP="006B0AA2">
      <w:pPr>
        <w:pStyle w:val="SchemeS6"/>
        <w:rPr>
          <w:color w:val="000000" w:themeColor="text1"/>
        </w:rPr>
      </w:pPr>
      <w:r w:rsidRPr="00B60E27">
        <w:rPr>
          <w:b/>
          <w:bCs/>
          <w:color w:val="000000" w:themeColor="text1"/>
        </w:rPr>
        <w:t>Figure S9. a)</w:t>
      </w:r>
      <w:r w:rsidRPr="00B60E27">
        <w:rPr>
          <w:color w:val="000000" w:themeColor="text1"/>
        </w:rPr>
        <w:t xml:space="preserve"> SEC traces for PBA</w:t>
      </w:r>
      <w:r w:rsidRPr="00B60E27">
        <w:rPr>
          <w:color w:val="000000" w:themeColor="text1"/>
          <w:vertAlign w:val="subscript"/>
        </w:rPr>
        <w:t>10k</w:t>
      </w:r>
      <w:r w:rsidRPr="00B60E27">
        <w:rPr>
          <w:color w:val="000000" w:themeColor="text1"/>
        </w:rPr>
        <w:t>-Br and PBA</w:t>
      </w:r>
      <w:r w:rsidRPr="00B60E27">
        <w:rPr>
          <w:color w:val="000000" w:themeColor="text1"/>
          <w:vertAlign w:val="subscript"/>
        </w:rPr>
        <w:t>10k</w:t>
      </w:r>
      <w:r w:rsidRPr="00B60E27">
        <w:rPr>
          <w:color w:val="000000" w:themeColor="text1"/>
        </w:rPr>
        <w:t xml:space="preserve">-HU and </w:t>
      </w:r>
      <w:r w:rsidRPr="00B60E27">
        <w:rPr>
          <w:b/>
          <w:bCs/>
          <w:color w:val="000000" w:themeColor="text1"/>
        </w:rPr>
        <w:t>b)</w:t>
      </w:r>
      <w:r w:rsidRPr="00B60E27">
        <w:rPr>
          <w:color w:val="000000" w:themeColor="text1"/>
        </w:rPr>
        <w:t xml:space="preserve"> </w:t>
      </w:r>
      <w:r w:rsidRPr="00B60E27">
        <w:rPr>
          <w:color w:val="000000" w:themeColor="text1"/>
          <w:vertAlign w:val="superscript"/>
        </w:rPr>
        <w:t>1</w:t>
      </w:r>
      <w:r w:rsidRPr="00B60E27">
        <w:rPr>
          <w:color w:val="000000" w:themeColor="text1"/>
        </w:rPr>
        <w:t>H NMR spectra of PBA</w:t>
      </w:r>
      <w:r w:rsidRPr="00B60E27">
        <w:rPr>
          <w:color w:val="000000" w:themeColor="text1"/>
          <w:vertAlign w:val="subscript"/>
        </w:rPr>
        <w:t>10k</w:t>
      </w:r>
      <w:r w:rsidRPr="00B60E27">
        <w:rPr>
          <w:color w:val="000000" w:themeColor="text1"/>
        </w:rPr>
        <w:t>-Br and PBA</w:t>
      </w:r>
      <w:r w:rsidRPr="00B60E27">
        <w:rPr>
          <w:color w:val="000000" w:themeColor="text1"/>
          <w:vertAlign w:val="subscript"/>
        </w:rPr>
        <w:t>10k</w:t>
      </w:r>
      <w:r w:rsidRPr="00B60E27">
        <w:rPr>
          <w:color w:val="000000" w:themeColor="text1"/>
        </w:rPr>
        <w:t>-HU with key peaks labeled.</w:t>
      </w:r>
    </w:p>
    <w:p w14:paraId="1030990A" w14:textId="77777777" w:rsidR="006B0AA2" w:rsidRPr="00B60E27" w:rsidRDefault="006B0AA2" w:rsidP="006B0AA2">
      <w:pPr>
        <w:pStyle w:val="SchemeS6"/>
        <w:rPr>
          <w:color w:val="000000" w:themeColor="text1"/>
        </w:rPr>
      </w:pPr>
    </w:p>
    <w:p w14:paraId="336BBD3F" w14:textId="77777777" w:rsidR="006B0AA2" w:rsidRPr="00B60E27" w:rsidRDefault="006B0AA2" w:rsidP="006B0AA2">
      <w:pPr>
        <w:pStyle w:val="SchemeS6"/>
        <w:rPr>
          <w:color w:val="000000" w:themeColor="text1"/>
        </w:rPr>
      </w:pPr>
      <w:r w:rsidRPr="00B60E27">
        <w:rPr>
          <w:noProof/>
          <w:color w:val="000000" w:themeColor="text1"/>
          <w:lang w:val="en-IN" w:eastAsia="en-IN"/>
        </w:rPr>
        <w:lastRenderedPageBreak/>
        <w:drawing>
          <wp:inline distT="0" distB="0" distL="0" distR="0" wp14:anchorId="2DD78E4E" wp14:editId="245769B3">
            <wp:extent cx="5943600" cy="2782547"/>
            <wp:effectExtent l="0" t="0" r="0" b="0"/>
            <wp:docPr id="1932332735" name="Picture 4" descr="A black background with numbers and a blac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32735" name="Picture 4" descr="A black background with numbers and a black rectang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782547"/>
                    </a:xfrm>
                    <a:prstGeom prst="rect">
                      <a:avLst/>
                    </a:prstGeom>
                    <a:noFill/>
                  </pic:spPr>
                </pic:pic>
              </a:graphicData>
            </a:graphic>
          </wp:inline>
        </w:drawing>
      </w:r>
    </w:p>
    <w:p w14:paraId="4747DE99" w14:textId="77777777" w:rsidR="006B0AA2" w:rsidRPr="00B60E27" w:rsidRDefault="006B0AA2" w:rsidP="006B0AA2">
      <w:pPr>
        <w:pStyle w:val="SchemeS6"/>
        <w:rPr>
          <w:color w:val="000000" w:themeColor="text1"/>
        </w:rPr>
      </w:pPr>
    </w:p>
    <w:p w14:paraId="2B335CB7" w14:textId="0841540F" w:rsidR="006B0AA2" w:rsidRPr="00B60E27" w:rsidRDefault="006B0AA2" w:rsidP="006B0AA2">
      <w:pPr>
        <w:pStyle w:val="SchemeS6"/>
        <w:rPr>
          <w:color w:val="000000" w:themeColor="text1"/>
        </w:rPr>
      </w:pPr>
      <w:r w:rsidRPr="00B60E27">
        <w:rPr>
          <w:b/>
          <w:bCs/>
          <w:color w:val="000000" w:themeColor="text1"/>
        </w:rPr>
        <w:t>Figure S10. a)</w:t>
      </w:r>
      <w:r w:rsidRPr="00B60E27">
        <w:rPr>
          <w:color w:val="000000" w:themeColor="text1"/>
        </w:rPr>
        <w:t xml:space="preserve"> Schematic for the synthesis of allyl-HU from allyl isocyanate and </w:t>
      </w:r>
      <w:r w:rsidRPr="00B60E27">
        <w:rPr>
          <w:i/>
          <w:iCs/>
          <w:color w:val="000000" w:themeColor="text1"/>
        </w:rPr>
        <w:t>N-tert</w:t>
      </w:r>
      <w:r w:rsidRPr="00B60E27">
        <w:rPr>
          <w:color w:val="000000" w:themeColor="text1"/>
        </w:rPr>
        <w:t xml:space="preserve">-butylmethylamine and </w:t>
      </w:r>
      <w:r w:rsidRPr="00B60E27">
        <w:rPr>
          <w:b/>
          <w:bCs/>
          <w:color w:val="000000" w:themeColor="text1"/>
        </w:rPr>
        <w:t>b)</w:t>
      </w:r>
      <w:r w:rsidRPr="00B60E27">
        <w:rPr>
          <w:color w:val="000000" w:themeColor="text1"/>
        </w:rPr>
        <w:t xml:space="preserve"> the resulting</w:t>
      </w:r>
      <w:r w:rsidR="00313F35">
        <w:rPr>
          <w:color w:val="000000" w:themeColor="text1"/>
        </w:rPr>
        <w:t xml:space="preserve"> </w:t>
      </w:r>
      <w:r w:rsidR="00313F35">
        <w:rPr>
          <w:color w:val="000000" w:themeColor="text1"/>
          <w:vertAlign w:val="superscript"/>
        </w:rPr>
        <w:t>1</w:t>
      </w:r>
      <w:r w:rsidR="00313F35">
        <w:rPr>
          <w:color w:val="000000" w:themeColor="text1"/>
        </w:rPr>
        <w:t>H</w:t>
      </w:r>
      <w:r w:rsidRPr="00B60E27">
        <w:rPr>
          <w:color w:val="000000" w:themeColor="text1"/>
        </w:rPr>
        <w:t xml:space="preserve"> NMR spectrum.</w:t>
      </w:r>
    </w:p>
    <w:p w14:paraId="6C7896BE" w14:textId="77777777" w:rsidR="006B0AA2" w:rsidRPr="00B60E27" w:rsidRDefault="006B0AA2" w:rsidP="006B0AA2">
      <w:pPr>
        <w:pStyle w:val="SchemeS6"/>
        <w:rPr>
          <w:color w:val="000000" w:themeColor="text1"/>
        </w:rPr>
      </w:pPr>
    </w:p>
    <w:p w14:paraId="693BF50D" w14:textId="77777777" w:rsidR="006B0AA2" w:rsidRPr="00B60E27" w:rsidRDefault="006B0AA2" w:rsidP="006B0AA2">
      <w:pPr>
        <w:pStyle w:val="SchemeS6"/>
        <w:rPr>
          <w:color w:val="000000" w:themeColor="text1"/>
        </w:rPr>
      </w:pPr>
      <w:r w:rsidRPr="00B60E27">
        <w:rPr>
          <w:noProof/>
          <w:color w:val="000000" w:themeColor="text1"/>
          <w:lang w:val="en-IN" w:eastAsia="en-IN"/>
        </w:rPr>
        <w:drawing>
          <wp:inline distT="0" distB="0" distL="0" distR="0" wp14:anchorId="27807EB5" wp14:editId="0F680368">
            <wp:extent cx="5943600" cy="2736429"/>
            <wp:effectExtent l="0" t="0" r="0" b="6985"/>
            <wp:docPr id="297728027" name="Picture 5" descr="A black background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28027" name="Picture 5" descr="A black background with number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736429"/>
                    </a:xfrm>
                    <a:prstGeom prst="rect">
                      <a:avLst/>
                    </a:prstGeom>
                    <a:noFill/>
                  </pic:spPr>
                </pic:pic>
              </a:graphicData>
            </a:graphic>
          </wp:inline>
        </w:drawing>
      </w:r>
    </w:p>
    <w:p w14:paraId="3C34E1A5" w14:textId="77777777" w:rsidR="006B0AA2" w:rsidRPr="00B60E27" w:rsidRDefault="006B0AA2" w:rsidP="006B0AA2">
      <w:pPr>
        <w:pStyle w:val="SchemeS6"/>
        <w:rPr>
          <w:color w:val="000000" w:themeColor="text1"/>
        </w:rPr>
      </w:pPr>
    </w:p>
    <w:p w14:paraId="53C13C53" w14:textId="390A684D" w:rsidR="006B0AA2" w:rsidRPr="00B60E27" w:rsidRDefault="006B0AA2" w:rsidP="006B0AA2">
      <w:pPr>
        <w:pStyle w:val="SchemeS6"/>
        <w:rPr>
          <w:color w:val="000000" w:themeColor="text1"/>
        </w:rPr>
      </w:pPr>
      <w:r w:rsidRPr="00B60E27">
        <w:rPr>
          <w:b/>
          <w:bCs/>
          <w:color w:val="000000" w:themeColor="text1"/>
        </w:rPr>
        <w:t>Figure S11. a)</w:t>
      </w:r>
      <w:r w:rsidRPr="00B60E27">
        <w:rPr>
          <w:color w:val="000000" w:themeColor="text1"/>
        </w:rPr>
        <w:t xml:space="preserve"> Schematic for the synthesis of thio-HU from allyl-HU and 1,6-hexanedithiol and </w:t>
      </w:r>
      <w:r w:rsidRPr="00B60E27">
        <w:rPr>
          <w:b/>
          <w:bCs/>
          <w:color w:val="000000" w:themeColor="text1"/>
        </w:rPr>
        <w:t>b)</w:t>
      </w:r>
      <w:r w:rsidRPr="00B60E27">
        <w:rPr>
          <w:color w:val="000000" w:themeColor="text1"/>
        </w:rPr>
        <w:t xml:space="preserve"> the resulting</w:t>
      </w:r>
      <w:r w:rsidR="00313F35">
        <w:rPr>
          <w:color w:val="000000" w:themeColor="text1"/>
        </w:rPr>
        <w:t xml:space="preserve"> </w:t>
      </w:r>
      <w:r w:rsidR="00313F35">
        <w:rPr>
          <w:color w:val="000000" w:themeColor="text1"/>
          <w:vertAlign w:val="superscript"/>
        </w:rPr>
        <w:t>1</w:t>
      </w:r>
      <w:r w:rsidR="00313F35" w:rsidRPr="00313F35">
        <w:rPr>
          <w:color w:val="000000" w:themeColor="text1"/>
        </w:rPr>
        <w:t>H</w:t>
      </w:r>
      <w:r w:rsidRPr="00B60E27">
        <w:rPr>
          <w:color w:val="000000" w:themeColor="text1"/>
        </w:rPr>
        <w:t xml:space="preserve"> NMR spectrum.</w:t>
      </w:r>
    </w:p>
    <w:p w14:paraId="37341DA3" w14:textId="77777777" w:rsidR="006B0AA2" w:rsidRPr="00B60E27" w:rsidRDefault="006B0AA2" w:rsidP="006B0AA2">
      <w:pPr>
        <w:pStyle w:val="SchemeS6"/>
        <w:jc w:val="left"/>
        <w:rPr>
          <w:color w:val="000000" w:themeColor="text1"/>
        </w:rPr>
      </w:pPr>
    </w:p>
    <w:p w14:paraId="6561B5C1" w14:textId="77777777" w:rsidR="006B0AA2" w:rsidRPr="00B60E27" w:rsidRDefault="006B0AA2" w:rsidP="006B0AA2">
      <w:pPr>
        <w:pStyle w:val="SchemeS6"/>
        <w:rPr>
          <w:color w:val="000000" w:themeColor="text1"/>
        </w:rPr>
      </w:pPr>
      <w:r w:rsidRPr="00B60E27">
        <w:rPr>
          <w:noProof/>
          <w:color w:val="000000" w:themeColor="text1"/>
          <w:lang w:val="en-IN" w:eastAsia="en-IN"/>
        </w:rPr>
        <w:lastRenderedPageBreak/>
        <w:drawing>
          <wp:inline distT="0" distB="0" distL="0" distR="0" wp14:anchorId="4931EB48" wp14:editId="1B1BFA3B">
            <wp:extent cx="5943600" cy="2322649"/>
            <wp:effectExtent l="0" t="0" r="0" b="1905"/>
            <wp:docPr id="43130142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01428" name="Picture 1" descr="A screen shot of a computer&#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3345" b="17721"/>
                    <a:stretch/>
                  </pic:blipFill>
                  <pic:spPr bwMode="auto">
                    <a:xfrm>
                      <a:off x="0" y="0"/>
                      <a:ext cx="5943600" cy="2322649"/>
                    </a:xfrm>
                    <a:prstGeom prst="rect">
                      <a:avLst/>
                    </a:prstGeom>
                    <a:noFill/>
                    <a:ln>
                      <a:noFill/>
                    </a:ln>
                    <a:extLst>
                      <a:ext uri="{53640926-AAD7-44D8-BBD7-CCE9431645EC}">
                        <a14:shadowObscured xmlns:a14="http://schemas.microsoft.com/office/drawing/2010/main"/>
                      </a:ext>
                    </a:extLst>
                  </pic:spPr>
                </pic:pic>
              </a:graphicData>
            </a:graphic>
          </wp:inline>
        </w:drawing>
      </w:r>
    </w:p>
    <w:p w14:paraId="70868826" w14:textId="77777777" w:rsidR="006B0AA2" w:rsidRPr="00B60E27" w:rsidRDefault="006B0AA2" w:rsidP="006B0AA2">
      <w:pPr>
        <w:pStyle w:val="SchemeS6"/>
        <w:rPr>
          <w:color w:val="000000" w:themeColor="text1"/>
          <w:highlight w:val="yellow"/>
        </w:rPr>
      </w:pPr>
    </w:p>
    <w:p w14:paraId="74220E3E" w14:textId="77777777" w:rsidR="006B0AA2" w:rsidRPr="00B60E27" w:rsidRDefault="006B0AA2" w:rsidP="006B0AA2">
      <w:pPr>
        <w:pStyle w:val="SchemeS6"/>
        <w:rPr>
          <w:color w:val="000000" w:themeColor="text1"/>
        </w:rPr>
      </w:pPr>
      <w:r w:rsidRPr="00B60E27">
        <w:rPr>
          <w:b/>
          <w:bCs/>
          <w:color w:val="000000" w:themeColor="text1"/>
        </w:rPr>
        <w:t xml:space="preserve">Figure S12. a) </w:t>
      </w:r>
      <w:r w:rsidRPr="00B60E27">
        <w:rPr>
          <w:color w:val="000000" w:themeColor="text1"/>
        </w:rPr>
        <w:t xml:space="preserve">The chemical structure of PEG-DO3, </w:t>
      </w:r>
      <w:r w:rsidRPr="00B60E27">
        <w:rPr>
          <w:b/>
          <w:bCs/>
          <w:color w:val="000000" w:themeColor="text1"/>
        </w:rPr>
        <w:t xml:space="preserve">b) </w:t>
      </w:r>
      <w:r w:rsidRPr="00B60E27">
        <w:rPr>
          <w:color w:val="000000" w:themeColor="text1"/>
        </w:rPr>
        <w:t xml:space="preserve">UV-Vis traces of PEG-DO3 in 1:1 acetone:water with concentrations ranging from 50 nM to 100 μM, </w:t>
      </w:r>
      <w:r w:rsidRPr="00B60E27">
        <w:rPr>
          <w:b/>
          <w:bCs/>
          <w:color w:val="000000" w:themeColor="text1"/>
        </w:rPr>
        <w:t xml:space="preserve">c) </w:t>
      </w:r>
      <w:r w:rsidRPr="00B60E27">
        <w:rPr>
          <w:color w:val="000000" w:themeColor="text1"/>
        </w:rPr>
        <w:t xml:space="preserve">the resulting calibration curve generated from the maximum of the 463 nm absorbance peak, and </w:t>
      </w:r>
      <w:r w:rsidRPr="00B60E27">
        <w:rPr>
          <w:b/>
          <w:bCs/>
          <w:color w:val="000000" w:themeColor="text1"/>
        </w:rPr>
        <w:t xml:space="preserve">d) </w:t>
      </w:r>
      <w:r w:rsidRPr="00B60E27">
        <w:rPr>
          <w:color w:val="000000" w:themeColor="text1"/>
        </w:rPr>
        <w:t xml:space="preserve">the height of the 463 nm absorbance peak measured from supernatants generated during washing of </w:t>
      </w:r>
      <w:r w:rsidRPr="00B60E27">
        <w:rPr>
          <w:i/>
          <w:iCs/>
          <w:color w:val="000000" w:themeColor="text1"/>
        </w:rPr>
        <w:t>c</w:t>
      </w:r>
      <w:r w:rsidRPr="00B60E27">
        <w:rPr>
          <w:color w:val="000000" w:themeColor="text1"/>
        </w:rPr>
        <w:t>-CNC-PEG</w:t>
      </w:r>
      <w:r w:rsidRPr="00B60E27">
        <w:rPr>
          <w:color w:val="000000" w:themeColor="text1"/>
          <w:vertAlign w:val="subscript"/>
        </w:rPr>
        <w:t>2k</w:t>
      </w:r>
      <w:r w:rsidRPr="00B60E27">
        <w:rPr>
          <w:color w:val="000000" w:themeColor="text1"/>
        </w:rPr>
        <w:t xml:space="preserve"> plotted against wash number, showing that all removable polymer is gone at wash 12.</w:t>
      </w:r>
    </w:p>
    <w:p w14:paraId="598944DA" w14:textId="77777777" w:rsidR="006B0AA2" w:rsidRPr="00B60E27" w:rsidRDefault="006B0AA2" w:rsidP="006B0AA2">
      <w:pPr>
        <w:pStyle w:val="SchemeS6"/>
        <w:rPr>
          <w:color w:val="000000" w:themeColor="text1"/>
        </w:rPr>
      </w:pPr>
    </w:p>
    <w:p w14:paraId="0223416E" w14:textId="77777777" w:rsidR="006B0AA2" w:rsidRPr="00B60E27" w:rsidRDefault="006B0AA2" w:rsidP="006B0AA2">
      <w:pPr>
        <w:pStyle w:val="SchemeS6"/>
        <w:rPr>
          <w:color w:val="000000" w:themeColor="text1"/>
        </w:rPr>
      </w:pPr>
      <w:r w:rsidRPr="00B60E27">
        <w:rPr>
          <w:noProof/>
          <w:color w:val="000000" w:themeColor="text1"/>
          <w:lang w:val="en-IN" w:eastAsia="en-IN"/>
        </w:rPr>
        <w:drawing>
          <wp:inline distT="0" distB="0" distL="0" distR="0" wp14:anchorId="1B5B7171" wp14:editId="18DFFE10">
            <wp:extent cx="3200400" cy="2290408"/>
            <wp:effectExtent l="0" t="0" r="0" b="0"/>
            <wp:docPr id="1258362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2290408"/>
                    </a:xfrm>
                    <a:prstGeom prst="rect">
                      <a:avLst/>
                    </a:prstGeom>
                    <a:noFill/>
                  </pic:spPr>
                </pic:pic>
              </a:graphicData>
            </a:graphic>
          </wp:inline>
        </w:drawing>
      </w:r>
    </w:p>
    <w:p w14:paraId="1D91D176" w14:textId="77777777" w:rsidR="006B0AA2" w:rsidRPr="00B60E27" w:rsidRDefault="006B0AA2" w:rsidP="006B0AA2">
      <w:pPr>
        <w:pStyle w:val="SchemeS6"/>
        <w:rPr>
          <w:color w:val="000000" w:themeColor="text1"/>
        </w:rPr>
      </w:pPr>
    </w:p>
    <w:p w14:paraId="7E1D4DB2" w14:textId="77777777" w:rsidR="006B0AA2" w:rsidRPr="00B60E27" w:rsidRDefault="006B0AA2" w:rsidP="006B0AA2">
      <w:pPr>
        <w:pStyle w:val="SchemeS6"/>
        <w:rPr>
          <w:color w:val="000000" w:themeColor="text1"/>
        </w:rPr>
      </w:pPr>
      <w:r w:rsidRPr="00B60E27">
        <w:rPr>
          <w:b/>
          <w:bCs/>
          <w:color w:val="000000" w:themeColor="text1"/>
        </w:rPr>
        <w:t xml:space="preserve">Figure S13. </w:t>
      </w:r>
      <w:r w:rsidRPr="00B60E27">
        <w:rPr>
          <w:color w:val="000000" w:themeColor="text1"/>
        </w:rPr>
        <w:t xml:space="preserve">TGA traces of </w:t>
      </w:r>
      <w:r w:rsidRPr="00B60E27">
        <w:rPr>
          <w:i/>
          <w:iCs/>
          <w:color w:val="000000" w:themeColor="text1"/>
        </w:rPr>
        <w:t>c</w:t>
      </w:r>
      <w:r w:rsidRPr="00B60E27">
        <w:rPr>
          <w:color w:val="000000" w:themeColor="text1"/>
        </w:rPr>
        <w:t>-CNC-COOH, PEG</w:t>
      </w:r>
      <w:r w:rsidRPr="00B60E27">
        <w:rPr>
          <w:color w:val="000000" w:themeColor="text1"/>
          <w:vertAlign w:val="subscript"/>
        </w:rPr>
        <w:t>10k</w:t>
      </w:r>
      <w:r w:rsidRPr="00B60E27">
        <w:rPr>
          <w:color w:val="000000" w:themeColor="text1"/>
        </w:rPr>
        <w:t xml:space="preserve">-Br, and </w:t>
      </w:r>
      <w:r w:rsidRPr="00B60E27">
        <w:rPr>
          <w:i/>
          <w:iCs/>
          <w:color w:val="000000" w:themeColor="text1"/>
        </w:rPr>
        <w:t>c</w:t>
      </w:r>
      <w:r w:rsidRPr="00B60E27">
        <w:rPr>
          <w:color w:val="000000" w:themeColor="text1"/>
        </w:rPr>
        <w:t>-CNC-</w:t>
      </w:r>
      <w:r w:rsidRPr="00B60E27">
        <w:rPr>
          <w:i/>
          <w:iCs/>
          <w:color w:val="000000" w:themeColor="text1"/>
        </w:rPr>
        <w:t>g</w:t>
      </w:r>
      <w:r w:rsidRPr="00B60E27">
        <w:rPr>
          <w:color w:val="000000" w:themeColor="text1"/>
        </w:rPr>
        <w:t>-PEG</w:t>
      </w:r>
      <w:r w:rsidRPr="00B60E27">
        <w:rPr>
          <w:color w:val="000000" w:themeColor="text1"/>
          <w:vertAlign w:val="subscript"/>
        </w:rPr>
        <w:t>10k</w:t>
      </w:r>
      <w:r w:rsidRPr="00B60E27">
        <w:rPr>
          <w:color w:val="000000" w:themeColor="text1"/>
        </w:rPr>
        <w:t xml:space="preserve"> along with the dTG curve for </w:t>
      </w:r>
      <w:r w:rsidRPr="00B60E27">
        <w:rPr>
          <w:i/>
          <w:iCs/>
          <w:color w:val="000000" w:themeColor="text1"/>
        </w:rPr>
        <w:t>c</w:t>
      </w:r>
      <w:r w:rsidRPr="00B60E27">
        <w:rPr>
          <w:color w:val="000000" w:themeColor="text1"/>
        </w:rPr>
        <w:t>-CNC-</w:t>
      </w:r>
      <w:r w:rsidRPr="00B60E27">
        <w:rPr>
          <w:i/>
          <w:iCs/>
          <w:color w:val="000000" w:themeColor="text1"/>
        </w:rPr>
        <w:t>g</w:t>
      </w:r>
      <w:r w:rsidRPr="00B60E27">
        <w:rPr>
          <w:color w:val="000000" w:themeColor="text1"/>
        </w:rPr>
        <w:t>-PEG</w:t>
      </w:r>
      <w:r w:rsidRPr="00B60E27">
        <w:rPr>
          <w:color w:val="000000" w:themeColor="text1"/>
          <w:vertAlign w:val="subscript"/>
        </w:rPr>
        <w:t>10k</w:t>
      </w:r>
      <w:r w:rsidRPr="00B60E27">
        <w:rPr>
          <w:color w:val="000000" w:themeColor="text1"/>
        </w:rPr>
        <w:t>.</w:t>
      </w:r>
    </w:p>
    <w:p w14:paraId="453A8E7D" w14:textId="77777777" w:rsidR="006B0AA2" w:rsidRPr="00B60E27" w:rsidRDefault="006B0AA2" w:rsidP="006B0AA2">
      <w:pPr>
        <w:pStyle w:val="SchemeS6"/>
        <w:rPr>
          <w:color w:val="000000" w:themeColor="text1"/>
        </w:rPr>
      </w:pPr>
    </w:p>
    <w:p w14:paraId="72792FBE" w14:textId="77777777" w:rsidR="006B0AA2" w:rsidRPr="00B60E27" w:rsidRDefault="006B0AA2" w:rsidP="006B0AA2">
      <w:pPr>
        <w:pStyle w:val="SchemeS6"/>
        <w:rPr>
          <w:color w:val="000000" w:themeColor="text1"/>
        </w:rPr>
      </w:pPr>
    </w:p>
    <w:p w14:paraId="2E29802A" w14:textId="77777777" w:rsidR="006B0AA2" w:rsidRPr="00B60E27" w:rsidRDefault="006B0AA2" w:rsidP="006B0AA2">
      <w:pPr>
        <w:pStyle w:val="SchemeS6"/>
        <w:rPr>
          <w:color w:val="000000" w:themeColor="text1"/>
        </w:rPr>
      </w:pPr>
    </w:p>
    <w:p w14:paraId="092693B8" w14:textId="77777777" w:rsidR="006B0AA2" w:rsidRPr="00B60E27" w:rsidRDefault="006B0AA2" w:rsidP="006B0AA2">
      <w:pPr>
        <w:pStyle w:val="SchemeS6"/>
        <w:rPr>
          <w:color w:val="000000" w:themeColor="text1"/>
        </w:rPr>
      </w:pPr>
    </w:p>
    <w:p w14:paraId="27FD9FC2" w14:textId="77777777" w:rsidR="006B0AA2" w:rsidRPr="00B60E27" w:rsidRDefault="006B0AA2" w:rsidP="006B0AA2">
      <w:pPr>
        <w:pStyle w:val="SchemeS6"/>
        <w:rPr>
          <w:color w:val="000000" w:themeColor="text1"/>
        </w:rPr>
      </w:pPr>
    </w:p>
    <w:p w14:paraId="47E6ABDE" w14:textId="77777777" w:rsidR="006B0AA2" w:rsidRPr="00B60E27" w:rsidRDefault="006B0AA2" w:rsidP="006B0AA2">
      <w:pPr>
        <w:pStyle w:val="SchemeS6"/>
        <w:rPr>
          <w:color w:val="000000" w:themeColor="text1"/>
        </w:rPr>
      </w:pPr>
      <w:r w:rsidRPr="00B60E27">
        <w:rPr>
          <w:noProof/>
          <w:color w:val="000000" w:themeColor="text1"/>
          <w:lang w:val="en-IN" w:eastAsia="en-IN"/>
        </w:rPr>
        <w:lastRenderedPageBreak/>
        <w:drawing>
          <wp:inline distT="0" distB="0" distL="0" distR="0" wp14:anchorId="2A5CDADC" wp14:editId="17DD1E4C">
            <wp:extent cx="5486400" cy="2085269"/>
            <wp:effectExtent l="0" t="0" r="0" b="0"/>
            <wp:docPr id="999557741"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57741" name="Picture 2" descr="A screenshot of a computer scree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2085269"/>
                    </a:xfrm>
                    <a:prstGeom prst="rect">
                      <a:avLst/>
                    </a:prstGeom>
                    <a:noFill/>
                  </pic:spPr>
                </pic:pic>
              </a:graphicData>
            </a:graphic>
          </wp:inline>
        </w:drawing>
      </w:r>
    </w:p>
    <w:p w14:paraId="775C4E0B" w14:textId="77777777" w:rsidR="006B0AA2" w:rsidRPr="00B60E27" w:rsidRDefault="006B0AA2" w:rsidP="006B0AA2">
      <w:pPr>
        <w:pStyle w:val="SchemeS6"/>
        <w:rPr>
          <w:color w:val="000000" w:themeColor="text1"/>
        </w:rPr>
      </w:pPr>
    </w:p>
    <w:p w14:paraId="2B2AF981" w14:textId="77777777" w:rsidR="006B0AA2" w:rsidRPr="00B60E27" w:rsidRDefault="006B0AA2" w:rsidP="006B0AA2">
      <w:pPr>
        <w:pStyle w:val="SchemeS6"/>
        <w:rPr>
          <w:color w:val="000000" w:themeColor="text1"/>
        </w:rPr>
      </w:pPr>
      <w:r w:rsidRPr="00B60E27">
        <w:rPr>
          <w:b/>
          <w:bCs/>
          <w:color w:val="000000" w:themeColor="text1"/>
        </w:rPr>
        <w:t xml:space="preserve">Figure S14. a) </w:t>
      </w:r>
      <w:r w:rsidRPr="00B60E27">
        <w:rPr>
          <w:color w:val="000000" w:themeColor="text1"/>
        </w:rPr>
        <w:t xml:space="preserve">FTIR spectra for </w:t>
      </w:r>
      <w:r w:rsidRPr="00B60E27">
        <w:rPr>
          <w:i/>
          <w:iCs/>
          <w:color w:val="000000" w:themeColor="text1"/>
        </w:rPr>
        <w:t>c</w:t>
      </w:r>
      <w:r w:rsidRPr="00B60E27">
        <w:rPr>
          <w:color w:val="000000" w:themeColor="text1"/>
        </w:rPr>
        <w:t>-CNC-COOH mixed with various ratios of PBA</w:t>
      </w:r>
      <w:r w:rsidRPr="00B60E27">
        <w:rPr>
          <w:color w:val="000000" w:themeColor="text1"/>
          <w:vertAlign w:val="subscript"/>
        </w:rPr>
        <w:t>10k</w:t>
      </w:r>
      <w:r w:rsidRPr="00B60E27">
        <w:rPr>
          <w:color w:val="000000" w:themeColor="text1"/>
        </w:rPr>
        <w:t xml:space="preserve">-Br and </w:t>
      </w:r>
      <w:r w:rsidRPr="00B60E27">
        <w:rPr>
          <w:b/>
          <w:bCs/>
          <w:color w:val="000000" w:themeColor="text1"/>
        </w:rPr>
        <w:t xml:space="preserve">b) </w:t>
      </w:r>
      <w:r w:rsidRPr="00B60E27">
        <w:rPr>
          <w:color w:val="000000" w:themeColor="text1"/>
        </w:rPr>
        <w:t xml:space="preserve">the resulting calibration curve to measure PBA content on grafted CNCs with the measured </w:t>
      </w:r>
      <w:r w:rsidRPr="00B60E27">
        <w:rPr>
          <w:i/>
          <w:iCs/>
          <w:color w:val="000000" w:themeColor="text1"/>
        </w:rPr>
        <w:t>c</w:t>
      </w:r>
      <w:r w:rsidRPr="00B60E27">
        <w:rPr>
          <w:color w:val="000000" w:themeColor="text1"/>
        </w:rPr>
        <w:t>-CNC-</w:t>
      </w:r>
      <w:r w:rsidRPr="00B60E27">
        <w:rPr>
          <w:i/>
          <w:iCs/>
          <w:color w:val="000000" w:themeColor="text1"/>
        </w:rPr>
        <w:t>g</w:t>
      </w:r>
      <w:r w:rsidRPr="00B60E27">
        <w:rPr>
          <w:color w:val="000000" w:themeColor="text1"/>
        </w:rPr>
        <w:t>-PBA</w:t>
      </w:r>
      <w:r w:rsidRPr="00B60E27">
        <w:rPr>
          <w:color w:val="000000" w:themeColor="text1"/>
          <w:vertAlign w:val="subscript"/>
        </w:rPr>
        <w:t>10k</w:t>
      </w:r>
      <w:r w:rsidRPr="00B60E27">
        <w:rPr>
          <w:color w:val="000000" w:themeColor="text1"/>
        </w:rPr>
        <w:t xml:space="preserve"> data placed on the curve.</w:t>
      </w:r>
    </w:p>
    <w:p w14:paraId="2AB286EE" w14:textId="77777777" w:rsidR="006B0AA2" w:rsidRPr="00B60E27" w:rsidRDefault="006B0AA2" w:rsidP="006B0AA2">
      <w:pPr>
        <w:pStyle w:val="SchemeS6"/>
        <w:rPr>
          <w:color w:val="000000" w:themeColor="text1"/>
        </w:rPr>
      </w:pPr>
    </w:p>
    <w:p w14:paraId="1DEF33BA" w14:textId="77777777" w:rsidR="006B0AA2" w:rsidRPr="00B60E27" w:rsidRDefault="006B0AA2" w:rsidP="006B0AA2">
      <w:pPr>
        <w:pStyle w:val="SchemeS6"/>
        <w:rPr>
          <w:color w:val="000000" w:themeColor="text1"/>
        </w:rPr>
      </w:pPr>
      <w:r w:rsidRPr="00B60E27">
        <w:rPr>
          <w:noProof/>
          <w:color w:val="000000" w:themeColor="text1"/>
          <w:lang w:val="en-IN" w:eastAsia="en-IN"/>
        </w:rPr>
        <w:drawing>
          <wp:inline distT="0" distB="0" distL="0" distR="0" wp14:anchorId="3A136B07" wp14:editId="465A78E7">
            <wp:extent cx="3200400" cy="2277506"/>
            <wp:effectExtent l="0" t="0" r="0" b="8890"/>
            <wp:docPr id="735803799" name="Picture 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03799" name="Picture 3" descr="A graph of different colored lin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0400" cy="2277506"/>
                    </a:xfrm>
                    <a:prstGeom prst="rect">
                      <a:avLst/>
                    </a:prstGeom>
                    <a:noFill/>
                  </pic:spPr>
                </pic:pic>
              </a:graphicData>
            </a:graphic>
          </wp:inline>
        </w:drawing>
      </w:r>
    </w:p>
    <w:p w14:paraId="7CA0232F" w14:textId="77777777" w:rsidR="006B0AA2" w:rsidRPr="00B60E27" w:rsidRDefault="006B0AA2" w:rsidP="006B0AA2">
      <w:pPr>
        <w:pStyle w:val="SchemeS6"/>
        <w:rPr>
          <w:color w:val="000000" w:themeColor="text1"/>
        </w:rPr>
      </w:pPr>
    </w:p>
    <w:p w14:paraId="2672C041" w14:textId="77777777" w:rsidR="006B0AA2" w:rsidRPr="00B60E27" w:rsidRDefault="006B0AA2" w:rsidP="006B0AA2">
      <w:pPr>
        <w:pStyle w:val="SchemeS6"/>
        <w:rPr>
          <w:color w:val="000000" w:themeColor="text1"/>
        </w:rPr>
      </w:pPr>
      <w:r w:rsidRPr="00B60E27">
        <w:rPr>
          <w:b/>
          <w:bCs/>
          <w:color w:val="000000" w:themeColor="text1"/>
        </w:rPr>
        <w:t xml:space="preserve">Figure S15. </w:t>
      </w:r>
      <w:r w:rsidRPr="00B60E27">
        <w:rPr>
          <w:color w:val="000000" w:themeColor="text1"/>
        </w:rPr>
        <w:t xml:space="preserve">TGA traces of </w:t>
      </w:r>
      <w:r w:rsidRPr="00B60E27">
        <w:rPr>
          <w:i/>
          <w:iCs/>
          <w:color w:val="000000" w:themeColor="text1"/>
        </w:rPr>
        <w:t>c</w:t>
      </w:r>
      <w:r w:rsidRPr="00B60E27">
        <w:rPr>
          <w:color w:val="000000" w:themeColor="text1"/>
        </w:rPr>
        <w:t>-CNC-COOH, PBA</w:t>
      </w:r>
      <w:r w:rsidRPr="00B60E27">
        <w:rPr>
          <w:color w:val="000000" w:themeColor="text1"/>
          <w:vertAlign w:val="subscript"/>
        </w:rPr>
        <w:t>10k</w:t>
      </w:r>
      <w:r w:rsidRPr="00B60E27">
        <w:rPr>
          <w:color w:val="000000" w:themeColor="text1"/>
        </w:rPr>
        <w:t xml:space="preserve">-Br, and </w:t>
      </w:r>
      <w:r w:rsidRPr="00B60E27">
        <w:rPr>
          <w:i/>
          <w:iCs/>
          <w:color w:val="000000" w:themeColor="text1"/>
        </w:rPr>
        <w:t>c</w:t>
      </w:r>
      <w:r w:rsidRPr="00B60E27">
        <w:rPr>
          <w:color w:val="000000" w:themeColor="text1"/>
        </w:rPr>
        <w:t>-CNC-</w:t>
      </w:r>
      <w:r w:rsidRPr="00B60E27">
        <w:rPr>
          <w:i/>
          <w:iCs/>
          <w:color w:val="000000" w:themeColor="text1"/>
        </w:rPr>
        <w:t>g</w:t>
      </w:r>
      <w:r w:rsidRPr="00B60E27">
        <w:rPr>
          <w:color w:val="000000" w:themeColor="text1"/>
        </w:rPr>
        <w:t>-PBA</w:t>
      </w:r>
      <w:r w:rsidRPr="00B60E27">
        <w:rPr>
          <w:color w:val="000000" w:themeColor="text1"/>
          <w:vertAlign w:val="subscript"/>
        </w:rPr>
        <w:t>10k</w:t>
      </w:r>
      <w:r w:rsidRPr="00B60E27">
        <w:rPr>
          <w:color w:val="000000" w:themeColor="text1"/>
        </w:rPr>
        <w:t xml:space="preserve"> along with the dTG curve for </w:t>
      </w:r>
      <w:r w:rsidRPr="00B60E27">
        <w:rPr>
          <w:i/>
          <w:iCs/>
          <w:color w:val="000000" w:themeColor="text1"/>
        </w:rPr>
        <w:t>c</w:t>
      </w:r>
      <w:r w:rsidRPr="00B60E27">
        <w:rPr>
          <w:color w:val="000000" w:themeColor="text1"/>
        </w:rPr>
        <w:t>-CNC-</w:t>
      </w:r>
      <w:r w:rsidRPr="00B60E27">
        <w:rPr>
          <w:i/>
          <w:iCs/>
          <w:color w:val="000000" w:themeColor="text1"/>
        </w:rPr>
        <w:t>g</w:t>
      </w:r>
      <w:r w:rsidRPr="00B60E27">
        <w:rPr>
          <w:color w:val="000000" w:themeColor="text1"/>
        </w:rPr>
        <w:t>-PBA</w:t>
      </w:r>
      <w:r w:rsidRPr="00B60E27">
        <w:rPr>
          <w:color w:val="000000" w:themeColor="text1"/>
          <w:vertAlign w:val="subscript"/>
        </w:rPr>
        <w:t>10k</w:t>
      </w:r>
      <w:r w:rsidRPr="00B60E27">
        <w:rPr>
          <w:color w:val="000000" w:themeColor="text1"/>
        </w:rPr>
        <w:t>.</w:t>
      </w:r>
    </w:p>
    <w:bookmarkEnd w:id="0"/>
    <w:p w14:paraId="1B4652F6" w14:textId="77777777" w:rsidR="006B0AA2" w:rsidRPr="00B60E27" w:rsidRDefault="006B0AA2" w:rsidP="006B0AA2">
      <w:pPr>
        <w:pStyle w:val="SchemeS6"/>
        <w:jc w:val="left"/>
        <w:rPr>
          <w:b/>
          <w:color w:val="000000" w:themeColor="text1"/>
          <w:sz w:val="28"/>
          <w:szCs w:val="28"/>
        </w:rPr>
      </w:pPr>
    </w:p>
    <w:p w14:paraId="73E95692" w14:textId="77777777" w:rsidR="006B0AA2" w:rsidRPr="00B60E27" w:rsidRDefault="006B0AA2" w:rsidP="006B0AA2">
      <w:pPr>
        <w:jc w:val="center"/>
        <w:rPr>
          <w:color w:val="000000" w:themeColor="text1"/>
        </w:rPr>
      </w:pPr>
      <w:r w:rsidRPr="00B60E27">
        <w:rPr>
          <w:noProof/>
          <w:color w:val="000000" w:themeColor="text1"/>
          <w:lang w:val="en-IN" w:eastAsia="en-IN"/>
        </w:rPr>
        <w:lastRenderedPageBreak/>
        <w:drawing>
          <wp:inline distT="0" distB="0" distL="0" distR="0" wp14:anchorId="407F1552" wp14:editId="6661C873">
            <wp:extent cx="2543175" cy="4709868"/>
            <wp:effectExtent l="0" t="0" r="0" b="0"/>
            <wp:docPr id="182689156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91561" name="Picture 1" descr="A screenshot of a graph&#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0175" cy="4722832"/>
                    </a:xfrm>
                    <a:prstGeom prst="rect">
                      <a:avLst/>
                    </a:prstGeom>
                    <a:noFill/>
                    <a:ln>
                      <a:noFill/>
                    </a:ln>
                  </pic:spPr>
                </pic:pic>
              </a:graphicData>
            </a:graphic>
          </wp:inline>
        </w:drawing>
      </w:r>
    </w:p>
    <w:p w14:paraId="59AB0983" w14:textId="77777777" w:rsidR="006B0AA2" w:rsidRPr="00B60E27" w:rsidRDefault="006B0AA2" w:rsidP="006B0AA2">
      <w:pPr>
        <w:jc w:val="center"/>
        <w:rPr>
          <w:i/>
          <w:iCs/>
          <w:color w:val="000000" w:themeColor="text1"/>
        </w:rPr>
      </w:pPr>
      <w:r w:rsidRPr="00B60E27">
        <w:rPr>
          <w:color w:val="000000" w:themeColor="text1"/>
        </w:rPr>
        <w:t xml:space="preserve">Figure S16: (a) Dynamic mechanical analysis data of PLA composites with 5 wt.% </w:t>
      </w:r>
      <w:r w:rsidRPr="00B60E27">
        <w:rPr>
          <w:i/>
          <w:iCs/>
          <w:color w:val="000000" w:themeColor="text1"/>
        </w:rPr>
        <w:t>c</w:t>
      </w:r>
      <w:r w:rsidRPr="00B60E27">
        <w:rPr>
          <w:color w:val="000000" w:themeColor="text1"/>
        </w:rPr>
        <w:t xml:space="preserve">-CNC-COOH, 5 wt.% </w:t>
      </w:r>
      <w:r w:rsidRPr="00B60E27">
        <w:rPr>
          <w:i/>
          <w:iCs/>
          <w:color w:val="000000" w:themeColor="text1"/>
        </w:rPr>
        <w:t>c</w:t>
      </w:r>
      <w:r w:rsidRPr="00B60E27">
        <w:rPr>
          <w:color w:val="000000" w:themeColor="text1"/>
        </w:rPr>
        <w:t>-CNC-</w:t>
      </w:r>
      <w:r w:rsidRPr="00B60E27">
        <w:rPr>
          <w:i/>
          <w:iCs/>
          <w:color w:val="000000" w:themeColor="text1"/>
        </w:rPr>
        <w:t>g</w:t>
      </w:r>
      <w:r w:rsidRPr="00B60E27">
        <w:rPr>
          <w:color w:val="000000" w:themeColor="text1"/>
        </w:rPr>
        <w:t>-PEG</w:t>
      </w:r>
      <w:r w:rsidRPr="00B60E27">
        <w:rPr>
          <w:color w:val="000000" w:themeColor="text1"/>
          <w:vertAlign w:val="subscript"/>
        </w:rPr>
        <w:t>2k</w:t>
      </w:r>
      <w:r w:rsidRPr="00B60E27">
        <w:rPr>
          <w:color w:val="000000" w:themeColor="text1"/>
        </w:rPr>
        <w:t xml:space="preserve">, and 5 wt.% </w:t>
      </w:r>
      <w:r w:rsidRPr="00B60E27">
        <w:rPr>
          <w:i/>
          <w:iCs/>
          <w:color w:val="000000" w:themeColor="text1"/>
        </w:rPr>
        <w:t>c</w:t>
      </w:r>
      <w:r w:rsidRPr="00B60E27">
        <w:rPr>
          <w:color w:val="000000" w:themeColor="text1"/>
        </w:rPr>
        <w:t>-CNC-</w:t>
      </w:r>
      <w:r w:rsidRPr="00B60E27">
        <w:rPr>
          <w:i/>
          <w:iCs/>
          <w:color w:val="000000" w:themeColor="text1"/>
        </w:rPr>
        <w:t>g</w:t>
      </w:r>
      <w:r w:rsidRPr="00B60E27">
        <w:rPr>
          <w:color w:val="000000" w:themeColor="text1"/>
        </w:rPr>
        <w:t>-PEG</w:t>
      </w:r>
      <w:r w:rsidRPr="00B60E27">
        <w:rPr>
          <w:color w:val="000000" w:themeColor="text1"/>
          <w:vertAlign w:val="subscript"/>
        </w:rPr>
        <w:t>10k</w:t>
      </w:r>
      <w:r w:rsidRPr="00B60E27">
        <w:rPr>
          <w:color w:val="000000" w:themeColor="text1"/>
        </w:rPr>
        <w:t xml:space="preserve"> compared to unmodified PLA, and (b) tensile testing data of neat PLA and composites with 5 wt.% </w:t>
      </w:r>
      <w:r w:rsidRPr="00B60E27">
        <w:rPr>
          <w:i/>
          <w:iCs/>
          <w:color w:val="000000" w:themeColor="text1"/>
        </w:rPr>
        <w:t>c</w:t>
      </w:r>
      <w:r w:rsidRPr="00B60E27">
        <w:rPr>
          <w:color w:val="000000" w:themeColor="text1"/>
        </w:rPr>
        <w:t xml:space="preserve">-CNC-COOH, 5 wt.% </w:t>
      </w:r>
      <w:r w:rsidRPr="00B60E27">
        <w:rPr>
          <w:i/>
          <w:iCs/>
          <w:color w:val="000000" w:themeColor="text1"/>
        </w:rPr>
        <w:t>c</w:t>
      </w:r>
      <w:r w:rsidRPr="00B60E27">
        <w:rPr>
          <w:color w:val="000000" w:themeColor="text1"/>
        </w:rPr>
        <w:t>-CNC-</w:t>
      </w:r>
      <w:r w:rsidRPr="00B60E27">
        <w:rPr>
          <w:i/>
          <w:iCs/>
          <w:color w:val="000000" w:themeColor="text1"/>
        </w:rPr>
        <w:t>g</w:t>
      </w:r>
      <w:r w:rsidRPr="00B60E27">
        <w:rPr>
          <w:color w:val="000000" w:themeColor="text1"/>
        </w:rPr>
        <w:t>-PEG</w:t>
      </w:r>
      <w:r w:rsidRPr="00B60E27">
        <w:rPr>
          <w:color w:val="000000" w:themeColor="text1"/>
          <w:vertAlign w:val="subscript"/>
        </w:rPr>
        <w:t>2k</w:t>
      </w:r>
      <w:r w:rsidRPr="00B60E27">
        <w:rPr>
          <w:color w:val="000000" w:themeColor="text1"/>
        </w:rPr>
        <w:t xml:space="preserve">, and 5 wt.% </w:t>
      </w:r>
      <w:r w:rsidRPr="00B60E27">
        <w:rPr>
          <w:i/>
          <w:iCs/>
          <w:color w:val="000000" w:themeColor="text1"/>
        </w:rPr>
        <w:t>c</w:t>
      </w:r>
      <w:r w:rsidRPr="00B60E27">
        <w:rPr>
          <w:color w:val="000000" w:themeColor="text1"/>
        </w:rPr>
        <w:t>-CNC-</w:t>
      </w:r>
      <w:r w:rsidRPr="00B60E27">
        <w:rPr>
          <w:i/>
          <w:iCs/>
          <w:color w:val="000000" w:themeColor="text1"/>
        </w:rPr>
        <w:t>g</w:t>
      </w:r>
      <w:r w:rsidRPr="00B60E27">
        <w:rPr>
          <w:color w:val="000000" w:themeColor="text1"/>
        </w:rPr>
        <w:t>-PEG</w:t>
      </w:r>
      <w:r w:rsidRPr="00B60E27">
        <w:rPr>
          <w:color w:val="000000" w:themeColor="text1"/>
          <w:vertAlign w:val="subscript"/>
        </w:rPr>
        <w:t>10k</w:t>
      </w:r>
      <w:r w:rsidRPr="00B60E27">
        <w:rPr>
          <w:color w:val="000000" w:themeColor="text1"/>
        </w:rPr>
        <w:t>.</w:t>
      </w:r>
    </w:p>
    <w:p w14:paraId="1198C4C7" w14:textId="77777777" w:rsidR="006B0AA2" w:rsidRPr="00B60E27" w:rsidRDefault="006B0AA2" w:rsidP="006B0AA2">
      <w:pPr>
        <w:pStyle w:val="SchemeS6"/>
        <w:jc w:val="left"/>
        <w:rPr>
          <w:color w:val="000000" w:themeColor="text1"/>
        </w:rPr>
      </w:pPr>
      <w:r w:rsidRPr="00B60E27">
        <w:rPr>
          <w:b/>
          <w:color w:val="000000" w:themeColor="text1"/>
          <w:sz w:val="28"/>
          <w:szCs w:val="28"/>
        </w:rPr>
        <w:br w:type="page"/>
      </w:r>
    </w:p>
    <w:p w14:paraId="2CC1C622" w14:textId="77777777" w:rsidR="006B0AA2" w:rsidRPr="00B60E27" w:rsidRDefault="006B0AA2" w:rsidP="006B0AA2">
      <w:pPr>
        <w:spacing w:after="100" w:line="360" w:lineRule="auto"/>
        <w:rPr>
          <w:bCs/>
          <w:color w:val="000000" w:themeColor="text1"/>
          <w:lang w:val="en-US"/>
        </w:rPr>
      </w:pPr>
      <w:r w:rsidRPr="00B60E27">
        <w:rPr>
          <w:bCs/>
          <w:color w:val="000000" w:themeColor="text1"/>
          <w:lang w:val="en-US"/>
        </w:rPr>
        <w:lastRenderedPageBreak/>
        <w:t>3. References</w:t>
      </w:r>
    </w:p>
    <w:p w14:paraId="20DAD6E7" w14:textId="77777777" w:rsidR="006B0AA2" w:rsidRPr="00B60E27" w:rsidRDefault="006B0AA2" w:rsidP="006B0AA2">
      <w:pPr>
        <w:pStyle w:val="Maintext"/>
        <w:ind w:left="720" w:hanging="720"/>
        <w:rPr>
          <w:color w:val="000000" w:themeColor="text1"/>
        </w:rPr>
      </w:pPr>
      <w:r w:rsidRPr="00B60E27">
        <w:rPr>
          <w:color w:val="000000" w:themeColor="text1"/>
        </w:rPr>
        <w:t>[1]</w:t>
      </w:r>
      <w:r w:rsidRPr="00B60E27">
        <w:rPr>
          <w:color w:val="000000" w:themeColor="text1"/>
        </w:rPr>
        <w:tab/>
        <w:t>Fraschini, C., Chauve, G. &amp; Bouchard, J. TEMPO-mediated surface oxidation of cellulose nanocrystals (CNCs). Cellulose 24, 2775–2790 (2017).</w:t>
      </w:r>
    </w:p>
    <w:p w14:paraId="06731983" w14:textId="77777777" w:rsidR="006B0AA2" w:rsidRPr="00B60E27" w:rsidRDefault="006B0AA2" w:rsidP="006B0AA2">
      <w:pPr>
        <w:pStyle w:val="Maintext"/>
        <w:ind w:left="720" w:hanging="720"/>
        <w:rPr>
          <w:color w:val="000000" w:themeColor="text1"/>
        </w:rPr>
      </w:pPr>
      <w:r w:rsidRPr="00B60E27">
        <w:rPr>
          <w:color w:val="000000" w:themeColor="text1"/>
        </w:rPr>
        <w:t>[2]</w:t>
      </w:r>
      <w:r w:rsidRPr="00B60E27">
        <w:rPr>
          <w:color w:val="000000" w:themeColor="text1"/>
        </w:rPr>
        <w:tab/>
        <w:t>Macke, N., Hemmingsen, C. M. &amp; Rowan, S. J. The effect of polymer grafting on the mechanical properties of PEG-grafted cellulose nanocrystals in poly(lactic acid). J. Polym. Sci. 60, 3318–3330 (2022).</w:t>
      </w:r>
    </w:p>
    <w:p w14:paraId="08A675E8" w14:textId="77777777" w:rsidR="006B0AA2" w:rsidRPr="00B60E27" w:rsidRDefault="006B0AA2" w:rsidP="006B0AA2">
      <w:pPr>
        <w:pStyle w:val="Maintext"/>
        <w:ind w:left="720" w:hanging="720"/>
        <w:rPr>
          <w:color w:val="000000" w:themeColor="text1"/>
        </w:rPr>
      </w:pPr>
      <w:r w:rsidRPr="00B60E27">
        <w:rPr>
          <w:color w:val="000000" w:themeColor="text1"/>
        </w:rPr>
        <w:t>[3]</w:t>
      </w:r>
      <w:r w:rsidRPr="00B60E27">
        <w:rPr>
          <w:color w:val="000000" w:themeColor="text1"/>
        </w:rPr>
        <w:tab/>
        <w:t>Gille, A. &amp; Hiersemann, M. (−)-Lytophilippine A: Synthesis of a C1− C18 Building Block. Org. Lett. 12, 5258–5261 (2010).</w:t>
      </w:r>
    </w:p>
    <w:p w14:paraId="75060B69" w14:textId="77777777" w:rsidR="006B0AA2" w:rsidRPr="00B60E27" w:rsidRDefault="006B0AA2" w:rsidP="006B0AA2">
      <w:pPr>
        <w:pStyle w:val="Maintext"/>
        <w:ind w:left="720" w:hanging="720"/>
        <w:rPr>
          <w:color w:val="000000" w:themeColor="text1"/>
        </w:rPr>
      </w:pPr>
      <w:r w:rsidRPr="00B60E27">
        <w:rPr>
          <w:color w:val="000000" w:themeColor="text1"/>
        </w:rPr>
        <w:t>[4]</w:t>
      </w:r>
      <w:r w:rsidRPr="00B60E27">
        <w:rPr>
          <w:color w:val="000000" w:themeColor="text1"/>
        </w:rPr>
        <w:tab/>
        <w:t>Anastasaki, A. et al. Cu(0)-Mediated Living Radical Polymerization: A Versatile Tool for Materials Synthesis. Chem. Rev. 116, 835–877 (2016).</w:t>
      </w:r>
    </w:p>
    <w:p w14:paraId="03F0BBF3" w14:textId="77777777" w:rsidR="006B0AA2" w:rsidRPr="00B60E27" w:rsidRDefault="006B0AA2" w:rsidP="006B0AA2">
      <w:pPr>
        <w:pStyle w:val="Maintext"/>
        <w:ind w:left="720" w:hanging="720"/>
        <w:rPr>
          <w:color w:val="000000" w:themeColor="text1"/>
        </w:rPr>
      </w:pPr>
      <w:r w:rsidRPr="00B60E27">
        <w:rPr>
          <w:color w:val="000000" w:themeColor="text1"/>
        </w:rPr>
        <w:t>[5]</w:t>
      </w:r>
      <w:r w:rsidRPr="00B60E27">
        <w:rPr>
          <w:color w:val="000000" w:themeColor="text1"/>
        </w:rPr>
        <w:tab/>
        <w:t>French, A. D. Idealized powder diffraction patterns for cellulose polymorphs. Cellulose 21, 885–896 (2014).</w:t>
      </w:r>
    </w:p>
    <w:p w14:paraId="4567160B" w14:textId="77777777" w:rsidR="006B0AA2" w:rsidRPr="00B60E27" w:rsidRDefault="006B0AA2" w:rsidP="006B0AA2">
      <w:pPr>
        <w:pStyle w:val="Maintext"/>
        <w:ind w:left="720" w:hanging="720"/>
        <w:rPr>
          <w:color w:val="000000" w:themeColor="text1"/>
        </w:rPr>
      </w:pPr>
      <w:r w:rsidRPr="00B60E27">
        <w:rPr>
          <w:color w:val="000000" w:themeColor="text1"/>
        </w:rPr>
        <w:t>[6]</w:t>
      </w:r>
      <w:r w:rsidRPr="00B60E27">
        <w:rPr>
          <w:color w:val="000000" w:themeColor="text1"/>
        </w:rPr>
        <w:tab/>
        <w:t>Park, S., Baker, J. O., Himmel, M. E., Parilla, P. A. &amp; Johnson, D. K. Cellulose crystallinity index: measurement techniques and their impact on interpreting cellulase performance. Biotechnol. Biofuels 3, 1–10 (2010).</w:t>
      </w:r>
    </w:p>
    <w:p w14:paraId="1EC589C0" w14:textId="77777777" w:rsidR="006B0AA2" w:rsidRPr="00B60E27" w:rsidRDefault="006B0AA2" w:rsidP="006B0AA2">
      <w:pPr>
        <w:pStyle w:val="Maintext"/>
        <w:rPr>
          <w:color w:val="000000" w:themeColor="text1"/>
        </w:rPr>
      </w:pPr>
    </w:p>
    <w:p w14:paraId="1B4257DB" w14:textId="77777777" w:rsidR="00E34F4C" w:rsidRDefault="00E34F4C"/>
    <w:sectPr w:rsidR="00E34F4C" w:rsidSect="00C47F4A">
      <w:headerReference w:type="default" r:id="rId23"/>
      <w:footerReference w:type="default" r:id="rId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11AAA0" w14:textId="77777777" w:rsidR="00BA4262" w:rsidRDefault="00BA4262">
      <w:r>
        <w:separator/>
      </w:r>
    </w:p>
  </w:endnote>
  <w:endnote w:type="continuationSeparator" w:id="0">
    <w:p w14:paraId="09C34535" w14:textId="77777777" w:rsidR="00BA4262" w:rsidRDefault="00BA4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A3148" w14:textId="77777777" w:rsidR="0063465B" w:rsidRDefault="006B0AA2">
    <w:pPr>
      <w:pStyle w:val="Footer"/>
      <w:jc w:val="center"/>
    </w:pPr>
    <w:r>
      <w:fldChar w:fldCharType="begin"/>
    </w:r>
    <w:r>
      <w:instrText>PAGE   \* MERGEFORMAT</w:instrText>
    </w:r>
    <w:r>
      <w:fldChar w:fldCharType="separate"/>
    </w:r>
    <w:r>
      <w:rPr>
        <w:noProof/>
      </w:rPr>
      <w:t>24</w:t>
    </w:r>
    <w:r>
      <w:fldChar w:fldCharType="end"/>
    </w:r>
  </w:p>
  <w:p w14:paraId="24517664" w14:textId="77777777" w:rsidR="0063465B" w:rsidRDefault="0063465B"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BCA4CA" w14:textId="77777777" w:rsidR="00BA4262" w:rsidRDefault="00BA4262">
      <w:r>
        <w:separator/>
      </w:r>
    </w:p>
  </w:footnote>
  <w:footnote w:type="continuationSeparator" w:id="0">
    <w:p w14:paraId="3ECF34C4" w14:textId="77777777" w:rsidR="00BA4262" w:rsidRDefault="00BA4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104FF" w14:textId="77777777" w:rsidR="0063465B" w:rsidRPr="009B44CC" w:rsidRDefault="006B0AA2" w:rsidP="009B44CC">
    <w:pPr>
      <w:pStyle w:val="Header"/>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C7B67"/>
    <w:multiLevelType w:val="multilevel"/>
    <w:tmpl w:val="42BA4D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7B24321"/>
    <w:multiLevelType w:val="multilevel"/>
    <w:tmpl w:val="D0D8711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609626620">
    <w:abstractNumId w:val="1"/>
  </w:num>
  <w:num w:numId="2" w16cid:durableId="1517503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A83"/>
    <w:rsid w:val="000142A6"/>
    <w:rsid w:val="001A5A83"/>
    <w:rsid w:val="0021514D"/>
    <w:rsid w:val="00313F35"/>
    <w:rsid w:val="0063465B"/>
    <w:rsid w:val="006B0AA2"/>
    <w:rsid w:val="00724ED0"/>
    <w:rsid w:val="00875052"/>
    <w:rsid w:val="009667D9"/>
    <w:rsid w:val="00A82219"/>
    <w:rsid w:val="00B041B9"/>
    <w:rsid w:val="00BA4262"/>
    <w:rsid w:val="00C47F4A"/>
    <w:rsid w:val="00E34F4C"/>
    <w:rsid w:val="00EC4F4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4BA72"/>
  <w15:chartTrackingRefBased/>
  <w15:docId w15:val="{9DC81485-C977-4D00-9937-E22AED76F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AA2"/>
    <w:pPr>
      <w:spacing w:after="0" w:line="240" w:lineRule="auto"/>
    </w:pPr>
    <w:rPr>
      <w:rFonts w:ascii="Times New Roman" w:eastAsia="MS Mincho" w:hAnsi="Times New Roman" w:cs="Times New Roman"/>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B0AA2"/>
    <w:pPr>
      <w:tabs>
        <w:tab w:val="center" w:pos="4536"/>
        <w:tab w:val="right" w:pos="9072"/>
      </w:tabs>
    </w:pPr>
    <w:rPr>
      <w:lang w:val="x-none"/>
    </w:rPr>
  </w:style>
  <w:style w:type="character" w:customStyle="1" w:styleId="HeaderChar">
    <w:name w:val="Header Char"/>
    <w:basedOn w:val="DefaultParagraphFont"/>
    <w:link w:val="Header"/>
    <w:uiPriority w:val="99"/>
    <w:rsid w:val="006B0AA2"/>
    <w:rPr>
      <w:rFonts w:ascii="Times New Roman" w:eastAsia="MS Mincho" w:hAnsi="Times New Roman" w:cs="Times New Roman"/>
      <w:sz w:val="24"/>
      <w:szCs w:val="24"/>
      <w:lang w:val="x-none" w:eastAsia="ja-JP"/>
    </w:rPr>
  </w:style>
  <w:style w:type="paragraph" w:styleId="Footer">
    <w:name w:val="footer"/>
    <w:basedOn w:val="Normal"/>
    <w:link w:val="FooterChar"/>
    <w:uiPriority w:val="99"/>
    <w:rsid w:val="006B0AA2"/>
    <w:pPr>
      <w:tabs>
        <w:tab w:val="center" w:pos="4536"/>
        <w:tab w:val="right" w:pos="9072"/>
      </w:tabs>
    </w:pPr>
  </w:style>
  <w:style w:type="character" w:customStyle="1" w:styleId="FooterChar">
    <w:name w:val="Footer Char"/>
    <w:basedOn w:val="DefaultParagraphFont"/>
    <w:link w:val="Footer"/>
    <w:uiPriority w:val="99"/>
    <w:rsid w:val="006B0AA2"/>
    <w:rPr>
      <w:rFonts w:ascii="Times New Roman" w:eastAsia="MS Mincho" w:hAnsi="Times New Roman" w:cs="Times New Roman"/>
      <w:sz w:val="24"/>
      <w:szCs w:val="24"/>
      <w:lang w:val="de-DE" w:eastAsia="ja-JP"/>
    </w:rPr>
  </w:style>
  <w:style w:type="paragraph" w:customStyle="1" w:styleId="AuthorsFull">
    <w:name w:val="Authors Full"/>
    <w:basedOn w:val="Normal"/>
    <w:rsid w:val="006B0AA2"/>
    <w:rPr>
      <w:i/>
      <w:lang w:val="en-US"/>
    </w:rPr>
  </w:style>
  <w:style w:type="paragraph" w:customStyle="1" w:styleId="Tableofcontents">
    <w:name w:val="Table of contents"/>
    <w:basedOn w:val="Normal"/>
    <w:autoRedefine/>
    <w:rsid w:val="006B0AA2"/>
    <w:rPr>
      <w:b/>
      <w:bCs/>
      <w:lang w:val="en-US"/>
    </w:rPr>
  </w:style>
  <w:style w:type="paragraph" w:customStyle="1" w:styleId="Title2">
    <w:name w:val="Title2"/>
    <w:basedOn w:val="Normal"/>
    <w:rsid w:val="006B0AA2"/>
    <w:rPr>
      <w:b/>
      <w:lang w:val="en-US"/>
    </w:rPr>
  </w:style>
  <w:style w:type="paragraph" w:customStyle="1" w:styleId="Maintext">
    <w:name w:val="Main text"/>
    <w:basedOn w:val="Normal"/>
    <w:link w:val="MaintextChar"/>
    <w:autoRedefine/>
    <w:rsid w:val="006B0AA2"/>
    <w:pPr>
      <w:spacing w:line="480" w:lineRule="auto"/>
    </w:pPr>
    <w:rPr>
      <w:lang w:val="en-US"/>
    </w:rPr>
  </w:style>
  <w:style w:type="character" w:customStyle="1" w:styleId="MaintextChar">
    <w:name w:val="Main text Char"/>
    <w:link w:val="Maintext"/>
    <w:rsid w:val="006B0AA2"/>
    <w:rPr>
      <w:rFonts w:ascii="Times New Roman" w:eastAsia="MS Mincho" w:hAnsi="Times New Roman" w:cs="Times New Roman"/>
      <w:sz w:val="24"/>
      <w:szCs w:val="24"/>
      <w:lang w:val="en-US" w:eastAsia="ja-JP"/>
    </w:rPr>
  </w:style>
  <w:style w:type="paragraph" w:styleId="NoSpacing">
    <w:name w:val="No Spacing"/>
    <w:uiPriority w:val="1"/>
    <w:qFormat/>
    <w:rsid w:val="006B0AA2"/>
    <w:pPr>
      <w:spacing w:after="0" w:line="240" w:lineRule="auto"/>
    </w:pPr>
    <w:rPr>
      <w:rFonts w:ascii="Times New Roman" w:eastAsia="MS Mincho" w:hAnsi="Times New Roman" w:cs="Times New Roman"/>
      <w:sz w:val="24"/>
      <w:szCs w:val="24"/>
      <w:lang w:val="de-DE" w:eastAsia="ja-JP"/>
    </w:rPr>
  </w:style>
  <w:style w:type="paragraph" w:styleId="ListParagraph">
    <w:name w:val="List Paragraph"/>
    <w:basedOn w:val="Normal"/>
    <w:uiPriority w:val="34"/>
    <w:qFormat/>
    <w:rsid w:val="006B0AA2"/>
    <w:pPr>
      <w:ind w:left="720"/>
      <w:contextualSpacing/>
    </w:pPr>
  </w:style>
  <w:style w:type="paragraph" w:customStyle="1" w:styleId="SchemeS6">
    <w:name w:val="SchemeS6"/>
    <w:basedOn w:val="Normal"/>
    <w:autoRedefine/>
    <w:qFormat/>
    <w:rsid w:val="006B0AA2"/>
    <w:pPr>
      <w:tabs>
        <w:tab w:val="left" w:pos="1134"/>
      </w:tabs>
      <w:jc w:val="center"/>
    </w:pPr>
    <w:rPr>
      <w:rFonts w:eastAsiaTheme="minorHAnsi"/>
      <w:sz w:val="22"/>
      <w:szCs w:val="22"/>
      <w:lang w:val="en-US" w:eastAsia="en-US"/>
    </w:rPr>
  </w:style>
  <w:style w:type="character" w:styleId="LineNumber">
    <w:name w:val="line number"/>
    <w:basedOn w:val="DefaultParagraphFont"/>
    <w:uiPriority w:val="99"/>
    <w:semiHidden/>
    <w:unhideWhenUsed/>
    <w:rsid w:val="006B0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24</Pages>
  <Words>6180</Words>
  <Characters>35228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Ansi Antony</dc:creator>
  <cp:keywords/>
  <dc:description/>
  <cp:lastModifiedBy>Nicholas Macke</cp:lastModifiedBy>
  <cp:revision>5</cp:revision>
  <dcterms:created xsi:type="dcterms:W3CDTF">2024-07-20T16:42:00Z</dcterms:created>
  <dcterms:modified xsi:type="dcterms:W3CDTF">2024-07-21T14:08:00Z</dcterms:modified>
</cp:coreProperties>
</file>