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7A0C8" w14:textId="77777777" w:rsidR="0054210A" w:rsidRPr="003F17FC" w:rsidRDefault="0054210A" w:rsidP="0054210A">
      <w:pPr>
        <w:jc w:val="center"/>
        <w:rPr>
          <w:b/>
          <w:bCs/>
        </w:rPr>
      </w:pPr>
      <w:r w:rsidRPr="003F17FC">
        <w:rPr>
          <w:b/>
          <w:bCs/>
        </w:rPr>
        <w:t xml:space="preserve">Additional File 1 – </w:t>
      </w:r>
      <w:r>
        <w:rPr>
          <w:b/>
          <w:bCs/>
        </w:rPr>
        <w:t>RADHI Psychometric Results</w:t>
      </w:r>
    </w:p>
    <w:p w14:paraId="762FE634" w14:textId="77777777" w:rsidR="0054210A" w:rsidRDefault="0054210A" w:rsidP="0054210A">
      <w:pPr>
        <w:rPr>
          <w:rFonts w:eastAsiaTheme="minorEastAsia"/>
        </w:rPr>
      </w:pPr>
      <w:r w:rsidRPr="123B4BC8">
        <w:rPr>
          <w:rFonts w:eastAsiaTheme="minorEastAsia"/>
        </w:rPr>
        <w:t xml:space="preserve">The </w:t>
      </w:r>
      <w:r>
        <w:t>Readiness to Adopt Digital Health Interventions</w:t>
      </w:r>
      <w:r w:rsidRPr="123B4BC8">
        <w:rPr>
          <w:rFonts w:eastAsiaTheme="minorEastAsia"/>
        </w:rPr>
        <w:t xml:space="preserve"> (RADHI) scale was created to assess community-based organization (CBO) staff’s perceptions of whether their organization is prepared to consider incorporating a digital health intervention into its programs.</w:t>
      </w:r>
    </w:p>
    <w:p w14:paraId="269F5905" w14:textId="77777777" w:rsidR="0054210A" w:rsidRDefault="0054210A" w:rsidP="0054210A">
      <w:pPr>
        <w:rPr>
          <w:rFonts w:eastAsiaTheme="minorEastAsia"/>
          <w:b/>
          <w:bCs/>
        </w:rPr>
      </w:pPr>
      <w:r w:rsidRPr="123B4BC8">
        <w:rPr>
          <w:rFonts w:eastAsiaTheme="minorEastAsia"/>
          <w:b/>
          <w:bCs/>
        </w:rPr>
        <w:t>Conceptual development</w:t>
      </w:r>
    </w:p>
    <w:p w14:paraId="4A26DFAB" w14:textId="51A81C5C" w:rsidR="0054210A" w:rsidRDefault="0054210A" w:rsidP="0054210A">
      <w:pPr>
        <w:rPr>
          <w:rFonts w:eastAsiaTheme="minorEastAsia"/>
        </w:rPr>
      </w:pPr>
      <w:r>
        <w:tab/>
      </w:r>
      <w:r w:rsidRPr="123B4BC8">
        <w:rPr>
          <w:rFonts w:eastAsiaTheme="minorEastAsia"/>
        </w:rPr>
        <w:t xml:space="preserve">We examined the literature for measures of eHealth/mHealth readiness. We found no existing quantitative assessments of readiness specific to client-facing behavioral intervention technologies; however, Khatun and colleagues </w:t>
      </w:r>
      <w:r w:rsidRPr="123B4BC8">
        <w:rPr>
          <w:rFonts w:eastAsiaTheme="minorEastAsia"/>
        </w:rPr>
        <w:fldChar w:fldCharType="begin"/>
      </w:r>
      <w:r>
        <w:rPr>
          <w:rFonts w:eastAsiaTheme="minorEastAsia"/>
        </w:rPr>
        <w:instrText xml:space="preserve"> ADDIN EN.CITE &lt;EndNote&gt;&lt;Cite&gt;&lt;Author&gt;Khatun F&lt;/Author&gt;&lt;Year&gt;2015&lt;/Year&gt;&lt;RecNum&gt;23678&lt;/RecNum&gt;&lt;DisplayText&gt;(1)&lt;/DisplayText&gt;&lt;record&gt;&lt;rec-number&gt;23678&lt;/rec-number&gt;&lt;foreign-keys&gt;&lt;key app="EN" db-id="vffv52fxo9sxv2e0sd9xa0tmzfpfzxv2xw5d" timestamp="1650476446" guid="b14f9b71-e5c8-4df0-acee-6a932de1119c"&gt;23678&lt;/key&gt;&lt;/foreign-keys&gt;&lt;ref-type name="Journal Article"&gt;17&lt;/ref-type&gt;&lt;contributors&gt;&lt;authors&gt;&lt;author&gt;Khatun F, Heywood AE, Ray PK, Hanifi SMA, Bhuiya A, Liaw S-T&lt;/author&gt;&lt;/authors&gt;&lt;/contributors&gt;&lt;titles&gt;&lt;title&gt;Determinants of readiness to adopt mHealth in a rural community of Bangladesh&lt;/title&gt;&lt;secondary-title&gt;International Journal of Medical Informatics&lt;/secondary-title&gt;&lt;/titles&gt;&lt;periodical&gt;&lt;full-title&gt;International Journal of Medical Informatics&lt;/full-title&gt;&lt;/periodical&gt;&lt;pages&gt;847-856&lt;/pages&gt;&lt;volume&gt;84&lt;/volume&gt;&lt;number&gt;10&lt;/number&gt;&lt;dates&gt;&lt;year&gt;2015&lt;/year&gt;&lt;/dates&gt;&lt;urls&gt;&lt;/urls&gt;&lt;/record&gt;&lt;/Cite&gt;&lt;/EndNote&gt;</w:instrText>
      </w:r>
      <w:r w:rsidRPr="123B4BC8">
        <w:rPr>
          <w:rFonts w:eastAsiaTheme="minorEastAsia"/>
        </w:rPr>
        <w:fldChar w:fldCharType="separate"/>
      </w:r>
      <w:r>
        <w:rPr>
          <w:rFonts w:eastAsiaTheme="minorEastAsia"/>
          <w:noProof/>
        </w:rPr>
        <w:t>(1)</w:t>
      </w:r>
      <w:r w:rsidRPr="123B4BC8">
        <w:rPr>
          <w:rFonts w:eastAsiaTheme="minorEastAsia"/>
        </w:rPr>
        <w:fldChar w:fldCharType="end"/>
      </w:r>
      <w:r w:rsidRPr="123B4BC8">
        <w:rPr>
          <w:rFonts w:eastAsiaTheme="minorEastAsia"/>
        </w:rPr>
        <w:t xml:space="preserve"> proposed a conceptual model for mHealth readiness that was expanded upon in subsequent research </w:t>
      </w:r>
      <w:r w:rsidRPr="123B4BC8">
        <w:rPr>
          <w:rFonts w:eastAsiaTheme="minorEastAsia"/>
        </w:rPr>
        <w:fldChar w:fldCharType="begin"/>
      </w:r>
      <w:r>
        <w:rPr>
          <w:rFonts w:eastAsiaTheme="minorEastAsia"/>
        </w:rPr>
        <w:instrText xml:space="preserve"> ADDIN EN.CITE &lt;EndNote&gt;&lt;Cite&gt;&lt;Author&gt;Khatun F&lt;/Author&gt;&lt;Year&gt;2016&lt;/Year&gt;&lt;RecNum&gt;23679&lt;/RecNum&gt;&lt;DisplayText&gt;(2, 3)&lt;/DisplayText&gt;&lt;record&gt;&lt;rec-number&gt;23679&lt;/rec-number&gt;&lt;foreign-keys&gt;&lt;key app="EN" db-id="vffv52fxo9sxv2e0sd9xa0tmzfpfzxv2xw5d" timestamp="1650476447" guid="7556cc61-1596-4ccd-b95f-4636cf0c507d"&gt;23679&lt;/key&gt;&lt;/foreign-keys&gt;&lt;ref-type name="Journal Article"&gt;17&lt;/ref-type&gt;&lt;contributors&gt;&lt;authors&gt;&lt;author&gt;Khatun F, Heywood AE, Ray PK, Bhuiya A, Liaw S-T&lt;/author&gt;&lt;/authors&gt;&lt;/contributors&gt;&lt;titles&gt;&lt;title&gt;Community Readiness for Adopting mHealth in Rural Bangladesh: A Qualitative Exploration&lt;/title&gt;&lt;secondary-title&gt;International Journal of Medical Informatics&lt;/secondary-title&gt;&lt;/titles&gt;&lt;periodical&gt;&lt;full-title&gt;International Journal of Medical Informatics&lt;/full-title&gt;&lt;/periodical&gt;&lt;pages&gt;49-56&lt;/pages&gt;&lt;volume&gt;93&lt;/volume&gt;&lt;dates&gt;&lt;year&gt;2016&lt;/year&gt;&lt;/dates&gt;&lt;urls&gt;&lt;/urls&gt;&lt;/record&gt;&lt;/Cite&gt;&lt;Cite&gt;&lt;Author&gt;Weichelt&lt;/Author&gt;&lt;Year&gt;2016&lt;/Year&gt;&lt;RecNum&gt;23677&lt;/RecNum&gt;&lt;record&gt;&lt;rec-number&gt;23677&lt;/rec-number&gt;&lt;foreign-keys&gt;&lt;key app="EN" db-id="vffv52fxo9sxv2e0sd9xa0tmzfpfzxv2xw5d" timestamp="1650476446" guid="6d684f49-8ea2-4cf2-bb91-ff56f6f85073"&gt;23677&lt;/key&gt;&lt;/foreign-keys&gt;&lt;ref-type name="Thesis"&gt;32&lt;/ref-type&gt;&lt;contributors&gt;&lt;authors&gt;&lt;author&gt;Weichelt, Bryan&lt;/author&gt;&lt;/authors&gt;&lt;/contributors&gt;&lt;titles&gt;&lt;title&gt;Health in Your Hand: Assessment of Clinicians’ Readiness to Adopt Mhealth into Rural Patient Care&lt;/title&gt;&lt;/titles&gt;&lt;dates&gt;&lt;year&gt;2016&lt;/year&gt;&lt;/dates&gt;&lt;pub-location&gt;Theses and Dissertations&lt;/pub-location&gt;&lt;urls&gt;&lt;related-urls&gt;&lt;url&gt;https://dc.uwm.edu/etd/1226&lt;/url&gt;&lt;/related-urls&gt;&lt;/urls&gt;&lt;/record&gt;&lt;/Cite&gt;&lt;/EndNote&gt;</w:instrText>
      </w:r>
      <w:r w:rsidRPr="123B4BC8">
        <w:rPr>
          <w:rFonts w:eastAsiaTheme="minorEastAsia"/>
        </w:rPr>
        <w:fldChar w:fldCharType="separate"/>
      </w:r>
      <w:r>
        <w:rPr>
          <w:rFonts w:eastAsiaTheme="minorEastAsia"/>
          <w:noProof/>
        </w:rPr>
        <w:t>(2, 3)</w:t>
      </w:r>
      <w:r w:rsidRPr="123B4BC8">
        <w:rPr>
          <w:rFonts w:eastAsiaTheme="minorEastAsia"/>
        </w:rPr>
        <w:fldChar w:fldCharType="end"/>
      </w:r>
      <w:r w:rsidRPr="123B4BC8">
        <w:rPr>
          <w:rFonts w:eastAsiaTheme="minorEastAsia"/>
        </w:rPr>
        <w:t>. We selected key concepts from these frameworks that would be unique to digital interventions (i.e., not overlapping with measures of general organizational readiness) and drafted an initial set of nine items rated on a 5-point scale from 0 (</w:t>
      </w:r>
      <w:r w:rsidRPr="123B4BC8">
        <w:rPr>
          <w:rFonts w:eastAsiaTheme="minorEastAsia"/>
          <w:i/>
          <w:iCs/>
        </w:rPr>
        <w:t>not at all</w:t>
      </w:r>
      <w:r w:rsidRPr="123B4BC8">
        <w:rPr>
          <w:rFonts w:eastAsiaTheme="minorEastAsia"/>
        </w:rPr>
        <w:t>) to 4 (</w:t>
      </w:r>
      <w:r w:rsidRPr="123B4BC8">
        <w:rPr>
          <w:rFonts w:eastAsiaTheme="minorEastAsia"/>
          <w:i/>
          <w:iCs/>
        </w:rPr>
        <w:t>to a very great extent</w:t>
      </w:r>
      <w:r w:rsidRPr="123B4BC8">
        <w:rPr>
          <w:rFonts w:eastAsiaTheme="minorEastAsia"/>
        </w:rPr>
        <w:t>):</w:t>
      </w:r>
    </w:p>
    <w:tbl>
      <w:tblPr>
        <w:tblStyle w:val="TableGrid"/>
        <w:tblW w:w="0" w:type="auto"/>
        <w:tblLook w:val="04A0" w:firstRow="1" w:lastRow="0" w:firstColumn="1" w:lastColumn="0" w:noHBand="0" w:noVBand="1"/>
      </w:tblPr>
      <w:tblGrid>
        <w:gridCol w:w="2321"/>
        <w:gridCol w:w="4699"/>
        <w:gridCol w:w="1239"/>
        <w:gridCol w:w="1091"/>
      </w:tblGrid>
      <w:tr w:rsidR="0054210A" w14:paraId="0F7A7C0F" w14:textId="77777777" w:rsidTr="00CE2D2C">
        <w:tc>
          <w:tcPr>
            <w:tcW w:w="2321" w:type="dxa"/>
            <w:vMerge w:val="restart"/>
            <w:vAlign w:val="bottom"/>
          </w:tcPr>
          <w:p w14:paraId="505F8E91" w14:textId="77777777" w:rsidR="0054210A" w:rsidRDefault="0054210A" w:rsidP="00CE2D2C">
            <w:pPr>
              <w:jc w:val="center"/>
              <w:rPr>
                <w:rFonts w:eastAsiaTheme="minorEastAsia"/>
              </w:rPr>
            </w:pPr>
            <w:r>
              <w:rPr>
                <w:rFonts w:eastAsiaTheme="minorEastAsia"/>
              </w:rPr>
              <w:t>Concept</w:t>
            </w:r>
          </w:p>
        </w:tc>
        <w:tc>
          <w:tcPr>
            <w:tcW w:w="4699" w:type="dxa"/>
            <w:vMerge w:val="restart"/>
            <w:vAlign w:val="bottom"/>
          </w:tcPr>
          <w:p w14:paraId="7CED3CA5" w14:textId="77777777" w:rsidR="0054210A" w:rsidRDefault="0054210A" w:rsidP="00CE2D2C">
            <w:pPr>
              <w:jc w:val="center"/>
              <w:rPr>
                <w:rFonts w:eastAsiaTheme="minorEastAsia"/>
              </w:rPr>
            </w:pPr>
            <w:r>
              <w:rPr>
                <w:rFonts w:eastAsiaTheme="minorEastAsia"/>
              </w:rPr>
              <w:t>Item</w:t>
            </w:r>
          </w:p>
        </w:tc>
        <w:tc>
          <w:tcPr>
            <w:tcW w:w="2330" w:type="dxa"/>
            <w:gridSpan w:val="2"/>
            <w:vAlign w:val="bottom"/>
          </w:tcPr>
          <w:p w14:paraId="343C7C54" w14:textId="77777777" w:rsidR="0054210A" w:rsidRDefault="0054210A" w:rsidP="00CE2D2C">
            <w:pPr>
              <w:jc w:val="center"/>
              <w:rPr>
                <w:rFonts w:eastAsiaTheme="minorEastAsia"/>
              </w:rPr>
            </w:pPr>
            <w:r>
              <w:rPr>
                <w:rFonts w:eastAsiaTheme="minorEastAsia"/>
              </w:rPr>
              <w:t>Factor loadings</w:t>
            </w:r>
          </w:p>
        </w:tc>
      </w:tr>
      <w:tr w:rsidR="0054210A" w14:paraId="2454DDA1" w14:textId="77777777" w:rsidTr="00CE2D2C">
        <w:tc>
          <w:tcPr>
            <w:tcW w:w="2321" w:type="dxa"/>
            <w:vMerge/>
            <w:vAlign w:val="bottom"/>
          </w:tcPr>
          <w:p w14:paraId="68F6013F" w14:textId="77777777" w:rsidR="0054210A" w:rsidRDefault="0054210A" w:rsidP="00CE2D2C">
            <w:pPr>
              <w:jc w:val="center"/>
              <w:rPr>
                <w:rFonts w:eastAsiaTheme="minorEastAsia"/>
              </w:rPr>
            </w:pPr>
          </w:p>
        </w:tc>
        <w:tc>
          <w:tcPr>
            <w:tcW w:w="4699" w:type="dxa"/>
            <w:vMerge/>
            <w:vAlign w:val="bottom"/>
          </w:tcPr>
          <w:p w14:paraId="409AB7C3" w14:textId="77777777" w:rsidR="0054210A" w:rsidRDefault="0054210A" w:rsidP="00CE2D2C">
            <w:pPr>
              <w:jc w:val="center"/>
              <w:rPr>
                <w:rFonts w:eastAsiaTheme="minorEastAsia"/>
              </w:rPr>
            </w:pPr>
          </w:p>
        </w:tc>
        <w:tc>
          <w:tcPr>
            <w:tcW w:w="1239" w:type="dxa"/>
            <w:vAlign w:val="bottom"/>
          </w:tcPr>
          <w:p w14:paraId="0A888092" w14:textId="77777777" w:rsidR="0054210A" w:rsidRDefault="0054210A" w:rsidP="00CE2D2C">
            <w:pPr>
              <w:jc w:val="center"/>
              <w:rPr>
                <w:rFonts w:eastAsiaTheme="minorEastAsia"/>
              </w:rPr>
            </w:pPr>
            <w:r>
              <w:rPr>
                <w:rFonts w:eastAsiaTheme="minorEastAsia"/>
              </w:rPr>
              <w:t>EFA</w:t>
            </w:r>
          </w:p>
        </w:tc>
        <w:tc>
          <w:tcPr>
            <w:tcW w:w="1091" w:type="dxa"/>
            <w:vAlign w:val="bottom"/>
          </w:tcPr>
          <w:p w14:paraId="31B91484" w14:textId="77777777" w:rsidR="0054210A" w:rsidRDefault="0054210A" w:rsidP="00CE2D2C">
            <w:pPr>
              <w:jc w:val="center"/>
              <w:rPr>
                <w:rFonts w:eastAsiaTheme="minorEastAsia"/>
              </w:rPr>
            </w:pPr>
            <w:r>
              <w:rPr>
                <w:rFonts w:eastAsiaTheme="minorEastAsia"/>
              </w:rPr>
              <w:t>CFA</w:t>
            </w:r>
          </w:p>
        </w:tc>
      </w:tr>
      <w:tr w:rsidR="0054210A" w14:paraId="40282902" w14:textId="77777777" w:rsidTr="00CE2D2C">
        <w:tc>
          <w:tcPr>
            <w:tcW w:w="2321" w:type="dxa"/>
          </w:tcPr>
          <w:p w14:paraId="66C71C83" w14:textId="77777777" w:rsidR="0054210A" w:rsidRDefault="0054210A" w:rsidP="00CE2D2C">
            <w:pPr>
              <w:rPr>
                <w:rFonts w:eastAsiaTheme="minorEastAsia"/>
              </w:rPr>
            </w:pPr>
            <w:r>
              <w:rPr>
                <w:rFonts w:eastAsiaTheme="minorEastAsia"/>
              </w:rPr>
              <w:t>eHealth implementation self-efficacy</w:t>
            </w:r>
          </w:p>
        </w:tc>
        <w:tc>
          <w:tcPr>
            <w:tcW w:w="4699" w:type="dxa"/>
          </w:tcPr>
          <w:p w14:paraId="7F9DC22D" w14:textId="77777777" w:rsidR="0054210A" w:rsidRPr="00846B38" w:rsidRDefault="0054210A" w:rsidP="0054210A">
            <w:pPr>
              <w:pStyle w:val="ListParagraph"/>
              <w:numPr>
                <w:ilvl w:val="0"/>
                <w:numId w:val="2"/>
              </w:numPr>
              <w:ind w:left="337"/>
              <w:rPr>
                <w:rFonts w:eastAsiaTheme="minorEastAsia"/>
              </w:rPr>
            </w:pPr>
            <w:r w:rsidRPr="00846B38">
              <w:rPr>
                <w:rStyle w:val="normaltextrun"/>
                <w:rFonts w:ascii="Calibri" w:hAnsi="Calibri" w:cs="Calibri"/>
                <w:color w:val="000000"/>
                <w:bdr w:val="none" w:sz="0" w:space="0" w:color="auto" w:frame="1"/>
              </w:rPr>
              <w:t>Our organization is ready to implement an eHealth intervention.</w:t>
            </w:r>
          </w:p>
        </w:tc>
        <w:tc>
          <w:tcPr>
            <w:tcW w:w="1239" w:type="dxa"/>
          </w:tcPr>
          <w:p w14:paraId="622F2A76" w14:textId="77777777" w:rsidR="0054210A" w:rsidRPr="001E34F6" w:rsidRDefault="0054210A" w:rsidP="00CE2D2C">
            <w:pPr>
              <w:ind w:left="-23"/>
              <w:jc w:val="center"/>
              <w:rPr>
                <w:rStyle w:val="normaltextrun"/>
                <w:rFonts w:ascii="Calibri" w:hAnsi="Calibri" w:cs="Calibri"/>
                <w:color w:val="000000"/>
                <w:bdr w:val="none" w:sz="0" w:space="0" w:color="auto" w:frame="1"/>
              </w:rPr>
            </w:pPr>
            <w:r>
              <w:t>0.693</w:t>
            </w:r>
          </w:p>
        </w:tc>
        <w:tc>
          <w:tcPr>
            <w:tcW w:w="1091" w:type="dxa"/>
          </w:tcPr>
          <w:p w14:paraId="467CE348" w14:textId="77777777" w:rsidR="0054210A" w:rsidRPr="00703E0E" w:rsidRDefault="0054210A" w:rsidP="00CE2D2C">
            <w:pPr>
              <w:ind w:left="-23"/>
              <w:jc w:val="center"/>
            </w:pPr>
            <w:r>
              <w:t>0.735</w:t>
            </w:r>
          </w:p>
        </w:tc>
      </w:tr>
      <w:tr w:rsidR="0054210A" w14:paraId="3157F675" w14:textId="77777777" w:rsidTr="00CE2D2C">
        <w:tc>
          <w:tcPr>
            <w:tcW w:w="2321" w:type="dxa"/>
          </w:tcPr>
          <w:p w14:paraId="5FBA021F" w14:textId="77777777" w:rsidR="0054210A" w:rsidRDefault="0054210A" w:rsidP="00CE2D2C">
            <w:pPr>
              <w:rPr>
                <w:rFonts w:eastAsiaTheme="minorEastAsia"/>
              </w:rPr>
            </w:pPr>
            <w:r>
              <w:rPr>
                <w:rFonts w:eastAsiaTheme="minorEastAsia"/>
              </w:rPr>
              <w:t>Familiarity with eHealth</w:t>
            </w:r>
          </w:p>
        </w:tc>
        <w:tc>
          <w:tcPr>
            <w:tcW w:w="4699" w:type="dxa"/>
          </w:tcPr>
          <w:p w14:paraId="7DF05BA4" w14:textId="77777777" w:rsidR="0054210A" w:rsidRPr="00846B38" w:rsidRDefault="0054210A" w:rsidP="0054210A">
            <w:pPr>
              <w:pStyle w:val="ListParagraph"/>
              <w:numPr>
                <w:ilvl w:val="0"/>
                <w:numId w:val="2"/>
              </w:numPr>
              <w:ind w:left="337"/>
              <w:rPr>
                <w:rFonts w:eastAsiaTheme="minorEastAsia"/>
              </w:rPr>
            </w:pPr>
            <w:r w:rsidRPr="00846B38">
              <w:rPr>
                <w:rStyle w:val="normaltextrun"/>
                <w:rFonts w:ascii="Calibri" w:hAnsi="Calibri" w:cs="Calibri"/>
                <w:color w:val="000000"/>
                <w:shd w:val="clear" w:color="auto" w:fill="FFFFFF"/>
              </w:rPr>
              <w:t>Our organization has experience with implementing eHealth interventions.</w:t>
            </w:r>
          </w:p>
        </w:tc>
        <w:tc>
          <w:tcPr>
            <w:tcW w:w="1239" w:type="dxa"/>
          </w:tcPr>
          <w:p w14:paraId="08F89080" w14:textId="77777777" w:rsidR="0054210A" w:rsidRPr="001E34F6" w:rsidRDefault="0054210A" w:rsidP="00CE2D2C">
            <w:pPr>
              <w:ind w:left="-23"/>
              <w:jc w:val="center"/>
              <w:rPr>
                <w:rStyle w:val="normaltextrun"/>
                <w:rFonts w:ascii="Calibri" w:hAnsi="Calibri" w:cs="Calibri"/>
                <w:color w:val="000000"/>
                <w:shd w:val="clear" w:color="auto" w:fill="FFFFFF"/>
              </w:rPr>
            </w:pPr>
            <w:r>
              <w:t>0.710</w:t>
            </w:r>
          </w:p>
        </w:tc>
        <w:tc>
          <w:tcPr>
            <w:tcW w:w="1091" w:type="dxa"/>
          </w:tcPr>
          <w:p w14:paraId="42CC43F5" w14:textId="77777777" w:rsidR="0054210A" w:rsidRPr="00703E0E" w:rsidRDefault="0054210A" w:rsidP="00CE2D2C">
            <w:pPr>
              <w:ind w:left="-23"/>
              <w:jc w:val="center"/>
            </w:pPr>
            <w:r>
              <w:t>0.718</w:t>
            </w:r>
          </w:p>
        </w:tc>
      </w:tr>
      <w:tr w:rsidR="0054210A" w14:paraId="2CB52EBB" w14:textId="77777777" w:rsidTr="00CE2D2C">
        <w:tc>
          <w:tcPr>
            <w:tcW w:w="2321" w:type="dxa"/>
          </w:tcPr>
          <w:p w14:paraId="1696A1ED" w14:textId="77777777" w:rsidR="0054210A" w:rsidRDefault="0054210A" w:rsidP="00CE2D2C">
            <w:pPr>
              <w:rPr>
                <w:rFonts w:eastAsiaTheme="minorEastAsia"/>
              </w:rPr>
            </w:pPr>
            <w:r>
              <w:rPr>
                <w:rFonts w:eastAsiaTheme="minorEastAsia"/>
              </w:rPr>
              <w:t>Familiarity with eHealth</w:t>
            </w:r>
          </w:p>
        </w:tc>
        <w:tc>
          <w:tcPr>
            <w:tcW w:w="4699" w:type="dxa"/>
          </w:tcPr>
          <w:p w14:paraId="2BCEB626" w14:textId="77777777" w:rsidR="0054210A" w:rsidRPr="00846B38" w:rsidRDefault="0054210A" w:rsidP="0054210A">
            <w:pPr>
              <w:pStyle w:val="ListParagraph"/>
              <w:numPr>
                <w:ilvl w:val="0"/>
                <w:numId w:val="2"/>
              </w:numPr>
              <w:ind w:left="337"/>
              <w:rPr>
                <w:rFonts w:eastAsiaTheme="minorEastAsia"/>
              </w:rPr>
            </w:pPr>
            <w:r w:rsidRPr="00846B38">
              <w:rPr>
                <w:rStyle w:val="normaltextrun"/>
                <w:rFonts w:ascii="Calibri" w:hAnsi="Calibri" w:cs="Calibri"/>
                <w:color w:val="000000"/>
                <w:shd w:val="clear" w:color="auto" w:fill="FFFFFF"/>
              </w:rPr>
              <w:t>eHealth interventions differ from the services our organization typically provides.</w:t>
            </w:r>
          </w:p>
        </w:tc>
        <w:tc>
          <w:tcPr>
            <w:tcW w:w="1239" w:type="dxa"/>
          </w:tcPr>
          <w:p w14:paraId="342E9A5C" w14:textId="77777777" w:rsidR="0054210A" w:rsidRPr="001E34F6" w:rsidRDefault="0054210A" w:rsidP="00CE2D2C">
            <w:pPr>
              <w:ind w:left="-23"/>
              <w:jc w:val="center"/>
              <w:rPr>
                <w:rStyle w:val="normaltextrun"/>
                <w:rFonts w:ascii="Calibri" w:hAnsi="Calibri" w:cs="Calibri"/>
                <w:color w:val="000000"/>
                <w:shd w:val="clear" w:color="auto" w:fill="FFFFFF"/>
              </w:rPr>
            </w:pPr>
            <w:r>
              <w:t>0.340</w:t>
            </w:r>
          </w:p>
        </w:tc>
        <w:tc>
          <w:tcPr>
            <w:tcW w:w="1091" w:type="dxa"/>
          </w:tcPr>
          <w:p w14:paraId="7AE48AFE" w14:textId="77777777" w:rsidR="0054210A" w:rsidRPr="00703E0E" w:rsidRDefault="0054210A" w:rsidP="00CE2D2C">
            <w:pPr>
              <w:ind w:left="-23"/>
              <w:jc w:val="center"/>
            </w:pPr>
            <w:r>
              <w:t>--</w:t>
            </w:r>
          </w:p>
        </w:tc>
      </w:tr>
      <w:tr w:rsidR="0054210A" w14:paraId="7DC10DFE" w14:textId="77777777" w:rsidTr="00CE2D2C">
        <w:tc>
          <w:tcPr>
            <w:tcW w:w="2321" w:type="dxa"/>
          </w:tcPr>
          <w:p w14:paraId="3DCE8A89" w14:textId="77777777" w:rsidR="0054210A" w:rsidRDefault="0054210A" w:rsidP="00CE2D2C">
            <w:pPr>
              <w:rPr>
                <w:rFonts w:eastAsiaTheme="minorEastAsia"/>
              </w:rPr>
            </w:pPr>
            <w:r>
              <w:rPr>
                <w:rFonts w:eastAsiaTheme="minorEastAsia"/>
              </w:rPr>
              <w:t>Willingness to use eHealth</w:t>
            </w:r>
          </w:p>
        </w:tc>
        <w:tc>
          <w:tcPr>
            <w:tcW w:w="4699" w:type="dxa"/>
          </w:tcPr>
          <w:p w14:paraId="37A57200" w14:textId="77777777" w:rsidR="0054210A" w:rsidRPr="00846B38" w:rsidRDefault="0054210A" w:rsidP="0054210A">
            <w:pPr>
              <w:pStyle w:val="ListParagraph"/>
              <w:numPr>
                <w:ilvl w:val="0"/>
                <w:numId w:val="2"/>
              </w:numPr>
              <w:ind w:left="337"/>
              <w:rPr>
                <w:rFonts w:eastAsiaTheme="minorEastAsia"/>
              </w:rPr>
            </w:pPr>
            <w:r w:rsidRPr="00846B38">
              <w:rPr>
                <w:rStyle w:val="normaltextrun"/>
                <w:rFonts w:ascii="Calibri" w:hAnsi="Calibri" w:cs="Calibri"/>
                <w:color w:val="000000"/>
                <w:shd w:val="clear" w:color="auto" w:fill="FFFFFF"/>
              </w:rPr>
              <w:t>Our organization plans to use other eHealth interventions in the future if they are available.</w:t>
            </w:r>
          </w:p>
        </w:tc>
        <w:tc>
          <w:tcPr>
            <w:tcW w:w="1239" w:type="dxa"/>
          </w:tcPr>
          <w:p w14:paraId="611347BC" w14:textId="77777777" w:rsidR="0054210A" w:rsidRPr="001E34F6" w:rsidRDefault="0054210A" w:rsidP="00CE2D2C">
            <w:pPr>
              <w:ind w:left="-23"/>
              <w:jc w:val="center"/>
              <w:rPr>
                <w:rStyle w:val="normaltextrun"/>
                <w:rFonts w:ascii="Calibri" w:hAnsi="Calibri" w:cs="Calibri"/>
                <w:color w:val="000000"/>
                <w:shd w:val="clear" w:color="auto" w:fill="FFFFFF"/>
              </w:rPr>
            </w:pPr>
            <w:r>
              <w:t>0.757</w:t>
            </w:r>
          </w:p>
        </w:tc>
        <w:tc>
          <w:tcPr>
            <w:tcW w:w="1091" w:type="dxa"/>
          </w:tcPr>
          <w:p w14:paraId="3BB3DA0E" w14:textId="77777777" w:rsidR="0054210A" w:rsidRPr="00703E0E" w:rsidRDefault="0054210A" w:rsidP="00CE2D2C">
            <w:pPr>
              <w:ind w:left="-23"/>
              <w:jc w:val="center"/>
            </w:pPr>
            <w:r>
              <w:t>0.824</w:t>
            </w:r>
          </w:p>
        </w:tc>
      </w:tr>
      <w:tr w:rsidR="0054210A" w14:paraId="4A69A0EF" w14:textId="77777777" w:rsidTr="00CE2D2C">
        <w:tc>
          <w:tcPr>
            <w:tcW w:w="2321" w:type="dxa"/>
          </w:tcPr>
          <w:p w14:paraId="7242D157" w14:textId="77777777" w:rsidR="0054210A" w:rsidRDefault="0054210A" w:rsidP="00CE2D2C">
            <w:pPr>
              <w:rPr>
                <w:rFonts w:eastAsiaTheme="minorEastAsia"/>
              </w:rPr>
            </w:pPr>
            <w:r>
              <w:rPr>
                <w:rFonts w:eastAsiaTheme="minorEastAsia"/>
              </w:rPr>
              <w:t>Proficiency in using digital technologies</w:t>
            </w:r>
          </w:p>
        </w:tc>
        <w:tc>
          <w:tcPr>
            <w:tcW w:w="4699" w:type="dxa"/>
          </w:tcPr>
          <w:p w14:paraId="0865F16B" w14:textId="77777777" w:rsidR="0054210A" w:rsidRPr="00846B38" w:rsidRDefault="0054210A" w:rsidP="0054210A">
            <w:pPr>
              <w:pStyle w:val="ListParagraph"/>
              <w:numPr>
                <w:ilvl w:val="0"/>
                <w:numId w:val="2"/>
              </w:numPr>
              <w:ind w:left="337"/>
              <w:rPr>
                <w:rFonts w:eastAsiaTheme="minorEastAsia"/>
              </w:rPr>
            </w:pPr>
            <w:r w:rsidRPr="00846B38">
              <w:rPr>
                <w:rStyle w:val="normaltextrun"/>
                <w:rFonts w:ascii="Calibri" w:hAnsi="Calibri" w:cs="Calibri"/>
                <w:color w:val="000000"/>
                <w:shd w:val="clear" w:color="auto" w:fill="FFFFFF"/>
              </w:rPr>
              <w:t>Our organization adopts new technology and computer systems easily.</w:t>
            </w:r>
          </w:p>
        </w:tc>
        <w:tc>
          <w:tcPr>
            <w:tcW w:w="1239" w:type="dxa"/>
          </w:tcPr>
          <w:p w14:paraId="49EB3E42" w14:textId="77777777" w:rsidR="0054210A" w:rsidRPr="001E34F6" w:rsidRDefault="0054210A" w:rsidP="00CE2D2C">
            <w:pPr>
              <w:ind w:left="-23"/>
              <w:jc w:val="center"/>
              <w:rPr>
                <w:rStyle w:val="normaltextrun"/>
                <w:rFonts w:ascii="Calibri" w:hAnsi="Calibri" w:cs="Calibri"/>
                <w:color w:val="000000"/>
                <w:shd w:val="clear" w:color="auto" w:fill="FFFFFF"/>
              </w:rPr>
            </w:pPr>
            <w:r>
              <w:t>0.687</w:t>
            </w:r>
          </w:p>
        </w:tc>
        <w:tc>
          <w:tcPr>
            <w:tcW w:w="1091" w:type="dxa"/>
          </w:tcPr>
          <w:p w14:paraId="60C04024" w14:textId="77777777" w:rsidR="0054210A" w:rsidRPr="00703E0E" w:rsidRDefault="0054210A" w:rsidP="00CE2D2C">
            <w:pPr>
              <w:ind w:left="-23"/>
              <w:jc w:val="center"/>
            </w:pPr>
            <w:r>
              <w:t>0.638</w:t>
            </w:r>
          </w:p>
        </w:tc>
      </w:tr>
      <w:tr w:rsidR="0054210A" w14:paraId="0E556FD5" w14:textId="77777777" w:rsidTr="00CE2D2C">
        <w:tc>
          <w:tcPr>
            <w:tcW w:w="2321" w:type="dxa"/>
          </w:tcPr>
          <w:p w14:paraId="514FD454" w14:textId="77777777" w:rsidR="0054210A" w:rsidRDefault="0054210A" w:rsidP="00CE2D2C">
            <w:pPr>
              <w:rPr>
                <w:rFonts w:eastAsiaTheme="minorEastAsia"/>
              </w:rPr>
            </w:pPr>
            <w:r>
              <w:rPr>
                <w:rFonts w:eastAsiaTheme="minorEastAsia"/>
              </w:rPr>
              <w:t>Trust in technology</w:t>
            </w:r>
          </w:p>
        </w:tc>
        <w:tc>
          <w:tcPr>
            <w:tcW w:w="4699" w:type="dxa"/>
          </w:tcPr>
          <w:p w14:paraId="7E917CBE" w14:textId="77777777" w:rsidR="0054210A" w:rsidRPr="00815F51" w:rsidRDefault="0054210A" w:rsidP="0054210A">
            <w:pPr>
              <w:pStyle w:val="ListParagraph"/>
              <w:numPr>
                <w:ilvl w:val="0"/>
                <w:numId w:val="2"/>
              </w:numPr>
              <w:ind w:left="337"/>
              <w:rPr>
                <w:rFonts w:eastAsiaTheme="minorEastAsia"/>
              </w:rPr>
            </w:pPr>
            <w:r w:rsidRPr="00815F51">
              <w:rPr>
                <w:rFonts w:eastAsiaTheme="minorEastAsia" w:cstheme="minorHAnsi"/>
              </w:rPr>
              <w:t>eHealth interventions can be as effective as in-person/face-to-face interventions</w:t>
            </w:r>
          </w:p>
        </w:tc>
        <w:tc>
          <w:tcPr>
            <w:tcW w:w="1239" w:type="dxa"/>
          </w:tcPr>
          <w:p w14:paraId="2E6B8A3F" w14:textId="77777777" w:rsidR="0054210A" w:rsidRPr="001A2726" w:rsidRDefault="0054210A" w:rsidP="00CE2D2C">
            <w:pPr>
              <w:ind w:left="-23"/>
              <w:jc w:val="center"/>
              <w:rPr>
                <w:rFonts w:eastAsiaTheme="minorEastAsia" w:cstheme="minorHAnsi"/>
              </w:rPr>
            </w:pPr>
            <w:r>
              <w:t>0.598</w:t>
            </w:r>
          </w:p>
        </w:tc>
        <w:tc>
          <w:tcPr>
            <w:tcW w:w="1091" w:type="dxa"/>
          </w:tcPr>
          <w:p w14:paraId="6EA36B3A" w14:textId="77777777" w:rsidR="0054210A" w:rsidRPr="00703E0E" w:rsidRDefault="0054210A" w:rsidP="00CE2D2C">
            <w:pPr>
              <w:ind w:left="-23"/>
              <w:jc w:val="center"/>
            </w:pPr>
            <w:r>
              <w:t>0.582</w:t>
            </w:r>
          </w:p>
        </w:tc>
      </w:tr>
      <w:tr w:rsidR="0054210A" w14:paraId="42F145FD" w14:textId="77777777" w:rsidTr="00CE2D2C">
        <w:tc>
          <w:tcPr>
            <w:tcW w:w="2321" w:type="dxa"/>
          </w:tcPr>
          <w:p w14:paraId="7EAFF73F" w14:textId="77777777" w:rsidR="0054210A" w:rsidRDefault="0054210A" w:rsidP="00CE2D2C">
            <w:pPr>
              <w:rPr>
                <w:rFonts w:eastAsiaTheme="minorEastAsia"/>
              </w:rPr>
            </w:pPr>
            <w:r>
              <w:rPr>
                <w:rFonts w:eastAsiaTheme="minorEastAsia"/>
              </w:rPr>
              <w:t>Trust in technology</w:t>
            </w:r>
          </w:p>
        </w:tc>
        <w:tc>
          <w:tcPr>
            <w:tcW w:w="4699" w:type="dxa"/>
          </w:tcPr>
          <w:p w14:paraId="3FAD26EB" w14:textId="77777777" w:rsidR="0054210A" w:rsidRPr="00846B38" w:rsidRDefault="0054210A" w:rsidP="0054210A">
            <w:pPr>
              <w:pStyle w:val="ListParagraph"/>
              <w:numPr>
                <w:ilvl w:val="0"/>
                <w:numId w:val="2"/>
              </w:numPr>
              <w:ind w:left="337"/>
              <w:rPr>
                <w:rFonts w:eastAsiaTheme="minorEastAsia"/>
              </w:rPr>
            </w:pPr>
            <w:r w:rsidRPr="00846B38">
              <w:rPr>
                <w:rStyle w:val="normaltextrun"/>
                <w:rFonts w:ascii="Calibri" w:hAnsi="Calibri" w:cs="Calibri"/>
                <w:color w:val="000000"/>
                <w:shd w:val="clear" w:color="auto" w:fill="FFFFFF"/>
              </w:rPr>
              <w:t>I worry about the types of information being collected by eHealth interventions</w:t>
            </w:r>
            <w:r w:rsidRPr="00846B38">
              <w:rPr>
                <w:rStyle w:val="normaltextrun"/>
                <w:rFonts w:ascii="Calibri" w:hAnsi="Calibri" w:cs="Calibri"/>
                <w:color w:val="000000"/>
              </w:rPr>
              <w:t>.</w:t>
            </w:r>
          </w:p>
        </w:tc>
        <w:tc>
          <w:tcPr>
            <w:tcW w:w="1239" w:type="dxa"/>
          </w:tcPr>
          <w:p w14:paraId="70BAE919" w14:textId="77777777" w:rsidR="0054210A" w:rsidRPr="001E34F6" w:rsidRDefault="0054210A" w:rsidP="00CE2D2C">
            <w:pPr>
              <w:ind w:left="-23"/>
              <w:jc w:val="center"/>
              <w:rPr>
                <w:rStyle w:val="normaltextrun"/>
                <w:rFonts w:ascii="Calibri" w:hAnsi="Calibri" w:cs="Calibri"/>
                <w:color w:val="000000"/>
                <w:shd w:val="clear" w:color="auto" w:fill="FFFFFF"/>
              </w:rPr>
            </w:pPr>
            <w:r>
              <w:t>0.089</w:t>
            </w:r>
          </w:p>
        </w:tc>
        <w:tc>
          <w:tcPr>
            <w:tcW w:w="1091" w:type="dxa"/>
          </w:tcPr>
          <w:p w14:paraId="4D8D5B38" w14:textId="77777777" w:rsidR="0054210A" w:rsidRPr="00703E0E" w:rsidRDefault="0054210A" w:rsidP="00CE2D2C">
            <w:pPr>
              <w:ind w:left="-23"/>
              <w:jc w:val="center"/>
            </w:pPr>
            <w:r>
              <w:t>--</w:t>
            </w:r>
          </w:p>
        </w:tc>
      </w:tr>
      <w:tr w:rsidR="0054210A" w14:paraId="4A07D67F" w14:textId="77777777" w:rsidTr="00CE2D2C">
        <w:tc>
          <w:tcPr>
            <w:tcW w:w="2321" w:type="dxa"/>
          </w:tcPr>
          <w:p w14:paraId="3D16E229" w14:textId="77777777" w:rsidR="0054210A" w:rsidRDefault="0054210A" w:rsidP="00CE2D2C">
            <w:pPr>
              <w:rPr>
                <w:rFonts w:eastAsiaTheme="minorEastAsia"/>
              </w:rPr>
            </w:pPr>
            <w:r>
              <w:rPr>
                <w:rFonts w:eastAsiaTheme="minorEastAsia"/>
              </w:rPr>
              <w:t>Personal technology adoption/ proficiency in using digital technologies</w:t>
            </w:r>
          </w:p>
        </w:tc>
        <w:tc>
          <w:tcPr>
            <w:tcW w:w="4699" w:type="dxa"/>
          </w:tcPr>
          <w:p w14:paraId="31EF2446" w14:textId="77777777" w:rsidR="0054210A" w:rsidRPr="001A2726" w:rsidRDefault="0054210A" w:rsidP="0054210A">
            <w:pPr>
              <w:pStyle w:val="ListParagraph"/>
              <w:numPr>
                <w:ilvl w:val="0"/>
                <w:numId w:val="2"/>
              </w:numPr>
              <w:ind w:left="337"/>
              <w:rPr>
                <w:rFonts w:eastAsiaTheme="minorEastAsia"/>
              </w:rPr>
            </w:pPr>
            <w:r w:rsidRPr="001A2726">
              <w:rPr>
                <w:rFonts w:eastAsiaTheme="minorEastAsia"/>
              </w:rPr>
              <w:t>I adopt technological innovations quickly.</w:t>
            </w:r>
          </w:p>
        </w:tc>
        <w:tc>
          <w:tcPr>
            <w:tcW w:w="1239" w:type="dxa"/>
          </w:tcPr>
          <w:p w14:paraId="3E4F620E" w14:textId="77777777" w:rsidR="0054210A" w:rsidRPr="001A2726" w:rsidRDefault="0054210A" w:rsidP="00CE2D2C">
            <w:pPr>
              <w:ind w:left="-23"/>
              <w:jc w:val="center"/>
              <w:rPr>
                <w:rFonts w:eastAsiaTheme="minorEastAsia"/>
              </w:rPr>
            </w:pPr>
            <w:r>
              <w:t>0.716</w:t>
            </w:r>
          </w:p>
        </w:tc>
        <w:tc>
          <w:tcPr>
            <w:tcW w:w="1091" w:type="dxa"/>
          </w:tcPr>
          <w:p w14:paraId="067177A6" w14:textId="77777777" w:rsidR="0054210A" w:rsidRPr="00703E0E" w:rsidRDefault="0054210A" w:rsidP="00CE2D2C">
            <w:pPr>
              <w:ind w:left="-23"/>
              <w:jc w:val="center"/>
            </w:pPr>
            <w:r>
              <w:t>--</w:t>
            </w:r>
          </w:p>
        </w:tc>
      </w:tr>
      <w:tr w:rsidR="0054210A" w14:paraId="17862F87" w14:textId="77777777" w:rsidTr="00CE2D2C">
        <w:tc>
          <w:tcPr>
            <w:tcW w:w="2321" w:type="dxa"/>
          </w:tcPr>
          <w:p w14:paraId="29BCB302" w14:textId="77777777" w:rsidR="0054210A" w:rsidRDefault="0054210A" w:rsidP="00CE2D2C">
            <w:pPr>
              <w:rPr>
                <w:rFonts w:eastAsiaTheme="minorEastAsia"/>
              </w:rPr>
            </w:pPr>
            <w:r>
              <w:rPr>
                <w:rFonts w:eastAsiaTheme="minorEastAsia"/>
              </w:rPr>
              <w:t>Personal technology adoption/ proficiency in using digital technologies</w:t>
            </w:r>
          </w:p>
        </w:tc>
        <w:tc>
          <w:tcPr>
            <w:tcW w:w="4699" w:type="dxa"/>
          </w:tcPr>
          <w:p w14:paraId="472C2AA5" w14:textId="77777777" w:rsidR="0054210A" w:rsidRPr="001A2726" w:rsidRDefault="0054210A" w:rsidP="0054210A">
            <w:pPr>
              <w:pStyle w:val="ListParagraph"/>
              <w:numPr>
                <w:ilvl w:val="0"/>
                <w:numId w:val="2"/>
              </w:numPr>
              <w:ind w:left="337"/>
              <w:rPr>
                <w:rFonts w:eastAsiaTheme="minorEastAsia"/>
              </w:rPr>
            </w:pPr>
            <w:r w:rsidRPr="001A2726">
              <w:rPr>
                <w:rFonts w:eastAsiaTheme="minorEastAsia"/>
              </w:rPr>
              <w:t>I am comfortable troubleshooting minor technological problems on my own.</w:t>
            </w:r>
          </w:p>
        </w:tc>
        <w:tc>
          <w:tcPr>
            <w:tcW w:w="1239" w:type="dxa"/>
          </w:tcPr>
          <w:p w14:paraId="046CCA65" w14:textId="77777777" w:rsidR="0054210A" w:rsidRPr="001A2726" w:rsidRDefault="0054210A" w:rsidP="00CE2D2C">
            <w:pPr>
              <w:ind w:left="-23"/>
              <w:jc w:val="center"/>
              <w:rPr>
                <w:rFonts w:eastAsiaTheme="minorEastAsia"/>
              </w:rPr>
            </w:pPr>
            <w:r>
              <w:t>0.423</w:t>
            </w:r>
          </w:p>
        </w:tc>
        <w:tc>
          <w:tcPr>
            <w:tcW w:w="1091" w:type="dxa"/>
          </w:tcPr>
          <w:p w14:paraId="5C9D3EFC" w14:textId="77777777" w:rsidR="0054210A" w:rsidRPr="00703E0E" w:rsidRDefault="0054210A" w:rsidP="00CE2D2C">
            <w:pPr>
              <w:ind w:left="-23"/>
              <w:jc w:val="center"/>
            </w:pPr>
            <w:r>
              <w:t>--</w:t>
            </w:r>
          </w:p>
        </w:tc>
      </w:tr>
    </w:tbl>
    <w:p w14:paraId="11DA09B0" w14:textId="77777777" w:rsidR="0054210A" w:rsidRDefault="0054210A" w:rsidP="0054210A">
      <w:pPr>
        <w:rPr>
          <w:rFonts w:eastAsiaTheme="minorEastAsia"/>
          <w:b/>
        </w:rPr>
      </w:pPr>
      <w:r>
        <w:rPr>
          <w:rFonts w:eastAsiaTheme="minorEastAsia"/>
          <w:b/>
        </w:rPr>
        <w:br/>
        <w:t>Factor analysis</w:t>
      </w:r>
    </w:p>
    <w:p w14:paraId="74B26EE4" w14:textId="77777777" w:rsidR="0054210A" w:rsidRDefault="0054210A" w:rsidP="0054210A">
      <w:pPr>
        <w:ind w:firstLine="720"/>
        <w:rPr>
          <w:rFonts w:eastAsiaTheme="minorEastAsia"/>
        </w:rPr>
      </w:pPr>
      <w:r>
        <w:rPr>
          <w:rFonts w:eastAsiaTheme="minorEastAsia"/>
        </w:rPr>
        <w:t xml:space="preserve">In an initial exploratory factor analysis with Varimax rotation, examination of the scree plot and factor loadings (see above) indicated that a one-factor solution best fit the data. We removed Items 3, 7, and 9 because of poor fit and then Item 8 for conceptual reasons, as it was the only individual-focused </w:t>
      </w:r>
      <w:r>
        <w:rPr>
          <w:rFonts w:eastAsiaTheme="minorEastAsia"/>
        </w:rPr>
        <w:lastRenderedPageBreak/>
        <w:t xml:space="preserve">item remaining. </w:t>
      </w:r>
      <w:r>
        <w:rPr>
          <w:rFonts w:ascii="Calibri" w:eastAsia="Calibri" w:hAnsi="Calibri" w:cs="Calibri"/>
          <w:color w:val="000000" w:themeColor="text1"/>
        </w:rPr>
        <w:t>C</w:t>
      </w:r>
      <w:r w:rsidRPr="3BEDF535">
        <w:rPr>
          <w:rFonts w:ascii="Calibri" w:eastAsia="Calibri" w:hAnsi="Calibri" w:cs="Calibri"/>
          <w:color w:val="000000" w:themeColor="text1"/>
        </w:rPr>
        <w:t xml:space="preserve">onfirmatory </w:t>
      </w:r>
      <w:r>
        <w:rPr>
          <w:rFonts w:ascii="Calibri" w:eastAsia="Calibri" w:hAnsi="Calibri" w:cs="Calibri"/>
          <w:color w:val="000000" w:themeColor="text1"/>
        </w:rPr>
        <w:t xml:space="preserve">factor </w:t>
      </w:r>
      <w:r w:rsidRPr="3BEDF535">
        <w:rPr>
          <w:rFonts w:ascii="Calibri" w:eastAsia="Calibri" w:hAnsi="Calibri" w:cs="Calibri"/>
          <w:color w:val="000000" w:themeColor="text1"/>
        </w:rPr>
        <w:t xml:space="preserve">analysis </w:t>
      </w:r>
      <w:r>
        <w:rPr>
          <w:rFonts w:ascii="Calibri" w:eastAsia="Calibri" w:hAnsi="Calibri" w:cs="Calibri"/>
          <w:color w:val="000000" w:themeColor="text1"/>
        </w:rPr>
        <w:t xml:space="preserve">of the final five items demonstrated </w:t>
      </w:r>
      <w:r w:rsidRPr="3BEDF535">
        <w:rPr>
          <w:rFonts w:ascii="Calibri" w:eastAsia="Calibri" w:hAnsi="Calibri" w:cs="Calibri"/>
          <w:color w:val="000000" w:themeColor="text1"/>
        </w:rPr>
        <w:t xml:space="preserve">acceptable </w:t>
      </w:r>
      <w:r>
        <w:rPr>
          <w:rFonts w:ascii="Calibri" w:eastAsia="Calibri" w:hAnsi="Calibri" w:cs="Calibri"/>
          <w:color w:val="000000" w:themeColor="text1"/>
        </w:rPr>
        <w:t xml:space="preserve">factor loadings and model </w:t>
      </w:r>
      <w:r w:rsidRPr="3BEDF535">
        <w:rPr>
          <w:rFonts w:ascii="Calibri" w:eastAsia="Calibri" w:hAnsi="Calibri" w:cs="Calibri"/>
          <w:color w:val="000000" w:themeColor="text1"/>
        </w:rPr>
        <w:t>fit (RMSEA = .07, CFI = .985, TLI = .971, SRMS = .033)</w:t>
      </w:r>
      <w:r>
        <w:rPr>
          <w:rFonts w:ascii="Calibri" w:eastAsia="Calibri" w:hAnsi="Calibri" w:cs="Calibri"/>
          <w:color w:val="000000" w:themeColor="text1"/>
        </w:rPr>
        <w:t xml:space="preserve"> as well as </w:t>
      </w:r>
      <w:r>
        <w:t xml:space="preserve">good internal consistency </w:t>
      </w:r>
      <w:r w:rsidRPr="18FF32BC">
        <w:rPr>
          <w:rFonts w:eastAsiaTheme="minorEastAsia"/>
        </w:rPr>
        <w:t>(</w:t>
      </w:r>
      <w:r>
        <w:t>alpha = .825</w:t>
      </w:r>
      <w:r w:rsidRPr="18FF32BC">
        <w:rPr>
          <w:rFonts w:eastAsiaTheme="minorEastAsia"/>
        </w:rPr>
        <w:t>).</w:t>
      </w:r>
    </w:p>
    <w:p w14:paraId="7C550561" w14:textId="77777777" w:rsidR="0054210A" w:rsidRPr="001A2726" w:rsidRDefault="0054210A" w:rsidP="0054210A">
      <w:pPr>
        <w:rPr>
          <w:rFonts w:eastAsiaTheme="minorEastAsia"/>
          <w:b/>
          <w:bCs/>
        </w:rPr>
      </w:pPr>
      <w:r>
        <w:rPr>
          <w:rFonts w:eastAsiaTheme="minorEastAsia"/>
          <w:b/>
          <w:bCs/>
        </w:rPr>
        <w:t>Validation</w:t>
      </w:r>
    </w:p>
    <w:p w14:paraId="64BC5173" w14:textId="77777777" w:rsidR="0054210A" w:rsidRDefault="0054210A" w:rsidP="0054210A">
      <w:pPr>
        <w:ind w:firstLine="720"/>
        <w:rPr>
          <w:rFonts w:ascii="Calibri" w:eastAsia="Calibri" w:hAnsi="Calibri" w:cs="Calibri"/>
          <w:color w:val="000000" w:themeColor="text1"/>
        </w:rPr>
      </w:pPr>
      <w:r>
        <w:rPr>
          <w:rFonts w:ascii="Calibri" w:eastAsia="Calibri" w:hAnsi="Calibri" w:cs="Calibri"/>
          <w:color w:val="000000" w:themeColor="text1"/>
        </w:rPr>
        <w:t>To assess scale validity, we compared the RADHI scores of 85 staff in 22 CBOs to the following multilevel variables that we thought could be theoretically related to readiness to adopt digital interventions:</w:t>
      </w:r>
    </w:p>
    <w:p w14:paraId="278D8252" w14:textId="77777777" w:rsidR="0054210A" w:rsidRDefault="0054210A" w:rsidP="0054210A">
      <w:pPr>
        <w:pStyle w:val="ListParagraph"/>
        <w:numPr>
          <w:ilvl w:val="0"/>
          <w:numId w:val="1"/>
        </w:numPr>
        <w:rPr>
          <w:rFonts w:ascii="Calibri" w:eastAsia="Calibri" w:hAnsi="Calibri" w:cs="Calibri"/>
          <w:color w:val="000000" w:themeColor="text1"/>
        </w:rPr>
      </w:pPr>
      <w:r>
        <w:rPr>
          <w:rFonts w:ascii="Calibri" w:eastAsia="Calibri" w:hAnsi="Calibri" w:cs="Calibri"/>
          <w:color w:val="000000" w:themeColor="text1"/>
        </w:rPr>
        <w:t>Individual staff’s ratings of their organization’s general readiness to implement change, measured using the Organizational Change Recipients’ Belief Scale (OCRBS). (</w:t>
      </w:r>
      <w:proofErr w:type="gramStart"/>
      <w:r>
        <w:rPr>
          <w:rFonts w:ascii="Calibri" w:eastAsia="Calibri" w:hAnsi="Calibri" w:cs="Calibri"/>
          <w:color w:val="000000" w:themeColor="text1"/>
        </w:rPr>
        <w:t>concurrent</w:t>
      </w:r>
      <w:proofErr w:type="gramEnd"/>
      <w:r>
        <w:rPr>
          <w:rFonts w:ascii="Calibri" w:eastAsia="Calibri" w:hAnsi="Calibri" w:cs="Calibri"/>
          <w:color w:val="000000" w:themeColor="text1"/>
        </w:rPr>
        <w:t xml:space="preserve"> validity)</w:t>
      </w:r>
    </w:p>
    <w:p w14:paraId="7ACD3996" w14:textId="77777777" w:rsidR="0054210A" w:rsidRDefault="0054210A" w:rsidP="0054210A">
      <w:pPr>
        <w:pStyle w:val="ListParagraph"/>
        <w:numPr>
          <w:ilvl w:val="0"/>
          <w:numId w:val="1"/>
        </w:numPr>
        <w:rPr>
          <w:rFonts w:ascii="Calibri" w:eastAsia="Calibri" w:hAnsi="Calibri" w:cs="Calibri"/>
          <w:color w:val="000000" w:themeColor="text1"/>
        </w:rPr>
      </w:pPr>
      <w:r>
        <w:rPr>
          <w:rFonts w:ascii="Calibri" w:eastAsia="Calibri" w:hAnsi="Calibri" w:cs="Calibri"/>
          <w:color w:val="000000" w:themeColor="text1"/>
        </w:rPr>
        <w:t>Individual staff’s acceptability of Keep It Up! (KIU!) after going through the intervention themselves, measured using the Intervention Acceptability and Tolerability (IAT) scale. (</w:t>
      </w:r>
      <w:proofErr w:type="gramStart"/>
      <w:r>
        <w:rPr>
          <w:rFonts w:ascii="Calibri" w:eastAsia="Calibri" w:hAnsi="Calibri" w:cs="Calibri"/>
          <w:color w:val="000000" w:themeColor="text1"/>
        </w:rPr>
        <w:t>concurrent</w:t>
      </w:r>
      <w:proofErr w:type="gramEnd"/>
      <w:r>
        <w:rPr>
          <w:rFonts w:ascii="Calibri" w:eastAsia="Calibri" w:hAnsi="Calibri" w:cs="Calibri"/>
          <w:color w:val="000000" w:themeColor="text1"/>
        </w:rPr>
        <w:t xml:space="preserve"> validity)</w:t>
      </w:r>
    </w:p>
    <w:p w14:paraId="2E27195E" w14:textId="77777777" w:rsidR="0054210A" w:rsidRDefault="0054210A" w:rsidP="0054210A">
      <w:pPr>
        <w:pStyle w:val="ListParagraph"/>
        <w:numPr>
          <w:ilvl w:val="0"/>
          <w:numId w:val="1"/>
        </w:numPr>
        <w:rPr>
          <w:rFonts w:ascii="Calibri" w:eastAsia="Calibri" w:hAnsi="Calibri" w:cs="Calibri"/>
          <w:color w:val="000000" w:themeColor="text1"/>
        </w:rPr>
      </w:pPr>
      <w:r>
        <w:rPr>
          <w:rFonts w:ascii="Calibri" w:eastAsia="Calibri" w:hAnsi="Calibri" w:cs="Calibri"/>
          <w:color w:val="000000" w:themeColor="text1"/>
        </w:rPr>
        <w:t xml:space="preserve">Merit scores assigned to each CBO by reviewers of the CBOs’ original proposals for funding to deliver </w:t>
      </w:r>
      <w:proofErr w:type="spellStart"/>
      <w:r>
        <w:rPr>
          <w:rFonts w:ascii="Calibri" w:eastAsia="Calibri" w:hAnsi="Calibri" w:cs="Calibri"/>
          <w:color w:val="000000" w:themeColor="text1"/>
        </w:rPr>
        <w:t>Keet</w:t>
      </w:r>
      <w:proofErr w:type="spellEnd"/>
      <w:r>
        <w:rPr>
          <w:rFonts w:ascii="Calibri" w:eastAsia="Calibri" w:hAnsi="Calibri" w:cs="Calibri"/>
          <w:color w:val="000000" w:themeColor="text1"/>
        </w:rPr>
        <w:t xml:space="preserve"> It Up! (</w:t>
      </w:r>
      <w:proofErr w:type="gramStart"/>
      <w:r>
        <w:rPr>
          <w:rFonts w:ascii="Calibri" w:eastAsia="Calibri" w:hAnsi="Calibri" w:cs="Calibri"/>
          <w:color w:val="000000" w:themeColor="text1"/>
        </w:rPr>
        <w:t>concurrent</w:t>
      </w:r>
      <w:proofErr w:type="gramEnd"/>
      <w:r>
        <w:rPr>
          <w:rFonts w:ascii="Calibri" w:eastAsia="Calibri" w:hAnsi="Calibri" w:cs="Calibri"/>
          <w:color w:val="000000" w:themeColor="text1"/>
        </w:rPr>
        <w:t xml:space="preserve"> validity) </w:t>
      </w:r>
    </w:p>
    <w:p w14:paraId="2D04F7F4" w14:textId="77777777" w:rsidR="0054210A" w:rsidRDefault="0054210A" w:rsidP="0054210A">
      <w:pPr>
        <w:pStyle w:val="ListParagraph"/>
        <w:numPr>
          <w:ilvl w:val="0"/>
          <w:numId w:val="1"/>
        </w:numPr>
        <w:rPr>
          <w:rFonts w:ascii="Calibri" w:eastAsia="Calibri" w:hAnsi="Calibri" w:cs="Calibri"/>
          <w:color w:val="000000" w:themeColor="text1"/>
        </w:rPr>
      </w:pPr>
      <w:r>
        <w:rPr>
          <w:rFonts w:ascii="Calibri" w:eastAsia="Calibri" w:hAnsi="Calibri" w:cs="Calibri"/>
          <w:color w:val="000000" w:themeColor="text1"/>
        </w:rPr>
        <w:t>The number of days at each CBO between the completion of staff training on KIU! and the date of first participant enrollment. (</w:t>
      </w:r>
      <w:proofErr w:type="gramStart"/>
      <w:r>
        <w:rPr>
          <w:rFonts w:ascii="Calibri" w:eastAsia="Calibri" w:hAnsi="Calibri" w:cs="Calibri"/>
          <w:color w:val="000000" w:themeColor="text1"/>
        </w:rPr>
        <w:t>predictive</w:t>
      </w:r>
      <w:proofErr w:type="gramEnd"/>
      <w:r>
        <w:rPr>
          <w:rFonts w:ascii="Calibri" w:eastAsia="Calibri" w:hAnsi="Calibri" w:cs="Calibri"/>
          <w:color w:val="000000" w:themeColor="text1"/>
        </w:rPr>
        <w:t xml:space="preserve"> validity)</w:t>
      </w:r>
    </w:p>
    <w:p w14:paraId="32A90616" w14:textId="77777777" w:rsidR="0054210A" w:rsidRDefault="0054210A" w:rsidP="0054210A">
      <w:pPr>
        <w:pStyle w:val="ListParagraph"/>
        <w:numPr>
          <w:ilvl w:val="0"/>
          <w:numId w:val="1"/>
        </w:numPr>
        <w:rPr>
          <w:rFonts w:ascii="Calibri" w:eastAsia="Calibri" w:hAnsi="Calibri" w:cs="Calibri"/>
          <w:color w:val="000000" w:themeColor="text1"/>
        </w:rPr>
      </w:pPr>
      <w:r>
        <w:rPr>
          <w:rFonts w:ascii="Calibri" w:eastAsia="Calibri" w:hAnsi="Calibri" w:cs="Calibri"/>
          <w:color w:val="000000" w:themeColor="text1"/>
        </w:rPr>
        <w:t>The number of participants enrolled by each CBO within the first three months of enrollment. (</w:t>
      </w:r>
      <w:proofErr w:type="gramStart"/>
      <w:r>
        <w:rPr>
          <w:rFonts w:ascii="Calibri" w:eastAsia="Calibri" w:hAnsi="Calibri" w:cs="Calibri"/>
          <w:color w:val="000000" w:themeColor="text1"/>
        </w:rPr>
        <w:t>predictive</w:t>
      </w:r>
      <w:proofErr w:type="gramEnd"/>
      <w:r>
        <w:rPr>
          <w:rFonts w:ascii="Calibri" w:eastAsia="Calibri" w:hAnsi="Calibri" w:cs="Calibri"/>
          <w:color w:val="000000" w:themeColor="text1"/>
        </w:rPr>
        <w:t xml:space="preserve"> validity)</w:t>
      </w:r>
    </w:p>
    <w:p w14:paraId="195B478C" w14:textId="77777777" w:rsidR="0054210A" w:rsidRPr="001A2726" w:rsidRDefault="0054210A" w:rsidP="0054210A">
      <w:pPr>
        <w:pStyle w:val="ListParagraph"/>
        <w:numPr>
          <w:ilvl w:val="0"/>
          <w:numId w:val="1"/>
        </w:numPr>
        <w:rPr>
          <w:rFonts w:ascii="Calibri" w:eastAsia="Calibri" w:hAnsi="Calibri" w:cs="Calibri"/>
          <w:color w:val="000000" w:themeColor="text1"/>
        </w:rPr>
      </w:pPr>
      <w:r>
        <w:rPr>
          <w:rFonts w:ascii="Calibri" w:eastAsia="Calibri" w:hAnsi="Calibri" w:cs="Calibri"/>
          <w:color w:val="000000" w:themeColor="text1"/>
        </w:rPr>
        <w:t>The number of hours of technical assistance from the research team requested by each CBO over the two-year period of KIU! implementation. (</w:t>
      </w:r>
      <w:proofErr w:type="gramStart"/>
      <w:r>
        <w:rPr>
          <w:rFonts w:ascii="Calibri" w:eastAsia="Calibri" w:hAnsi="Calibri" w:cs="Calibri"/>
          <w:color w:val="000000" w:themeColor="text1"/>
        </w:rPr>
        <w:t>predictive</w:t>
      </w:r>
      <w:proofErr w:type="gramEnd"/>
      <w:r>
        <w:rPr>
          <w:rFonts w:ascii="Calibri" w:eastAsia="Calibri" w:hAnsi="Calibri" w:cs="Calibri"/>
          <w:color w:val="000000" w:themeColor="text1"/>
        </w:rPr>
        <w:t xml:space="preserve"> validity)</w:t>
      </w:r>
    </w:p>
    <w:p w14:paraId="5DD47942" w14:textId="77777777" w:rsidR="0054210A" w:rsidRPr="002627F2" w:rsidRDefault="0054210A" w:rsidP="0054210A">
      <w:pPr>
        <w:ind w:firstLine="720"/>
        <w:rPr>
          <w:rFonts w:ascii="Calibri" w:eastAsia="Calibri" w:hAnsi="Calibri" w:cs="Calibri"/>
          <w:color w:val="000000" w:themeColor="text1"/>
        </w:rPr>
      </w:pPr>
      <w:r>
        <w:rPr>
          <w:rFonts w:ascii="Calibri" w:eastAsia="Calibri" w:hAnsi="Calibri" w:cs="Calibri"/>
          <w:color w:val="000000" w:themeColor="text1"/>
        </w:rPr>
        <w:t xml:space="preserve">We regressed individual RADHI scores on individual OCRBS and IAT scores using linear regression and found that readiness to adopt digital interventions was significantly associated with general organizational readiness (ß = 0.38, </w:t>
      </w:r>
      <w:r>
        <w:rPr>
          <w:rFonts w:ascii="Calibri" w:eastAsia="Calibri" w:hAnsi="Calibri" w:cs="Calibri"/>
          <w:i/>
          <w:iCs/>
          <w:color w:val="000000" w:themeColor="text1"/>
        </w:rPr>
        <w:t>p</w:t>
      </w:r>
      <w:r>
        <w:rPr>
          <w:rFonts w:ascii="Calibri" w:eastAsia="Calibri" w:hAnsi="Calibri" w:cs="Calibri"/>
          <w:color w:val="000000" w:themeColor="text1"/>
        </w:rPr>
        <w:t xml:space="preserve"> &lt; .001) but not intervention acceptability (</w:t>
      </w:r>
      <w:r w:rsidRPr="001A2726">
        <w:rPr>
          <w:rFonts w:ascii="Calibri" w:eastAsia="Calibri" w:hAnsi="Calibri" w:cs="Calibri"/>
          <w:i/>
          <w:iCs/>
          <w:color w:val="000000" w:themeColor="text1"/>
        </w:rPr>
        <w:t>p</w:t>
      </w:r>
      <w:r>
        <w:rPr>
          <w:rFonts w:ascii="Calibri" w:eastAsia="Calibri" w:hAnsi="Calibri" w:cs="Calibri"/>
          <w:color w:val="000000" w:themeColor="text1"/>
        </w:rPr>
        <w:t xml:space="preserve"> = .124). We conducted multilevel regressions of staff nested within CBOs for organization-level variables. RADHI was significantly positively associated with the number of enrollees in the first three months (ß = 0.12, </w:t>
      </w:r>
      <w:r>
        <w:rPr>
          <w:rFonts w:ascii="Calibri" w:eastAsia="Calibri" w:hAnsi="Calibri" w:cs="Calibri"/>
          <w:i/>
          <w:iCs/>
          <w:color w:val="000000" w:themeColor="text1"/>
        </w:rPr>
        <w:t>p</w:t>
      </w:r>
      <w:r>
        <w:rPr>
          <w:rFonts w:ascii="Calibri" w:eastAsia="Calibri" w:hAnsi="Calibri" w:cs="Calibri"/>
          <w:color w:val="000000" w:themeColor="text1"/>
        </w:rPr>
        <w:t xml:space="preserve"> = .001) and marginally negatively associated with the number of requested technical assistance hours (ß = −0.12, </w:t>
      </w:r>
      <w:r>
        <w:rPr>
          <w:rFonts w:ascii="Calibri" w:eastAsia="Calibri" w:hAnsi="Calibri" w:cs="Calibri"/>
          <w:i/>
          <w:iCs/>
          <w:color w:val="000000" w:themeColor="text1"/>
        </w:rPr>
        <w:t>p</w:t>
      </w:r>
      <w:r>
        <w:rPr>
          <w:rFonts w:ascii="Calibri" w:eastAsia="Calibri" w:hAnsi="Calibri" w:cs="Calibri"/>
          <w:color w:val="000000" w:themeColor="text1"/>
        </w:rPr>
        <w:t xml:space="preserve"> = .092), </w:t>
      </w:r>
      <w:proofErr w:type="gramStart"/>
      <w:r>
        <w:rPr>
          <w:rFonts w:ascii="Calibri" w:eastAsia="Calibri" w:hAnsi="Calibri" w:cs="Calibri"/>
          <w:color w:val="000000" w:themeColor="text1"/>
        </w:rPr>
        <w:t>demonstrating ;</w:t>
      </w:r>
      <w:proofErr w:type="gramEnd"/>
      <w:r>
        <w:rPr>
          <w:rFonts w:ascii="Calibri" w:eastAsia="Calibri" w:hAnsi="Calibri" w:cs="Calibri"/>
          <w:color w:val="000000" w:themeColor="text1"/>
        </w:rPr>
        <w:t xml:space="preserve"> we found no association between RADHI and neither CBO proposal score (</w:t>
      </w:r>
      <w:r>
        <w:rPr>
          <w:rFonts w:ascii="Calibri" w:eastAsia="Calibri" w:hAnsi="Calibri" w:cs="Calibri"/>
          <w:i/>
          <w:iCs/>
          <w:color w:val="000000" w:themeColor="text1"/>
        </w:rPr>
        <w:t>p</w:t>
      </w:r>
      <w:r>
        <w:rPr>
          <w:rFonts w:ascii="Calibri" w:eastAsia="Calibri" w:hAnsi="Calibri" w:cs="Calibri"/>
          <w:color w:val="000000" w:themeColor="text1"/>
        </w:rPr>
        <w:t xml:space="preserve"> = .263) nor time to first enrollment (</w:t>
      </w:r>
      <w:r>
        <w:rPr>
          <w:rFonts w:ascii="Calibri" w:eastAsia="Calibri" w:hAnsi="Calibri" w:cs="Calibri"/>
          <w:i/>
          <w:iCs/>
          <w:color w:val="000000" w:themeColor="text1"/>
        </w:rPr>
        <w:t>p</w:t>
      </w:r>
      <w:r>
        <w:t>= .504</w:t>
      </w:r>
      <w:r>
        <w:rPr>
          <w:rFonts w:ascii="Calibri" w:eastAsia="Calibri" w:hAnsi="Calibri" w:cs="Calibri"/>
          <w:color w:val="000000" w:themeColor="text1"/>
        </w:rPr>
        <w:t>). In summary, the RADHI scale demonstrated some concurrent and predictive validity to other variables among our sample of CBOs. Although more research on the scale is warranted, our findings suggest it is a valid and reliable measure for other researchers examining organizations looking to adopt digital health interventions.</w:t>
      </w:r>
    </w:p>
    <w:p w14:paraId="0F6B265D" w14:textId="28D07FC8" w:rsidR="0054210A" w:rsidRPr="0054210A" w:rsidRDefault="0054210A">
      <w:pPr>
        <w:rPr>
          <w:b/>
          <w:bCs/>
        </w:rPr>
      </w:pPr>
      <w:r w:rsidRPr="0054210A">
        <w:rPr>
          <w:b/>
          <w:bCs/>
        </w:rPr>
        <w:t>Resources</w:t>
      </w:r>
    </w:p>
    <w:p w14:paraId="23732CEF" w14:textId="77777777" w:rsidR="0054210A" w:rsidRPr="0054210A" w:rsidRDefault="0054210A" w:rsidP="0054210A">
      <w:pPr>
        <w:pStyle w:val="EndNoteBibliography"/>
        <w:spacing w:after="0"/>
      </w:pPr>
      <w:r>
        <w:fldChar w:fldCharType="begin"/>
      </w:r>
      <w:r>
        <w:instrText xml:space="preserve"> ADDIN EN.REFLIST </w:instrText>
      </w:r>
      <w:r>
        <w:fldChar w:fldCharType="separate"/>
      </w:r>
      <w:r w:rsidRPr="0054210A">
        <w:t>1.</w:t>
      </w:r>
      <w:r w:rsidRPr="0054210A">
        <w:tab/>
        <w:t>Khatun F HA, Ray PK, Hanifi SMA, Bhuiya A, Liaw S-T. Determinants of readiness to adopt mHealth in a rural community of Bangladesh. International Journal of Medical Informatics. 2015;84(10):847-56.</w:t>
      </w:r>
    </w:p>
    <w:p w14:paraId="53446B8C" w14:textId="77777777" w:rsidR="0054210A" w:rsidRPr="0054210A" w:rsidRDefault="0054210A" w:rsidP="0054210A">
      <w:pPr>
        <w:pStyle w:val="EndNoteBibliography"/>
        <w:spacing w:after="0"/>
      </w:pPr>
      <w:r w:rsidRPr="0054210A">
        <w:t>2.</w:t>
      </w:r>
      <w:r w:rsidRPr="0054210A">
        <w:tab/>
        <w:t>Khatun F HA, Ray PK, Bhuiya A, Liaw S-T. Community Readiness for Adopting mHealth in Rural Bangladesh: A Qualitative Exploration. International Journal of Medical Informatics. 2016;93:49-56.</w:t>
      </w:r>
    </w:p>
    <w:p w14:paraId="06C3C466" w14:textId="77777777" w:rsidR="0054210A" w:rsidRPr="0054210A" w:rsidRDefault="0054210A" w:rsidP="0054210A">
      <w:pPr>
        <w:pStyle w:val="EndNoteBibliography"/>
      </w:pPr>
      <w:r w:rsidRPr="0054210A">
        <w:t>3.</w:t>
      </w:r>
      <w:r w:rsidRPr="0054210A">
        <w:tab/>
        <w:t>Weichelt B. Health in Your Hand: Assessment of Clinicians’ Readiness to Adopt Mhealth into Rural Patient Care. Theses and Dissertations2016.</w:t>
      </w:r>
    </w:p>
    <w:p w14:paraId="5C117523" w14:textId="3694D533" w:rsidR="00544796" w:rsidRDefault="0054210A">
      <w:r>
        <w:fldChar w:fldCharType="end"/>
      </w:r>
    </w:p>
    <w:sectPr w:rsidR="0054479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BB0EE" w14:textId="77777777" w:rsidR="0054210A" w:rsidRDefault="0054210A" w:rsidP="0054210A">
      <w:pPr>
        <w:spacing w:after="0" w:line="240" w:lineRule="auto"/>
      </w:pPr>
      <w:r>
        <w:separator/>
      </w:r>
    </w:p>
  </w:endnote>
  <w:endnote w:type="continuationSeparator" w:id="0">
    <w:p w14:paraId="586368D8" w14:textId="77777777" w:rsidR="0054210A" w:rsidRDefault="0054210A" w:rsidP="00542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29074"/>
      <w:docPartObj>
        <w:docPartGallery w:val="Page Numbers (Bottom of Page)"/>
        <w:docPartUnique/>
      </w:docPartObj>
    </w:sdtPr>
    <w:sdtEndPr>
      <w:rPr>
        <w:noProof/>
      </w:rPr>
    </w:sdtEndPr>
    <w:sdtContent>
      <w:p w14:paraId="11ECC981" w14:textId="10FAE079" w:rsidR="0054210A" w:rsidRDefault="005421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E5226E" w14:textId="77777777" w:rsidR="0054210A" w:rsidRDefault="00542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79255" w14:textId="77777777" w:rsidR="0054210A" w:rsidRDefault="0054210A" w:rsidP="0054210A">
      <w:pPr>
        <w:spacing w:after="0" w:line="240" w:lineRule="auto"/>
      </w:pPr>
      <w:r>
        <w:separator/>
      </w:r>
    </w:p>
  </w:footnote>
  <w:footnote w:type="continuationSeparator" w:id="0">
    <w:p w14:paraId="1B813C8B" w14:textId="77777777" w:rsidR="0054210A" w:rsidRDefault="0054210A" w:rsidP="005421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F587C"/>
    <w:multiLevelType w:val="hybridMultilevel"/>
    <w:tmpl w:val="D0061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BB4D28"/>
    <w:multiLevelType w:val="hybridMultilevel"/>
    <w:tmpl w:val="20EC4476"/>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3797663">
    <w:abstractNumId w:val="1"/>
  </w:num>
  <w:num w:numId="2" w16cid:durableId="81710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54210A"/>
    <w:rsid w:val="0054210A"/>
    <w:rsid w:val="007E7BE6"/>
    <w:rsid w:val="00DA1308"/>
    <w:rsid w:val="00DA3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4D390"/>
  <w15:chartTrackingRefBased/>
  <w15:docId w15:val="{5215CA0A-6DDA-40FD-AA3C-A3D6007BA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10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210A"/>
    <w:pPr>
      <w:ind w:left="720"/>
      <w:contextualSpacing/>
    </w:pPr>
  </w:style>
  <w:style w:type="character" w:customStyle="1" w:styleId="normaltextrun">
    <w:name w:val="normaltextrun"/>
    <w:basedOn w:val="DefaultParagraphFont"/>
    <w:rsid w:val="0054210A"/>
  </w:style>
  <w:style w:type="table" w:styleId="TableGrid">
    <w:name w:val="Table Grid"/>
    <w:basedOn w:val="TableNormal"/>
    <w:uiPriority w:val="39"/>
    <w:rsid w:val="00542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54210A"/>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54210A"/>
    <w:rPr>
      <w:rFonts w:ascii="Calibri" w:hAnsi="Calibri" w:cs="Calibri"/>
      <w:noProof/>
    </w:rPr>
  </w:style>
  <w:style w:type="paragraph" w:customStyle="1" w:styleId="EndNoteBibliography">
    <w:name w:val="EndNote Bibliography"/>
    <w:basedOn w:val="Normal"/>
    <w:link w:val="EndNoteBibliographyChar"/>
    <w:rsid w:val="0054210A"/>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54210A"/>
    <w:rPr>
      <w:rFonts w:ascii="Calibri" w:hAnsi="Calibri" w:cs="Calibri"/>
      <w:noProof/>
    </w:rPr>
  </w:style>
  <w:style w:type="paragraph" w:styleId="Header">
    <w:name w:val="header"/>
    <w:basedOn w:val="Normal"/>
    <w:link w:val="HeaderChar"/>
    <w:uiPriority w:val="99"/>
    <w:unhideWhenUsed/>
    <w:rsid w:val="005421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10A"/>
  </w:style>
  <w:style w:type="paragraph" w:styleId="Footer">
    <w:name w:val="footer"/>
    <w:basedOn w:val="Normal"/>
    <w:link w:val="FooterChar"/>
    <w:uiPriority w:val="99"/>
    <w:unhideWhenUsed/>
    <w:rsid w:val="005421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1191</Words>
  <Characters>6793</Characters>
  <Application>Microsoft Office Word</Application>
  <DocSecurity>0</DocSecurity>
  <Lines>56</Lines>
  <Paragraphs>15</Paragraphs>
  <ScaleCrop>false</ScaleCrop>
  <Company>Northwestern University - Feinberg School of Medicine</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Caitlin Anne Danielson</dc:creator>
  <cp:keywords/>
  <dc:description/>
  <cp:lastModifiedBy>Elizabeth Caitlin Anne Danielson</cp:lastModifiedBy>
  <cp:revision>1</cp:revision>
  <dcterms:created xsi:type="dcterms:W3CDTF">2023-11-22T15:39:00Z</dcterms:created>
  <dcterms:modified xsi:type="dcterms:W3CDTF">2023-11-22T15:41:00Z</dcterms:modified>
</cp:coreProperties>
</file>