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8752" w14:textId="06F61FA2" w:rsidR="00390AFF" w:rsidRDefault="00B024C0" w:rsidP="00B024C0">
      <w:r>
        <w:t xml:space="preserve">Appendix Figure 1. </w:t>
      </w:r>
      <w:r w:rsidR="00390AFF">
        <w:t>Diagram of the PAC outcomes</w:t>
      </w:r>
    </w:p>
    <w:p w14:paraId="2B2839BB" w14:textId="7BCD0481" w:rsidR="00991EAF" w:rsidRDefault="00991EAF" w:rsidP="00B024C0">
      <w:pPr>
        <w:rPr>
          <w:rFonts w:eastAsiaTheme="minorEastAsia"/>
        </w:rPr>
      </w:pPr>
    </w:p>
    <w:p w14:paraId="0332CA91" w14:textId="77777777" w:rsidR="00991EAF" w:rsidRPr="00991EAF" w:rsidRDefault="00991EAF" w:rsidP="00B024C0">
      <w:pPr>
        <w:rPr>
          <w:rFonts w:eastAsiaTheme="minorEastAsia"/>
        </w:rPr>
      </w:pPr>
    </w:p>
    <w:p w14:paraId="1DEF3DA2" w14:textId="24CB891C" w:rsidR="00390AFF" w:rsidRPr="00991EAF" w:rsidRDefault="00991EAF" w:rsidP="00BB0528">
      <w:pPr>
        <w:jc w:val="center"/>
      </w:pPr>
      <w:r w:rsidRPr="00E55C84">
        <w:rPr>
          <w:noProof/>
          <w:color w:val="7030A0"/>
        </w:rPr>
        <w:drawing>
          <wp:inline distT="0" distB="0" distL="0" distR="0" wp14:anchorId="58C71779" wp14:editId="5D079543">
            <wp:extent cx="4790145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318" cy="29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3401" w14:textId="77777777" w:rsidR="00390AFF" w:rsidRDefault="00390AFF">
      <w:r>
        <w:br w:type="page"/>
      </w:r>
    </w:p>
    <w:p w14:paraId="22F40673" w14:textId="4959C696" w:rsidR="00B024C0" w:rsidRDefault="00390AFF" w:rsidP="00B024C0">
      <w:r>
        <w:lastRenderedPageBreak/>
        <w:t xml:space="preserve">Appendix Figure 2. </w:t>
      </w:r>
      <w:r w:rsidR="00B024C0">
        <w:t xml:space="preserve">Standardized difference between HCBS users and non-HCBS users before and after propensity score weighting </w:t>
      </w:r>
    </w:p>
    <w:p w14:paraId="06A82653" w14:textId="77777777" w:rsidR="00B024C0" w:rsidRDefault="00B024C0" w:rsidP="00B024C0"/>
    <w:p w14:paraId="7BD2E8A2" w14:textId="77777777" w:rsidR="00B024C0" w:rsidRDefault="00B024C0" w:rsidP="00B024C0"/>
    <w:p w14:paraId="65338EAD" w14:textId="77777777" w:rsidR="00B024C0" w:rsidRDefault="00B024C0" w:rsidP="00B024C0">
      <w:pPr>
        <w:jc w:val="center"/>
      </w:pPr>
      <w:r>
        <w:rPr>
          <w:noProof/>
        </w:rPr>
        <w:drawing>
          <wp:inline distT="0" distB="0" distL="0" distR="0" wp14:anchorId="6F2FEA38" wp14:editId="1C3965CD">
            <wp:extent cx="6858000" cy="5486400"/>
            <wp:effectExtent l="0" t="0" r="0" b="0"/>
            <wp:docPr id="2146619826" name="Picture 1" descr="A graph showing different differen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19826" name="Picture 1" descr="A graph showing different differenc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7E8F" w14:textId="77777777" w:rsidR="00B024C0" w:rsidRDefault="00B024C0" w:rsidP="00B024C0"/>
    <w:p w14:paraId="3604E328" w14:textId="77777777" w:rsidR="00B024C0" w:rsidRDefault="00B024C0" w:rsidP="00B024C0"/>
    <w:p w14:paraId="748B39A3" w14:textId="77777777" w:rsidR="00B024C0" w:rsidRDefault="00B024C0" w:rsidP="00B024C0">
      <w:r>
        <w:br w:type="page"/>
      </w:r>
    </w:p>
    <w:p w14:paraId="1C2F26B1" w14:textId="77777777" w:rsidR="00B024C0" w:rsidRDefault="00B024C0" w:rsidP="00B024C0">
      <w:r>
        <w:rPr>
          <w:rFonts w:hint="eastAsia"/>
        </w:rPr>
        <w:lastRenderedPageBreak/>
        <w:t>Appendix</w:t>
      </w:r>
      <w:r>
        <w:t xml:space="preserve"> Table 1. Effects of Prior Medicaid HCBS Use on Medicare PAC Utilization: Full regression results for the main analysis</w:t>
      </w:r>
    </w:p>
    <w:tbl>
      <w:tblPr>
        <w:tblW w:w="10656" w:type="dxa"/>
        <w:tblLook w:val="04A0" w:firstRow="1" w:lastRow="0" w:firstColumn="1" w:lastColumn="0" w:noHBand="0" w:noVBand="1"/>
      </w:tblPr>
      <w:tblGrid>
        <w:gridCol w:w="3456"/>
        <w:gridCol w:w="1440"/>
        <w:gridCol w:w="1440"/>
        <w:gridCol w:w="1440"/>
        <w:gridCol w:w="1440"/>
        <w:gridCol w:w="1440"/>
      </w:tblGrid>
      <w:tr w:rsidR="00B024C0" w:rsidRPr="00EB7603" w14:paraId="446A85CD" w14:textId="77777777" w:rsidTr="00766918">
        <w:trPr>
          <w:trHeight w:val="71"/>
        </w:trPr>
        <w:tc>
          <w:tcPr>
            <w:tcW w:w="34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0D2C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5C225A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542B5B3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E58691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40C44BB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459A1D8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(5)</w:t>
            </w:r>
          </w:p>
        </w:tc>
      </w:tr>
      <w:tr w:rsidR="00B024C0" w:rsidRPr="00EB7603" w14:paraId="4C99EC6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DC32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B320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Any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ACB1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uncondi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tional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D68E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unconditional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E26F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conditional on PAC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51F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LOS</w:t>
            </w:r>
          </w:p>
        </w:tc>
      </w:tr>
      <w:tr w:rsidR="00B024C0" w:rsidRPr="00EB7603" w14:paraId="3732F8B2" w14:textId="77777777" w:rsidTr="00766918">
        <w:trPr>
          <w:trHeight w:val="255"/>
        </w:trPr>
        <w:tc>
          <w:tcPr>
            <w:tcW w:w="34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5746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F2F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F19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6F1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B0E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2E2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 </w:t>
            </w:r>
          </w:p>
        </w:tc>
      </w:tr>
      <w:tr w:rsidR="00B024C0" w:rsidRPr="00EB7603" w14:paraId="4DF581D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8CAC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HCBS user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06B5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0.0558***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1CB2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0.0814***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C8BD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E635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0.0919***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5FA7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-1.969***</w:t>
            </w:r>
          </w:p>
        </w:tc>
      </w:tr>
      <w:tr w:rsidR="00B024C0" w:rsidRPr="00EB7603" w14:paraId="4FDF9E3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D9B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3566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6BE5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0819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8965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C2D3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(0.136)</w:t>
            </w:r>
          </w:p>
        </w:tc>
      </w:tr>
      <w:tr w:rsidR="00B024C0" w:rsidRPr="00EB7603" w14:paraId="10455431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5EBAA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EB55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0C47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0.000944***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09F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0D81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-0.00758***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ECD4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0.180***</w:t>
            </w:r>
          </w:p>
        </w:tc>
      </w:tr>
      <w:tr w:rsidR="00B024C0" w:rsidRPr="00EB7603" w14:paraId="5D08F57B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B8EE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6091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(7.01e-05)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8652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(6.23e-05)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DEEF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(6.77e-05)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5A3D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(9.40e-05)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A6F3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(0.00843)</w:t>
            </w:r>
          </w:p>
        </w:tc>
      </w:tr>
      <w:tr w:rsidR="00B024C0" w:rsidRPr="00EB7603" w14:paraId="3FDDB13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E5690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94D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A2E1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5DE8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5A14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9E7C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0.120</w:t>
            </w:r>
          </w:p>
        </w:tc>
      </w:tr>
      <w:tr w:rsidR="00B024C0" w:rsidRPr="00EB7603" w14:paraId="0510228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4180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428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6C5D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023D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CAE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A05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(0.141)</w:t>
            </w:r>
          </w:p>
        </w:tc>
      </w:tr>
      <w:tr w:rsidR="00B024C0" w:rsidRPr="00EB7603" w14:paraId="4993D89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8C252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3AF9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4DC1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D730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-0.0172***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3486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DAEB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1.208***</w:t>
            </w:r>
          </w:p>
        </w:tc>
      </w:tr>
      <w:tr w:rsidR="00B024C0" w:rsidRPr="00EB7603" w14:paraId="343D94E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9620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2E82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12E2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4966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367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97A8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(0.262)</w:t>
            </w:r>
          </w:p>
        </w:tc>
      </w:tr>
      <w:tr w:rsidR="00B024C0" w:rsidRPr="00EB7603" w14:paraId="71506990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76838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Medicare original reason: old 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60C8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C5FC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-0.00572***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2437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3B3C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C67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-0.863***</w:t>
            </w:r>
          </w:p>
        </w:tc>
      </w:tr>
      <w:tr w:rsidR="00B024C0" w:rsidRPr="00EB7603" w14:paraId="7D9AF747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E9FF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B9AE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15C8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7F9D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79F0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D33D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(0.158)</w:t>
            </w:r>
          </w:p>
        </w:tc>
      </w:tr>
      <w:tr w:rsidR="00B024C0" w:rsidRPr="00EB7603" w14:paraId="064F185B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D4AC4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Medicaid managed care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A114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-0.00578***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6977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E21B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0A07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0.0435***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871B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-1.786***</w:t>
            </w:r>
          </w:p>
        </w:tc>
      </w:tr>
      <w:tr w:rsidR="00B024C0" w:rsidRPr="00EB7603" w14:paraId="62F7B6A6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083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6FA4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D5CA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73B3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8A08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411B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(0.212)</w:t>
            </w:r>
          </w:p>
        </w:tc>
      </w:tr>
      <w:tr w:rsidR="00B024C0" w:rsidRPr="00EB7603" w14:paraId="211FE4D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E82D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Medicare Advantage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5F96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F178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-0.0711***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667C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890B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-0.0407***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5934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024C0" w:rsidRPr="00EB7603" w14:paraId="7EDDAD8E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B8C22" w14:textId="77777777" w:rsidR="00B024C0" w:rsidRPr="00EB7603" w:rsidRDefault="00B024C0" w:rsidP="007669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BE7B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6335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AB2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B3FA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5864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024C0" w:rsidRPr="00EB7603" w14:paraId="33CBBC8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81746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Hospitalization in the past year, more than 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1A77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2E55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5E5C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-0.0541***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D81C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0.0654***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784B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-1.621***</w:t>
            </w:r>
          </w:p>
        </w:tc>
      </w:tr>
      <w:tr w:rsidR="00B024C0" w:rsidRPr="00EB7603" w14:paraId="224DAA61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D0CB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CC7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3EF9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C10F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3666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BC69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(0.258)</w:t>
            </w:r>
          </w:p>
        </w:tc>
      </w:tr>
      <w:tr w:rsidR="00B024C0" w:rsidRPr="00EB7603" w14:paraId="7825F95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E0ED4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Hospitalization in the past year, once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B885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A940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88C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0.0541***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C36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-0.0715***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3594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1.927***</w:t>
            </w:r>
          </w:p>
        </w:tc>
      </w:tr>
      <w:tr w:rsidR="00B024C0" w:rsidRPr="00EB7603" w14:paraId="4D2F602B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AC5E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65C1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8F61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6A31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C243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630E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(0.191)</w:t>
            </w:r>
          </w:p>
        </w:tc>
      </w:tr>
      <w:tr w:rsidR="00B024C0" w:rsidRPr="00EB7603" w14:paraId="32C9D70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91F53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Institutional PAC in the past year, more than 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3747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0.0468***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8C83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-0.0439***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6840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0.0907***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505B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-0.0972***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94E9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0.327</w:t>
            </w:r>
          </w:p>
        </w:tc>
      </w:tr>
      <w:tr w:rsidR="00B024C0" w:rsidRPr="00EB7603" w14:paraId="5D3015C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AA99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7F5D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F34F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A4E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4E13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(0.00611)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1E66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(0.509)</w:t>
            </w:r>
          </w:p>
        </w:tc>
      </w:tr>
      <w:tr w:rsidR="00B024C0" w:rsidRPr="00EB7603" w14:paraId="34451C5E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0DE92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Institutional PAC in the past year, once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480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2145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366D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CE4A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D9EE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-3.342***</w:t>
            </w:r>
          </w:p>
        </w:tc>
      </w:tr>
      <w:tr w:rsidR="00B024C0" w:rsidRPr="00EB7603" w14:paraId="57395219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E1B1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20C2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858D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4AD1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1DAD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4875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(0.483)</w:t>
            </w:r>
          </w:p>
        </w:tc>
      </w:tr>
      <w:tr w:rsidR="00B024C0" w:rsidRPr="00EB7603" w14:paraId="4ABF4B2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F7115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Index hospitalization: DRG weights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21C6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-0.00409***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96DB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0.00977***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309C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BF52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7F64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-0.434***</w:t>
            </w:r>
          </w:p>
        </w:tc>
      </w:tr>
      <w:tr w:rsidR="00B024C0" w:rsidRPr="00EB7603" w14:paraId="13AC45D8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3A0D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F1BD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(0.000610)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D0ED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ECC8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(0.000586)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95E7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(0.000698)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8D12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(0.0709)</w:t>
            </w:r>
          </w:p>
        </w:tc>
      </w:tr>
      <w:tr w:rsidR="00B024C0" w:rsidRPr="00EB7603" w14:paraId="244D041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03B4C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Index hospitalization: Surgical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FA58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F155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2CC3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19F3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4F7A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2.459***</w:t>
            </w:r>
          </w:p>
        </w:tc>
      </w:tr>
      <w:tr w:rsidR="00B024C0" w:rsidRPr="00EB7603" w14:paraId="478AE77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2414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EAAE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FAB5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D551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6327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9DFC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(0.199)</w:t>
            </w:r>
          </w:p>
        </w:tc>
      </w:tr>
      <w:tr w:rsidR="00B024C0" w:rsidRPr="00EB7603" w14:paraId="007F9F66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F1BD9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Index hospitalization: Elective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C163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0.0646***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D39A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0.0525***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8ED2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E707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E79B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-8.311***</w:t>
            </w:r>
          </w:p>
        </w:tc>
      </w:tr>
      <w:tr w:rsidR="00B024C0" w:rsidRPr="00EB7603" w14:paraId="7BBDCD7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2B79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9E3C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489B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3CFF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E80F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640B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(0.211)</w:t>
            </w:r>
          </w:p>
        </w:tc>
      </w:tr>
      <w:tr w:rsidR="00B024C0" w:rsidRPr="00EB7603" w14:paraId="5AB3D57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18E9A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Index hospitalization: Length of stay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8816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88BD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-0.00112***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92E5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38FC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FACC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0.0792***</w:t>
            </w:r>
          </w:p>
        </w:tc>
      </w:tr>
      <w:tr w:rsidR="00B024C0" w:rsidRPr="00EB7603" w14:paraId="7D8FE80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E0A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4EC2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049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(0.000104)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ED07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FCEA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8A93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(0.0151)</w:t>
            </w:r>
          </w:p>
        </w:tc>
      </w:tr>
      <w:tr w:rsidR="00B024C0" w:rsidRPr="00EB7603" w14:paraId="78B3B759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96CE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Congestive Heart Failure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A1CE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0.00265*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3890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BE95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2AF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9260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-0.629***</w:t>
            </w:r>
          </w:p>
        </w:tc>
      </w:tr>
      <w:tr w:rsidR="00B024C0" w:rsidRPr="00EB7603" w14:paraId="060B6109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BA0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5AF2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C34A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C657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EA4E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8539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(0.185)</w:t>
            </w:r>
          </w:p>
        </w:tc>
      </w:tr>
      <w:tr w:rsidR="00B024C0" w:rsidRPr="00EB7603" w14:paraId="47CF6BA1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4AF1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Cardiac Arrhythmia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5FF7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0.000216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7234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0.00812***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0E52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-0.00790***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325B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0.0136***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B9C1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-0.117</w:t>
            </w:r>
          </w:p>
        </w:tc>
      </w:tr>
      <w:tr w:rsidR="00B024C0" w:rsidRPr="00EB7603" w14:paraId="000E32A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DA8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C3B1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4D2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1DD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0D1F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3A6A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(0.145)</w:t>
            </w:r>
          </w:p>
        </w:tc>
      </w:tr>
      <w:tr w:rsidR="00B024C0" w:rsidRPr="00EB7603" w14:paraId="40EA1EA6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41E1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Valvular Disease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E2F5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A81C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1AE9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3EE5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C23E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-0.804***</w:t>
            </w:r>
          </w:p>
        </w:tc>
      </w:tr>
      <w:tr w:rsidR="00B024C0" w:rsidRPr="00EB7603" w14:paraId="4438295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95F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38EB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659F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5687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659A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A382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(0.215)</w:t>
            </w:r>
          </w:p>
        </w:tc>
      </w:tr>
      <w:tr w:rsidR="00B024C0" w:rsidRPr="00EB7603" w14:paraId="4467EFF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041E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Pulmonary Circulation Disorders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2CE3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EBDB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21C1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C276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1334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-0.386</w:t>
            </w:r>
          </w:p>
        </w:tc>
      </w:tr>
      <w:tr w:rsidR="00B024C0" w:rsidRPr="00EB7603" w14:paraId="1BE9ACA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E9F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3A5B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A362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C3EA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B4C6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EE1D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(0.264)</w:t>
            </w:r>
          </w:p>
        </w:tc>
      </w:tr>
      <w:tr w:rsidR="00B024C0" w:rsidRPr="00EB7603" w14:paraId="7BC62CB9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2097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Peripheral Vascular Disorders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467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-0.00492***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0A4E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25CB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C114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EC19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-0.588***</w:t>
            </w:r>
          </w:p>
        </w:tc>
      </w:tr>
      <w:tr w:rsidR="00B024C0" w:rsidRPr="00EB7603" w14:paraId="55C72F56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B81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9CA3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0455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05FB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4ABC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F936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(0.209)</w:t>
            </w:r>
          </w:p>
        </w:tc>
      </w:tr>
      <w:tr w:rsidR="00B024C0" w:rsidRPr="00EB7603" w14:paraId="1CC1084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CA50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Hypertension Uncomplicated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1314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0.00409***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B94C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0.00695***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7946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-0.00286**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4DB8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5C48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-0.391**</w:t>
            </w:r>
          </w:p>
        </w:tc>
      </w:tr>
      <w:tr w:rsidR="00B024C0" w:rsidRPr="00EB7603" w14:paraId="2DC70C1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074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B129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429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E8D2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91CF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8A10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(0.169)</w:t>
            </w:r>
          </w:p>
        </w:tc>
      </w:tr>
      <w:tr w:rsidR="00B024C0" w:rsidRPr="00EB7603" w14:paraId="04CC810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D508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Hypertension Complicated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1709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0.00598***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9452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E72A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-0.00586***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2800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6B8C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-0.519**</w:t>
            </w:r>
          </w:p>
        </w:tc>
      </w:tr>
      <w:tr w:rsidR="00B024C0" w:rsidRPr="00EB7603" w14:paraId="265D91E0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498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86A8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CBC9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C32E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9319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042C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(0.244)</w:t>
            </w:r>
          </w:p>
        </w:tc>
      </w:tr>
      <w:tr w:rsidR="00B024C0" w:rsidRPr="00EB7603" w14:paraId="36767B7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F4D8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Paralysis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04B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FEED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98CB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0.166***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F23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4087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7.094***</w:t>
            </w:r>
          </w:p>
        </w:tc>
      </w:tr>
      <w:tr w:rsidR="00B024C0" w:rsidRPr="00EB7603" w14:paraId="42C42513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D50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B36B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0290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3FF0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BED4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9F9E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(0.416)</w:t>
            </w:r>
          </w:p>
        </w:tc>
      </w:tr>
      <w:tr w:rsidR="00B024C0" w:rsidRPr="00EB7603" w14:paraId="25F84F40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18CC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Other Neurological Disorders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7549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0.0947***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47F0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9A0B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71AF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-0.0892***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16B8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1.582***</w:t>
            </w:r>
          </w:p>
        </w:tc>
      </w:tr>
      <w:tr w:rsidR="00B024C0" w:rsidRPr="00EB7603" w14:paraId="1A69349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1F4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E604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164E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9DB1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62ED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0884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(0.161)</w:t>
            </w:r>
          </w:p>
        </w:tc>
      </w:tr>
      <w:tr w:rsidR="00B024C0" w:rsidRPr="00EB7603" w14:paraId="30F1F6A6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0137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Chronic Pulmonary Disease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F6BD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87D7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2ACE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-0.0432***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FB5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0.0608***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E37D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-1.651***</w:t>
            </w:r>
          </w:p>
        </w:tc>
      </w:tr>
      <w:tr w:rsidR="00B024C0" w:rsidRPr="00EB7603" w14:paraId="7FB0BE6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FE3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881D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AB4C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5362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BD23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D0DA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(0.145)</w:t>
            </w:r>
          </w:p>
        </w:tc>
      </w:tr>
      <w:tr w:rsidR="00B024C0" w:rsidRPr="00EB7603" w14:paraId="0F9734D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DC1F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Diabetes Uncomplicated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A759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0.00390***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E040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CBEF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-0.00914***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77F9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5DC7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0.0103</w:t>
            </w:r>
          </w:p>
        </w:tc>
      </w:tr>
      <w:tr w:rsidR="00B024C0" w:rsidRPr="00EB7603" w14:paraId="65B518C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039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B652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3FE6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2A31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7404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9FA5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(0.178)</w:t>
            </w:r>
          </w:p>
        </w:tc>
      </w:tr>
      <w:tr w:rsidR="00B024C0" w:rsidRPr="00EB7603" w14:paraId="340E7E4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1681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Diabetes Complicated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0440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0.0324***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DBEF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4EDF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0.00607***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8FDF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37DD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0.132</w:t>
            </w:r>
          </w:p>
        </w:tc>
      </w:tr>
      <w:tr w:rsidR="00B024C0" w:rsidRPr="00EB7603" w14:paraId="6EAC388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9BA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3F79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D469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A3C0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D368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1A10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(0.173)</w:t>
            </w:r>
          </w:p>
        </w:tc>
      </w:tr>
      <w:tr w:rsidR="00B024C0" w:rsidRPr="00EB7603" w14:paraId="2A45939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6857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Hypothyroidism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9B9D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0.00519***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AED4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-0.00261**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CBE6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0.00780***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0CBC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-0.00912***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5AB9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-0.369**</w:t>
            </w:r>
          </w:p>
        </w:tc>
      </w:tr>
      <w:tr w:rsidR="00B024C0" w:rsidRPr="00EB7603" w14:paraId="3134718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840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51CF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6204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2169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A93C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3EDB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(0.157)</w:t>
            </w:r>
          </w:p>
        </w:tc>
      </w:tr>
      <w:tr w:rsidR="00B024C0" w:rsidRPr="00EB7603" w14:paraId="1AF6D97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4521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Renal Failure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9D61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0.00581***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6CE5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0.00534***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6392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0.000466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BF99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0.00608**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20C8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-0.583***</w:t>
            </w:r>
          </w:p>
        </w:tc>
      </w:tr>
      <w:tr w:rsidR="00B024C0" w:rsidRPr="00EB7603" w14:paraId="7C52085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052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F134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3D63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E287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33C5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DB62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(0.219)</w:t>
            </w:r>
          </w:p>
        </w:tc>
      </w:tr>
      <w:tr w:rsidR="00B024C0" w:rsidRPr="00EB7603" w14:paraId="256FA89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4D38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Liver Disease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A462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2BDF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E2DC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-0.0286***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F30F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64F5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-1.291***</w:t>
            </w:r>
          </w:p>
        </w:tc>
      </w:tr>
      <w:tr w:rsidR="00B024C0" w:rsidRPr="00EB7603" w14:paraId="154BB367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2BE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4545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391B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B42E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34D9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4B5B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(0.331)</w:t>
            </w:r>
          </w:p>
        </w:tc>
      </w:tr>
      <w:tr w:rsidR="00B024C0" w:rsidRPr="00EB7603" w14:paraId="75DA8B5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374F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Peptic Ulcer Disease excluding bleeding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C90B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-0.0604***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88D1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A095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-0.0618***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63CB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0.0614***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3B24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-0.482</w:t>
            </w:r>
          </w:p>
        </w:tc>
      </w:tr>
      <w:tr w:rsidR="00B024C0" w:rsidRPr="00EB7603" w14:paraId="476A5E1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114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46D2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C0AC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6EC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16F2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(0.00695)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1C4D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(0.658)</w:t>
            </w:r>
          </w:p>
        </w:tc>
      </w:tr>
      <w:tr w:rsidR="00B024C0" w:rsidRPr="00EB7603" w14:paraId="0DBD740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E30A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AIDS/HIV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ACE1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087C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5546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0.0163*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2CF7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E44A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0.888</w:t>
            </w:r>
          </w:p>
        </w:tc>
      </w:tr>
      <w:tr w:rsidR="00B024C0" w:rsidRPr="00EB7603" w14:paraId="5910CFDE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AF4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8C08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(0.0100)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F12C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(0.00851)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008F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(0.00840)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4360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8BB9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(1.435)</w:t>
            </w:r>
          </w:p>
        </w:tc>
      </w:tr>
      <w:tr w:rsidR="00B024C0" w:rsidRPr="00EB7603" w14:paraId="6E48E3B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4CD7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Lymphoma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7C21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-0.0440***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E2BC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30E7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-0.0704***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EF7E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0.0905***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7FD9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-3.667***</w:t>
            </w:r>
          </w:p>
        </w:tc>
      </w:tr>
      <w:tr w:rsidR="00B024C0" w:rsidRPr="00EB7603" w14:paraId="7E53A8B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F85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424D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6888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15C6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259F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(0.00826)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3543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(0.707)</w:t>
            </w:r>
          </w:p>
        </w:tc>
      </w:tr>
      <w:tr w:rsidR="00B024C0" w:rsidRPr="00EB7603" w14:paraId="5AF6538E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8CF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Metastatic Cancer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3786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F9E4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8CC5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4BDD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3A17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-1.462***</w:t>
            </w:r>
          </w:p>
        </w:tc>
      </w:tr>
      <w:tr w:rsidR="00B024C0" w:rsidRPr="00EB7603" w14:paraId="2E29D3D1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5C3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E2D2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6169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834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1641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(0.00528)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A0D3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(0.466)</w:t>
            </w:r>
          </w:p>
        </w:tc>
      </w:tr>
      <w:tr w:rsidR="00B024C0" w:rsidRPr="00EB7603" w14:paraId="5042218E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D4CA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Solid Tumor without Metastasis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3176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-0.0547***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4E7D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DEEE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-0.0907***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2F3A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B12E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-1.913***</w:t>
            </w:r>
          </w:p>
        </w:tc>
      </w:tr>
      <w:tr w:rsidR="00B024C0" w:rsidRPr="00EB7603" w14:paraId="2B4E062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306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3EE3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72F3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B2C7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5C91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14F5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(0.316)</w:t>
            </w:r>
          </w:p>
        </w:tc>
      </w:tr>
      <w:tr w:rsidR="00B024C0" w:rsidRPr="00EB7603" w14:paraId="03720628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4469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Rheumatoid Arthritis/collagen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511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42E1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8BB1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E249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0.000613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DA5E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-1.109***</w:t>
            </w:r>
          </w:p>
        </w:tc>
      </w:tr>
      <w:tr w:rsidR="00B024C0" w:rsidRPr="00EB7603" w14:paraId="0711B48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D65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5AF1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A8C8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EC17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177B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B17E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(0.299)</w:t>
            </w:r>
          </w:p>
        </w:tc>
      </w:tr>
      <w:tr w:rsidR="00B024C0" w:rsidRPr="00EB7603" w14:paraId="01D98EA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087D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Coagulopathy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D89C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ADC5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0.00523***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337D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0.00970***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2FFB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8CE9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-0.443*</w:t>
            </w:r>
          </w:p>
        </w:tc>
      </w:tr>
      <w:tr w:rsidR="00B024C0" w:rsidRPr="00EB7603" w14:paraId="369D3B8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9D4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C01D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E88E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58B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2567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CF19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(0.237)</w:t>
            </w:r>
          </w:p>
        </w:tc>
      </w:tr>
      <w:tr w:rsidR="00B024C0" w:rsidRPr="00EB7603" w14:paraId="0B912BC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2FD8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Obesity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23DF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03E6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0.00911***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6605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BA80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AD38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0.640***</w:t>
            </w:r>
          </w:p>
        </w:tc>
      </w:tr>
      <w:tr w:rsidR="00B024C0" w:rsidRPr="00EB7603" w14:paraId="121F61D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F77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77F9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6011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4D5A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4482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0984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(0.189)</w:t>
            </w:r>
          </w:p>
        </w:tc>
      </w:tr>
      <w:tr w:rsidR="00B024C0" w:rsidRPr="00EB7603" w14:paraId="5E3852FC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7055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Weight Loss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A4BD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0.0593***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B49B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-0.00691***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80BE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0.0662***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DAAF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-0.0512***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5480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1.558***</w:t>
            </w:r>
          </w:p>
        </w:tc>
      </w:tr>
      <w:tr w:rsidR="00B024C0" w:rsidRPr="00EB7603" w14:paraId="1F79EC6B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7AB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4B14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1886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A6CD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E98D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B8D5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(0.214)</w:t>
            </w:r>
          </w:p>
        </w:tc>
      </w:tr>
      <w:tr w:rsidR="00B024C0" w:rsidRPr="00EB7603" w14:paraId="267BB50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85FC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Fluid and Electrolyte Disorders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3E87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A07D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0.00629***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C223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A7B8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-0.00877***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14C5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-0.275**</w:t>
            </w:r>
          </w:p>
        </w:tc>
      </w:tr>
      <w:tr w:rsidR="00B024C0" w:rsidRPr="00EB7603" w14:paraId="59F4BD63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73B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CEB9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74EB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(0.000995)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4495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DFCD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9E8C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(0.135)</w:t>
            </w:r>
          </w:p>
        </w:tc>
      </w:tr>
      <w:tr w:rsidR="00B024C0" w:rsidRPr="00EB7603" w14:paraId="14C209B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72A8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Blood Loss Anemia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55BE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-0.0414***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310E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-0.00723*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BFD9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BEF2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0.0238***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39E6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-0.305</w:t>
            </w:r>
          </w:p>
        </w:tc>
      </w:tr>
      <w:tr w:rsidR="00B024C0" w:rsidRPr="00EB7603" w14:paraId="0A4DC725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F2B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B67F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14B8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B1BC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4D7A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(0.00650)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1733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(0.620)</w:t>
            </w:r>
          </w:p>
        </w:tc>
      </w:tr>
      <w:tr w:rsidR="00B024C0" w:rsidRPr="00EB7603" w14:paraId="1DBCCF0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98D3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Deficiency Anemia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CD44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9A5A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0.00512**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3DD8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-0.00725***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6DEF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0.0102***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539F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0.349</w:t>
            </w:r>
          </w:p>
        </w:tc>
      </w:tr>
      <w:tr w:rsidR="00B024C0" w:rsidRPr="00EB7603" w14:paraId="36881774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4E4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CD4E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F774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0D4A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C264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4359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(0.269)</w:t>
            </w:r>
          </w:p>
        </w:tc>
      </w:tr>
      <w:tr w:rsidR="00B024C0" w:rsidRPr="00EB7603" w14:paraId="29DAD991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88D2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Alcohol Abuse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5A54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3399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6102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0.0676***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78DE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-0.0986***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AAA1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-0.524*</w:t>
            </w:r>
          </w:p>
        </w:tc>
      </w:tr>
      <w:tr w:rsidR="00B024C0" w:rsidRPr="00EB7603" w14:paraId="1673C773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5A8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2D87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81F6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8C2B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22D8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B8C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(0.318)</w:t>
            </w:r>
          </w:p>
        </w:tc>
      </w:tr>
      <w:tr w:rsidR="00B024C0" w:rsidRPr="00EB7603" w14:paraId="3F9F8597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4FFB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Drug Abuse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43BC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-0.0340***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63B3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A01C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1DDA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0D3F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-0.975**</w:t>
            </w:r>
          </w:p>
        </w:tc>
      </w:tr>
      <w:tr w:rsidR="00B024C0" w:rsidRPr="00EB7603" w14:paraId="04CD4B60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D5C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B4BE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ABCD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C917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4CBE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F690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(0.413)</w:t>
            </w:r>
          </w:p>
        </w:tc>
      </w:tr>
      <w:tr w:rsidR="00B024C0" w:rsidRPr="00EB7603" w14:paraId="4E9036C6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51D4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Psychoses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D157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C91A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-0.0502***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D7CD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0.0484***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AA8D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-0.105***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BC8B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2.690***</w:t>
            </w:r>
          </w:p>
        </w:tc>
      </w:tr>
      <w:tr w:rsidR="00B024C0" w:rsidRPr="00EB7603" w14:paraId="098038C7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346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3187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5E74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(0.00242)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637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(0.00313)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2897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(0.00403)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FC39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(0.329)</w:t>
            </w:r>
          </w:p>
        </w:tc>
      </w:tr>
      <w:tr w:rsidR="00B024C0" w:rsidRPr="00EB7603" w14:paraId="076EFDD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DC7F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Depression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DC27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0.0381***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9156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-0.00712***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7250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0.0452***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3524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-0.0422***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77EF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0.246</w:t>
            </w:r>
          </w:p>
        </w:tc>
      </w:tr>
      <w:tr w:rsidR="00B024C0" w:rsidRPr="00EB7603" w14:paraId="16469ABA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ADE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432C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C01C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D568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D896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E1B9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(0.169)</w:t>
            </w:r>
          </w:p>
        </w:tc>
      </w:tr>
      <w:tr w:rsidR="00B024C0" w:rsidRPr="00EB7603" w14:paraId="26F3808E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7DB4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Year</w:t>
            </w: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, 201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53BB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0560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-0.00514***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080F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-0.00629***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05AC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8208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-0.896***</w:t>
            </w:r>
          </w:p>
        </w:tc>
      </w:tr>
      <w:tr w:rsidR="00B024C0" w:rsidRPr="00EB7603" w14:paraId="25DC2760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87F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7503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E21A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D05C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3EA3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96B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(0.152)</w:t>
            </w:r>
          </w:p>
        </w:tc>
      </w:tr>
      <w:tr w:rsidR="00B024C0" w:rsidRPr="00EB7603" w14:paraId="2B9452A2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6492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Year</w:t>
            </w: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, 201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1EE9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-0.0219***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AB72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-0.00871***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111A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-0.0132***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F4699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0.00493***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4635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-1.369***</w:t>
            </w:r>
          </w:p>
        </w:tc>
      </w:tr>
      <w:tr w:rsidR="00B024C0" w:rsidRPr="00EB7603" w14:paraId="5D5576A7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C9A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EB30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61524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5CF8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6885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A456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(0.162)</w:t>
            </w:r>
          </w:p>
        </w:tc>
      </w:tr>
      <w:tr w:rsidR="00B024C0" w:rsidRPr="00EB7603" w14:paraId="2BFFF4A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D6A3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E94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-0.418***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4BBD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0.0909***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656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-0.508***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09A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0.953***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F33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22.57***</w:t>
            </w:r>
          </w:p>
        </w:tc>
      </w:tr>
      <w:tr w:rsidR="00B024C0" w:rsidRPr="00EB7603" w14:paraId="27E322BB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6D50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4F15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(0.00741)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BB3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(0.00656)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C82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(0.00725)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AA6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(0.00970)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FF8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(0.852)</w:t>
            </w:r>
          </w:p>
        </w:tc>
      </w:tr>
      <w:tr w:rsidR="00B024C0" w:rsidRPr="00EB7603" w14:paraId="56993D5D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325B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9F67" w14:textId="77777777" w:rsidR="00B024C0" w:rsidRPr="00EB7603" w:rsidRDefault="00B024C0" w:rsidP="007669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2429" w14:textId="77777777" w:rsidR="00B024C0" w:rsidRPr="00EB7603" w:rsidRDefault="00B024C0" w:rsidP="007669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0864" w14:textId="77777777" w:rsidR="00B024C0" w:rsidRPr="00EB7603" w:rsidRDefault="00B024C0" w:rsidP="007669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D9D0" w14:textId="77777777" w:rsidR="00B024C0" w:rsidRPr="00EB7603" w:rsidRDefault="00B024C0" w:rsidP="007669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F993" w14:textId="77777777" w:rsidR="00B024C0" w:rsidRPr="00EB7603" w:rsidRDefault="00B024C0" w:rsidP="007669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024C0" w:rsidRPr="00EB7603" w14:paraId="477F4E0F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0522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C43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887,598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3EAA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887,598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C5D1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887,598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B666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479,684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27DE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177,249</w:t>
            </w:r>
          </w:p>
        </w:tc>
      </w:tr>
      <w:tr w:rsidR="00B024C0" w:rsidRPr="00EB7603" w14:paraId="35DEBAA7" w14:textId="77777777" w:rsidTr="00766918">
        <w:trPr>
          <w:trHeight w:val="255"/>
        </w:trPr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26A31" w14:textId="77777777" w:rsidR="00B024C0" w:rsidRPr="00EB7603" w:rsidRDefault="00B024C0" w:rsidP="0076691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EB7603">
              <w:rPr>
                <w:rFonts w:ascii="Calibri" w:hAnsi="Calibri" w:cs="Calibri"/>
                <w:sz w:val="20"/>
                <w:szCs w:val="20"/>
                <w:lang w:eastAsia="en-US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10C458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496F8F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49AA12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0E6EAC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B89953" w14:textId="77777777" w:rsidR="00B024C0" w:rsidRPr="00EB7603" w:rsidRDefault="00B024C0" w:rsidP="00766918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95F0D">
              <w:rPr>
                <w:sz w:val="20"/>
                <w:szCs w:val="20"/>
              </w:rPr>
              <w:t>0.112</w:t>
            </w:r>
          </w:p>
        </w:tc>
      </w:tr>
    </w:tbl>
    <w:p w14:paraId="3CAB66AB" w14:textId="77777777" w:rsidR="00B024C0" w:rsidRDefault="00B024C0" w:rsidP="00B024C0">
      <w:r>
        <w:br w:type="page"/>
      </w:r>
    </w:p>
    <w:p w14:paraId="168E8B56" w14:textId="77777777" w:rsidR="00B024C0" w:rsidRDefault="00B024C0" w:rsidP="00B024C0">
      <w:r>
        <w:rPr>
          <w:rFonts w:hint="eastAsia"/>
        </w:rPr>
        <w:lastRenderedPageBreak/>
        <w:t>A</w:t>
      </w:r>
      <w:r>
        <w:t xml:space="preserve">ppendix Table 2. Results from stratified analysis – </w:t>
      </w:r>
      <w:r>
        <w:rPr>
          <w:rFonts w:hint="eastAsia"/>
        </w:rPr>
        <w:t>Medi</w:t>
      </w:r>
      <w:r>
        <w:t>care Advantage and Medicaid managed care</w:t>
      </w:r>
    </w:p>
    <w:p w14:paraId="75841437" w14:textId="77777777" w:rsidR="00B024C0" w:rsidRDefault="00B024C0" w:rsidP="00B024C0"/>
    <w:p w14:paraId="6708881A" w14:textId="77777777" w:rsidR="00B024C0" w:rsidRDefault="00B024C0" w:rsidP="00B024C0">
      <w:r>
        <w:t>Panel 1. Medicare Advantage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2C4F5080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D5A2CA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70E3E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Any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E3125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uncondi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4296A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unconditional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9952D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conditional on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0CC0D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LOS</w:t>
            </w:r>
          </w:p>
        </w:tc>
      </w:tr>
      <w:tr w:rsidR="00B024C0" w14:paraId="2E6B7A0D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D00827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CD5AF3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0.0488***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CAF8BF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0.0681***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598C13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-0.0193***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03A4AF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0.0900***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5A4DE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</w:t>
            </w:r>
          </w:p>
        </w:tc>
      </w:tr>
      <w:tr w:rsidR="00B024C0" w14:paraId="2911355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36041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899A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(0.00198)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D89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(0.00161)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9CC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(0.00181)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F82C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(0.00276)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8787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30B007CA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38C7A4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FA16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03A3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75B7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C3F7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A4C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497A66EA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278B5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9D3A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307,169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9DDD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307,169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C2E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307,169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56DF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145,404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95AB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1C94B42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AF493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595E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3909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DA42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F3CB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0.181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91C6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FD01051" w14:textId="77777777" w:rsidR="00B024C0" w:rsidRDefault="00B024C0" w:rsidP="00B024C0">
      <w:r>
        <w:t>Panel 2. Medicaid managed care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556BAD4E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0EA63A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90BDEC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0.0594***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76D6A3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0.0582***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B91244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0.00122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A29F00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0.0541***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5EAA29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-1.222***</w:t>
            </w:r>
          </w:p>
        </w:tc>
      </w:tr>
      <w:tr w:rsidR="00B024C0" w14:paraId="219D803E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E46341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066E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(0.00189)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80E1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(0.00167)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1A3A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(0.00177)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138C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(0.00258)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D2B9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(0.245)</w:t>
            </w:r>
          </w:p>
        </w:tc>
      </w:tr>
      <w:tr w:rsidR="00B024C0" w14:paraId="436ED47E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4D9C3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E038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B2CD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2F35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366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CEE4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7DE64613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DABB6B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4C2F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375,263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7BE4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375,263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B165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375,263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3CC3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198,553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E029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64,669</w:t>
            </w:r>
          </w:p>
        </w:tc>
      </w:tr>
      <w:tr w:rsidR="00B024C0" w14:paraId="2A16A9FB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B4456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94D6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BBC1D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0.076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8F36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0.163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6EB87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8A03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910">
              <w:rPr>
                <w:sz w:val="20"/>
                <w:szCs w:val="20"/>
              </w:rPr>
              <w:t>0.123</w:t>
            </w:r>
          </w:p>
        </w:tc>
      </w:tr>
    </w:tbl>
    <w:p w14:paraId="4283D9C6" w14:textId="77777777" w:rsidR="00B024C0" w:rsidRDefault="00B024C0" w:rsidP="00B024C0"/>
    <w:p w14:paraId="574667BB" w14:textId="77777777" w:rsidR="00B024C0" w:rsidRDefault="00B024C0" w:rsidP="00B024C0"/>
    <w:p w14:paraId="430652DD" w14:textId="77777777" w:rsidR="00B024C0" w:rsidRDefault="00B024C0" w:rsidP="00B024C0"/>
    <w:p w14:paraId="29E1C1AB" w14:textId="77777777" w:rsidR="00B024C0" w:rsidRDefault="00B024C0">
      <w:r>
        <w:br w:type="page"/>
      </w:r>
    </w:p>
    <w:p w14:paraId="64A5D1A2" w14:textId="2824E13E" w:rsidR="00B024C0" w:rsidRDefault="00B024C0" w:rsidP="00B024C0">
      <w:r>
        <w:rPr>
          <w:rFonts w:hint="eastAsia"/>
        </w:rPr>
        <w:lastRenderedPageBreak/>
        <w:t>A</w:t>
      </w:r>
      <w:r>
        <w:t>ppendix Table 3. Results from stratified analysis – Race/Ethnicity</w:t>
      </w:r>
    </w:p>
    <w:p w14:paraId="48681C87" w14:textId="77777777" w:rsidR="00B024C0" w:rsidRDefault="00B024C0" w:rsidP="00B024C0"/>
    <w:p w14:paraId="5D1B375D" w14:textId="77777777" w:rsidR="00B024C0" w:rsidRDefault="00B024C0" w:rsidP="00B024C0">
      <w:r>
        <w:t>Panel 1. Non-Hispanic White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59AD2373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827E03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D0D03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Any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D0466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uncondi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2A1D1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unconditional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AAA0E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conditional on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B4B1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LOS</w:t>
            </w:r>
          </w:p>
        </w:tc>
      </w:tr>
      <w:tr w:rsidR="00B024C0" w14:paraId="0436B083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35D38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6017F1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0.0422***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274ADE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0.0883***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13F708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-0.0461***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9CB973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0.108***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2752C7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-2.112***</w:t>
            </w:r>
          </w:p>
        </w:tc>
      </w:tr>
      <w:tr w:rsidR="00B024C0" w14:paraId="4E8EB4C4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1E53AD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CF5A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(0.00162)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7FCE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(0.00139)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DF47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(0.00159)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8958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(0.00206)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D58A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(0.172)</w:t>
            </w:r>
          </w:p>
        </w:tc>
      </w:tr>
      <w:tr w:rsidR="00B024C0" w14:paraId="1742D9C1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B9A296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371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1956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E13D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B32F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C34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76C92A2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A8709D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53D6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441,071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0A64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441,071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BFA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441,071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E125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259,327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13EF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110,229</w:t>
            </w:r>
          </w:p>
        </w:tc>
      </w:tr>
      <w:tr w:rsidR="00B024C0" w14:paraId="56E09BB1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3CCC7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3AC4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0.152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4422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9EA6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1E89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43EF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0.127</w:t>
            </w:r>
          </w:p>
        </w:tc>
      </w:tr>
    </w:tbl>
    <w:p w14:paraId="01C1A8DA" w14:textId="77777777" w:rsidR="00B024C0" w:rsidRDefault="00B024C0" w:rsidP="00B024C0">
      <w:r>
        <w:t>Panel 2. Black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6B9D3019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77549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5F5E55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0.0620***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56B8D4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0.0821***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A17946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-0.0201***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5A491A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0.0839***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573840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-1.347***</w:t>
            </w:r>
          </w:p>
        </w:tc>
      </w:tr>
      <w:tr w:rsidR="00B024C0" w14:paraId="29BA188A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4B1F67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070A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(0.00268)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FC13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(0.00238)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52E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(0.00242)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63E4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(0.00371)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FC6C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(0.370)</w:t>
            </w:r>
          </w:p>
        </w:tc>
      </w:tr>
      <w:tr w:rsidR="00B024C0" w14:paraId="040557B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4C21DA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B878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A3B8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97D0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8C7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EEAE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224F8F31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02ADC4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1316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176,136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26B7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176,136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26C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176,136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652A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92,599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D602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28,639</w:t>
            </w:r>
          </w:p>
        </w:tc>
      </w:tr>
      <w:tr w:rsidR="00B024C0" w14:paraId="7281B90B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5138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C16B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1169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BA49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5647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DBBA2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0.173</w:t>
            </w:r>
          </w:p>
        </w:tc>
      </w:tr>
    </w:tbl>
    <w:p w14:paraId="75A4C877" w14:textId="77777777" w:rsidR="00B024C0" w:rsidRDefault="00B024C0" w:rsidP="00B024C0">
      <w:r>
        <w:t>Panel 3. Hispanic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1AC709E1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B659B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65C63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0.0748***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27152A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0.0617***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07D302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0.0131***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DAE282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0.0444***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D4853E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-1.777***</w:t>
            </w:r>
          </w:p>
        </w:tc>
      </w:tr>
      <w:tr w:rsidR="00B024C0" w14:paraId="7EA2E343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D2AB1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B887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(0.00275)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E627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(0.00244)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556E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(0.00235)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3178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(0.00402)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9B64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(0.421)</w:t>
            </w:r>
          </w:p>
        </w:tc>
      </w:tr>
      <w:tr w:rsidR="00B024C0" w14:paraId="0DA44F00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F56BE3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8C8B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8175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4A48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77CF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11D7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5016BE9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7774A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26F8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177,151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E421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177,151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9A22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177,151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F78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80,721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F218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21,746</w:t>
            </w:r>
          </w:p>
        </w:tc>
      </w:tr>
      <w:tr w:rsidR="00B024C0" w14:paraId="366B3E92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A92A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9DF4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486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DFFB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8E69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28B6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0.174</w:t>
            </w:r>
          </w:p>
        </w:tc>
      </w:tr>
    </w:tbl>
    <w:p w14:paraId="4B4C3171" w14:textId="77777777" w:rsidR="00B024C0" w:rsidRDefault="00B024C0" w:rsidP="00B024C0">
      <w:r>
        <w:t>Panel 4. Other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2219C8B5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11A40D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0CF65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0.0904***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F64BE3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0.0718***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6E27F6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0.0186***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A3D6A9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0.0487***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12E8E6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-1.682***</w:t>
            </w:r>
          </w:p>
        </w:tc>
      </w:tr>
      <w:tr w:rsidR="00B024C0" w14:paraId="09B00A4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357FB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05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(0.00380)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2AEA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(0.00338)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87E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(0.00350)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5210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(0.00560)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00D0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(0.501)</w:t>
            </w:r>
          </w:p>
        </w:tc>
      </w:tr>
      <w:tr w:rsidR="00B024C0" w14:paraId="0C2359E8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8705B5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2C84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9DEE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903A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F1A2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B323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7409F44A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3CC39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94F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93,240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C148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93,240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C92A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93,240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2E4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47,037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1A1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16,635</w:t>
            </w:r>
          </w:p>
        </w:tc>
      </w:tr>
      <w:tr w:rsidR="00B024C0" w14:paraId="2DA3E7FD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DB877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A713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0.203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534F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0.108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1BF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273B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0.208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2AA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0.227</w:t>
            </w:r>
          </w:p>
        </w:tc>
      </w:tr>
    </w:tbl>
    <w:p w14:paraId="0407ABE8" w14:textId="77777777" w:rsidR="00B024C0" w:rsidRDefault="00B024C0" w:rsidP="00B024C0"/>
    <w:p w14:paraId="355A9256" w14:textId="77777777" w:rsidR="00B024C0" w:rsidRDefault="00B024C0" w:rsidP="00B024C0">
      <w:r>
        <w:br w:type="page"/>
      </w:r>
    </w:p>
    <w:p w14:paraId="6EACC9C7" w14:textId="77777777" w:rsidR="00B024C0" w:rsidRDefault="00B024C0" w:rsidP="00B024C0">
      <w:r>
        <w:rPr>
          <w:rFonts w:hint="eastAsia"/>
        </w:rPr>
        <w:lastRenderedPageBreak/>
        <w:t>A</w:t>
      </w:r>
      <w:r>
        <w:t>ppendix Table 4. Results from stratified analysis – Type of hospitalization and DRG group</w:t>
      </w:r>
    </w:p>
    <w:p w14:paraId="75C5BDA4" w14:textId="77777777" w:rsidR="00B024C0" w:rsidRDefault="00B024C0" w:rsidP="00B024C0"/>
    <w:p w14:paraId="3E094194" w14:textId="77777777" w:rsidR="00B024C0" w:rsidRDefault="00B024C0" w:rsidP="00B024C0">
      <w:r>
        <w:t>Panel 1. Surgical DRG for index hospitalization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7573DD0B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4258E21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CA46C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Any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0A225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uncondi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D58DC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unconditional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ADAB8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conditional on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9AC49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LOS</w:t>
            </w:r>
          </w:p>
        </w:tc>
      </w:tr>
      <w:tr w:rsidR="00B024C0" w14:paraId="7AB84888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F3DE30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E9FC68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0.0757***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911DD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0.0499***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431817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0.0258***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A3F8D7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0.0241***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322D7A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-1.062***</w:t>
            </w:r>
          </w:p>
        </w:tc>
      </w:tr>
      <w:tr w:rsidR="00B024C0" w14:paraId="4063D7D5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C376F4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737B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(0.00226)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0855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(0.00208)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79CF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(0.00231)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909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(0.00279)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3857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(0.238)</w:t>
            </w:r>
          </w:p>
        </w:tc>
      </w:tr>
      <w:tr w:rsidR="00B024C0" w14:paraId="7548012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5BE9A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FC5B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0F1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BD63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6E4E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97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2B8EC210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61F64F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225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223,452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73A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223,452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A0C5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223,452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909D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142,413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ACCC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55,998</w:t>
            </w:r>
          </w:p>
        </w:tc>
      </w:tr>
      <w:tr w:rsidR="00B024C0" w14:paraId="3F735F6D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7BC80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7486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0.152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253D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73B9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509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967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0.170</w:t>
            </w:r>
          </w:p>
        </w:tc>
      </w:tr>
    </w:tbl>
    <w:p w14:paraId="48209C2F" w14:textId="77777777" w:rsidR="00B024C0" w:rsidRDefault="00B024C0" w:rsidP="00B024C0">
      <w:r>
        <w:t>Panel 2. Index hospitalization DRG - Septicemia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71CC2105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148AC5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D1C7D4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0.0505***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8FF2B9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0.103***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0372F9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-0.0525***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02AA75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0.134***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F62F13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-2.601***</w:t>
            </w:r>
          </w:p>
        </w:tc>
      </w:tr>
      <w:tr w:rsidR="00B024C0" w14:paraId="5790E18F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1BA17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D6A2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(0.00385)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E4EE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(0.00337)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5F3F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(0.00355)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D5B4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(0.00533)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3286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(0.517)</w:t>
            </w:r>
          </w:p>
        </w:tc>
      </w:tr>
      <w:tr w:rsidR="00B024C0" w14:paraId="4FDC676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2A205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85B7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9A96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42DE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E92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B8A1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547BB8DE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786B6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C690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85,042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687B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85,042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049B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85,042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0F6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44,733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1C4E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15,099</w:t>
            </w:r>
          </w:p>
        </w:tc>
      </w:tr>
      <w:tr w:rsidR="00B024C0" w14:paraId="34D037B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00C85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D05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7F9E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0.101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99CFA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0.203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C02C3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0.222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DC94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4D5A">
              <w:rPr>
                <w:sz w:val="20"/>
                <w:szCs w:val="20"/>
              </w:rPr>
              <w:t>0.245</w:t>
            </w:r>
          </w:p>
        </w:tc>
      </w:tr>
    </w:tbl>
    <w:p w14:paraId="32F6F9F2" w14:textId="77777777" w:rsidR="00B024C0" w:rsidRDefault="00B024C0" w:rsidP="00B024C0">
      <w:r>
        <w:t>Panel 3. Index hospitalization DRG – COPD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482C39BC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DF79CD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35092D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0.0749***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51E85D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0.0988***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F008DD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-0.0238***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34E9F6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0.108***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A4585D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-3.606***</w:t>
            </w:r>
          </w:p>
        </w:tc>
      </w:tr>
      <w:tr w:rsidR="00B024C0" w14:paraId="6F6F759F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AFB6B7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1670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(0.00609)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9EAC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(0.00558)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1BF5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(0.00464)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5888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(0.0105)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27C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(1.397)</w:t>
            </w:r>
          </w:p>
        </w:tc>
      </w:tr>
      <w:tr w:rsidR="00B024C0" w14:paraId="548FD07E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0059B0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716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46CA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96CF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6C50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09FD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04116AE9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3E5B33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D7CC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36,774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9DD6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36,774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F87E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36,774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E117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14,916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207C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3,628</w:t>
            </w:r>
          </w:p>
        </w:tc>
      </w:tr>
      <w:tr w:rsidR="00B024C0" w14:paraId="1DACF310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F2BA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AC30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0.249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85B6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0.175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6536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0.238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B8FD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0.354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9B54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5FA">
              <w:rPr>
                <w:sz w:val="20"/>
                <w:szCs w:val="20"/>
              </w:rPr>
              <w:t>0.569</w:t>
            </w:r>
          </w:p>
        </w:tc>
      </w:tr>
    </w:tbl>
    <w:p w14:paraId="0EF5671C" w14:textId="77777777" w:rsidR="00B024C0" w:rsidRDefault="00B024C0" w:rsidP="00B024C0">
      <w:r>
        <w:t>Panel 4. Index hospitalization DRG – Heart failure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7A5A617A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815CC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8D16D0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0.0591***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5506F7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0.101***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9D23FB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-0.0421***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1E239F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0.109***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ED7DD8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-2.679***</w:t>
            </w:r>
          </w:p>
        </w:tc>
      </w:tr>
      <w:tr w:rsidR="00B024C0" w14:paraId="703D3C3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5A7290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9F83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(0.00552)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46A9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(0.00519)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8F79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(0.00452)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E6D3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(0.00776)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F996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(0.932)</w:t>
            </w:r>
          </w:p>
        </w:tc>
      </w:tr>
      <w:tr w:rsidR="00B024C0" w14:paraId="3FEEABC3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3BF97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E7B9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013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4292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C56A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5EE9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6F7B68C0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402551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4673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45,782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8C48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45,782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8728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45,782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0FD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23,589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09B8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6,178</w:t>
            </w:r>
          </w:p>
        </w:tc>
      </w:tr>
      <w:tr w:rsidR="00B024C0" w14:paraId="13E41F3A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E7E5D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2B64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7FC2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0C0F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71C3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0.311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35A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0.472</w:t>
            </w:r>
          </w:p>
        </w:tc>
      </w:tr>
    </w:tbl>
    <w:p w14:paraId="318EA17A" w14:textId="77777777" w:rsidR="00B024C0" w:rsidRDefault="00B024C0" w:rsidP="00B024C0">
      <w:r>
        <w:t>Panel 5. Index hospitalization DRG – Stroke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6262691E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D5A20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9B4F4A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0.0269***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E1A80E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0.0830***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D0471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-0.0561***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644B63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0.0941***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50E586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-3.029***</w:t>
            </w:r>
          </w:p>
        </w:tc>
      </w:tr>
      <w:tr w:rsidR="00B024C0" w14:paraId="7457184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678DD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9918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(0.00673)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0BDD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(0.00617)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F93C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(0.00733)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44B3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(0.00784)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6AA1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(0.904)</w:t>
            </w:r>
          </w:p>
        </w:tc>
      </w:tr>
      <w:tr w:rsidR="00B024C0" w14:paraId="43A31FF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4B4E4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70EF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591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4EA7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41BF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2B8A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1BC9450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0ED24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69FF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24,727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30E2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24,727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0F6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24,727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32B2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18,106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B423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7,639</w:t>
            </w:r>
          </w:p>
        </w:tc>
      </w:tr>
      <w:tr w:rsidR="00B024C0" w14:paraId="10E6EA6F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9E4BA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87C7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C240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F9E0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E38D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6DF0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0.337</w:t>
            </w:r>
          </w:p>
        </w:tc>
      </w:tr>
    </w:tbl>
    <w:p w14:paraId="05BC6477" w14:textId="77777777" w:rsidR="00B024C0" w:rsidRDefault="00B024C0" w:rsidP="00B024C0">
      <w:r>
        <w:t>Panel 6. Index hospitalization DRG – Pneumonia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3A54CC3B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66EF4A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2F6BD5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0.0588***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ECB0CD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0.0943***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EB9A56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-0.0354***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30BF4F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0.108***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CC2055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-2.345**</w:t>
            </w:r>
          </w:p>
        </w:tc>
      </w:tr>
      <w:tr w:rsidR="00B024C0" w14:paraId="6303D70B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2BBF2F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606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(0.00593)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A36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(0.00530)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E07D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(0.00503)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FE57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(0.00970)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3446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(1.024)</w:t>
            </w:r>
          </w:p>
        </w:tc>
      </w:tr>
      <w:tr w:rsidR="00B024C0" w14:paraId="5E30D309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5DA09B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72B7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AF67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E916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C98D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94E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69430E44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1CEE0B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4D37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38,286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07FC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38,286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2B42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38,286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64B9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17,324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5F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5,199</w:t>
            </w:r>
          </w:p>
        </w:tc>
      </w:tr>
      <w:tr w:rsidR="00B024C0" w14:paraId="6F2EABC5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73A9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0992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0AAF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B7CF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5717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0.341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E870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0.541</w:t>
            </w:r>
          </w:p>
        </w:tc>
      </w:tr>
    </w:tbl>
    <w:p w14:paraId="6C80A66A" w14:textId="77777777" w:rsidR="00B024C0" w:rsidRDefault="00B024C0" w:rsidP="00B024C0">
      <w:r>
        <w:t xml:space="preserve">Panel 7. Index hospitalization – </w:t>
      </w:r>
      <w:r>
        <w:rPr>
          <w:rFonts w:hint="eastAsia"/>
        </w:rPr>
        <w:t>Non</w:t>
      </w:r>
      <w:r>
        <w:t xml:space="preserve">-discretionary 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:rsidRPr="00064CE0" w14:paraId="19B01BAE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D2878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4CE0">
              <w:rPr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2865617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0.0689***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6A189A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0.0922***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E2B52BD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-0.0232***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F1212E6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0.102***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6BCD4F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-2.237***</w:t>
            </w:r>
          </w:p>
        </w:tc>
      </w:tr>
      <w:tr w:rsidR="00B024C0" w:rsidRPr="00064CE0" w14:paraId="72E134F3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229CBC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38675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(0.00258)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9E5C9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(0.00225)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11B1A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(0.00238)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96811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(0.00347)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A5A25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(0.332)</w:t>
            </w:r>
          </w:p>
        </w:tc>
      </w:tr>
      <w:tr w:rsidR="00B024C0" w:rsidRPr="00064CE0" w14:paraId="15A251AD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B9439D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3C943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CC00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04261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F8205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BBA2E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24C0" w:rsidRPr="00064CE0" w14:paraId="7BD3BE05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2420F5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4CE0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118F0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179,898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6A965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179,898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6B6D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179,898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DF01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95,506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E223A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34,236</w:t>
            </w:r>
          </w:p>
        </w:tc>
      </w:tr>
      <w:tr w:rsidR="00B024C0" w:rsidRPr="00064CE0" w14:paraId="47148B56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DB371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4CE0"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99FA3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E02C9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0.081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DB94D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AA879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DFA36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0.173</w:t>
            </w:r>
          </w:p>
        </w:tc>
      </w:tr>
    </w:tbl>
    <w:p w14:paraId="7A32320A" w14:textId="77777777" w:rsidR="00B024C0" w:rsidRDefault="00B024C0" w:rsidP="00B024C0">
      <w:r>
        <w:t>Panel 8. Index hospitalization – Emergency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:rsidRPr="00064CE0" w14:paraId="0485E9CE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B694A1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4CE0">
              <w:rPr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170CD03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0.0528***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F75D4EA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0.0850***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675F345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-0.0323***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60264E0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0.101***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4E4B1CD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-2.135***</w:t>
            </w:r>
          </w:p>
        </w:tc>
      </w:tr>
      <w:tr w:rsidR="00B024C0" w:rsidRPr="00064CE0" w14:paraId="087C805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673FB5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3BB40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(0.00134)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35E72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(0.00116)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AE6DF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(0.00125)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7E057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(0.00179)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62F97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(0.161)</w:t>
            </w:r>
          </w:p>
        </w:tc>
      </w:tr>
      <w:tr w:rsidR="00B024C0" w:rsidRPr="00064CE0" w14:paraId="2C941F1A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550E5C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49717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54BF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0DB7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1530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6B6EA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24C0" w:rsidRPr="00064CE0" w14:paraId="737F7C84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79F818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4CE0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F8DC7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669,155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EFC10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669,155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8B374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669,155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9211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359,507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82350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132,285</w:t>
            </w:r>
          </w:p>
        </w:tc>
      </w:tr>
      <w:tr w:rsidR="00B024C0" w:rsidRPr="00064CE0" w14:paraId="33ECA140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8C697" w14:textId="77777777" w:rsidR="00B024C0" w:rsidRPr="00064CE0" w:rsidRDefault="00B024C0" w:rsidP="007669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4CE0"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78BC3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989E4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B9F54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C5FD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66EFC" w14:textId="77777777" w:rsidR="00B024C0" w:rsidRPr="00064CE0" w:rsidRDefault="00B024C0" w:rsidP="007669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0.106</w:t>
            </w:r>
          </w:p>
        </w:tc>
      </w:tr>
    </w:tbl>
    <w:p w14:paraId="17F2D6B7" w14:textId="77777777" w:rsidR="00B024C0" w:rsidRDefault="00B024C0" w:rsidP="00B024C0"/>
    <w:p w14:paraId="5A23E260" w14:textId="77777777" w:rsidR="00B024C0" w:rsidRDefault="00B024C0" w:rsidP="00B024C0"/>
    <w:p w14:paraId="2DB06A0C" w14:textId="77777777" w:rsidR="00B024C0" w:rsidRDefault="00B024C0" w:rsidP="00B024C0"/>
    <w:p w14:paraId="63E11AC9" w14:textId="77777777" w:rsidR="00B024C0" w:rsidRDefault="00B024C0" w:rsidP="00B024C0">
      <w:r>
        <w:br w:type="page"/>
      </w:r>
    </w:p>
    <w:p w14:paraId="4DCD7559" w14:textId="77777777" w:rsidR="00B024C0" w:rsidRDefault="00B024C0" w:rsidP="00B024C0">
      <w:r>
        <w:rPr>
          <w:rFonts w:hint="eastAsia"/>
        </w:rPr>
        <w:lastRenderedPageBreak/>
        <w:t>A</w:t>
      </w:r>
      <w:r>
        <w:t>ppendix Table 5. Results from stratified analysis – rural residence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565666B0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E1BB97D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A7C84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Any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BC0E4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uncondi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CD7F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unconditional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6099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conditional on PAC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5A4D5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LOS</w:t>
            </w:r>
          </w:p>
        </w:tc>
      </w:tr>
      <w:tr w:rsidR="00B024C0" w14:paraId="64480415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AE447B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user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785F4A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0.0464***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9079FE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0.0969***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48F51A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-0.0505***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93BD4C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0.123***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75F763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-3.282***</w:t>
            </w:r>
          </w:p>
        </w:tc>
      </w:tr>
      <w:tr w:rsidR="00B024C0" w14:paraId="1E7B9B45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D1987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3946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(0.00299)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0241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(0.00256)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5011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(0.00279)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873F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(0.00401)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516E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(0.358)</w:t>
            </w:r>
          </w:p>
        </w:tc>
      </w:tr>
      <w:tr w:rsidR="00B024C0" w14:paraId="36EF008D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005E44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D130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F891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C501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9566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565C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69C7887C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F4F8F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FEA1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142,273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4E78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142,273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DD3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142,273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1286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76,394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D17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33,378</w:t>
            </w:r>
          </w:p>
        </w:tc>
      </w:tr>
      <w:tr w:rsidR="00B024C0" w14:paraId="7ACD4738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BE2E0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7F7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50A9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0.082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4E68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0.208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D8E0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DB3F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0.180</w:t>
            </w:r>
          </w:p>
        </w:tc>
      </w:tr>
    </w:tbl>
    <w:p w14:paraId="3032164C" w14:textId="6895AEFD" w:rsidR="00B024C0" w:rsidRDefault="00B024C0" w:rsidP="00B024C0">
      <w:pPr>
        <w:rPr>
          <w:rFonts w:eastAsiaTheme="minorEastAsia"/>
        </w:rPr>
      </w:pPr>
    </w:p>
    <w:p w14:paraId="5167048A" w14:textId="77777777" w:rsidR="00E04AA8" w:rsidRPr="00991EAF" w:rsidRDefault="00E04AA8" w:rsidP="00B024C0">
      <w:pPr>
        <w:rPr>
          <w:rFonts w:eastAsiaTheme="minorEastAsia"/>
        </w:rPr>
      </w:pPr>
    </w:p>
    <w:p w14:paraId="451E9862" w14:textId="181ED8B7" w:rsidR="00B024C0" w:rsidRPr="00991EAF" w:rsidRDefault="00E04AA8" w:rsidP="00B024C0">
      <w:pPr>
        <w:rPr>
          <w:rFonts w:eastAsiaTheme="minorEastAsia"/>
        </w:rPr>
      </w:pPr>
      <w:r>
        <w:rPr>
          <w:rFonts w:eastAsiaTheme="minorEastAsia" w:hint="eastAsia"/>
        </w:rPr>
        <w:t>A</w:t>
      </w:r>
      <w:r>
        <w:rPr>
          <w:rFonts w:eastAsiaTheme="minorEastAsia"/>
        </w:rPr>
        <w:t xml:space="preserve">ppendix Table 6. </w:t>
      </w:r>
      <w:r>
        <w:t>Results from stratified analysis – high need population</w:t>
      </w:r>
    </w:p>
    <w:p w14:paraId="41C8C8C9" w14:textId="77777777" w:rsidR="00B024C0" w:rsidRDefault="00B024C0" w:rsidP="00B024C0"/>
    <w:tbl>
      <w:tblPr>
        <w:tblW w:w="10230" w:type="dxa"/>
        <w:tblInd w:w="3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1"/>
        <w:gridCol w:w="1585"/>
        <w:gridCol w:w="1585"/>
        <w:gridCol w:w="1585"/>
        <w:gridCol w:w="1729"/>
        <w:gridCol w:w="1585"/>
      </w:tblGrid>
      <w:tr w:rsidR="00E04AA8" w14:paraId="33AC7944" w14:textId="77777777" w:rsidTr="00E04AA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272B73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9BAAFD2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(1)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9F7EB59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(2)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70C89ED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(3)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71425B5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(4)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AF77E12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(5)</w:t>
            </w:r>
          </w:p>
        </w:tc>
      </w:tr>
      <w:tr w:rsidR="00E04AA8" w14:paraId="0ABE7449" w14:textId="77777777" w:rsidTr="00E04AA8">
        <w:trPr>
          <w:trHeight w:val="240"/>
        </w:trPr>
        <w:tc>
          <w:tcPr>
            <w:tcW w:w="2160" w:type="dxa"/>
            <w:hideMark/>
          </w:tcPr>
          <w:p w14:paraId="7AB501F0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VARIABLES</w:t>
            </w:r>
          </w:p>
        </w:tc>
        <w:tc>
          <w:tcPr>
            <w:tcW w:w="1584" w:type="dxa"/>
            <w:hideMark/>
          </w:tcPr>
          <w:p w14:paraId="0D184508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Any PAC</w:t>
            </w:r>
          </w:p>
        </w:tc>
        <w:tc>
          <w:tcPr>
            <w:tcW w:w="1584" w:type="dxa"/>
            <w:hideMark/>
          </w:tcPr>
          <w:p w14:paraId="771D0CA9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Home Health unconditional</w:t>
            </w:r>
          </w:p>
        </w:tc>
        <w:tc>
          <w:tcPr>
            <w:tcW w:w="1584" w:type="dxa"/>
            <w:hideMark/>
          </w:tcPr>
          <w:p w14:paraId="307B978C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SNF unconditional</w:t>
            </w:r>
          </w:p>
        </w:tc>
        <w:tc>
          <w:tcPr>
            <w:tcW w:w="1728" w:type="dxa"/>
            <w:hideMark/>
          </w:tcPr>
          <w:p w14:paraId="10719BEC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Home Health conditional on PAC</w:t>
            </w:r>
          </w:p>
        </w:tc>
        <w:tc>
          <w:tcPr>
            <w:tcW w:w="1584" w:type="dxa"/>
            <w:hideMark/>
          </w:tcPr>
          <w:p w14:paraId="717759D7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SNF LOS</w:t>
            </w:r>
          </w:p>
        </w:tc>
      </w:tr>
      <w:tr w:rsidR="00E04AA8" w14:paraId="644E49B9" w14:textId="77777777" w:rsidTr="00E04AA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7FCCA4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DA8B4B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1E7C50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93C827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7257C2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9D9448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04AA8" w14:paraId="28399865" w14:textId="77777777" w:rsidTr="00E04AA8">
        <w:trPr>
          <w:trHeight w:val="240"/>
        </w:trPr>
        <w:tc>
          <w:tcPr>
            <w:tcW w:w="2160" w:type="dxa"/>
            <w:hideMark/>
          </w:tcPr>
          <w:p w14:paraId="2A6F278F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HCBS user</w:t>
            </w:r>
          </w:p>
        </w:tc>
        <w:tc>
          <w:tcPr>
            <w:tcW w:w="1584" w:type="dxa"/>
            <w:vAlign w:val="bottom"/>
            <w:hideMark/>
          </w:tcPr>
          <w:p w14:paraId="054D5B44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0.0278***</w:t>
            </w:r>
          </w:p>
        </w:tc>
        <w:tc>
          <w:tcPr>
            <w:tcW w:w="1584" w:type="dxa"/>
            <w:vAlign w:val="bottom"/>
            <w:hideMark/>
          </w:tcPr>
          <w:p w14:paraId="03B2E9AB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0.0884***</w:t>
            </w:r>
          </w:p>
        </w:tc>
        <w:tc>
          <w:tcPr>
            <w:tcW w:w="1584" w:type="dxa"/>
            <w:vAlign w:val="bottom"/>
            <w:hideMark/>
          </w:tcPr>
          <w:p w14:paraId="01BAEDD0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-0.0606***</w:t>
            </w:r>
          </w:p>
        </w:tc>
        <w:tc>
          <w:tcPr>
            <w:tcW w:w="1728" w:type="dxa"/>
            <w:vAlign w:val="bottom"/>
            <w:hideMark/>
          </w:tcPr>
          <w:p w14:paraId="7B41E9E0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0.1185***</w:t>
            </w:r>
          </w:p>
        </w:tc>
        <w:tc>
          <w:tcPr>
            <w:tcW w:w="1584" w:type="dxa"/>
            <w:vAlign w:val="bottom"/>
            <w:hideMark/>
          </w:tcPr>
          <w:p w14:paraId="2AB621C0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-2.230***</w:t>
            </w:r>
          </w:p>
        </w:tc>
      </w:tr>
      <w:tr w:rsidR="00E04AA8" w14:paraId="7D0ECB18" w14:textId="77777777" w:rsidTr="00E04AA8">
        <w:trPr>
          <w:trHeight w:val="240"/>
        </w:trPr>
        <w:tc>
          <w:tcPr>
            <w:tcW w:w="2160" w:type="dxa"/>
          </w:tcPr>
          <w:p w14:paraId="449825C5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  <w:vAlign w:val="bottom"/>
            <w:hideMark/>
          </w:tcPr>
          <w:p w14:paraId="1BEDD08F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(0.00195)</w:t>
            </w:r>
          </w:p>
        </w:tc>
        <w:tc>
          <w:tcPr>
            <w:tcW w:w="1584" w:type="dxa"/>
            <w:vAlign w:val="bottom"/>
            <w:hideMark/>
          </w:tcPr>
          <w:p w14:paraId="0D66B733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(0.00174)</w:t>
            </w:r>
          </w:p>
        </w:tc>
        <w:tc>
          <w:tcPr>
            <w:tcW w:w="1584" w:type="dxa"/>
            <w:vAlign w:val="bottom"/>
            <w:hideMark/>
          </w:tcPr>
          <w:p w14:paraId="388ECA50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(0.00185)</w:t>
            </w:r>
          </w:p>
        </w:tc>
        <w:tc>
          <w:tcPr>
            <w:tcW w:w="1728" w:type="dxa"/>
            <w:vAlign w:val="bottom"/>
            <w:hideMark/>
          </w:tcPr>
          <w:p w14:paraId="58F42E09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(0.00257)</w:t>
            </w:r>
          </w:p>
        </w:tc>
        <w:tc>
          <w:tcPr>
            <w:tcW w:w="1584" w:type="dxa"/>
            <w:vAlign w:val="bottom"/>
            <w:hideMark/>
          </w:tcPr>
          <w:p w14:paraId="2A96FA58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(0.227)</w:t>
            </w:r>
          </w:p>
        </w:tc>
      </w:tr>
      <w:tr w:rsidR="00E04AA8" w14:paraId="2CD457EC" w14:textId="77777777" w:rsidTr="00E04AA8">
        <w:trPr>
          <w:trHeight w:val="240"/>
        </w:trPr>
        <w:tc>
          <w:tcPr>
            <w:tcW w:w="2160" w:type="dxa"/>
          </w:tcPr>
          <w:p w14:paraId="3B9262B6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</w:tcPr>
          <w:p w14:paraId="79E1B7DB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</w:tcPr>
          <w:p w14:paraId="6357414C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</w:tcPr>
          <w:p w14:paraId="2570DA73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28" w:type="dxa"/>
          </w:tcPr>
          <w:p w14:paraId="75793F72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84" w:type="dxa"/>
          </w:tcPr>
          <w:p w14:paraId="4783F82B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04AA8" w14:paraId="4A10B65C" w14:textId="77777777" w:rsidTr="00E04AA8">
        <w:trPr>
          <w:trHeight w:val="240"/>
        </w:trPr>
        <w:tc>
          <w:tcPr>
            <w:tcW w:w="2160" w:type="dxa"/>
            <w:hideMark/>
          </w:tcPr>
          <w:p w14:paraId="693DCB74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Observations</w:t>
            </w:r>
          </w:p>
        </w:tc>
        <w:tc>
          <w:tcPr>
            <w:tcW w:w="1584" w:type="dxa"/>
            <w:vAlign w:val="bottom"/>
            <w:hideMark/>
          </w:tcPr>
          <w:p w14:paraId="02B30F5D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323,830</w:t>
            </w:r>
          </w:p>
        </w:tc>
        <w:tc>
          <w:tcPr>
            <w:tcW w:w="1584" w:type="dxa"/>
            <w:vAlign w:val="bottom"/>
            <w:hideMark/>
          </w:tcPr>
          <w:p w14:paraId="2A611DAE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323,830</w:t>
            </w:r>
          </w:p>
        </w:tc>
        <w:tc>
          <w:tcPr>
            <w:tcW w:w="1584" w:type="dxa"/>
            <w:vAlign w:val="bottom"/>
            <w:hideMark/>
          </w:tcPr>
          <w:p w14:paraId="6ABC6D35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323,830</w:t>
            </w:r>
          </w:p>
        </w:tc>
        <w:tc>
          <w:tcPr>
            <w:tcW w:w="1728" w:type="dxa"/>
            <w:vAlign w:val="bottom"/>
            <w:hideMark/>
          </w:tcPr>
          <w:p w14:paraId="59B688A8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185,185</w:t>
            </w:r>
          </w:p>
        </w:tc>
        <w:tc>
          <w:tcPr>
            <w:tcW w:w="1584" w:type="dxa"/>
            <w:vAlign w:val="bottom"/>
            <w:hideMark/>
          </w:tcPr>
          <w:p w14:paraId="4AA57F47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72,877</w:t>
            </w:r>
          </w:p>
        </w:tc>
      </w:tr>
      <w:tr w:rsidR="00E04AA8" w14:paraId="3CCEE78C" w14:textId="77777777" w:rsidTr="00E04AA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30D304" w14:textId="77777777" w:rsidR="00E04AA8" w:rsidRDefault="00E04A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R-squared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1C3A5D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0.156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7C9A3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0.067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FF79D5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0.184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F1D7E3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0.180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F414CD" w14:textId="77777777" w:rsidR="00E04AA8" w:rsidRDefault="00E04A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0.135</w:t>
            </w:r>
          </w:p>
        </w:tc>
      </w:tr>
    </w:tbl>
    <w:p w14:paraId="4ECB910C" w14:textId="77777777" w:rsidR="00B024C0" w:rsidRDefault="00B024C0" w:rsidP="00B024C0"/>
    <w:p w14:paraId="728864E1" w14:textId="77777777" w:rsidR="00B024C0" w:rsidRDefault="00B024C0" w:rsidP="00B024C0"/>
    <w:p w14:paraId="0B787B75" w14:textId="77777777" w:rsidR="00B024C0" w:rsidRDefault="00B024C0">
      <w:r>
        <w:br w:type="page"/>
      </w:r>
    </w:p>
    <w:p w14:paraId="7592FEAD" w14:textId="66DF90DF" w:rsidR="00B024C0" w:rsidRDefault="00B024C0" w:rsidP="00B024C0">
      <w:r>
        <w:lastRenderedPageBreak/>
        <w:t xml:space="preserve">Appendix Table </w:t>
      </w:r>
      <w:r w:rsidR="00E04AA8">
        <w:t>7</w:t>
      </w:r>
      <w:r>
        <w:t>. Results from alternative models</w:t>
      </w:r>
    </w:p>
    <w:p w14:paraId="23412544" w14:textId="77777777" w:rsidR="00B024C0" w:rsidRDefault="00B024C0" w:rsidP="00B024C0">
      <w:pPr>
        <w:tabs>
          <w:tab w:val="left" w:pos="678"/>
        </w:tabs>
      </w:pPr>
    </w:p>
    <w:p w14:paraId="153F6345" w14:textId="77777777" w:rsidR="00B024C0" w:rsidRDefault="00B024C0" w:rsidP="00B024C0">
      <w:pPr>
        <w:tabs>
          <w:tab w:val="left" w:pos="678"/>
        </w:tabs>
        <w:spacing w:before="120" w:after="120"/>
      </w:pPr>
      <w:r>
        <w:t>Panel 1. Probability model and logistic regression for binary outcomes (20% random sample)</w:t>
      </w:r>
    </w:p>
    <w:tbl>
      <w:tblPr>
        <w:tblW w:w="109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8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B024C0" w14:paraId="005AD6C8" w14:textId="77777777" w:rsidTr="00766918">
        <w:trPr>
          <w:trHeight w:val="240"/>
        </w:trPr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CFFF12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79277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(1) Any PAC use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EABB9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(2) Home Health use (unconditional)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2C849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(3) SNF use (unconditional)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E8BB0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(4) Home Health use conditional on PAC</w:t>
            </w:r>
          </w:p>
        </w:tc>
      </w:tr>
      <w:tr w:rsidR="00B024C0" w14:paraId="663C1C65" w14:textId="77777777" w:rsidTr="00766918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7EE59B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F4E85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Linear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8273E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Logistic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A5290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Linear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23CFA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Logistic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9E218E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Linear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E22A9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Logistic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88A01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Linear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71BBB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Logistic</w:t>
            </w:r>
          </w:p>
        </w:tc>
      </w:tr>
      <w:tr w:rsidR="00B024C0" w14:paraId="03CD3E6A" w14:textId="77777777" w:rsidTr="00766918">
        <w:trPr>
          <w:trHeight w:val="240"/>
        </w:trPr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1A4D9F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209B1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E9878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015AA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FE8D6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82B99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1709F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E6D58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9957E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71427EFC" w14:textId="77777777" w:rsidTr="00766918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3E01CA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B8430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0.0559***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2F14AD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0.0547***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D0594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0.0794***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FE679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0.0811***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6D8E16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-0.0235***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4CD6B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-0.0236***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D5BBD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0.0881***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94EC8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0.0887***</w:t>
            </w:r>
          </w:p>
        </w:tc>
      </w:tr>
      <w:tr w:rsidR="00B024C0" w14:paraId="5409A299" w14:textId="77777777" w:rsidTr="00766918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F0E6D21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7D4DE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(0.00256)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22524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(0.00250)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BAA8C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(0.00224)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E9F5C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(0.00227)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865CB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(0.00240)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A06DC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(0.00238)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A0C1E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(0.00349)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53B03B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(0.00342)</w:t>
            </w:r>
          </w:p>
        </w:tc>
      </w:tr>
      <w:tr w:rsidR="00BB0528" w14:paraId="66566C1A" w14:textId="77777777" w:rsidTr="00766918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B5B119" w14:textId="77777777" w:rsidR="00BB0528" w:rsidRDefault="00BB0528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57F1AF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DFAC1B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DA4001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D6490B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BD0D4D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B428CD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98E148B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B6EAB1" w14:textId="77777777" w:rsidR="00BB0528" w:rsidRDefault="00BB0528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B0528" w14:paraId="0ACF02CE" w14:textId="77777777" w:rsidTr="007F064E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3E6FF38" w14:textId="12B195FC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FD9CA54" w14:textId="41D39AA5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223,970.2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1133E132" w14:textId="6DE08B53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218,440.7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2E534" w14:textId="5A4DD1C2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181,380.1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FAB8C" w14:textId="7674DAD0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182,839.6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48D4E16A" w14:textId="7BFB4782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197,934.9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9D88B42" w14:textId="71F3406F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194,400.1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31E18" w14:textId="1BFBC60E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119,052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6649F" w14:textId="24E9D7EF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118,192.3</w:t>
            </w:r>
          </w:p>
        </w:tc>
      </w:tr>
      <w:tr w:rsidR="00BB0528" w14:paraId="1DC47477" w14:textId="77777777" w:rsidTr="007F064E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0AFA6BF" w14:textId="3A0DC54A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BIC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3D9C94B9" w14:textId="3D567D14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224,464.5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3B0264E9" w14:textId="3A092FE6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254,855.7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6011B" w14:textId="0D7F56E9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181,874.4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54712" w14:textId="6935DFA4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216,752.7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244445A" w14:textId="52D17CDB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198,429.2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FFED6C3" w14:textId="49AFB513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228,940.9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B4CF" w14:textId="74C279BC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119,516.4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23C00" w14:textId="63C50759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147,495.3</w:t>
            </w:r>
          </w:p>
        </w:tc>
      </w:tr>
      <w:tr w:rsidR="00BB0528" w14:paraId="52D1D9E8" w14:textId="77777777" w:rsidTr="00766918">
        <w:trPr>
          <w:trHeight w:val="240"/>
        </w:trPr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14B4B002" w14:textId="77777777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2D0E7BC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356FB2D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4AEECC22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461A0593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6F54AE58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1EB14CEC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12E0C364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53B49C02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B0528" w14:paraId="6CE22120" w14:textId="77777777" w:rsidTr="00766918">
        <w:trPr>
          <w:trHeight w:val="24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189AC" w14:textId="77777777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6B2B7701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177</w:t>
            </w:r>
            <w:r w:rsidRPr="00E728F7">
              <w:rPr>
                <w:rFonts w:eastAsia="宋体"/>
                <w:sz w:val="20"/>
                <w:szCs w:val="20"/>
              </w:rPr>
              <w:t>,688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7D81544D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176</w:t>
            </w:r>
            <w:r w:rsidRPr="00E728F7">
              <w:rPr>
                <w:rFonts w:eastAsia="宋体"/>
                <w:sz w:val="20"/>
                <w:szCs w:val="20"/>
              </w:rPr>
              <w:t>,144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C0063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177</w:t>
            </w:r>
            <w:r w:rsidRPr="00E728F7">
              <w:rPr>
                <w:rFonts w:eastAsia="宋体"/>
                <w:sz w:val="20"/>
                <w:szCs w:val="20"/>
              </w:rPr>
              <w:t>,688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7BDE4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174</w:t>
            </w:r>
            <w:r w:rsidRPr="00E728F7">
              <w:rPr>
                <w:rFonts w:eastAsia="宋体"/>
                <w:sz w:val="20"/>
                <w:szCs w:val="20"/>
              </w:rPr>
              <w:t>,416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293CAB32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177</w:t>
            </w:r>
            <w:r w:rsidRPr="00E728F7">
              <w:rPr>
                <w:rFonts w:eastAsia="宋体"/>
                <w:sz w:val="20"/>
                <w:szCs w:val="20"/>
              </w:rPr>
              <w:t>,688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17806F10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175</w:t>
            </w:r>
            <w:r w:rsidRPr="00E728F7">
              <w:rPr>
                <w:rFonts w:eastAsia="宋体"/>
                <w:sz w:val="20"/>
                <w:szCs w:val="20"/>
              </w:rPr>
              <w:t>,106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180BF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96</w:t>
            </w:r>
            <w:r w:rsidRPr="00E728F7">
              <w:rPr>
                <w:rFonts w:eastAsia="宋体"/>
                <w:sz w:val="20"/>
                <w:szCs w:val="20"/>
              </w:rPr>
              <w:t>,339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4E140" w14:textId="77777777" w:rsidR="00BB0528" w:rsidRPr="0087548E" w:rsidRDefault="00BB0528" w:rsidP="00BB05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8F7">
              <w:rPr>
                <w:sz w:val="20"/>
                <w:szCs w:val="20"/>
              </w:rPr>
              <w:t>94</w:t>
            </w:r>
            <w:r w:rsidRPr="00E728F7">
              <w:rPr>
                <w:rFonts w:eastAsia="宋体"/>
                <w:sz w:val="20"/>
                <w:szCs w:val="20"/>
              </w:rPr>
              <w:t>,723</w:t>
            </w:r>
          </w:p>
        </w:tc>
      </w:tr>
    </w:tbl>
    <w:p w14:paraId="3A1DB067" w14:textId="77777777" w:rsidR="00B024C0" w:rsidRDefault="00B024C0" w:rsidP="00B024C0">
      <w:pPr>
        <w:tabs>
          <w:tab w:val="left" w:pos="678"/>
        </w:tabs>
      </w:pPr>
    </w:p>
    <w:p w14:paraId="200528ED" w14:textId="77777777" w:rsidR="00B024C0" w:rsidRDefault="00B024C0" w:rsidP="00B024C0">
      <w:pPr>
        <w:tabs>
          <w:tab w:val="left" w:pos="678"/>
        </w:tabs>
      </w:pPr>
      <w:r>
        <w:t>Panel 2. Linear model, Poisson regression, and Negative binomial regression for SNF length-of-stay</w:t>
      </w:r>
    </w:p>
    <w:tbl>
      <w:tblPr>
        <w:tblW w:w="109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8"/>
        <w:gridCol w:w="2592"/>
        <w:gridCol w:w="2592"/>
        <w:gridCol w:w="2592"/>
      </w:tblGrid>
      <w:tr w:rsidR="00B024C0" w14:paraId="056C9DB1" w14:textId="77777777" w:rsidTr="00766918">
        <w:trPr>
          <w:trHeight w:val="240"/>
        </w:trPr>
        <w:tc>
          <w:tcPr>
            <w:tcW w:w="31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FFC6D8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7C0F8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(5) SNF length of stay</w:t>
            </w:r>
          </w:p>
        </w:tc>
      </w:tr>
      <w:tr w:rsidR="00B024C0" w14:paraId="1D3B55D5" w14:textId="77777777" w:rsidTr="00766918">
        <w:trPr>
          <w:trHeight w:val="24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2EA40A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C0219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Linear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8D5512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Poisson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983BC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Negative binomial</w:t>
            </w:r>
          </w:p>
        </w:tc>
      </w:tr>
      <w:tr w:rsidR="00B024C0" w14:paraId="78E9BA87" w14:textId="77777777" w:rsidTr="00766918">
        <w:trPr>
          <w:trHeight w:val="240"/>
        </w:trPr>
        <w:tc>
          <w:tcPr>
            <w:tcW w:w="31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5899D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13395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8C26E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BC893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112243C8" w14:textId="77777777" w:rsidTr="00766918">
        <w:trPr>
          <w:trHeight w:val="24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9A5D74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40EA4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-1.9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51</w:t>
            </w: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769839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-0.0609***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E8DAE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-0.0372***</w:t>
            </w:r>
          </w:p>
        </w:tc>
      </w:tr>
      <w:tr w:rsidR="00B024C0" w14:paraId="6B4FE1F0" w14:textId="77777777" w:rsidTr="00766918">
        <w:trPr>
          <w:trHeight w:val="24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A8F192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C51B0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AA9B86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(0.00466)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14F6E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(0.00355)</w:t>
            </w:r>
          </w:p>
        </w:tc>
      </w:tr>
      <w:tr w:rsidR="00B024C0" w14:paraId="4A784A17" w14:textId="77777777" w:rsidTr="00766918">
        <w:trPr>
          <w:trHeight w:val="24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29BA9F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D4A3F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0A384A9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C25353D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B0528" w14:paraId="5AB6EF80" w14:textId="77777777" w:rsidTr="0093163F">
        <w:trPr>
          <w:trHeight w:val="240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6CE1316A" w14:textId="2C27719D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AIC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16319E8E" w14:textId="003E5A9F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1,627,045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089C688F" w14:textId="73273D48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3,589,429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363E78D" w14:textId="4366E3DA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2"/>
                <w:sz w:val="20"/>
                <w:szCs w:val="20"/>
                <w14:ligatures w14:val="standardContextual"/>
              </w:rPr>
              <w:t>3,884,111</w:t>
            </w:r>
          </w:p>
        </w:tc>
      </w:tr>
      <w:tr w:rsidR="00BB0528" w14:paraId="6A0C6770" w14:textId="77777777" w:rsidTr="0093163F">
        <w:trPr>
          <w:trHeight w:val="240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010002E5" w14:textId="5D3FEB40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BIC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787BB24D" w14:textId="7830D3E8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1,627,529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3C742D22" w14:textId="043E6D70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3,589,903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4FF44BCA" w14:textId="69F9026E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2"/>
                <w:sz w:val="20"/>
                <w:szCs w:val="20"/>
                <w14:ligatures w14:val="standardContextual"/>
              </w:rPr>
              <w:t>3,884,595</w:t>
            </w:r>
          </w:p>
        </w:tc>
      </w:tr>
      <w:tr w:rsidR="00BB0528" w14:paraId="4A10F628" w14:textId="77777777" w:rsidTr="00766918">
        <w:trPr>
          <w:trHeight w:val="240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03BF2189" w14:textId="77777777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6763BB1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10DCD49D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02D54050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B0528" w14:paraId="11FB84BD" w14:textId="77777777" w:rsidTr="00766918">
        <w:trPr>
          <w:trHeight w:val="24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0461C" w14:textId="77777777" w:rsidR="00BB0528" w:rsidRDefault="00BB0528" w:rsidP="00BB0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764E6806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color w:val="000000"/>
                <w:sz w:val="20"/>
                <w:szCs w:val="20"/>
              </w:rPr>
              <w:t>177,249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B5CD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color w:val="000000"/>
                <w:sz w:val="20"/>
                <w:szCs w:val="20"/>
              </w:rPr>
              <w:t>176,929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C04A9E" w14:textId="77777777" w:rsidR="00BB0528" w:rsidRDefault="00BB0528" w:rsidP="00BB05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D80">
              <w:rPr>
                <w:rFonts w:eastAsiaTheme="minorEastAsia"/>
                <w:color w:val="000000"/>
                <w:sz w:val="20"/>
                <w:szCs w:val="20"/>
              </w:rPr>
              <w:t>176,929</w:t>
            </w:r>
          </w:p>
        </w:tc>
      </w:tr>
    </w:tbl>
    <w:p w14:paraId="79200B5E" w14:textId="77777777" w:rsidR="00B024C0" w:rsidRDefault="00B024C0" w:rsidP="00B024C0">
      <w:pPr>
        <w:tabs>
          <w:tab w:val="left" w:pos="678"/>
        </w:tabs>
        <w:spacing w:before="120" w:after="120"/>
      </w:pPr>
      <w:r>
        <w:t xml:space="preserve">Note: All models include hospital fixed effects. For non-linear models, coefficients are reported. </w:t>
      </w:r>
    </w:p>
    <w:p w14:paraId="5D6104A4" w14:textId="77777777" w:rsidR="00B024C0" w:rsidRDefault="00B024C0" w:rsidP="00B024C0">
      <w:pPr>
        <w:tabs>
          <w:tab w:val="left" w:pos="678"/>
        </w:tabs>
        <w:spacing w:before="120" w:after="120"/>
      </w:pPr>
    </w:p>
    <w:p w14:paraId="6DFBEC34" w14:textId="77777777" w:rsidR="00B024C0" w:rsidRDefault="00B024C0" w:rsidP="00B024C0">
      <w:r>
        <w:br w:type="page"/>
      </w:r>
    </w:p>
    <w:p w14:paraId="74A184EB" w14:textId="29C5A423" w:rsidR="00B024C0" w:rsidRDefault="00B024C0" w:rsidP="00B024C0">
      <w:r>
        <w:lastRenderedPageBreak/>
        <w:t xml:space="preserve">Appendix Table </w:t>
      </w:r>
      <w:r w:rsidR="00E04AA8">
        <w:t>8</w:t>
      </w:r>
      <w:r>
        <w:t>. Results from the subgroup of individuals receiving major joint replacement for the index hospitalization</w:t>
      </w:r>
    </w:p>
    <w:tbl>
      <w:tblPr>
        <w:tblW w:w="108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728"/>
        <w:gridCol w:w="1728"/>
        <w:gridCol w:w="1728"/>
        <w:gridCol w:w="1728"/>
        <w:gridCol w:w="1728"/>
      </w:tblGrid>
      <w:tr w:rsidR="00B024C0" w14:paraId="6F96FE64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75194A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5817B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923CE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37C5D5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AD5AA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7B0C6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(5)</w:t>
            </w:r>
          </w:p>
        </w:tc>
      </w:tr>
      <w:tr w:rsidR="00B024C0" w14:paraId="4F6910F9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AA26A9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99DD4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Any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CA323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uncondi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tional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F4A6B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unconditional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ACB2A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 Health conditional on PAC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4F0B1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SNF LOS</w:t>
            </w:r>
          </w:p>
        </w:tc>
      </w:tr>
      <w:tr w:rsidR="00B024C0" w14:paraId="00C0C10B" w14:textId="77777777" w:rsidTr="00766918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BD1353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9B1C1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91560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9E22C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AA382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3887D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14693F41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BA665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HCBS suer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5CD6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0.0262***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703F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-0.00905*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1446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0.0353***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9D31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-0.0206***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34776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-0.452</w:t>
            </w:r>
          </w:p>
        </w:tc>
      </w:tr>
      <w:tr w:rsidR="00B024C0" w14:paraId="7FE8E491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AC5BBC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FAD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(0.00398)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EBEC7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(0.00530)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9CCB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(0.00585)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01D3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(0.00573)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CB2EC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(0.372)</w:t>
            </w:r>
          </w:p>
        </w:tc>
      </w:tr>
      <w:tr w:rsidR="00B024C0" w14:paraId="55669633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9590E7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4BC1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FC35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5174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9D2C2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7348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4C0" w14:paraId="13B81A67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9D123E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CE0F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31,837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AE0C1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31,837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D14A4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31,837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DD130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28,260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F0C8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13,997</w:t>
            </w:r>
          </w:p>
        </w:tc>
      </w:tr>
      <w:tr w:rsidR="00B024C0" w14:paraId="47925EC6" w14:textId="77777777" w:rsidTr="00766918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98AB5" w14:textId="77777777" w:rsidR="00B024C0" w:rsidRDefault="00B024C0" w:rsidP="007669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023">
              <w:rPr>
                <w:rFonts w:ascii="Calibri" w:hAnsi="Calibri" w:cs="Calibri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AF87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A448B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47093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F766A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0.268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EB77E" w14:textId="77777777" w:rsidR="00B024C0" w:rsidRDefault="00B024C0" w:rsidP="007669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4CE0">
              <w:rPr>
                <w:sz w:val="20"/>
                <w:szCs w:val="20"/>
              </w:rPr>
              <w:t>0.384</w:t>
            </w:r>
          </w:p>
        </w:tc>
      </w:tr>
    </w:tbl>
    <w:p w14:paraId="554AB176" w14:textId="77777777" w:rsidR="00B024C0" w:rsidRDefault="00B024C0" w:rsidP="00B024C0">
      <w:pPr>
        <w:tabs>
          <w:tab w:val="left" w:pos="678"/>
        </w:tabs>
        <w:spacing w:before="120" w:after="120"/>
      </w:pPr>
    </w:p>
    <w:p w14:paraId="2D86EC69" w14:textId="77777777" w:rsidR="00B024C0" w:rsidRDefault="00B024C0" w:rsidP="00B024C0">
      <w:pPr>
        <w:tabs>
          <w:tab w:val="left" w:pos="678"/>
        </w:tabs>
        <w:spacing w:before="120" w:after="120"/>
      </w:pPr>
    </w:p>
    <w:p w14:paraId="0AC9770A" w14:textId="77777777" w:rsidR="00B024C0" w:rsidRDefault="00B024C0">
      <w:r>
        <w:br w:type="page"/>
      </w:r>
    </w:p>
    <w:p w14:paraId="2C284B3E" w14:textId="0A404809" w:rsidR="00B024C0" w:rsidRDefault="00B024C0" w:rsidP="00B024C0">
      <w:pPr>
        <w:tabs>
          <w:tab w:val="left" w:pos="678"/>
        </w:tabs>
        <w:spacing w:before="120" w:after="120"/>
      </w:pPr>
      <w:r>
        <w:lastRenderedPageBreak/>
        <w:t xml:space="preserve">Appendix Figure </w:t>
      </w:r>
      <w:r w:rsidR="00390AFF">
        <w:t>3</w:t>
      </w:r>
      <w:r>
        <w:t xml:space="preserve">. PAC use for patients receiving major joint replacement </w:t>
      </w:r>
    </w:p>
    <w:p w14:paraId="20DB4DDC" w14:textId="77777777" w:rsidR="00B024C0" w:rsidRDefault="00B024C0" w:rsidP="00B024C0">
      <w:pPr>
        <w:tabs>
          <w:tab w:val="left" w:pos="678"/>
        </w:tabs>
        <w:spacing w:before="120" w:after="120"/>
      </w:pPr>
      <w:r>
        <w:rPr>
          <w:noProof/>
        </w:rPr>
        <w:drawing>
          <wp:inline distT="0" distB="0" distL="0" distR="0" wp14:anchorId="61031BE6" wp14:editId="4F5229C2">
            <wp:extent cx="5891134" cy="4349075"/>
            <wp:effectExtent l="0" t="0" r="1905" b="0"/>
            <wp:docPr id="1407298874" name="Picture 1" descr="A graph of a patient receiving joint replac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98874" name="Picture 1" descr="A graph of a patient receiving joint replace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50" cy="438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BD94" w14:textId="77777777" w:rsidR="00B024C0" w:rsidRDefault="00B024C0" w:rsidP="00B024C0">
      <w:pPr>
        <w:tabs>
          <w:tab w:val="left" w:pos="678"/>
        </w:tabs>
        <w:spacing w:before="120" w:after="120"/>
      </w:pPr>
    </w:p>
    <w:p w14:paraId="6CE38345" w14:textId="0BD15D3A" w:rsidR="00B024C0" w:rsidRDefault="00B024C0" w:rsidP="00B024C0">
      <w:pPr>
        <w:spacing w:before="100" w:beforeAutospacing="1" w:after="100" w:afterAutospacing="1"/>
      </w:pPr>
      <w:r>
        <w:t xml:space="preserve">As shown in Appendix Table </w:t>
      </w:r>
      <w:r w:rsidR="00E04AA8">
        <w:t>8</w:t>
      </w:r>
      <w:r>
        <w:t>, o</w:t>
      </w:r>
      <w:r w:rsidRPr="004F5E8E">
        <w:t xml:space="preserve">ur study found an unusual relationship between </w:t>
      </w:r>
      <w:r>
        <w:t xml:space="preserve">HCBS </w:t>
      </w:r>
      <w:r w:rsidRPr="004F5E8E">
        <w:t xml:space="preserve">use and </w:t>
      </w:r>
      <w:r>
        <w:t>PAC</w:t>
      </w:r>
      <w:r w:rsidRPr="004F5E8E">
        <w:t xml:space="preserve"> utilization among patients undergoing major joint replacement. Existing HCBS users showed less home health use and more </w:t>
      </w:r>
      <w:r>
        <w:t xml:space="preserve">SNF </w:t>
      </w:r>
      <w:r w:rsidRPr="004F5E8E">
        <w:t>use, deviating from our primary findings. During the study period (201</w:t>
      </w:r>
      <w:r>
        <w:t>6</w:t>
      </w:r>
      <w:r w:rsidRPr="004F5E8E">
        <w:t>-201</w:t>
      </w:r>
      <w:r>
        <w:t>8</w:t>
      </w:r>
      <w:r w:rsidRPr="004F5E8E">
        <w:t>), Medicare introduced alternative payment models encouraging home health substitution for institutional PAC. We examined PAC use by HCBS status among joint replacement patients over the years</w:t>
      </w:r>
      <w:r>
        <w:t xml:space="preserve"> (Appendix Figure </w:t>
      </w:r>
      <w:r w:rsidR="00991EAF">
        <w:t>3)</w:t>
      </w:r>
      <w:r w:rsidRPr="004F5E8E">
        <w:t xml:space="preserve">. </w:t>
      </w:r>
      <w:r>
        <w:t>We observed an increasing trend of SNF use among non-HCBS-using patients, a decreasing trend among HCBS users</w:t>
      </w:r>
      <w:r w:rsidRPr="004F5E8E">
        <w:t xml:space="preserve">. </w:t>
      </w:r>
      <w:r>
        <w:t>This unadjusted trend is in the opposite direction of the finding of our multivariate analysis, suggesting the risk adjustment playing an important role</w:t>
      </w:r>
      <w:r w:rsidRPr="004F5E8E">
        <w:t>.</w:t>
      </w:r>
    </w:p>
    <w:p w14:paraId="4E6F5F22" w14:textId="77777777" w:rsidR="00832F85" w:rsidRDefault="00832F85"/>
    <w:sectPr w:rsidR="00832F85" w:rsidSect="009B5A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330"/>
    <w:multiLevelType w:val="multilevel"/>
    <w:tmpl w:val="D58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D4D3B"/>
    <w:multiLevelType w:val="multilevel"/>
    <w:tmpl w:val="43D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C0"/>
    <w:rsid w:val="00005A8D"/>
    <w:rsid w:val="0008013F"/>
    <w:rsid w:val="00090F60"/>
    <w:rsid w:val="000C4840"/>
    <w:rsid w:val="000F5709"/>
    <w:rsid w:val="00133B4B"/>
    <w:rsid w:val="001B052C"/>
    <w:rsid w:val="001D4246"/>
    <w:rsid w:val="001E3738"/>
    <w:rsid w:val="002434A2"/>
    <w:rsid w:val="002A2EF3"/>
    <w:rsid w:val="002E7870"/>
    <w:rsid w:val="00390AFF"/>
    <w:rsid w:val="003A08DC"/>
    <w:rsid w:val="00461520"/>
    <w:rsid w:val="0051498D"/>
    <w:rsid w:val="005C2CBD"/>
    <w:rsid w:val="005E42EA"/>
    <w:rsid w:val="00644D5B"/>
    <w:rsid w:val="006A5DB7"/>
    <w:rsid w:val="006A63FA"/>
    <w:rsid w:val="006A74B5"/>
    <w:rsid w:val="00731F00"/>
    <w:rsid w:val="0073623A"/>
    <w:rsid w:val="007566CC"/>
    <w:rsid w:val="00783A59"/>
    <w:rsid w:val="00803A09"/>
    <w:rsid w:val="0082561F"/>
    <w:rsid w:val="00832F85"/>
    <w:rsid w:val="0084582E"/>
    <w:rsid w:val="00871B9B"/>
    <w:rsid w:val="008767DB"/>
    <w:rsid w:val="008C28CD"/>
    <w:rsid w:val="009057E8"/>
    <w:rsid w:val="0097503C"/>
    <w:rsid w:val="00991EAF"/>
    <w:rsid w:val="009B5A8C"/>
    <w:rsid w:val="00B024C0"/>
    <w:rsid w:val="00B47279"/>
    <w:rsid w:val="00B654CE"/>
    <w:rsid w:val="00BB0528"/>
    <w:rsid w:val="00C23928"/>
    <w:rsid w:val="00C254FA"/>
    <w:rsid w:val="00CA3B6F"/>
    <w:rsid w:val="00CA5A5E"/>
    <w:rsid w:val="00CB41D0"/>
    <w:rsid w:val="00D138EC"/>
    <w:rsid w:val="00D93F51"/>
    <w:rsid w:val="00D958E2"/>
    <w:rsid w:val="00DC0BAC"/>
    <w:rsid w:val="00DD6EF5"/>
    <w:rsid w:val="00E04AA8"/>
    <w:rsid w:val="00E161D6"/>
    <w:rsid w:val="00EC28E2"/>
    <w:rsid w:val="00EF447D"/>
    <w:rsid w:val="00F11F5A"/>
    <w:rsid w:val="00F25546"/>
    <w:rsid w:val="00F40118"/>
    <w:rsid w:val="00F41AA6"/>
    <w:rsid w:val="00F92305"/>
    <w:rsid w:val="00FC04E9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4709"/>
  <w15:chartTrackingRefBased/>
  <w15:docId w15:val="{753B462F-D260-3144-A2B5-FFFDFBF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C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4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4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024C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024C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024C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024C0"/>
    <w:rPr>
      <w:color w:val="0000FF"/>
      <w:u w:val="single"/>
    </w:rPr>
  </w:style>
  <w:style w:type="table" w:styleId="PlainTable1">
    <w:name w:val="Plain Table 1"/>
    <w:basedOn w:val="TableNormal"/>
    <w:uiPriority w:val="41"/>
    <w:rsid w:val="00B024C0"/>
    <w:rPr>
      <w:rFonts w:eastAsia="Times New Roman" w:cs="Times New Roman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024C0"/>
    <w:pPr>
      <w:autoSpaceDE w:val="0"/>
      <w:autoSpaceDN w:val="0"/>
      <w:adjustRightInd w:val="0"/>
    </w:pPr>
    <w:rPr>
      <w:rFonts w:ascii="Roboto" w:hAnsi="Roboto" w:cs="Roboto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2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4C0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4C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4C0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C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B024C0"/>
    <w:rPr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B024C0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024C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024C0"/>
  </w:style>
  <w:style w:type="character" w:customStyle="1" w:styleId="EndNoteBibliographyChar">
    <w:name w:val="EndNote Bibliography Char"/>
    <w:basedOn w:val="DefaultParagraphFont"/>
    <w:link w:val="EndNoteBibliography"/>
    <w:rsid w:val="00B024C0"/>
    <w:rPr>
      <w:rFonts w:ascii="Times New Roman" w:eastAsia="Times New Roman" w:hAnsi="Times New Roman" w:cs="Times New Roman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24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4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024C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6930</Words>
  <Characters>7001</Characters>
  <Application>Microsoft Office Word</Application>
  <DocSecurity>0</DocSecurity>
  <Lines>269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Sijiu Wang</dc:creator>
  <cp:keywords/>
  <dc:description/>
  <cp:lastModifiedBy>Sijiu Wang</cp:lastModifiedBy>
  <cp:revision>3</cp:revision>
  <dcterms:created xsi:type="dcterms:W3CDTF">2024-02-29T09:39:00Z</dcterms:created>
  <dcterms:modified xsi:type="dcterms:W3CDTF">2024-03-04T17:22:00Z</dcterms:modified>
</cp:coreProperties>
</file>