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79AF7" w14:textId="79FD3D85" w:rsidR="00F30D71" w:rsidRPr="000333DE" w:rsidRDefault="00F30D71" w:rsidP="00F30D71">
      <w:pPr>
        <w:spacing w:line="276" w:lineRule="auto"/>
        <w:jc w:val="center"/>
        <w:rPr>
          <w:rFonts w:eastAsiaTheme="majorEastAsia" w:cstheme="majorBidi"/>
          <w:b/>
          <w:spacing w:val="-10"/>
          <w:kern w:val="28"/>
          <w:sz w:val="26"/>
          <w:szCs w:val="26"/>
        </w:rPr>
      </w:pPr>
      <w:r w:rsidRPr="000333DE">
        <w:rPr>
          <w:rFonts w:eastAsiaTheme="majorEastAsia" w:cstheme="majorBidi"/>
          <w:b/>
          <w:spacing w:val="-10"/>
          <w:kern w:val="28"/>
          <w:sz w:val="26"/>
          <w:szCs w:val="26"/>
        </w:rPr>
        <w:t>Brain Plasticity and Neuroinflammatory Protein Biomarkers with Circulating MicroRNAs as Predictors of Acute Brain Injury Outcome</w:t>
      </w:r>
      <w:r w:rsidR="000F2535" w:rsidRPr="000333DE">
        <w:rPr>
          <w:rFonts w:eastAsiaTheme="majorEastAsia" w:cstheme="majorBidi"/>
          <w:b/>
          <w:spacing w:val="-10"/>
          <w:kern w:val="28"/>
          <w:sz w:val="26"/>
          <w:szCs w:val="26"/>
        </w:rPr>
        <w:t xml:space="preserve"> – A Prospective Cohort Study</w:t>
      </w:r>
    </w:p>
    <w:p w14:paraId="13B0A53D" w14:textId="1981C22E" w:rsidR="00F30D71" w:rsidRPr="000333DE" w:rsidRDefault="00F30D71" w:rsidP="00F30D71">
      <w:pPr>
        <w:spacing w:line="276" w:lineRule="auto"/>
        <w:jc w:val="center"/>
        <w:rPr>
          <w:sz w:val="21"/>
          <w:szCs w:val="21"/>
        </w:rPr>
      </w:pPr>
      <w:r w:rsidRPr="000333DE">
        <w:rPr>
          <w:sz w:val="21"/>
          <w:szCs w:val="21"/>
        </w:rPr>
        <w:t>Antti Sajanti MD</w:t>
      </w:r>
      <w:r w:rsidRPr="000333DE">
        <w:rPr>
          <w:sz w:val="21"/>
          <w:szCs w:val="21"/>
          <w:vertAlign w:val="superscript"/>
        </w:rPr>
        <w:t>1</w:t>
      </w:r>
      <w:r w:rsidRPr="000333DE">
        <w:rPr>
          <w:rFonts w:cs="Times New Roman"/>
          <w:b/>
          <w:sz w:val="21"/>
          <w:szCs w:val="21"/>
          <w:vertAlign w:val="superscript"/>
        </w:rPr>
        <w:t>†</w:t>
      </w:r>
      <w:r w:rsidRPr="000333DE">
        <w:rPr>
          <w:sz w:val="21"/>
          <w:szCs w:val="21"/>
        </w:rPr>
        <w:t>, Yan Li PhD</w:t>
      </w:r>
      <w:r w:rsidRPr="000333DE">
        <w:rPr>
          <w:sz w:val="21"/>
          <w:szCs w:val="21"/>
          <w:vertAlign w:val="superscript"/>
        </w:rPr>
        <w:t>2</w:t>
      </w:r>
      <w:r w:rsidRPr="000333DE">
        <w:rPr>
          <w:rFonts w:cs="Times New Roman"/>
          <w:b/>
          <w:sz w:val="21"/>
          <w:szCs w:val="21"/>
          <w:vertAlign w:val="superscript"/>
        </w:rPr>
        <w:t>†</w:t>
      </w:r>
      <w:r w:rsidRPr="000333DE">
        <w:rPr>
          <w:sz w:val="21"/>
          <w:szCs w:val="21"/>
        </w:rPr>
        <w:t>, Santtu Hellström BM</w:t>
      </w:r>
      <w:r w:rsidRPr="000333DE">
        <w:rPr>
          <w:sz w:val="21"/>
          <w:szCs w:val="21"/>
          <w:vertAlign w:val="superscript"/>
        </w:rPr>
        <w:t>1</w:t>
      </w:r>
      <w:r w:rsidRPr="000333DE">
        <w:rPr>
          <w:sz w:val="21"/>
          <w:szCs w:val="21"/>
        </w:rPr>
        <w:t>, Ying Cao MS</w:t>
      </w:r>
      <w:r w:rsidRPr="000333DE">
        <w:rPr>
          <w:sz w:val="21"/>
          <w:szCs w:val="21"/>
          <w:vertAlign w:val="superscript"/>
        </w:rPr>
        <w:t>3</w:t>
      </w:r>
      <w:r w:rsidRPr="000333DE">
        <w:rPr>
          <w:sz w:val="21"/>
          <w:szCs w:val="21"/>
        </w:rPr>
        <w:t>, Romuald Girard PhD</w:t>
      </w:r>
      <w:r w:rsidRPr="000333DE">
        <w:rPr>
          <w:sz w:val="21"/>
          <w:szCs w:val="21"/>
          <w:vertAlign w:val="superscript"/>
        </w:rPr>
        <w:t>4</w:t>
      </w:r>
      <w:r w:rsidRPr="000333DE">
        <w:rPr>
          <w:sz w:val="21"/>
          <w:szCs w:val="21"/>
        </w:rPr>
        <w:t>, Juzoh Umemori PhD</w:t>
      </w:r>
      <w:r w:rsidRPr="000333DE">
        <w:rPr>
          <w:sz w:val="21"/>
          <w:szCs w:val="21"/>
          <w:vertAlign w:val="superscript"/>
        </w:rPr>
        <w:t>5,6</w:t>
      </w:r>
      <w:r w:rsidRPr="000333DE">
        <w:rPr>
          <w:sz w:val="21"/>
          <w:szCs w:val="21"/>
        </w:rPr>
        <w:t>, Janek Frantzén MD, PhD</w:t>
      </w:r>
      <w:r w:rsidRPr="000333DE">
        <w:rPr>
          <w:sz w:val="21"/>
          <w:szCs w:val="21"/>
          <w:vertAlign w:val="superscript"/>
        </w:rPr>
        <w:t>1</w:t>
      </w:r>
      <w:r w:rsidRPr="000333DE">
        <w:rPr>
          <w:sz w:val="21"/>
          <w:szCs w:val="21"/>
        </w:rPr>
        <w:t>, Fredrika Koskimäki MD</w:t>
      </w:r>
      <w:r w:rsidRPr="000333DE">
        <w:rPr>
          <w:sz w:val="21"/>
          <w:szCs w:val="21"/>
          <w:vertAlign w:val="superscript"/>
        </w:rPr>
        <w:t>7</w:t>
      </w:r>
      <w:r w:rsidRPr="000333DE">
        <w:rPr>
          <w:sz w:val="21"/>
          <w:szCs w:val="21"/>
        </w:rPr>
        <w:t>, Seán B. Lyne MD</w:t>
      </w:r>
      <w:r w:rsidRPr="000333DE">
        <w:rPr>
          <w:sz w:val="21"/>
          <w:szCs w:val="21"/>
          <w:vertAlign w:val="superscript"/>
        </w:rPr>
        <w:t>8</w:t>
      </w:r>
      <w:r w:rsidRPr="000333DE">
        <w:rPr>
          <w:sz w:val="21"/>
          <w:szCs w:val="21"/>
        </w:rPr>
        <w:t>, Johannes Falter MD</w:t>
      </w:r>
      <w:r w:rsidRPr="000333DE">
        <w:rPr>
          <w:sz w:val="21"/>
          <w:szCs w:val="21"/>
          <w:vertAlign w:val="superscript"/>
        </w:rPr>
        <w:t>9</w:t>
      </w:r>
      <w:r w:rsidRPr="000333DE">
        <w:rPr>
          <w:sz w:val="21"/>
          <w:szCs w:val="21"/>
        </w:rPr>
        <w:t>, Tomi Rantamäki PhD</w:t>
      </w:r>
      <w:r w:rsidRPr="000333DE">
        <w:rPr>
          <w:sz w:val="21"/>
          <w:szCs w:val="21"/>
          <w:vertAlign w:val="superscript"/>
        </w:rPr>
        <w:t>10,11</w:t>
      </w:r>
      <w:r w:rsidRPr="000333DE">
        <w:rPr>
          <w:sz w:val="21"/>
          <w:szCs w:val="21"/>
        </w:rPr>
        <w:t>, Riikka Takala MD, PhD</w:t>
      </w:r>
      <w:r w:rsidRPr="000333DE">
        <w:rPr>
          <w:sz w:val="21"/>
          <w:szCs w:val="21"/>
          <w:vertAlign w:val="superscript"/>
        </w:rPr>
        <w:t>12</w:t>
      </w:r>
      <w:r w:rsidRPr="000333DE">
        <w:rPr>
          <w:sz w:val="21"/>
          <w:szCs w:val="21"/>
        </w:rPr>
        <w:t>, Jussi P. Posti MD, PhD</w:t>
      </w:r>
      <w:r w:rsidRPr="000333DE">
        <w:rPr>
          <w:sz w:val="21"/>
          <w:szCs w:val="21"/>
          <w:vertAlign w:val="superscript"/>
        </w:rPr>
        <w:t>1</w:t>
      </w:r>
      <w:r w:rsidRPr="000333DE">
        <w:rPr>
          <w:sz w:val="21"/>
          <w:szCs w:val="21"/>
        </w:rPr>
        <w:t>, Susanna Roine MD, PhD</w:t>
      </w:r>
      <w:r w:rsidRPr="000333DE">
        <w:rPr>
          <w:sz w:val="21"/>
          <w:szCs w:val="21"/>
          <w:vertAlign w:val="superscript"/>
        </w:rPr>
        <w:t>7</w:t>
      </w:r>
      <w:r w:rsidRPr="000333DE">
        <w:rPr>
          <w:sz w:val="21"/>
          <w:szCs w:val="21"/>
        </w:rPr>
        <w:t>, Sulo Kolehmainen BS</w:t>
      </w:r>
      <w:r w:rsidRPr="000333DE">
        <w:rPr>
          <w:sz w:val="21"/>
          <w:szCs w:val="21"/>
          <w:vertAlign w:val="superscript"/>
        </w:rPr>
        <w:t>5</w:t>
      </w:r>
      <w:r w:rsidRPr="000333DE">
        <w:rPr>
          <w:sz w:val="21"/>
          <w:szCs w:val="21"/>
        </w:rPr>
        <w:t>, Abhinav Srinath BA</w:t>
      </w:r>
      <w:r w:rsidRPr="000333DE">
        <w:rPr>
          <w:sz w:val="21"/>
          <w:szCs w:val="21"/>
          <w:vertAlign w:val="superscript"/>
        </w:rPr>
        <w:t>4</w:t>
      </w:r>
      <w:r w:rsidRPr="000333DE">
        <w:rPr>
          <w:sz w:val="21"/>
          <w:szCs w:val="21"/>
        </w:rPr>
        <w:t>, Miro Jänkälä MD</w:t>
      </w:r>
      <w:r w:rsidRPr="000333DE">
        <w:rPr>
          <w:sz w:val="21"/>
          <w:szCs w:val="21"/>
          <w:vertAlign w:val="superscript"/>
        </w:rPr>
        <w:t>13</w:t>
      </w:r>
      <w:r w:rsidRPr="000333DE">
        <w:rPr>
          <w:sz w:val="21"/>
          <w:szCs w:val="21"/>
        </w:rPr>
        <w:t>, Jukka Puolitaival MD</w:t>
      </w:r>
      <w:r w:rsidRPr="000333DE">
        <w:rPr>
          <w:sz w:val="21"/>
          <w:szCs w:val="21"/>
          <w:vertAlign w:val="superscript"/>
        </w:rPr>
        <w:t>13</w:t>
      </w:r>
      <w:r w:rsidRPr="000333DE">
        <w:rPr>
          <w:sz w:val="21"/>
          <w:szCs w:val="21"/>
        </w:rPr>
        <w:t>, Melissa Rahi MD, PhD</w:t>
      </w:r>
      <w:r w:rsidRPr="000333DE">
        <w:rPr>
          <w:sz w:val="21"/>
          <w:szCs w:val="21"/>
          <w:vertAlign w:val="superscript"/>
        </w:rPr>
        <w:t>1</w:t>
      </w:r>
      <w:r w:rsidRPr="000333DE">
        <w:rPr>
          <w:sz w:val="21"/>
          <w:szCs w:val="21"/>
        </w:rPr>
        <w:t>, Jaakko Rinne MD, PhD</w:t>
      </w:r>
      <w:r w:rsidRPr="000333DE">
        <w:rPr>
          <w:sz w:val="21"/>
          <w:szCs w:val="21"/>
          <w:vertAlign w:val="superscript"/>
        </w:rPr>
        <w:t>1</w:t>
      </w:r>
      <w:r w:rsidRPr="000333DE">
        <w:rPr>
          <w:sz w:val="21"/>
          <w:szCs w:val="21"/>
        </w:rPr>
        <w:t>, Eero Castrén MD, PhD</w:t>
      </w:r>
      <w:r w:rsidRPr="000333DE">
        <w:rPr>
          <w:sz w:val="21"/>
          <w:szCs w:val="21"/>
          <w:vertAlign w:val="superscript"/>
        </w:rPr>
        <w:t>5</w:t>
      </w:r>
      <w:r w:rsidRPr="000333DE">
        <w:rPr>
          <w:sz w:val="21"/>
          <w:szCs w:val="21"/>
        </w:rPr>
        <w:t>, Janne Koskimäki MD, PhD</w:t>
      </w:r>
      <w:r w:rsidRPr="000333DE">
        <w:rPr>
          <w:sz w:val="21"/>
          <w:szCs w:val="21"/>
          <w:vertAlign w:val="superscript"/>
        </w:rPr>
        <w:t>1,</w:t>
      </w:r>
      <w:r w:rsidR="00306A8D" w:rsidRPr="000333DE">
        <w:rPr>
          <w:sz w:val="21"/>
          <w:szCs w:val="21"/>
          <w:vertAlign w:val="superscript"/>
        </w:rPr>
        <w:t>5</w:t>
      </w:r>
      <w:r w:rsidR="00094016" w:rsidRPr="000333DE">
        <w:rPr>
          <w:sz w:val="21"/>
          <w:szCs w:val="21"/>
          <w:vertAlign w:val="superscript"/>
        </w:rPr>
        <w:t>,</w:t>
      </w:r>
      <w:r w:rsidR="00306A8D" w:rsidRPr="000333DE">
        <w:rPr>
          <w:sz w:val="21"/>
          <w:szCs w:val="21"/>
          <w:vertAlign w:val="superscript"/>
        </w:rPr>
        <w:t>13</w:t>
      </w:r>
    </w:p>
    <w:p w14:paraId="7ABFCEC7" w14:textId="77777777" w:rsidR="00F30D71" w:rsidRPr="000333DE" w:rsidRDefault="00F30D71" w:rsidP="00F30D71">
      <w:pPr>
        <w:spacing w:line="360" w:lineRule="auto"/>
        <w:rPr>
          <w:b/>
          <w:sz w:val="20"/>
          <w:szCs w:val="18"/>
        </w:rPr>
      </w:pPr>
      <w:r w:rsidRPr="000333DE">
        <w:rPr>
          <w:rFonts w:cs="Times New Roman"/>
          <w:b/>
          <w:sz w:val="20"/>
          <w:szCs w:val="18"/>
          <w:vertAlign w:val="superscript"/>
        </w:rPr>
        <w:t>†</w:t>
      </w:r>
      <w:r w:rsidRPr="000333DE">
        <w:rPr>
          <w:b/>
          <w:sz w:val="20"/>
          <w:szCs w:val="18"/>
        </w:rPr>
        <w:t xml:space="preserve">These authors contributed equally to this work. </w:t>
      </w:r>
    </w:p>
    <w:p w14:paraId="2B6C9C49" w14:textId="77777777" w:rsidR="00F30D71" w:rsidRPr="000333DE" w:rsidRDefault="00F30D71" w:rsidP="00F30D71">
      <w:pPr>
        <w:spacing w:line="276" w:lineRule="auto"/>
        <w:rPr>
          <w:b/>
          <w:sz w:val="20"/>
          <w:szCs w:val="18"/>
        </w:rPr>
      </w:pPr>
      <w:r w:rsidRPr="000333DE">
        <w:rPr>
          <w:b/>
          <w:sz w:val="20"/>
          <w:szCs w:val="18"/>
        </w:rPr>
        <w:t>Author affiliations:</w:t>
      </w:r>
    </w:p>
    <w:p w14:paraId="00B456E5" w14:textId="77777777" w:rsidR="00F30D71" w:rsidRPr="000333DE" w:rsidRDefault="00F30D71" w:rsidP="00F30D71">
      <w:pPr>
        <w:spacing w:line="276" w:lineRule="auto"/>
        <w:rPr>
          <w:rFonts w:cs="Times New Roman"/>
          <w:sz w:val="20"/>
          <w:szCs w:val="20"/>
          <w:lang w:val="en-US"/>
        </w:rPr>
      </w:pPr>
      <w:r w:rsidRPr="000333DE">
        <w:rPr>
          <w:rFonts w:cs="Times New Roman"/>
          <w:sz w:val="20"/>
          <w:szCs w:val="20"/>
          <w:vertAlign w:val="superscript"/>
          <w:lang w:val="en-US"/>
        </w:rPr>
        <w:t>1</w:t>
      </w:r>
      <w:r w:rsidRPr="000333DE">
        <w:rPr>
          <w:rFonts w:cs="Times New Roman"/>
          <w:sz w:val="20"/>
          <w:szCs w:val="20"/>
          <w:lang w:val="en-US"/>
        </w:rPr>
        <w:t>Neurocenter, Department of Neurosurgery, Turku University Hospital and University of Turku, P.O. Box 52, FI-20521, Turku, Finland.</w:t>
      </w:r>
    </w:p>
    <w:p w14:paraId="21762F6A" w14:textId="77777777" w:rsidR="00F30D71" w:rsidRPr="000333DE" w:rsidRDefault="00F30D71" w:rsidP="00F30D71">
      <w:pPr>
        <w:spacing w:line="276" w:lineRule="auto"/>
        <w:rPr>
          <w:rFonts w:cs="Times New Roman"/>
          <w:sz w:val="20"/>
          <w:szCs w:val="20"/>
          <w:lang w:val="en-US"/>
        </w:rPr>
      </w:pPr>
      <w:r w:rsidRPr="000333DE">
        <w:rPr>
          <w:rFonts w:cs="Times New Roman"/>
          <w:sz w:val="20"/>
          <w:szCs w:val="20"/>
          <w:vertAlign w:val="superscript"/>
          <w:lang w:val="en-US"/>
        </w:rPr>
        <w:t>2</w:t>
      </w:r>
      <w:r w:rsidRPr="000333DE">
        <w:rPr>
          <w:rFonts w:cs="Times New Roman"/>
          <w:sz w:val="20"/>
          <w:szCs w:val="20"/>
          <w:lang w:val="en-US"/>
        </w:rPr>
        <w:t>Center for Research Informatics, The University of Chicago, Chicago, IL 60637, US.</w:t>
      </w:r>
    </w:p>
    <w:p w14:paraId="4E05AD08" w14:textId="77777777" w:rsidR="00F30D71" w:rsidRPr="000333DE" w:rsidRDefault="00F30D71" w:rsidP="00F30D71">
      <w:pPr>
        <w:spacing w:line="276" w:lineRule="auto"/>
        <w:rPr>
          <w:sz w:val="20"/>
          <w:szCs w:val="20"/>
          <w:lang w:val="en-US"/>
        </w:rPr>
      </w:pPr>
      <w:r w:rsidRPr="000333DE">
        <w:rPr>
          <w:rFonts w:cs="Times New Roman"/>
          <w:sz w:val="20"/>
          <w:szCs w:val="20"/>
          <w:vertAlign w:val="superscript"/>
          <w:lang w:val="en-US"/>
        </w:rPr>
        <w:t>3</w:t>
      </w:r>
      <w:r w:rsidRPr="000333DE">
        <w:rPr>
          <w:sz w:val="20"/>
          <w:szCs w:val="20"/>
          <w:lang w:val="en-US"/>
        </w:rPr>
        <w:t>Department of Radiation Oncology, Kansas University Medical Center, Kansas City, KS 66160, USA</w:t>
      </w:r>
    </w:p>
    <w:p w14:paraId="4ACBE1BC" w14:textId="77777777" w:rsidR="00F30D71" w:rsidRPr="000333DE" w:rsidRDefault="00F30D71" w:rsidP="00F30D71">
      <w:pPr>
        <w:spacing w:line="276" w:lineRule="auto"/>
        <w:rPr>
          <w:rFonts w:cs="Times New Roman"/>
          <w:sz w:val="20"/>
          <w:szCs w:val="20"/>
          <w:lang w:val="en-US"/>
        </w:rPr>
      </w:pPr>
      <w:r w:rsidRPr="000333DE">
        <w:rPr>
          <w:rFonts w:cs="Times New Roman"/>
          <w:sz w:val="20"/>
          <w:szCs w:val="20"/>
          <w:vertAlign w:val="superscript"/>
          <w:lang w:val="en-US"/>
        </w:rPr>
        <w:t>4</w:t>
      </w:r>
      <w:r w:rsidRPr="000333DE">
        <w:rPr>
          <w:rFonts w:cs="Times New Roman"/>
          <w:sz w:val="20"/>
          <w:szCs w:val="20"/>
          <w:lang w:val="en-US"/>
        </w:rPr>
        <w:t>Neurovascular Surgery Program, Section of Neurosurgery, The University of Chicago Medicine and Biological Sciences, Chicago, IL 60637, US.</w:t>
      </w:r>
    </w:p>
    <w:p w14:paraId="0A9FD8F2" w14:textId="77777777" w:rsidR="00F30D71" w:rsidRPr="000333DE" w:rsidRDefault="00F30D71" w:rsidP="00F30D71">
      <w:pPr>
        <w:spacing w:line="276" w:lineRule="auto"/>
        <w:rPr>
          <w:rFonts w:cs="Times New Roman"/>
          <w:sz w:val="20"/>
          <w:szCs w:val="20"/>
          <w:lang w:val="en-US"/>
        </w:rPr>
      </w:pPr>
      <w:r w:rsidRPr="000333DE">
        <w:rPr>
          <w:rFonts w:cs="Times New Roman"/>
          <w:sz w:val="20"/>
          <w:szCs w:val="20"/>
          <w:vertAlign w:val="superscript"/>
          <w:lang w:val="en-US"/>
        </w:rPr>
        <w:t>5</w:t>
      </w:r>
      <w:r w:rsidRPr="000333DE">
        <w:rPr>
          <w:rFonts w:cs="Times New Roman"/>
          <w:sz w:val="20"/>
          <w:szCs w:val="20"/>
          <w:lang w:val="en-US"/>
        </w:rPr>
        <w:t>Neuroscience Center, HiLIFE, University of Helsinki, P.O. Box 63, FI-00014 Helsinki, Finland.</w:t>
      </w:r>
    </w:p>
    <w:p w14:paraId="315261C1" w14:textId="77777777" w:rsidR="00F30D71" w:rsidRPr="000333DE" w:rsidRDefault="00F30D71" w:rsidP="00F30D71">
      <w:pPr>
        <w:spacing w:line="276" w:lineRule="auto"/>
        <w:rPr>
          <w:rFonts w:cs="Times New Roman"/>
          <w:sz w:val="20"/>
          <w:szCs w:val="20"/>
          <w:lang w:val="en-US"/>
        </w:rPr>
      </w:pPr>
      <w:r w:rsidRPr="000333DE">
        <w:rPr>
          <w:rFonts w:cs="Times New Roman"/>
          <w:sz w:val="20"/>
          <w:szCs w:val="20"/>
          <w:vertAlign w:val="superscript"/>
          <w:lang w:val="en-US"/>
        </w:rPr>
        <w:t>6</w:t>
      </w:r>
      <w:r w:rsidRPr="000333DE">
        <w:rPr>
          <w:rFonts w:cs="Times New Roman"/>
          <w:sz w:val="20"/>
          <w:szCs w:val="20"/>
          <w:lang w:val="en-US"/>
        </w:rPr>
        <w:t>Gene and Cell technology, A. I. Virtanen Institute for Molecular Sciences, University of Eastern Finland, Neulaniementie 2, 70211 Kuopio, Finland.</w:t>
      </w:r>
    </w:p>
    <w:p w14:paraId="407CF88A" w14:textId="77777777" w:rsidR="00F30D71" w:rsidRPr="000333DE" w:rsidRDefault="00F30D71" w:rsidP="00F30D71">
      <w:pPr>
        <w:spacing w:line="276" w:lineRule="auto"/>
        <w:rPr>
          <w:rFonts w:cs="Times New Roman"/>
          <w:sz w:val="20"/>
          <w:szCs w:val="20"/>
          <w:lang w:val="en-US"/>
        </w:rPr>
      </w:pPr>
      <w:r w:rsidRPr="000333DE">
        <w:rPr>
          <w:rFonts w:cs="Times New Roman"/>
          <w:sz w:val="20"/>
          <w:szCs w:val="20"/>
          <w:vertAlign w:val="superscript"/>
          <w:lang w:val="en-US"/>
        </w:rPr>
        <w:t>7</w:t>
      </w:r>
      <w:r w:rsidRPr="000333DE">
        <w:rPr>
          <w:rFonts w:cs="Times New Roman"/>
          <w:sz w:val="20"/>
          <w:szCs w:val="20"/>
          <w:lang w:val="en-US"/>
        </w:rPr>
        <w:t>Neurocenter, Acute Stroke Unit, Turku University Hospital, P.O. Box 52, FI-20521, Turku, Finland</w:t>
      </w:r>
    </w:p>
    <w:p w14:paraId="15578E4B" w14:textId="77777777" w:rsidR="00F30D71" w:rsidRPr="000333DE" w:rsidRDefault="00F30D71" w:rsidP="00F30D71">
      <w:pPr>
        <w:spacing w:line="276" w:lineRule="auto"/>
        <w:rPr>
          <w:rFonts w:cs="Times New Roman"/>
          <w:sz w:val="20"/>
          <w:szCs w:val="20"/>
          <w:lang w:val="en-US"/>
        </w:rPr>
      </w:pPr>
      <w:r w:rsidRPr="000333DE">
        <w:rPr>
          <w:rFonts w:cs="Times New Roman"/>
          <w:sz w:val="20"/>
          <w:szCs w:val="20"/>
          <w:vertAlign w:val="superscript"/>
          <w:lang w:val="en-US"/>
        </w:rPr>
        <w:t>8</w:t>
      </w:r>
      <w:r w:rsidRPr="000333DE">
        <w:rPr>
          <w:rFonts w:cs="Times New Roman"/>
          <w:sz w:val="20"/>
          <w:szCs w:val="20"/>
          <w:lang w:val="en-US"/>
        </w:rPr>
        <w:t>Department of Neurosurgery, Brigham and Women’s Hospital, Harvard Medical School, Boston, MA, US.</w:t>
      </w:r>
    </w:p>
    <w:p w14:paraId="5AFA83A6" w14:textId="77777777" w:rsidR="00F30D71" w:rsidRPr="000333DE" w:rsidRDefault="00F30D71" w:rsidP="00F30D71">
      <w:pPr>
        <w:spacing w:line="276" w:lineRule="auto"/>
        <w:rPr>
          <w:rFonts w:cs="Times New Roman"/>
          <w:sz w:val="20"/>
          <w:szCs w:val="20"/>
          <w:lang w:val="en-US"/>
        </w:rPr>
      </w:pPr>
      <w:r w:rsidRPr="000333DE">
        <w:rPr>
          <w:rFonts w:cs="Times New Roman"/>
          <w:sz w:val="20"/>
          <w:szCs w:val="20"/>
          <w:vertAlign w:val="superscript"/>
          <w:lang w:val="en-US"/>
        </w:rPr>
        <w:t>9</w:t>
      </w:r>
      <w:r w:rsidRPr="000333DE">
        <w:rPr>
          <w:rFonts w:cs="Times New Roman"/>
          <w:sz w:val="20"/>
          <w:szCs w:val="20"/>
          <w:lang w:val="en-US"/>
        </w:rPr>
        <w:t>Department of Neurosurgery, University Medical Center of Regensburg, Regensburg, 93042, Germany</w:t>
      </w:r>
    </w:p>
    <w:p w14:paraId="57995E2E" w14:textId="77777777" w:rsidR="00F30D71" w:rsidRPr="000333DE" w:rsidRDefault="00F30D71" w:rsidP="00F30D71">
      <w:pPr>
        <w:spacing w:line="276" w:lineRule="auto"/>
        <w:rPr>
          <w:rFonts w:cs="Times New Roman"/>
          <w:sz w:val="20"/>
          <w:szCs w:val="20"/>
          <w:lang w:val="en-US"/>
        </w:rPr>
      </w:pPr>
      <w:r w:rsidRPr="000333DE">
        <w:rPr>
          <w:rFonts w:cs="Times New Roman"/>
          <w:sz w:val="20"/>
          <w:szCs w:val="20"/>
          <w:vertAlign w:val="superscript"/>
          <w:lang w:val="en-US"/>
        </w:rPr>
        <w:t>10</w:t>
      </w:r>
      <w:r w:rsidRPr="000333DE">
        <w:rPr>
          <w:rFonts w:cs="Times New Roman"/>
          <w:sz w:val="20"/>
          <w:szCs w:val="20"/>
          <w:lang w:val="en-US"/>
        </w:rPr>
        <w:t>Laboratory of Neurotherapeutics, Drug Research Program, Division of Pharmacology and Pharmacotherapy, Faculty of Pharmacy, University of Helsinki, P.O. Box 56, FI-00014 Helsinki, Finland</w:t>
      </w:r>
    </w:p>
    <w:p w14:paraId="31BEF39D" w14:textId="77777777" w:rsidR="00F30D71" w:rsidRPr="000333DE" w:rsidRDefault="00F30D71" w:rsidP="00F30D71">
      <w:pPr>
        <w:spacing w:line="276" w:lineRule="auto"/>
        <w:rPr>
          <w:rFonts w:cs="Times New Roman"/>
          <w:sz w:val="20"/>
          <w:szCs w:val="20"/>
          <w:lang w:val="en-US"/>
        </w:rPr>
      </w:pPr>
      <w:r w:rsidRPr="000333DE">
        <w:rPr>
          <w:rFonts w:cs="Times New Roman"/>
          <w:sz w:val="20"/>
          <w:szCs w:val="20"/>
          <w:vertAlign w:val="superscript"/>
          <w:lang w:val="en-US"/>
        </w:rPr>
        <w:t>11</w:t>
      </w:r>
      <w:r w:rsidRPr="000333DE">
        <w:rPr>
          <w:rFonts w:cs="Times New Roman"/>
          <w:sz w:val="20"/>
          <w:szCs w:val="20"/>
          <w:lang w:val="en-US"/>
        </w:rPr>
        <w:t>SleepWell Research Program, Faculty of Medicine, University of Helsinki, P.O. Box 63, FI-00014 Helsinki, Finland</w:t>
      </w:r>
    </w:p>
    <w:p w14:paraId="05948CE7" w14:textId="77777777" w:rsidR="00F30D71" w:rsidRPr="000333DE" w:rsidRDefault="00F30D71" w:rsidP="00F30D71">
      <w:pPr>
        <w:pStyle w:val="Eivli"/>
        <w:spacing w:line="276" w:lineRule="auto"/>
        <w:jc w:val="both"/>
        <w:rPr>
          <w:rFonts w:ascii="Times New Roman" w:hAnsi="Times New Roman" w:cs="Times New Roman"/>
          <w:sz w:val="20"/>
          <w:szCs w:val="20"/>
          <w:lang w:val="en-US"/>
        </w:rPr>
      </w:pPr>
      <w:r w:rsidRPr="000333DE">
        <w:rPr>
          <w:rFonts w:ascii="Times New Roman" w:hAnsi="Times New Roman" w:cs="Times New Roman"/>
          <w:sz w:val="20"/>
          <w:szCs w:val="20"/>
          <w:vertAlign w:val="superscript"/>
          <w:lang w:val="en-US"/>
        </w:rPr>
        <w:t>12</w:t>
      </w:r>
      <w:r w:rsidRPr="000333DE">
        <w:rPr>
          <w:rFonts w:ascii="Times New Roman" w:hAnsi="Times New Roman" w:cs="Times New Roman"/>
          <w:sz w:val="20"/>
          <w:szCs w:val="20"/>
          <w:lang w:val="en-US"/>
        </w:rPr>
        <w:t>Perioperative Services, Intensive Care and Pain Medicine and Department of Anaesthesiology and Intensive Care, Turku University Hospital and University of Turku, P.O. Box52, FI-20521, Turku, Finland</w:t>
      </w:r>
    </w:p>
    <w:p w14:paraId="2EEE3C9B" w14:textId="77777777" w:rsidR="00F30D71" w:rsidRPr="000333DE" w:rsidRDefault="00F30D71" w:rsidP="00F30D71">
      <w:pPr>
        <w:pStyle w:val="Eivli"/>
        <w:spacing w:line="276" w:lineRule="auto"/>
        <w:jc w:val="both"/>
        <w:rPr>
          <w:rFonts w:ascii="Times New Roman" w:hAnsi="Times New Roman" w:cs="Times New Roman"/>
          <w:sz w:val="20"/>
          <w:szCs w:val="20"/>
          <w:lang w:val="en-US"/>
        </w:rPr>
      </w:pPr>
    </w:p>
    <w:p w14:paraId="0497D31D" w14:textId="77777777" w:rsidR="00F30D71" w:rsidRPr="000333DE" w:rsidRDefault="00F30D71" w:rsidP="00F30D71">
      <w:pPr>
        <w:pStyle w:val="Eivli"/>
        <w:jc w:val="both"/>
        <w:rPr>
          <w:rFonts w:ascii="Times New Roman" w:hAnsi="Times New Roman" w:cs="Times New Roman"/>
          <w:sz w:val="20"/>
          <w:szCs w:val="20"/>
          <w:lang w:val="en-US"/>
        </w:rPr>
      </w:pPr>
      <w:r w:rsidRPr="000333DE">
        <w:rPr>
          <w:rFonts w:ascii="Times New Roman" w:hAnsi="Times New Roman" w:cs="Times New Roman"/>
          <w:sz w:val="20"/>
          <w:szCs w:val="20"/>
          <w:vertAlign w:val="superscript"/>
          <w:lang w:val="en-US"/>
        </w:rPr>
        <w:t>13</w:t>
      </w:r>
      <w:r w:rsidRPr="000333DE">
        <w:rPr>
          <w:rFonts w:ascii="Times New Roman" w:hAnsi="Times New Roman" w:cs="Times New Roman"/>
          <w:sz w:val="20"/>
          <w:szCs w:val="20"/>
          <w:lang w:val="en-US"/>
        </w:rPr>
        <w:t>Department of Neurosurgery, Oulu University Hospital, Box 25, 90029 OYS, Finland.</w:t>
      </w:r>
    </w:p>
    <w:p w14:paraId="4F8AB9FB" w14:textId="77777777" w:rsidR="00F30D71" w:rsidRPr="000333DE" w:rsidRDefault="00F30D71" w:rsidP="00F30D71">
      <w:pPr>
        <w:pStyle w:val="Eivli"/>
        <w:jc w:val="both"/>
        <w:rPr>
          <w:rFonts w:ascii="Times New Roman" w:hAnsi="Times New Roman" w:cs="Times New Roman"/>
          <w:sz w:val="20"/>
          <w:szCs w:val="20"/>
          <w:lang w:val="en-US"/>
        </w:rPr>
      </w:pPr>
    </w:p>
    <w:p w14:paraId="180D9FBD" w14:textId="77777777" w:rsidR="00F30D71" w:rsidRPr="000333DE" w:rsidRDefault="00F30D71" w:rsidP="00F30D71">
      <w:pPr>
        <w:spacing w:line="240" w:lineRule="auto"/>
        <w:rPr>
          <w:rFonts w:cs="Times New Roman"/>
          <w:b/>
          <w:sz w:val="20"/>
          <w:szCs w:val="20"/>
          <w:lang w:val="en-US"/>
        </w:rPr>
      </w:pPr>
      <w:r w:rsidRPr="000333DE">
        <w:rPr>
          <w:b/>
          <w:bCs/>
          <w:sz w:val="20"/>
          <w:szCs w:val="20"/>
        </w:rPr>
        <w:t>Correspondence to</w:t>
      </w:r>
      <w:r w:rsidRPr="000333DE">
        <w:rPr>
          <w:sz w:val="20"/>
          <w:szCs w:val="20"/>
        </w:rPr>
        <w:t xml:space="preserve">: </w:t>
      </w:r>
      <w:r w:rsidRPr="000333DE">
        <w:rPr>
          <w:rFonts w:cs="Times New Roman"/>
          <w:sz w:val="20"/>
          <w:szCs w:val="20"/>
          <w:lang w:val="en-US"/>
        </w:rPr>
        <w:t>Janne Koskimäki, MD, PhD, Associate Professor</w:t>
      </w:r>
    </w:p>
    <w:p w14:paraId="5DB5C90F" w14:textId="77777777" w:rsidR="00F30D71" w:rsidRPr="000333DE" w:rsidRDefault="00F30D71" w:rsidP="00F30D71">
      <w:pPr>
        <w:spacing w:line="240" w:lineRule="auto"/>
        <w:rPr>
          <w:rFonts w:cs="Times New Roman"/>
          <w:sz w:val="20"/>
          <w:szCs w:val="20"/>
          <w:lang w:val="en-US"/>
        </w:rPr>
      </w:pPr>
      <w:r w:rsidRPr="000333DE">
        <w:rPr>
          <w:b/>
          <w:bCs/>
          <w:sz w:val="20"/>
          <w:szCs w:val="20"/>
        </w:rPr>
        <w:t>Full address</w:t>
      </w:r>
      <w:r w:rsidRPr="000333DE">
        <w:rPr>
          <w:sz w:val="20"/>
          <w:szCs w:val="20"/>
        </w:rPr>
        <w:t xml:space="preserve">: </w:t>
      </w:r>
      <w:r w:rsidRPr="000333DE">
        <w:rPr>
          <w:rFonts w:cs="Times New Roman"/>
          <w:sz w:val="20"/>
          <w:szCs w:val="20"/>
          <w:lang w:val="en-US"/>
        </w:rPr>
        <w:t>Neurocenter, Department of Neurosurgery, Turku University Hospital and University of Turku, P.O. Box 52 (Hämeentie 11), FI-20521, Turku, Finland.</w:t>
      </w:r>
    </w:p>
    <w:p w14:paraId="6FC53EE4" w14:textId="43870FFB" w:rsidR="00E5489B" w:rsidRPr="000333DE" w:rsidRDefault="00F30D71" w:rsidP="00F30D71">
      <w:pPr>
        <w:spacing w:line="240" w:lineRule="auto"/>
        <w:rPr>
          <w:sz w:val="20"/>
          <w:szCs w:val="20"/>
          <w:lang w:val="en-US"/>
        </w:rPr>
      </w:pPr>
      <w:r w:rsidRPr="000333DE">
        <w:rPr>
          <w:b/>
          <w:bCs/>
          <w:sz w:val="20"/>
          <w:szCs w:val="20"/>
          <w:lang w:val="en-US"/>
        </w:rPr>
        <w:t>E-mail:</w:t>
      </w:r>
      <w:r w:rsidRPr="000333DE">
        <w:rPr>
          <w:sz w:val="20"/>
          <w:szCs w:val="20"/>
          <w:lang w:val="en-US"/>
        </w:rPr>
        <w:t xml:space="preserve"> </w:t>
      </w:r>
      <w:hyperlink r:id="rId5" w:history="1">
        <w:r w:rsidR="00F11FE9" w:rsidRPr="000333DE">
          <w:rPr>
            <w:rStyle w:val="Hyperlinkki"/>
            <w:sz w:val="20"/>
            <w:szCs w:val="20"/>
            <w:lang w:val="en-US"/>
          </w:rPr>
          <w:t>jj.koskimaki@gmail.com</w:t>
        </w:r>
      </w:hyperlink>
      <w:r w:rsidR="00F11FE9" w:rsidRPr="000333DE">
        <w:rPr>
          <w:sz w:val="20"/>
          <w:szCs w:val="20"/>
          <w:lang w:val="en-US"/>
        </w:rPr>
        <w:t xml:space="preserve">, </w:t>
      </w:r>
      <w:hyperlink r:id="rId6" w:history="1">
        <w:r w:rsidR="00E5489B" w:rsidRPr="000333DE">
          <w:rPr>
            <w:rStyle w:val="Hyperlinkki"/>
            <w:sz w:val="20"/>
            <w:szCs w:val="20"/>
            <w:lang w:val="en-US"/>
          </w:rPr>
          <w:t>koskimaki@uchicago.edu</w:t>
        </w:r>
      </w:hyperlink>
      <w:r w:rsidR="00E5489B" w:rsidRPr="000333DE">
        <w:rPr>
          <w:sz w:val="20"/>
          <w:szCs w:val="20"/>
          <w:lang w:val="en-US"/>
        </w:rPr>
        <w:t xml:space="preserve"> </w:t>
      </w:r>
    </w:p>
    <w:p w14:paraId="70E4E676" w14:textId="77777777" w:rsidR="00F30D71" w:rsidRPr="000333DE" w:rsidRDefault="00F30D71" w:rsidP="00F30D71">
      <w:pPr>
        <w:spacing w:line="240" w:lineRule="auto"/>
        <w:rPr>
          <w:sz w:val="20"/>
          <w:szCs w:val="20"/>
        </w:rPr>
      </w:pPr>
      <w:r w:rsidRPr="000333DE">
        <w:rPr>
          <w:b/>
          <w:sz w:val="20"/>
          <w:szCs w:val="20"/>
        </w:rPr>
        <w:t>Running head</w:t>
      </w:r>
      <w:r w:rsidRPr="000333DE">
        <w:rPr>
          <w:b/>
          <w:bCs/>
          <w:sz w:val="20"/>
          <w:szCs w:val="20"/>
        </w:rPr>
        <w:t>:</w:t>
      </w:r>
      <w:r w:rsidRPr="000333DE">
        <w:rPr>
          <w:sz w:val="20"/>
          <w:szCs w:val="20"/>
        </w:rPr>
        <w:t xml:space="preserve"> Plasticity and Neuroinflammation in Brain Recovery</w:t>
      </w:r>
    </w:p>
    <w:p w14:paraId="186A3115" w14:textId="77777777" w:rsidR="00F30D71" w:rsidRPr="000333DE" w:rsidRDefault="00F30D71" w:rsidP="00F30D71">
      <w:pPr>
        <w:spacing w:line="240" w:lineRule="auto"/>
        <w:rPr>
          <w:sz w:val="20"/>
          <w:szCs w:val="20"/>
        </w:rPr>
      </w:pPr>
      <w:r w:rsidRPr="000333DE">
        <w:rPr>
          <w:b/>
          <w:sz w:val="20"/>
          <w:szCs w:val="20"/>
        </w:rPr>
        <w:t>Keywords:</w:t>
      </w:r>
      <w:r w:rsidRPr="000333DE">
        <w:rPr>
          <w:sz w:val="20"/>
          <w:szCs w:val="20"/>
        </w:rPr>
        <w:t xml:space="preserve"> brain injury; microRNA; neurotrophins; outcome; prognosis; stroke, traumatic brain injury</w:t>
      </w:r>
    </w:p>
    <w:p w14:paraId="5B51E553" w14:textId="77777777" w:rsidR="00311239" w:rsidRPr="000333DE" w:rsidRDefault="00311239" w:rsidP="003E3B9A">
      <w:pPr>
        <w:spacing w:line="240" w:lineRule="auto"/>
        <w:rPr>
          <w:b/>
          <w:bCs/>
          <w:sz w:val="28"/>
          <w:szCs w:val="28"/>
        </w:rPr>
      </w:pPr>
    </w:p>
    <w:p w14:paraId="27E808F6" w14:textId="77777777" w:rsidR="00D9064A" w:rsidRPr="000333DE" w:rsidRDefault="00D9064A" w:rsidP="003E3B9A">
      <w:pPr>
        <w:spacing w:line="240" w:lineRule="auto"/>
        <w:rPr>
          <w:b/>
          <w:bCs/>
          <w:sz w:val="28"/>
          <w:szCs w:val="28"/>
        </w:rPr>
      </w:pPr>
    </w:p>
    <w:p w14:paraId="73907D88" w14:textId="77777777" w:rsidR="00D9064A" w:rsidRPr="000333DE" w:rsidRDefault="00D9064A" w:rsidP="003E3B9A">
      <w:pPr>
        <w:spacing w:line="240" w:lineRule="auto"/>
        <w:rPr>
          <w:b/>
          <w:bCs/>
          <w:sz w:val="28"/>
          <w:szCs w:val="28"/>
        </w:rPr>
      </w:pPr>
    </w:p>
    <w:p w14:paraId="43AA3BD3" w14:textId="2A73102D" w:rsidR="009D43DC" w:rsidRPr="000333DE" w:rsidRDefault="009D43DC" w:rsidP="003E3B9A">
      <w:pPr>
        <w:spacing w:line="240" w:lineRule="auto"/>
        <w:rPr>
          <w:sz w:val="22"/>
        </w:rPr>
      </w:pPr>
      <w:r w:rsidRPr="000333DE">
        <w:rPr>
          <w:b/>
          <w:bCs/>
          <w:sz w:val="28"/>
          <w:szCs w:val="28"/>
        </w:rPr>
        <w:lastRenderedPageBreak/>
        <w:t>Supplementa</w:t>
      </w:r>
      <w:r w:rsidR="00DC07C0" w:rsidRPr="000333DE">
        <w:rPr>
          <w:b/>
          <w:bCs/>
          <w:sz w:val="28"/>
          <w:szCs w:val="28"/>
        </w:rPr>
        <w:t>l</w:t>
      </w:r>
      <w:r w:rsidRPr="000333DE">
        <w:rPr>
          <w:b/>
          <w:bCs/>
          <w:sz w:val="28"/>
          <w:szCs w:val="28"/>
        </w:rPr>
        <w:t xml:space="preserve"> Materials and Methods</w:t>
      </w:r>
    </w:p>
    <w:p w14:paraId="2BEA9530" w14:textId="651FA971" w:rsidR="009D43DC" w:rsidRPr="000333DE" w:rsidRDefault="009D43DC" w:rsidP="00F7167B">
      <w:pPr>
        <w:rPr>
          <w:b/>
          <w:bCs/>
          <w:szCs w:val="24"/>
        </w:rPr>
      </w:pPr>
      <w:r w:rsidRPr="000333DE">
        <w:rPr>
          <w:b/>
          <w:bCs/>
          <w:szCs w:val="24"/>
        </w:rPr>
        <w:t xml:space="preserve">Bioinformatic </w:t>
      </w:r>
      <w:r w:rsidR="00DC07C0" w:rsidRPr="000333DE">
        <w:rPr>
          <w:b/>
          <w:bCs/>
          <w:szCs w:val="24"/>
        </w:rPr>
        <w:t>n</w:t>
      </w:r>
      <w:r w:rsidR="00F7167B" w:rsidRPr="000333DE">
        <w:rPr>
          <w:b/>
          <w:bCs/>
          <w:szCs w:val="24"/>
        </w:rPr>
        <w:t xml:space="preserve">etwork and </w:t>
      </w:r>
      <w:r w:rsidR="00DC07C0" w:rsidRPr="000333DE">
        <w:rPr>
          <w:b/>
          <w:bCs/>
          <w:szCs w:val="24"/>
        </w:rPr>
        <w:t>p</w:t>
      </w:r>
      <w:r w:rsidRPr="000333DE">
        <w:rPr>
          <w:b/>
          <w:bCs/>
          <w:szCs w:val="24"/>
        </w:rPr>
        <w:t xml:space="preserve">athway </w:t>
      </w:r>
      <w:r w:rsidR="00DC07C0" w:rsidRPr="000333DE">
        <w:rPr>
          <w:b/>
          <w:bCs/>
          <w:szCs w:val="24"/>
        </w:rPr>
        <w:t>a</w:t>
      </w:r>
      <w:r w:rsidRPr="000333DE">
        <w:rPr>
          <w:b/>
          <w:bCs/>
          <w:szCs w:val="24"/>
        </w:rPr>
        <w:t xml:space="preserve">nalyses </w:t>
      </w:r>
    </w:p>
    <w:p w14:paraId="50954F4C" w14:textId="2854BB0E" w:rsidR="009D43DC" w:rsidRPr="000333DE" w:rsidRDefault="009D43DC" w:rsidP="00F7167B">
      <w:pPr>
        <w:rPr>
          <w:szCs w:val="24"/>
        </w:rPr>
      </w:pPr>
      <w:r w:rsidRPr="000333DE">
        <w:rPr>
          <w:szCs w:val="24"/>
        </w:rPr>
        <w:t xml:space="preserve">In this study, </w:t>
      </w:r>
      <w:r w:rsidR="00AA091E" w:rsidRPr="000333DE">
        <w:rPr>
          <w:szCs w:val="24"/>
        </w:rPr>
        <w:t xml:space="preserve">network and </w:t>
      </w:r>
      <w:r w:rsidRPr="000333DE">
        <w:rPr>
          <w:szCs w:val="24"/>
        </w:rPr>
        <w:t>pathway analyses were conducted using ReactomeFIViz</w:t>
      </w:r>
      <w:r w:rsidR="00EF2790" w:rsidRPr="000333DE">
        <w:rPr>
          <w:szCs w:val="24"/>
        </w:rPr>
        <w:fldChar w:fldCharType="begin"/>
      </w:r>
      <w:r w:rsidR="006256D9" w:rsidRPr="000333DE">
        <w:rPr>
          <w:szCs w:val="24"/>
        </w:rPr>
        <w:instrText xml:space="preserve"> ADDIN ZOTERO_ITEM CSL_CITATION {"citationID":"VenosEAU","properties":{"formattedCitation":"\\super 1\\nosupersub{}","plainCitation":"1","noteIndex":0},"citationItems":[{"id":103,"uris":["http://zotero.org/users/local/jiwJKqG7/items/T2A2EDB2"],"itemData":{"id":103,"type":"article-journal","abstract":"High-throughput experiments are routinely performed in modern biological studies. However, extracting meaningful results from massive experimental data sets is a challenging task for biologists. Projecting data onto pathway and network contexts is a powerful way to unravel patterns embedded in seemingly scattered large data sets and assist knowledge discovery related to cancer and other complex diseases. We have developed a Cytoscape app called \"ReactomeFIViz\", which utilizes a highly reliable gene functional interaction network combined with human curated pathways derived from Reactome and other pathway databases. This app provides a suite of features to assist biologists in performing pathway- and network-based data analysis in a biologically intuitive and user-friendly way. Biologists can use this app to uncover network and pathway patterns related to their studies, search for gene signatures from gene expression data sets, reveal pathways significantly enriched by genes in a list, and integrate multiple genomic data types into a pathway context using probabilistic graphical models. We believe our app will give researchers substantial power to analyze intrinsically noisy high-throughput experimental data to find biologically relevant information.","container-title":"F1000Research","DOI":"10.12688/f1000research.4431.2","ISSN":"2046-1402","journalAbbreviation":"F1000Res","language":"eng","note":"PMID: 25309732\nPMCID: PMC4184317","page":"146","source":"PubMed","title":"ReactomeFIViz: a Cytoscape app for pathway and network-based data analysis","title-short":"ReactomeFIViz","volume":"3","author":[{"family":"Wu","given":"Guanming"},{"family":"Dawson","given":"Eric"},{"family":"Duong","given":"Adrian"},{"family":"Haw","given":"Robin"},{"family":"Stein","given":"Lincoln"}],"issued":{"date-parts":[["2014"]]}}}],"schema":"https://github.com/citation-style-language/schema/raw/master/csl-citation.json"} </w:instrText>
      </w:r>
      <w:r w:rsidR="00EF2790" w:rsidRPr="000333DE">
        <w:rPr>
          <w:szCs w:val="24"/>
        </w:rPr>
        <w:fldChar w:fldCharType="separate"/>
      </w:r>
      <w:r w:rsidR="006256D9" w:rsidRPr="000333DE">
        <w:rPr>
          <w:rFonts w:cs="Times New Roman"/>
          <w:vertAlign w:val="superscript"/>
        </w:rPr>
        <w:t>1</w:t>
      </w:r>
      <w:r w:rsidR="00EF2790" w:rsidRPr="000333DE">
        <w:rPr>
          <w:szCs w:val="24"/>
        </w:rPr>
        <w:fldChar w:fldCharType="end"/>
      </w:r>
      <w:r w:rsidRPr="000333DE">
        <w:rPr>
          <w:szCs w:val="24"/>
        </w:rPr>
        <w:t>, a plugin</w:t>
      </w:r>
      <w:r w:rsidR="003E3B9A" w:rsidRPr="000333DE">
        <w:rPr>
          <w:szCs w:val="24"/>
        </w:rPr>
        <w:t xml:space="preserve"> software</w:t>
      </w:r>
      <w:r w:rsidRPr="000333DE">
        <w:rPr>
          <w:szCs w:val="24"/>
        </w:rPr>
        <w:t xml:space="preserve"> for Cytoscape</w:t>
      </w:r>
      <w:r w:rsidR="003E3B9A" w:rsidRPr="000333DE">
        <w:rPr>
          <w:szCs w:val="24"/>
        </w:rPr>
        <w:t xml:space="preserve"> (v.3.9.1)</w:t>
      </w:r>
      <w:r w:rsidRPr="000333DE">
        <w:rPr>
          <w:szCs w:val="24"/>
        </w:rPr>
        <w:t xml:space="preserve"> (</w:t>
      </w:r>
      <w:hyperlink r:id="rId7" w:history="1">
        <w:r w:rsidR="003E3B9A" w:rsidRPr="000333DE">
          <w:rPr>
            <w:rStyle w:val="Hyperlinkki"/>
            <w:szCs w:val="24"/>
          </w:rPr>
          <w:t>https://www.cytoscape.org/</w:t>
        </w:r>
      </w:hyperlink>
      <w:r w:rsidRPr="000333DE">
        <w:rPr>
          <w:szCs w:val="24"/>
        </w:rPr>
        <w:t>)</w:t>
      </w:r>
      <w:r w:rsidR="003E3B9A" w:rsidRPr="000333DE">
        <w:rPr>
          <w:szCs w:val="24"/>
        </w:rPr>
        <w:t>. The curated pathways consist of experimentally</w:t>
      </w:r>
      <w:r w:rsidR="00122094" w:rsidRPr="000333DE">
        <w:rPr>
          <w:szCs w:val="24"/>
        </w:rPr>
        <w:t xml:space="preserve"> </w:t>
      </w:r>
      <w:r w:rsidR="003E3B9A" w:rsidRPr="000333DE">
        <w:rPr>
          <w:szCs w:val="24"/>
        </w:rPr>
        <w:t>validated interactions obtained from extensive literature reviews by experts</w:t>
      </w:r>
      <w:r w:rsidR="003E3B9A" w:rsidRPr="000333DE">
        <w:rPr>
          <w:szCs w:val="24"/>
        </w:rPr>
        <w:fldChar w:fldCharType="begin"/>
      </w:r>
      <w:r w:rsidR="006256D9" w:rsidRPr="000333DE">
        <w:rPr>
          <w:szCs w:val="24"/>
        </w:rPr>
        <w:instrText xml:space="preserve"> ADDIN ZOTERO_ITEM CSL_CITATION {"citationID":"kIoGL6x2","properties":{"formattedCitation":"\\super 1\\nosupersub{}","plainCitation":"1","noteIndex":0},"citationItems":[{"id":103,"uris":["http://zotero.org/users/local/jiwJKqG7/items/T2A2EDB2"],"itemData":{"id":103,"type":"article-journal","abstract":"High-throughput experiments are routinely performed in modern biological studies. However, extracting meaningful results from massive experimental data sets is a challenging task for biologists. Projecting data onto pathway and network contexts is a powerful way to unravel patterns embedded in seemingly scattered large data sets and assist knowledge discovery related to cancer and other complex diseases. We have developed a Cytoscape app called \"ReactomeFIViz\", which utilizes a highly reliable gene functional interaction network combined with human curated pathways derived from Reactome and other pathway databases. This app provides a suite of features to assist biologists in performing pathway- and network-based data analysis in a biologically intuitive and user-friendly way. Biologists can use this app to uncover network and pathway patterns related to their studies, search for gene signatures from gene expression data sets, reveal pathways significantly enriched by genes in a list, and integrate multiple genomic data types into a pathway context using probabilistic graphical models. We believe our app will give researchers substantial power to analyze intrinsically noisy high-throughput experimental data to find biologically relevant information.","container-title":"F1000Research","DOI":"10.12688/f1000research.4431.2","ISSN":"2046-1402","journalAbbreviation":"F1000Res","language":"eng","note":"PMID: 25309732\nPMCID: PMC4184317","page":"146","source":"PubMed","title":"ReactomeFIViz: a Cytoscape app for pathway and network-based data analysis","title-short":"ReactomeFIViz","volume":"3","author":[{"family":"Wu","given":"Guanming"},{"family":"Dawson","given":"Eric"},{"family":"Duong","given":"Adrian"},{"family":"Haw","given":"Robin"},{"family":"Stein","given":"Lincoln"}],"issued":{"date-parts":[["2014"]]}}}],"schema":"https://github.com/citation-style-language/schema/raw/master/csl-citation.json"} </w:instrText>
      </w:r>
      <w:r w:rsidR="003E3B9A" w:rsidRPr="000333DE">
        <w:rPr>
          <w:szCs w:val="24"/>
        </w:rPr>
        <w:fldChar w:fldCharType="separate"/>
      </w:r>
      <w:r w:rsidR="006256D9" w:rsidRPr="000333DE">
        <w:rPr>
          <w:rFonts w:cs="Times New Roman"/>
          <w:vertAlign w:val="superscript"/>
        </w:rPr>
        <w:t>1</w:t>
      </w:r>
      <w:r w:rsidR="003E3B9A" w:rsidRPr="000333DE">
        <w:rPr>
          <w:szCs w:val="24"/>
        </w:rPr>
        <w:fldChar w:fldCharType="end"/>
      </w:r>
      <w:r w:rsidR="003E3B9A" w:rsidRPr="000333DE">
        <w:rPr>
          <w:szCs w:val="24"/>
        </w:rPr>
        <w:t>. The predicted interactions are generated using a sophisticated machine</w:t>
      </w:r>
      <w:r w:rsidR="00122094" w:rsidRPr="000333DE">
        <w:rPr>
          <w:szCs w:val="24"/>
        </w:rPr>
        <w:t>-</w:t>
      </w:r>
      <w:r w:rsidR="003E3B9A" w:rsidRPr="000333DE">
        <w:rPr>
          <w:szCs w:val="24"/>
        </w:rPr>
        <w:t>learning approach that identifies potential relationships based on known biological information</w:t>
      </w:r>
      <w:r w:rsidR="003E3B9A" w:rsidRPr="000333DE">
        <w:rPr>
          <w:szCs w:val="24"/>
        </w:rPr>
        <w:fldChar w:fldCharType="begin"/>
      </w:r>
      <w:r w:rsidR="006256D9" w:rsidRPr="000333DE">
        <w:rPr>
          <w:szCs w:val="24"/>
        </w:rPr>
        <w:instrText xml:space="preserve"> ADDIN ZOTERO_ITEM CSL_CITATION {"citationID":"k4QdAyqV","properties":{"formattedCitation":"\\super 1\\nosupersub{}","plainCitation":"1","noteIndex":0},"citationItems":[{"id":103,"uris":["http://zotero.org/users/local/jiwJKqG7/items/T2A2EDB2"],"itemData":{"id":103,"type":"article-journal","abstract":"High-throughput experiments are routinely performed in modern biological studies. However, extracting meaningful results from massive experimental data sets is a challenging task for biologists. Projecting data onto pathway and network contexts is a powerful way to unravel patterns embedded in seemingly scattered large data sets and assist knowledge discovery related to cancer and other complex diseases. We have developed a Cytoscape app called \"ReactomeFIViz\", which utilizes a highly reliable gene functional interaction network combined with human curated pathways derived from Reactome and other pathway databases. This app provides a suite of features to assist biologists in performing pathway- and network-based data analysis in a biologically intuitive and user-friendly way. Biologists can use this app to uncover network and pathway patterns related to their studies, search for gene signatures from gene expression data sets, reveal pathways significantly enriched by genes in a list, and integrate multiple genomic data types into a pathway context using probabilistic graphical models. We believe our app will give researchers substantial power to analyze intrinsically noisy high-throughput experimental data to find biologically relevant information.","container-title":"F1000Research","DOI":"10.12688/f1000research.4431.2","ISSN":"2046-1402","journalAbbreviation":"F1000Res","language":"eng","note":"PMID: 25309732\nPMCID: PMC4184317","page":"146","source":"PubMed","title":"ReactomeFIViz: a Cytoscape app for pathway and network-based data analysis","title-short":"ReactomeFIViz","volume":"3","author":[{"family":"Wu","given":"Guanming"},{"family":"Dawson","given":"Eric"},{"family":"Duong","given":"Adrian"},{"family":"Haw","given":"Robin"},{"family":"Stein","given":"Lincoln"}],"issued":{"date-parts":[["2014"]]}}}],"schema":"https://github.com/citation-style-language/schema/raw/master/csl-citation.json"} </w:instrText>
      </w:r>
      <w:r w:rsidR="003E3B9A" w:rsidRPr="000333DE">
        <w:rPr>
          <w:szCs w:val="24"/>
        </w:rPr>
        <w:fldChar w:fldCharType="separate"/>
      </w:r>
      <w:r w:rsidR="006256D9" w:rsidRPr="000333DE">
        <w:rPr>
          <w:rFonts w:cs="Times New Roman"/>
          <w:vertAlign w:val="superscript"/>
        </w:rPr>
        <w:t>1</w:t>
      </w:r>
      <w:r w:rsidR="003E3B9A" w:rsidRPr="000333DE">
        <w:rPr>
          <w:szCs w:val="24"/>
        </w:rPr>
        <w:fldChar w:fldCharType="end"/>
      </w:r>
      <w:r w:rsidR="003E3B9A" w:rsidRPr="000333DE">
        <w:rPr>
          <w:szCs w:val="24"/>
        </w:rPr>
        <w:t>.</w:t>
      </w:r>
    </w:p>
    <w:p w14:paraId="25657D3C" w14:textId="5598C6BA" w:rsidR="009D43DC" w:rsidRPr="000333DE" w:rsidRDefault="009D43DC" w:rsidP="00F7167B">
      <w:pPr>
        <w:rPr>
          <w:szCs w:val="24"/>
        </w:rPr>
      </w:pPr>
      <w:r w:rsidRPr="000333DE">
        <w:rPr>
          <w:szCs w:val="24"/>
        </w:rPr>
        <w:t xml:space="preserve">To </w:t>
      </w:r>
      <w:r w:rsidR="00F7167B" w:rsidRPr="000333DE">
        <w:rPr>
          <w:szCs w:val="24"/>
        </w:rPr>
        <w:t>study our</w:t>
      </w:r>
      <w:r w:rsidRPr="000333DE">
        <w:rPr>
          <w:szCs w:val="24"/>
        </w:rPr>
        <w:t xml:space="preserve"> findings, we conducted network analyses in conjunction with Reactome pathway analyses</w:t>
      </w:r>
      <w:r w:rsidR="003A027B" w:rsidRPr="000333DE">
        <w:rPr>
          <w:szCs w:val="24"/>
        </w:rPr>
        <w:fldChar w:fldCharType="begin"/>
      </w:r>
      <w:r w:rsidR="006256D9" w:rsidRPr="000333DE">
        <w:rPr>
          <w:szCs w:val="24"/>
        </w:rPr>
        <w:instrText xml:space="preserve"> ADDIN ZOTERO_ITEM CSL_CITATION {"citationID":"7AJUdxpG","properties":{"formattedCitation":"\\super 1\\nosupersub{}","plainCitation":"1","noteIndex":0},"citationItems":[{"id":103,"uris":["http://zotero.org/users/local/jiwJKqG7/items/T2A2EDB2"],"itemData":{"id":103,"type":"article-journal","abstract":"High-throughput experiments are routinely performed in modern biological studies. However, extracting meaningful results from massive experimental data sets is a challenging task for biologists. Projecting data onto pathway and network contexts is a powerful way to unravel patterns embedded in seemingly scattered large data sets and assist knowledge discovery related to cancer and other complex diseases. We have developed a Cytoscape app called \"ReactomeFIViz\", which utilizes a highly reliable gene functional interaction network combined with human curated pathways derived from Reactome and other pathway databases. This app provides a suite of features to assist biologists in performing pathway- and network-based data analysis in a biologically intuitive and user-friendly way. Biologists can use this app to uncover network and pathway patterns related to their studies, search for gene signatures from gene expression data sets, reveal pathways significantly enriched by genes in a list, and integrate multiple genomic data types into a pathway context using probabilistic graphical models. We believe our app will give researchers substantial power to analyze intrinsically noisy high-throughput experimental data to find biologically relevant information.","container-title":"F1000Research","DOI":"10.12688/f1000research.4431.2","ISSN":"2046-1402","journalAbbreviation":"F1000Res","language":"eng","note":"PMID: 25309732\nPMCID: PMC4184317","page":"146","source":"PubMed","title":"ReactomeFIViz: a Cytoscape app for pathway and network-based data analysis","title-short":"ReactomeFIViz","volume":"3","author":[{"family":"Wu","given":"Guanming"},{"family":"Dawson","given":"Eric"},{"family":"Duong","given":"Adrian"},{"family":"Haw","given":"Robin"},{"family":"Stein","given":"Lincoln"}],"issued":{"date-parts":[["2014"]]}}}],"schema":"https://github.com/citation-style-language/schema/raw/master/csl-citation.json"} </w:instrText>
      </w:r>
      <w:r w:rsidR="003A027B" w:rsidRPr="000333DE">
        <w:rPr>
          <w:szCs w:val="24"/>
        </w:rPr>
        <w:fldChar w:fldCharType="separate"/>
      </w:r>
      <w:r w:rsidR="006256D9" w:rsidRPr="000333DE">
        <w:rPr>
          <w:rFonts w:cs="Times New Roman"/>
          <w:vertAlign w:val="superscript"/>
        </w:rPr>
        <w:t>1</w:t>
      </w:r>
      <w:r w:rsidR="003A027B" w:rsidRPr="000333DE">
        <w:rPr>
          <w:szCs w:val="24"/>
        </w:rPr>
        <w:fldChar w:fldCharType="end"/>
      </w:r>
      <w:r w:rsidRPr="000333DE">
        <w:rPr>
          <w:szCs w:val="24"/>
        </w:rPr>
        <w:t>. This complementary approach allowed us to investigate the functional relationships between genes and their roles in specific biological pathways, thus providing a more comprehensive understanding of the data.</w:t>
      </w:r>
      <w:r w:rsidR="003E3B9A" w:rsidRPr="000333DE">
        <w:rPr>
          <w:szCs w:val="24"/>
        </w:rPr>
        <w:t xml:space="preserve"> </w:t>
      </w:r>
      <w:r w:rsidRPr="000333DE">
        <w:rPr>
          <w:szCs w:val="24"/>
        </w:rPr>
        <w:t xml:space="preserve">To maintain the integrity of our results and minimize the likelihood of false positives, we employed stringent statistical criteria for significance. Specifically, we utilized the false discovery rate (FDR) correction to account for multiple hypothesis testing and only considered findings with an FDR-corrected p-value </w:t>
      </w:r>
      <w:r w:rsidR="00D52863" w:rsidRPr="000333DE">
        <w:rPr>
          <w:szCs w:val="24"/>
        </w:rPr>
        <w:t>&lt;</w:t>
      </w:r>
      <w:r w:rsidRPr="000333DE">
        <w:rPr>
          <w:szCs w:val="24"/>
        </w:rPr>
        <w:t xml:space="preserve"> 0.05 to be statistically significant</w:t>
      </w:r>
      <w:r w:rsidR="00B27909" w:rsidRPr="000333DE">
        <w:rPr>
          <w:szCs w:val="24"/>
        </w:rPr>
        <w:fldChar w:fldCharType="begin"/>
      </w:r>
      <w:r w:rsidR="006256D9" w:rsidRPr="000333DE">
        <w:rPr>
          <w:szCs w:val="24"/>
        </w:rPr>
        <w:instrText xml:space="preserve"> ADDIN ZOTERO_ITEM CSL_CITATION {"citationID":"gM5BOkhS","properties":{"formattedCitation":"\\super 2\\nosupersub{}","plainCitation":"2","noteIndex":0},"citationItems":[{"id":117,"uris":["http://zotero.org/users/local/jiwJKqG7/items/P7FKBEPX"],"itemData":{"id":117,"type":"article-journal","container-title":"J R Stat Soc Ser B Methodol","issue":"57","page":"289-300","title":"Controlling the False Discovery Rate: A Practical and Powerful Approach to Multiple Testing.","volume":"1995","author":[{"family":"Benjamini","given":"Y"},{"family":"Hochberg","given":"Y"}]}}],"schema":"https://github.com/citation-style-language/schema/raw/master/csl-citation.json"} </w:instrText>
      </w:r>
      <w:r w:rsidR="00B27909" w:rsidRPr="000333DE">
        <w:rPr>
          <w:szCs w:val="24"/>
        </w:rPr>
        <w:fldChar w:fldCharType="separate"/>
      </w:r>
      <w:r w:rsidR="006256D9" w:rsidRPr="000333DE">
        <w:rPr>
          <w:rFonts w:cs="Times New Roman"/>
          <w:vertAlign w:val="superscript"/>
        </w:rPr>
        <w:t>2</w:t>
      </w:r>
      <w:r w:rsidR="00B27909" w:rsidRPr="000333DE">
        <w:rPr>
          <w:szCs w:val="24"/>
        </w:rPr>
        <w:fldChar w:fldCharType="end"/>
      </w:r>
      <w:r w:rsidRPr="000333DE">
        <w:rPr>
          <w:szCs w:val="24"/>
        </w:rPr>
        <w:t xml:space="preserve">. </w:t>
      </w:r>
    </w:p>
    <w:p w14:paraId="2047C47E" w14:textId="77777777" w:rsidR="004D0B05" w:rsidRPr="000333DE" w:rsidRDefault="004D0B05" w:rsidP="00F7167B">
      <w:pPr>
        <w:rPr>
          <w:szCs w:val="24"/>
        </w:rPr>
      </w:pPr>
    </w:p>
    <w:p w14:paraId="32D25F92" w14:textId="09885EA4" w:rsidR="00803B1C" w:rsidRPr="000333DE" w:rsidRDefault="00803B1C" w:rsidP="00803B1C">
      <w:pPr>
        <w:rPr>
          <w:b/>
          <w:bCs/>
          <w:szCs w:val="24"/>
        </w:rPr>
      </w:pPr>
      <w:r w:rsidRPr="000333DE">
        <w:rPr>
          <w:b/>
          <w:bCs/>
          <w:szCs w:val="24"/>
        </w:rPr>
        <w:t xml:space="preserve">Statistical analyses </w:t>
      </w:r>
    </w:p>
    <w:p w14:paraId="3F369993" w14:textId="7481B9AD" w:rsidR="00210E62" w:rsidRPr="000333DE" w:rsidRDefault="00803B1C" w:rsidP="00F7167B">
      <w:pPr>
        <w:rPr>
          <w:szCs w:val="24"/>
        </w:rPr>
      </w:pPr>
      <w:r w:rsidRPr="000333DE">
        <w:rPr>
          <w:szCs w:val="24"/>
        </w:rPr>
        <w:t>Differences in measured protein</w:t>
      </w:r>
      <w:r w:rsidR="000B7638" w:rsidRPr="000333DE">
        <w:rPr>
          <w:szCs w:val="24"/>
        </w:rPr>
        <w:t xml:space="preserve"> biomarker</w:t>
      </w:r>
      <w:r w:rsidRPr="000333DE">
        <w:rPr>
          <w:szCs w:val="24"/>
        </w:rPr>
        <w:t xml:space="preserve"> concentrations between disease groups were analy</w:t>
      </w:r>
      <w:r w:rsidR="00E37505" w:rsidRPr="000333DE">
        <w:rPr>
          <w:szCs w:val="24"/>
        </w:rPr>
        <w:t>z</w:t>
      </w:r>
      <w:r w:rsidRPr="000333DE">
        <w:rPr>
          <w:szCs w:val="24"/>
        </w:rPr>
        <w:t>ed with one-way ANOVA</w:t>
      </w:r>
      <w:r w:rsidR="000B7638" w:rsidRPr="000333DE">
        <w:rPr>
          <w:szCs w:val="24"/>
        </w:rPr>
        <w:t xml:space="preserve"> (</w:t>
      </w:r>
      <w:r w:rsidR="000B7638" w:rsidRPr="000333DE">
        <w:rPr>
          <w:rFonts w:cs="Times New Roman"/>
          <w:color w:val="000000"/>
          <w:szCs w:val="24"/>
          <w:shd w:val="clear" w:color="auto" w:fill="FFFFFF"/>
        </w:rPr>
        <w:t>Prism 9.4.0 (GraphPad Software, LLC))</w:t>
      </w:r>
      <w:r w:rsidRPr="000333DE">
        <w:rPr>
          <w:szCs w:val="24"/>
        </w:rPr>
        <w:t xml:space="preserve">. </w:t>
      </w:r>
      <w:r w:rsidR="006256D9" w:rsidRPr="000333DE">
        <w:rPr>
          <w:szCs w:val="24"/>
        </w:rPr>
        <w:t xml:space="preserve">P-value &lt; 0.05 </w:t>
      </w:r>
      <w:r w:rsidR="00AD2F8C" w:rsidRPr="000333DE">
        <w:rPr>
          <w:szCs w:val="24"/>
        </w:rPr>
        <w:t>was</w:t>
      </w:r>
      <w:r w:rsidR="006256D9" w:rsidRPr="000333DE">
        <w:rPr>
          <w:szCs w:val="24"/>
        </w:rPr>
        <w:t xml:space="preserve"> statistically significant.</w:t>
      </w:r>
    </w:p>
    <w:p w14:paraId="2E2B0947" w14:textId="77777777" w:rsidR="004D0B05" w:rsidRPr="000333DE" w:rsidRDefault="004D0B05" w:rsidP="00F7167B">
      <w:pPr>
        <w:rPr>
          <w:b/>
          <w:bCs/>
          <w:sz w:val="28"/>
          <w:szCs w:val="28"/>
        </w:rPr>
      </w:pPr>
    </w:p>
    <w:p w14:paraId="2ABEDD21" w14:textId="77777777" w:rsidR="004D0B05" w:rsidRPr="000333DE" w:rsidRDefault="004D0B05" w:rsidP="00F7167B">
      <w:pPr>
        <w:rPr>
          <w:b/>
          <w:bCs/>
          <w:sz w:val="28"/>
          <w:szCs w:val="28"/>
        </w:rPr>
      </w:pPr>
    </w:p>
    <w:p w14:paraId="6F9EE823" w14:textId="77777777" w:rsidR="004D0B05" w:rsidRPr="000333DE" w:rsidRDefault="004D0B05" w:rsidP="00F7167B">
      <w:pPr>
        <w:rPr>
          <w:b/>
          <w:bCs/>
          <w:sz w:val="28"/>
          <w:szCs w:val="28"/>
        </w:rPr>
      </w:pPr>
    </w:p>
    <w:p w14:paraId="66FE3441" w14:textId="46A5B781" w:rsidR="00415E01" w:rsidRPr="000333DE" w:rsidRDefault="00415E01" w:rsidP="00F7167B">
      <w:pPr>
        <w:rPr>
          <w:b/>
          <w:bCs/>
          <w:sz w:val="28"/>
          <w:szCs w:val="28"/>
        </w:rPr>
      </w:pPr>
      <w:r w:rsidRPr="000333DE">
        <w:rPr>
          <w:b/>
          <w:bCs/>
          <w:sz w:val="28"/>
          <w:szCs w:val="28"/>
        </w:rPr>
        <w:lastRenderedPageBreak/>
        <w:t>Supplementa</w:t>
      </w:r>
      <w:r w:rsidR="00724267" w:rsidRPr="000333DE">
        <w:rPr>
          <w:b/>
          <w:bCs/>
          <w:sz w:val="28"/>
          <w:szCs w:val="28"/>
        </w:rPr>
        <w:t>l</w:t>
      </w:r>
      <w:r w:rsidRPr="000333DE">
        <w:rPr>
          <w:b/>
          <w:bCs/>
          <w:sz w:val="28"/>
          <w:szCs w:val="28"/>
        </w:rPr>
        <w:t xml:space="preserve"> results</w:t>
      </w:r>
    </w:p>
    <w:p w14:paraId="6F5AC8E4" w14:textId="77777777" w:rsidR="004659B2" w:rsidRPr="000333DE" w:rsidRDefault="004659B2" w:rsidP="004659B2">
      <w:pPr>
        <w:pStyle w:val="Otsikko2"/>
        <w:spacing w:line="360" w:lineRule="auto"/>
        <w:rPr>
          <w:color w:val="000000" w:themeColor="text1"/>
          <w:sz w:val="24"/>
          <w:szCs w:val="28"/>
        </w:rPr>
      </w:pPr>
      <w:r w:rsidRPr="000333DE">
        <w:rPr>
          <w:color w:val="000000" w:themeColor="text1"/>
          <w:sz w:val="24"/>
          <w:szCs w:val="28"/>
        </w:rPr>
        <w:t>Demographics and disease characteristics of enrolled patients</w:t>
      </w:r>
    </w:p>
    <w:p w14:paraId="57957BA3" w14:textId="1069F21F" w:rsidR="00213E14" w:rsidRPr="000333DE" w:rsidRDefault="00213E14" w:rsidP="00213E14">
      <w:pPr>
        <w:rPr>
          <w:lang w:val="en-US"/>
        </w:rPr>
      </w:pPr>
      <w:r w:rsidRPr="000333DE">
        <w:rPr>
          <w:b/>
          <w:bCs/>
          <w:lang w:val="en-US"/>
        </w:rPr>
        <w:t>Table</w:t>
      </w:r>
      <w:r w:rsidR="00E37505" w:rsidRPr="000333DE">
        <w:rPr>
          <w:b/>
          <w:bCs/>
          <w:lang w:val="en-US"/>
        </w:rPr>
        <w:t>s</w:t>
      </w:r>
      <w:r w:rsidRPr="000333DE">
        <w:rPr>
          <w:b/>
          <w:bCs/>
          <w:lang w:val="en-US"/>
        </w:rPr>
        <w:t xml:space="preserve"> </w:t>
      </w:r>
      <w:r w:rsidR="00AD2F8C" w:rsidRPr="000333DE">
        <w:rPr>
          <w:b/>
          <w:bCs/>
          <w:lang w:val="en-US"/>
        </w:rPr>
        <w:t xml:space="preserve">2 and </w:t>
      </w:r>
      <w:r w:rsidRPr="000333DE">
        <w:rPr>
          <w:b/>
          <w:bCs/>
          <w:lang w:val="en-US"/>
        </w:rPr>
        <w:t>S</w:t>
      </w:r>
      <w:r w:rsidR="00AD2F8C" w:rsidRPr="000333DE">
        <w:rPr>
          <w:b/>
          <w:bCs/>
          <w:lang w:val="en-US"/>
        </w:rPr>
        <w:t>3</w:t>
      </w:r>
      <w:r w:rsidRPr="000333DE">
        <w:rPr>
          <w:lang w:val="en-US"/>
        </w:rPr>
        <w:t xml:space="preserve"> present the characteristics of the study population (n=74) and includes variables related to demographic, clinical, and radiological data. Descriptive statistics such as mean, standard deviation (SD), minimum and maximum values, median, and interquartile range (IQR) are provided for each variable.</w:t>
      </w:r>
    </w:p>
    <w:p w14:paraId="5DE1C461" w14:textId="2DF74BF8" w:rsidR="00213E14" w:rsidRPr="000333DE" w:rsidRDefault="00213E14" w:rsidP="00213E14">
      <w:pPr>
        <w:rPr>
          <w:lang w:val="en-US"/>
        </w:rPr>
      </w:pPr>
      <w:r w:rsidRPr="000333DE">
        <w:rPr>
          <w:lang w:val="en-US"/>
        </w:rPr>
        <w:t xml:space="preserve">The age of the study population ranged from 23.0 to 75.0 years (Mean±SD=58.4±12.7 years) with a median of 62.0 (IQR=48.0–70.0) years. </w:t>
      </w:r>
      <w:proofErr w:type="gramStart"/>
      <w:r w:rsidRPr="000333DE">
        <w:rPr>
          <w:lang w:val="en-US"/>
        </w:rPr>
        <w:t>The majority of</w:t>
      </w:r>
      <w:proofErr w:type="gramEnd"/>
      <w:r w:rsidRPr="000333DE">
        <w:rPr>
          <w:lang w:val="en-US"/>
        </w:rPr>
        <w:t xml:space="preserve"> the participants were male (54.1%). Regarding the general health status of the participants, 20.3% had no diseases, 43.2% had mild diseases but normal health, 33.8% had significant diseases that affect</w:t>
      </w:r>
      <w:r w:rsidR="00E37505" w:rsidRPr="000333DE">
        <w:rPr>
          <w:lang w:val="en-US"/>
        </w:rPr>
        <w:t>ed</w:t>
      </w:r>
      <w:r w:rsidRPr="000333DE">
        <w:rPr>
          <w:lang w:val="en-US"/>
        </w:rPr>
        <w:t xml:space="preserve"> general health, and 2.7% were unable to work due to poor general health. Of the 74 participants, 12.2% had earlier brain injuries, 27.4% had alcohol abuse, and 2.7% had drug abuse. In terms of smoking, 55.7% of participants reported smoking, 44.3% did not, and 5.4% had missing data. The study population had different types of brain injury, with 41.9% having an aneurysmal subarachnoid hemorrhage, 17.6% having traumatic brain injury, and 40.5% having an ischemic stroke. The location of the brain injury varied, with 23.4% having a frontal location, 1.6% having a parietal location, 54.7% having a temporal location, 1.6% having an occipital location, 4.7% having a brainstem location, and 14.1% having a multifocal location. The location of infarction was reported as middle cerebral artery (27.0%), anterior cerebral artery (6.8%), posterior cerebral artery (6.8%), basilar artery (2.7%), lacunar (5.4%), vertebral (2.7%), and no infarction (48.6%).</w:t>
      </w:r>
    </w:p>
    <w:p w14:paraId="26C253E2" w14:textId="5E7D3148" w:rsidR="00213E14" w:rsidRPr="000333DE" w:rsidRDefault="00213E14" w:rsidP="00213E14">
      <w:pPr>
        <w:rPr>
          <w:lang w:val="en-US"/>
        </w:rPr>
      </w:pPr>
      <w:r w:rsidRPr="000333DE">
        <w:rPr>
          <w:lang w:val="en-US"/>
        </w:rPr>
        <w:t xml:space="preserve">The study population had a mean infarction volume of 47.6±70.3 ml, with a minimum of 0.1 ml and a maximum of 302.5 ml. The median volume was 24.6 ml (IQR=2.8–52.7). The midline shift had a mean of 2.6±4.5 mm, with a range of 0.0 to 20.0 mm, and a median of 0.0 mm (IQR=0.0–5.0). The mean volume of acute subdural hematoma was 56.3±45.9 ml, with a minimum of 0.4 ml and a </w:t>
      </w:r>
      <w:r w:rsidRPr="000333DE">
        <w:rPr>
          <w:lang w:val="en-US"/>
        </w:rPr>
        <w:lastRenderedPageBreak/>
        <w:t>maximum of 122.3 ml. The median volume was 46.0 ml (IQR=10.9–101.8). Basal cisterns were absent in 10.8% and compressed in 36.5% of participants.</w:t>
      </w:r>
    </w:p>
    <w:p w14:paraId="2156F99B" w14:textId="4E7FD986" w:rsidR="00213E14" w:rsidRPr="000333DE" w:rsidRDefault="00213E14" w:rsidP="00213E14">
      <w:pPr>
        <w:rPr>
          <w:lang w:val="en-US"/>
        </w:rPr>
      </w:pPr>
      <w:r w:rsidRPr="000333DE">
        <w:rPr>
          <w:lang w:val="en-US"/>
        </w:rPr>
        <w:t>Regarding the presence of hemorrhagic infarction, 9.5% of participants had this condition. Neuroworsening was present in 48.6% of participants. The type of stroke</w:t>
      </w:r>
      <w:r w:rsidR="00852C00" w:rsidRPr="000333DE">
        <w:rPr>
          <w:lang w:val="en-US"/>
        </w:rPr>
        <w:t xml:space="preserve"> was divided in</w:t>
      </w:r>
      <w:r w:rsidR="00E37505" w:rsidRPr="000333DE">
        <w:rPr>
          <w:lang w:val="en-US"/>
        </w:rPr>
        <w:t>to</w:t>
      </w:r>
      <w:r w:rsidR="00852C00" w:rsidRPr="000333DE">
        <w:rPr>
          <w:lang w:val="en-US"/>
        </w:rPr>
        <w:t xml:space="preserve"> three etiolog</w:t>
      </w:r>
      <w:r w:rsidR="00BC140D" w:rsidRPr="000333DE">
        <w:rPr>
          <w:lang w:val="en-US"/>
        </w:rPr>
        <w:t>ies</w:t>
      </w:r>
      <w:r w:rsidR="00852C00" w:rsidRPr="000333DE">
        <w:rPr>
          <w:lang w:val="en-US"/>
        </w:rPr>
        <w:t>,</w:t>
      </w:r>
      <w:r w:rsidRPr="000333DE">
        <w:rPr>
          <w:lang w:val="en-US"/>
        </w:rPr>
        <w:t xml:space="preserve"> 20.7% </w:t>
      </w:r>
      <w:r w:rsidR="00852C00" w:rsidRPr="000333DE">
        <w:rPr>
          <w:lang w:val="en-US"/>
        </w:rPr>
        <w:t xml:space="preserve">of patients </w:t>
      </w:r>
      <w:r w:rsidR="00E37505" w:rsidRPr="000333DE">
        <w:rPr>
          <w:lang w:val="en-US"/>
        </w:rPr>
        <w:t>had</w:t>
      </w:r>
      <w:r w:rsidRPr="000333DE">
        <w:rPr>
          <w:lang w:val="en-US"/>
        </w:rPr>
        <w:t xml:space="preserve"> a cardiogenic stroke, 34.5% ha</w:t>
      </w:r>
      <w:r w:rsidR="00E37505" w:rsidRPr="000333DE">
        <w:rPr>
          <w:lang w:val="en-US"/>
        </w:rPr>
        <w:t>d</w:t>
      </w:r>
      <w:r w:rsidRPr="000333DE">
        <w:rPr>
          <w:lang w:val="en-US"/>
        </w:rPr>
        <w:t xml:space="preserve"> thrombosis, and 44.8% ha</w:t>
      </w:r>
      <w:r w:rsidR="00E37505" w:rsidRPr="000333DE">
        <w:rPr>
          <w:lang w:val="en-US"/>
        </w:rPr>
        <w:t>d</w:t>
      </w:r>
      <w:r w:rsidRPr="000333DE">
        <w:rPr>
          <w:lang w:val="en-US"/>
        </w:rPr>
        <w:t xml:space="preserve"> a cryptogenic stroke.</w:t>
      </w:r>
    </w:p>
    <w:p w14:paraId="65E5D387" w14:textId="77777777" w:rsidR="00DC07C0" w:rsidRPr="000333DE" w:rsidRDefault="00DC07C0" w:rsidP="00213E14">
      <w:pPr>
        <w:rPr>
          <w:lang w:val="en-US"/>
        </w:rPr>
      </w:pPr>
    </w:p>
    <w:p w14:paraId="2590923D" w14:textId="5582CC8A" w:rsidR="00415E01" w:rsidRPr="000333DE" w:rsidRDefault="00D1197D" w:rsidP="00213E14">
      <w:pPr>
        <w:rPr>
          <w:rFonts w:cs="Times New Roman"/>
          <w:b/>
          <w:bCs/>
          <w:szCs w:val="24"/>
          <w:lang w:val="en-US"/>
        </w:rPr>
      </w:pPr>
      <w:r w:rsidRPr="000333DE">
        <w:rPr>
          <w:rFonts w:cs="Times New Roman"/>
          <w:b/>
          <w:bCs/>
          <w:szCs w:val="24"/>
          <w:lang w:val="en-US"/>
        </w:rPr>
        <w:t>Pathway analyses for the identified and measured protein biomarkers</w:t>
      </w:r>
    </w:p>
    <w:p w14:paraId="46B6B875" w14:textId="19C8BD4D" w:rsidR="00210E62" w:rsidRPr="000333DE" w:rsidRDefault="00210E62" w:rsidP="00210E62">
      <w:pPr>
        <w:rPr>
          <w:rFonts w:cs="Times New Roman"/>
          <w:szCs w:val="24"/>
          <w:lang w:val="en-US"/>
        </w:rPr>
      </w:pPr>
      <w:r w:rsidRPr="000333DE">
        <w:rPr>
          <w:rFonts w:cs="Times New Roman"/>
          <w:szCs w:val="24"/>
          <w:lang w:val="en-US"/>
        </w:rPr>
        <w:t>In this study, we identified a total of 145 significantly enriched pathways (p&lt;0.05, FDR corrected) through the analysis of our candidate biomarkers, including p75 Neurotrophin receptor (p75NTR), nerve growth factor (NGF), sortilin, interleukin-1β (IL1β), tumor necrosis factor α (TNFα), and cyclophilin A</w:t>
      </w:r>
      <w:r w:rsidR="00367015" w:rsidRPr="000333DE">
        <w:rPr>
          <w:rFonts w:cs="Times New Roman"/>
          <w:szCs w:val="24"/>
          <w:lang w:val="en-US"/>
        </w:rPr>
        <w:t xml:space="preserve"> (</w:t>
      </w:r>
      <w:r w:rsidR="00367015" w:rsidRPr="000333DE">
        <w:rPr>
          <w:rFonts w:cs="Times New Roman"/>
          <w:b/>
          <w:bCs/>
          <w:szCs w:val="24"/>
          <w:lang w:val="en-US"/>
        </w:rPr>
        <w:t>Table S</w:t>
      </w:r>
      <w:r w:rsidR="004659B2" w:rsidRPr="000333DE">
        <w:rPr>
          <w:rFonts w:cs="Times New Roman"/>
          <w:b/>
          <w:bCs/>
          <w:szCs w:val="24"/>
          <w:lang w:val="en-US"/>
        </w:rPr>
        <w:t>1</w:t>
      </w:r>
      <w:r w:rsidR="00367015" w:rsidRPr="000333DE">
        <w:rPr>
          <w:rFonts w:cs="Times New Roman"/>
          <w:szCs w:val="24"/>
          <w:lang w:val="en-US"/>
        </w:rPr>
        <w:t>)</w:t>
      </w:r>
      <w:r w:rsidRPr="000333DE">
        <w:rPr>
          <w:rFonts w:cs="Times New Roman"/>
          <w:szCs w:val="24"/>
          <w:lang w:val="en-US"/>
        </w:rPr>
        <w:t>. Among these pathways, several were closely related to neuroplasticity and neuroinflammation, suggesting a possible association between the candidate biomarkers and these biological processes.</w:t>
      </w:r>
    </w:p>
    <w:p w14:paraId="2D4E3900" w14:textId="1F67C680" w:rsidR="00210E62" w:rsidRPr="000333DE" w:rsidRDefault="00210E62" w:rsidP="00210E62">
      <w:pPr>
        <w:rPr>
          <w:rFonts w:cs="Times New Roman"/>
          <w:szCs w:val="24"/>
          <w:lang w:val="en-US"/>
        </w:rPr>
      </w:pPr>
      <w:r w:rsidRPr="000333DE">
        <w:rPr>
          <w:rFonts w:cs="Times New Roman"/>
          <w:szCs w:val="24"/>
          <w:lang w:val="en-US"/>
        </w:rPr>
        <w:t xml:space="preserve">Neuroplasticity-related pathways identified in our analysis include p75(NTR)-mediated signaling, Neurotrophin signaling pathway, and MAPK signaling pathway. These pathways play crucial roles in regulating neuronal survival, differentiation, and synaptic plasticity. </w:t>
      </w:r>
    </w:p>
    <w:p w14:paraId="7843CB8A" w14:textId="77777777" w:rsidR="00210E62" w:rsidRPr="000333DE" w:rsidRDefault="00210E62" w:rsidP="00210E62">
      <w:pPr>
        <w:rPr>
          <w:rFonts w:cs="Times New Roman"/>
          <w:szCs w:val="24"/>
          <w:lang w:val="en-US"/>
        </w:rPr>
      </w:pPr>
      <w:r w:rsidRPr="000333DE">
        <w:rPr>
          <w:rFonts w:cs="Times New Roman"/>
          <w:szCs w:val="24"/>
          <w:lang w:val="en-US"/>
        </w:rPr>
        <w:t xml:space="preserve">Several enriched pathways were found to be linked to neuroinflammation, an inflammatory response within the brain that contributes to the pathogenesis of various neurological disorders. Key neuroinflammation-related pathways identified in our study include TNF signaling, IL-17 signaling pathway, and NF-kappa B signaling pathway. These pathways regulate the production of pro-inflammatory cytokines and chemokines, as well as the activation of immune cells such as microglia and astrocytes, which can contribute to neuroinflammation. </w:t>
      </w:r>
    </w:p>
    <w:p w14:paraId="30276F34" w14:textId="79474638" w:rsidR="00210E62" w:rsidRPr="000333DE" w:rsidRDefault="00210E62" w:rsidP="00210E62">
      <w:pPr>
        <w:rPr>
          <w:rFonts w:cs="Times New Roman"/>
          <w:szCs w:val="24"/>
          <w:lang w:val="en-US"/>
        </w:rPr>
      </w:pPr>
      <w:r w:rsidRPr="000333DE">
        <w:rPr>
          <w:rFonts w:cs="Times New Roman"/>
          <w:szCs w:val="24"/>
          <w:lang w:val="en-US"/>
        </w:rPr>
        <w:lastRenderedPageBreak/>
        <w:t>In addition to the pathways directly related to neuroplasticity and neuroinflammation, several other enriched pathways in our analysis are implicated in neurological disorders or conditions, such as Alzheimer</w:t>
      </w:r>
      <w:r w:rsidR="00E37505" w:rsidRPr="000333DE">
        <w:rPr>
          <w:rFonts w:cs="Times New Roman"/>
          <w:szCs w:val="24"/>
          <w:lang w:val="en-US"/>
        </w:rPr>
        <w:t>’s</w:t>
      </w:r>
      <w:r w:rsidRPr="000333DE">
        <w:rPr>
          <w:rFonts w:cs="Times New Roman"/>
          <w:szCs w:val="24"/>
          <w:lang w:val="en-US"/>
        </w:rPr>
        <w:t xml:space="preserve"> disease</w:t>
      </w:r>
      <w:r w:rsidR="00E37505" w:rsidRPr="000333DE">
        <w:rPr>
          <w:rFonts w:cs="Times New Roman"/>
          <w:szCs w:val="24"/>
          <w:lang w:val="en-US"/>
        </w:rPr>
        <w:t xml:space="preserve"> or</w:t>
      </w:r>
      <w:r w:rsidRPr="000333DE">
        <w:rPr>
          <w:rFonts w:cs="Times New Roman"/>
          <w:szCs w:val="24"/>
          <w:lang w:val="en-US"/>
        </w:rPr>
        <w:t xml:space="preserve"> </w:t>
      </w:r>
      <w:r w:rsidR="00E37505" w:rsidRPr="000333DE">
        <w:rPr>
          <w:rFonts w:cs="Times New Roman"/>
          <w:szCs w:val="24"/>
          <w:lang w:val="en-US"/>
        </w:rPr>
        <w:t>a</w:t>
      </w:r>
      <w:r w:rsidRPr="000333DE">
        <w:rPr>
          <w:rFonts w:cs="Times New Roman"/>
          <w:szCs w:val="24"/>
          <w:lang w:val="en-US"/>
        </w:rPr>
        <w:t xml:space="preserve">myotrophic lateral sclerosis. These findings further underscore the potential involvement of our candidate biomarkers in the pathogenesis of various neurological diseases, which </w:t>
      </w:r>
      <w:r w:rsidR="003B4312" w:rsidRPr="000333DE">
        <w:rPr>
          <w:rFonts w:cs="Times New Roman"/>
          <w:szCs w:val="24"/>
          <w:lang w:val="en-US"/>
        </w:rPr>
        <w:t>could</w:t>
      </w:r>
      <w:r w:rsidRPr="000333DE">
        <w:rPr>
          <w:rFonts w:cs="Times New Roman"/>
          <w:szCs w:val="24"/>
          <w:lang w:val="en-US"/>
        </w:rPr>
        <w:t xml:space="preserve"> involve complex interactions between neuroplasticity and neuroinflammation.</w:t>
      </w:r>
    </w:p>
    <w:p w14:paraId="5BCE5144" w14:textId="50BCC6AC" w:rsidR="000E360D" w:rsidRPr="000333DE" w:rsidRDefault="00210E62" w:rsidP="00210E62">
      <w:pPr>
        <w:rPr>
          <w:rFonts w:cs="Times New Roman"/>
          <w:szCs w:val="24"/>
          <w:lang w:val="en-US"/>
        </w:rPr>
      </w:pPr>
      <w:r w:rsidRPr="000333DE">
        <w:rPr>
          <w:rFonts w:cs="Times New Roman"/>
          <w:szCs w:val="24"/>
          <w:lang w:val="en-US"/>
        </w:rPr>
        <w:t xml:space="preserve">The enriched pathways identified in our analysis highlight valuable insights into the potential roles and functions of our candidate biomarkers in neuroplasticity and neuroinflammation. </w:t>
      </w:r>
    </w:p>
    <w:p w14:paraId="08D5C4ED" w14:textId="77777777" w:rsidR="004D0B05" w:rsidRPr="000333DE" w:rsidRDefault="004D0B05" w:rsidP="00210E62">
      <w:pPr>
        <w:rPr>
          <w:rFonts w:cs="Times New Roman"/>
          <w:b/>
          <w:bCs/>
          <w:szCs w:val="24"/>
          <w:lang w:val="en-US"/>
        </w:rPr>
      </w:pPr>
    </w:p>
    <w:p w14:paraId="3BE13E46" w14:textId="1F7B65AE" w:rsidR="00B153C5" w:rsidRPr="000333DE" w:rsidRDefault="00B153C5" w:rsidP="00B153C5">
      <w:pPr>
        <w:rPr>
          <w:b/>
          <w:bCs/>
          <w:szCs w:val="24"/>
        </w:rPr>
      </w:pPr>
      <w:r w:rsidRPr="000333DE">
        <w:rPr>
          <w:b/>
          <w:bCs/>
          <w:szCs w:val="24"/>
        </w:rPr>
        <w:t>Protein biomarker</w:t>
      </w:r>
      <w:r w:rsidR="00A60D29" w:rsidRPr="000333DE">
        <w:rPr>
          <w:b/>
          <w:bCs/>
          <w:szCs w:val="24"/>
        </w:rPr>
        <w:t xml:space="preserve"> correlation to age and</w:t>
      </w:r>
      <w:r w:rsidRPr="000333DE">
        <w:rPr>
          <w:b/>
          <w:bCs/>
          <w:szCs w:val="24"/>
        </w:rPr>
        <w:t xml:space="preserve"> concentrations among disease groups</w:t>
      </w:r>
    </w:p>
    <w:p w14:paraId="19907512" w14:textId="42A74A6F" w:rsidR="00B153C5" w:rsidRPr="000333DE" w:rsidRDefault="00F43694" w:rsidP="007D63D6">
      <w:r w:rsidRPr="000333DE">
        <w:t xml:space="preserve">We studied biomarker correlation to age since we identified that patients in </w:t>
      </w:r>
      <w:r w:rsidR="00E37505" w:rsidRPr="000333DE">
        <w:t xml:space="preserve">the </w:t>
      </w:r>
      <w:r w:rsidRPr="000333DE">
        <w:t xml:space="preserve">unfavorable group were </w:t>
      </w:r>
      <w:r w:rsidR="00E37505" w:rsidRPr="000333DE">
        <w:t xml:space="preserve">marginally </w:t>
      </w:r>
      <w:r w:rsidRPr="000333DE">
        <w:t>older</w:t>
      </w:r>
      <w:r w:rsidR="00E37505" w:rsidRPr="000333DE">
        <w:t>, however that age difference was not statistically significant (p=0.25) (</w:t>
      </w:r>
      <w:r w:rsidR="00E37505" w:rsidRPr="000333DE">
        <w:rPr>
          <w:b/>
          <w:bCs/>
        </w:rPr>
        <w:t>Table 1</w:t>
      </w:r>
      <w:r w:rsidR="00E37505" w:rsidRPr="000333DE">
        <w:t>)</w:t>
      </w:r>
      <w:r w:rsidRPr="000333DE">
        <w:t xml:space="preserve">. We </w:t>
      </w:r>
      <w:r w:rsidR="00E37505" w:rsidRPr="000333DE">
        <w:t>i</w:t>
      </w:r>
      <w:r w:rsidRPr="000333DE">
        <w:t xml:space="preserve">dentified </w:t>
      </w:r>
      <w:r w:rsidR="00E37505" w:rsidRPr="000333DE">
        <w:t xml:space="preserve">a </w:t>
      </w:r>
      <w:r w:rsidRPr="000333DE">
        <w:t xml:space="preserve">negative correlation trend between interleukin-1β and age </w:t>
      </w:r>
      <w:r w:rsidRPr="000333DE">
        <w:rPr>
          <w:lang w:val="en-US"/>
        </w:rPr>
        <w:t>(r=-0.2129, R2=0.0453, p=0.0685) (</w:t>
      </w:r>
      <w:r w:rsidRPr="000333DE">
        <w:rPr>
          <w:b/>
          <w:bCs/>
          <w:lang w:val="en-US"/>
        </w:rPr>
        <w:t>Figure S1</w:t>
      </w:r>
      <w:r w:rsidRPr="000333DE">
        <w:rPr>
          <w:lang w:val="en-US"/>
        </w:rPr>
        <w:t>). No correlation was identified in other biomarker</w:t>
      </w:r>
      <w:r w:rsidR="00602A20" w:rsidRPr="000333DE">
        <w:rPr>
          <w:lang w:val="en-US"/>
        </w:rPr>
        <w:t>s</w:t>
      </w:r>
      <w:r w:rsidRPr="000333DE">
        <w:rPr>
          <w:lang w:val="en-US"/>
        </w:rPr>
        <w:t xml:space="preserve"> (</w:t>
      </w:r>
      <w:r w:rsidRPr="000333DE">
        <w:rPr>
          <w:b/>
          <w:bCs/>
          <w:lang w:val="en-US"/>
        </w:rPr>
        <w:t>Figure S</w:t>
      </w:r>
      <w:r w:rsidR="00AD2F8C" w:rsidRPr="000333DE">
        <w:rPr>
          <w:b/>
          <w:bCs/>
          <w:lang w:val="en-US"/>
        </w:rPr>
        <w:t>1</w:t>
      </w:r>
      <w:r w:rsidRPr="000333DE">
        <w:rPr>
          <w:lang w:val="en-US"/>
        </w:rPr>
        <w:t xml:space="preserve">). </w:t>
      </w:r>
      <w:r w:rsidR="00B153C5" w:rsidRPr="000333DE">
        <w:t>Upon assessing the protein biomarkers after acute brain insult among individual cohorts of aSAH, TBI, and IS patients, several observations were made (</w:t>
      </w:r>
      <w:r w:rsidR="00B153C5" w:rsidRPr="000333DE">
        <w:rPr>
          <w:b/>
          <w:bCs/>
        </w:rPr>
        <w:t>Figure S</w:t>
      </w:r>
      <w:r w:rsidR="008B0BF7" w:rsidRPr="000333DE">
        <w:rPr>
          <w:b/>
          <w:bCs/>
        </w:rPr>
        <w:t>2</w:t>
      </w:r>
      <w:r w:rsidR="00B153C5" w:rsidRPr="000333DE">
        <w:t>). In relation to the p75 neurotrophin receptor (p75NTR) concentrations, no significant differences were identified between the disease groups in both favorable (p=0.99) and unfavorable (p=0.24) outcome categories. Similarly, for the nerve growth factor (NGF) concentrations, no significant differences were observed between the disease groups for favorable (p=0.14) or unfavorable (p=0.24) outcomes. Concentrations of sortilin and cyclophilin also showed no significant variance between disease groups for both favorable (p=0.50 for sortilin, p=0.49 for cyclophilin) and unfavorable (p=0.41 for sortilin, p=0.18 for cyclophilin) outcomes.</w:t>
      </w:r>
      <w:r w:rsidR="008C19A3" w:rsidRPr="000333DE">
        <w:t xml:space="preserve"> </w:t>
      </w:r>
      <w:r w:rsidR="00B153C5" w:rsidRPr="000333DE">
        <w:t xml:space="preserve">However, for the interleukin-1β (IL1B) concentrations, a significant difference was identified between disease groups in the favorable outcome category (p&lt;0.001) and in the unfavorable outcome group (p=0.04). Tumor necrosis factor α (TNFa) concentrations revealed significant differences between disease </w:t>
      </w:r>
      <w:r w:rsidR="00B153C5" w:rsidRPr="000333DE">
        <w:lastRenderedPageBreak/>
        <w:t>groups in the favorable outcome category (p=0.03), while no significant difference was observed in the unfavorable outcome group (p=0.11).</w:t>
      </w:r>
    </w:p>
    <w:p w14:paraId="37751A02" w14:textId="77777777" w:rsidR="004D0B05" w:rsidRPr="000333DE" w:rsidRDefault="004D0B05" w:rsidP="007D63D6">
      <w:pPr>
        <w:rPr>
          <w:b/>
          <w:bCs/>
        </w:rPr>
      </w:pPr>
    </w:p>
    <w:p w14:paraId="6B92FE71" w14:textId="661FF26F" w:rsidR="007E0245" w:rsidRPr="000333DE" w:rsidRDefault="007E0245" w:rsidP="007D63D6">
      <w:pPr>
        <w:rPr>
          <w:b/>
          <w:bCs/>
        </w:rPr>
      </w:pPr>
      <w:r w:rsidRPr="000333DE">
        <w:rPr>
          <w:b/>
          <w:bCs/>
        </w:rPr>
        <w:t xml:space="preserve">MiRNAs identified in </w:t>
      </w:r>
      <w:r w:rsidR="00AD2F8C" w:rsidRPr="000333DE">
        <w:rPr>
          <w:b/>
          <w:bCs/>
        </w:rPr>
        <w:t xml:space="preserve">each </w:t>
      </w:r>
      <w:r w:rsidR="005C50D0" w:rsidRPr="000333DE">
        <w:rPr>
          <w:b/>
          <w:bCs/>
        </w:rPr>
        <w:t xml:space="preserve">brain injury </w:t>
      </w:r>
      <w:proofErr w:type="gramStart"/>
      <w:r w:rsidRPr="000333DE">
        <w:rPr>
          <w:b/>
          <w:bCs/>
        </w:rPr>
        <w:t>group</w:t>
      </w:r>
      <w:proofErr w:type="gramEnd"/>
    </w:p>
    <w:p w14:paraId="23BA86CD" w14:textId="00A7E0FC" w:rsidR="00AD2F8C" w:rsidRPr="000333DE" w:rsidRDefault="00AD2F8C" w:rsidP="00AD2F8C">
      <w:r w:rsidRPr="000333DE">
        <w:t>In the aSAH</w:t>
      </w:r>
      <w:r w:rsidR="004D0B05" w:rsidRPr="000333DE">
        <w:t xml:space="preserve"> </w:t>
      </w:r>
      <w:r w:rsidRPr="000333DE">
        <w:t xml:space="preserve">group, several miRNAs </w:t>
      </w:r>
      <w:r w:rsidR="004D0B05" w:rsidRPr="000333DE">
        <w:t>showed</w:t>
      </w:r>
      <w:r w:rsidRPr="000333DE">
        <w:t xml:space="preserve"> significant temporal alterations</w:t>
      </w:r>
      <w:r w:rsidR="004D0B05" w:rsidRPr="000333DE">
        <w:t xml:space="preserve"> (</w:t>
      </w:r>
      <w:r w:rsidR="004D0B05" w:rsidRPr="000333DE">
        <w:rPr>
          <w:b/>
          <w:bCs/>
        </w:rPr>
        <w:t>Table S4</w:t>
      </w:r>
      <w:r w:rsidR="004D0B05" w:rsidRPr="000333DE">
        <w:t>)</w:t>
      </w:r>
      <w:r w:rsidRPr="000333DE">
        <w:t xml:space="preserve">. Notably, </w:t>
      </w:r>
      <w:r w:rsidRPr="000333DE">
        <w:rPr>
          <w:i/>
          <w:iCs/>
        </w:rPr>
        <w:t>hsa-miR-1275</w:t>
      </w:r>
      <w:r w:rsidRPr="000333DE">
        <w:t xml:space="preserve"> showed a substantial downregulation with a log2 fold change (FC) of -23.4 and an FDR-corrected p-value of 1.40×10</w:t>
      </w:r>
      <w:r w:rsidRPr="000333DE">
        <w:rPr>
          <w:vertAlign w:val="superscript"/>
        </w:rPr>
        <w:t>-22</w:t>
      </w:r>
      <w:r w:rsidRPr="000333DE">
        <w:t xml:space="preserve">. </w:t>
      </w:r>
      <w:r w:rsidRPr="000333DE">
        <w:rPr>
          <w:i/>
          <w:iCs/>
        </w:rPr>
        <w:t>hsa-miR-345-5p</w:t>
      </w:r>
      <w:r w:rsidRPr="000333DE">
        <w:t xml:space="preserve"> was upregulated (log2 FC 1.92, FDR p = 0.017), while </w:t>
      </w:r>
      <w:r w:rsidRPr="000333DE">
        <w:rPr>
          <w:i/>
          <w:iCs/>
        </w:rPr>
        <w:t>hsa-miR-129-5p</w:t>
      </w:r>
      <w:r w:rsidRPr="000333DE">
        <w:t xml:space="preserve"> was significantly downregulated (log2 FC -6.06, FDR p = 0.039).</w:t>
      </w:r>
    </w:p>
    <w:p w14:paraId="45D232D3" w14:textId="2BB41B6D" w:rsidR="00AD2F8C" w:rsidRPr="000333DE" w:rsidRDefault="00AD2F8C" w:rsidP="00AD2F8C">
      <w:r w:rsidRPr="000333DE">
        <w:t xml:space="preserve">In the TBI group, </w:t>
      </w:r>
      <w:r w:rsidRPr="000333DE">
        <w:rPr>
          <w:i/>
          <w:iCs/>
        </w:rPr>
        <w:t>hsa-miR-148b-5p</w:t>
      </w:r>
      <w:r w:rsidRPr="000333DE">
        <w:t xml:space="preserve"> demonstrated a significant downregulation (log2 FC -22.7, FDR p = 4.25×10</w:t>
      </w:r>
      <w:r w:rsidRPr="000333DE">
        <w:rPr>
          <w:vertAlign w:val="superscript"/>
        </w:rPr>
        <w:t>-12</w:t>
      </w:r>
      <w:r w:rsidRPr="000333DE">
        <w:t xml:space="preserve">). Other miRNAs such as </w:t>
      </w:r>
      <w:r w:rsidRPr="000333DE">
        <w:rPr>
          <w:i/>
          <w:iCs/>
        </w:rPr>
        <w:t>hsa-miR-1307-3p</w:t>
      </w:r>
      <w:r w:rsidRPr="000333DE">
        <w:t xml:space="preserve">, </w:t>
      </w:r>
      <w:r w:rsidRPr="000333DE">
        <w:rPr>
          <w:i/>
          <w:iCs/>
        </w:rPr>
        <w:t>hsa-miR-584-5p</w:t>
      </w:r>
      <w:r w:rsidRPr="000333DE">
        <w:t xml:space="preserve">, and </w:t>
      </w:r>
      <w:r w:rsidRPr="000333DE">
        <w:rPr>
          <w:i/>
          <w:iCs/>
        </w:rPr>
        <w:t>hsa-miR-629-5p</w:t>
      </w:r>
      <w:r w:rsidRPr="000333DE">
        <w:t xml:space="preserve"> also showed significant changes with FDR-corrected p-values of 0.046 each. Additionally, </w:t>
      </w:r>
      <w:r w:rsidRPr="000333DE">
        <w:rPr>
          <w:i/>
          <w:iCs/>
        </w:rPr>
        <w:t>hsa-miR-374a-5p</w:t>
      </w:r>
      <w:r w:rsidRPr="000333DE">
        <w:t xml:space="preserve"> and </w:t>
      </w:r>
      <w:r w:rsidRPr="000333DE">
        <w:rPr>
          <w:i/>
          <w:iCs/>
        </w:rPr>
        <w:t>hsa-miR-132-3p</w:t>
      </w:r>
      <w:r w:rsidRPr="000333DE">
        <w:t xml:space="preserve"> were notably downregulated, with FDR-corrected p-values of 0.052 and 0.058, respectively.</w:t>
      </w:r>
    </w:p>
    <w:p w14:paraId="4B87BD86" w14:textId="79205E80" w:rsidR="004D0B05" w:rsidRPr="000333DE" w:rsidRDefault="00AD2F8C" w:rsidP="00AD2F8C">
      <w:pPr>
        <w:rPr>
          <w:rFonts w:cs="Times New Roman"/>
          <w:b/>
          <w:bCs/>
          <w:szCs w:val="24"/>
          <w:lang w:val="en-US"/>
        </w:rPr>
      </w:pPr>
      <w:r w:rsidRPr="000333DE">
        <w:t>In the IS</w:t>
      </w:r>
      <w:r w:rsidR="004D0B05" w:rsidRPr="000333DE">
        <w:t xml:space="preserve"> </w:t>
      </w:r>
      <w:r w:rsidRPr="000333DE">
        <w:t xml:space="preserve">group, </w:t>
      </w:r>
      <w:r w:rsidRPr="000333DE">
        <w:rPr>
          <w:i/>
          <w:iCs/>
        </w:rPr>
        <w:t>hsa-miR-382-5p</w:t>
      </w:r>
      <w:r w:rsidRPr="000333DE">
        <w:t xml:space="preserve"> and </w:t>
      </w:r>
      <w:r w:rsidRPr="000333DE">
        <w:rPr>
          <w:i/>
          <w:iCs/>
        </w:rPr>
        <w:t>hsa-miR-22-3p</w:t>
      </w:r>
      <w:r w:rsidRPr="000333DE">
        <w:t xml:space="preserve"> showed significant temporal alterations with log2 FC values of -1.64 and 1.16, and FDR-corrected p-values of 0.025 and 0.047, respectively. </w:t>
      </w:r>
      <w:r w:rsidR="004D0B05" w:rsidRPr="000333DE">
        <w:t>These findings highlight the potential role of these miRNAs as disease-specific biomarkers, reflecting pathobiological changes unique to each type of brain injury.</w:t>
      </w:r>
    </w:p>
    <w:p w14:paraId="5F6827EB" w14:textId="77777777" w:rsidR="004D0B05" w:rsidRPr="000333DE" w:rsidRDefault="004D0B05" w:rsidP="00AD2F8C">
      <w:pPr>
        <w:rPr>
          <w:rFonts w:cs="Times New Roman"/>
          <w:b/>
          <w:bCs/>
          <w:szCs w:val="24"/>
          <w:lang w:val="en-US"/>
        </w:rPr>
      </w:pPr>
    </w:p>
    <w:p w14:paraId="58705A34" w14:textId="36872255" w:rsidR="00415E01" w:rsidRPr="000333DE" w:rsidRDefault="007D63D6" w:rsidP="00AD2F8C">
      <w:pPr>
        <w:rPr>
          <w:rFonts w:cs="Times New Roman"/>
          <w:b/>
          <w:bCs/>
          <w:szCs w:val="24"/>
          <w:lang w:val="en-US"/>
        </w:rPr>
      </w:pPr>
      <w:r w:rsidRPr="000333DE">
        <w:rPr>
          <w:rFonts w:cs="Times New Roman"/>
          <w:b/>
          <w:bCs/>
          <w:szCs w:val="24"/>
          <w:lang w:val="en-US"/>
        </w:rPr>
        <w:t>M</w:t>
      </w:r>
      <w:r w:rsidR="00415E01" w:rsidRPr="000333DE">
        <w:rPr>
          <w:rFonts w:cs="Times New Roman"/>
          <w:b/>
          <w:bCs/>
          <w:szCs w:val="24"/>
          <w:lang w:val="en-US"/>
        </w:rPr>
        <w:t xml:space="preserve">iRNA biomarkers associated </w:t>
      </w:r>
      <w:r w:rsidR="00A3730F" w:rsidRPr="000333DE">
        <w:rPr>
          <w:rFonts w:cs="Times New Roman"/>
          <w:b/>
          <w:bCs/>
          <w:szCs w:val="24"/>
          <w:lang w:val="en-US"/>
        </w:rPr>
        <w:t>with</w:t>
      </w:r>
      <w:r w:rsidR="00415E01" w:rsidRPr="000333DE">
        <w:rPr>
          <w:rFonts w:cs="Times New Roman"/>
          <w:b/>
          <w:bCs/>
          <w:szCs w:val="24"/>
          <w:lang w:val="en-US"/>
        </w:rPr>
        <w:t xml:space="preserve"> </w:t>
      </w:r>
      <w:proofErr w:type="gramStart"/>
      <w:r w:rsidR="00415E01" w:rsidRPr="000333DE">
        <w:rPr>
          <w:rFonts w:cs="Times New Roman"/>
          <w:b/>
          <w:bCs/>
          <w:szCs w:val="24"/>
          <w:lang w:val="en-US"/>
        </w:rPr>
        <w:t>outcome</w:t>
      </w:r>
      <w:proofErr w:type="gramEnd"/>
      <w:r w:rsidR="00415E01" w:rsidRPr="000333DE">
        <w:rPr>
          <w:rFonts w:cs="Times New Roman"/>
          <w:b/>
          <w:bCs/>
          <w:szCs w:val="24"/>
          <w:lang w:val="en-US"/>
        </w:rPr>
        <w:t xml:space="preserve"> </w:t>
      </w:r>
    </w:p>
    <w:p w14:paraId="46FF626F" w14:textId="7BE3954C" w:rsidR="00A85FCC" w:rsidRPr="000333DE" w:rsidRDefault="00A85FCC" w:rsidP="00F7167B">
      <w:r w:rsidRPr="000333DE">
        <w:t xml:space="preserve">In our investigation of the role of miRNAs in neurological diseases and related processes, we identified four miRNAs of particular interest: hsa-miR-146b-3p, hsa-miR-485-3p, hsa-miR-5010-5p, and hsa-miR-485-5p </w:t>
      </w:r>
      <w:r w:rsidRPr="000333DE">
        <w:rPr>
          <w:rFonts w:cs="Times New Roman"/>
          <w:szCs w:val="24"/>
          <w:lang w:val="en-US"/>
        </w:rPr>
        <w:t>(</w:t>
      </w:r>
      <w:r w:rsidRPr="000333DE">
        <w:rPr>
          <w:rFonts w:cs="Times New Roman"/>
          <w:b/>
          <w:bCs/>
          <w:szCs w:val="24"/>
          <w:lang w:val="en-US"/>
        </w:rPr>
        <w:t xml:space="preserve">Table </w:t>
      </w:r>
      <w:r w:rsidR="00D8117F" w:rsidRPr="000333DE">
        <w:rPr>
          <w:rFonts w:cs="Times New Roman"/>
          <w:b/>
          <w:bCs/>
          <w:szCs w:val="24"/>
          <w:lang w:val="en-US"/>
        </w:rPr>
        <w:t>2</w:t>
      </w:r>
      <w:r w:rsidRPr="000333DE">
        <w:rPr>
          <w:rFonts w:cs="Times New Roman"/>
          <w:szCs w:val="24"/>
          <w:lang w:val="en-US"/>
        </w:rPr>
        <w:t>)</w:t>
      </w:r>
      <w:r w:rsidRPr="000333DE">
        <w:t xml:space="preserve">. Our putative target analysis in miRWalk revealed that these miRNAs target key genes involved in neuroinflammation, neuroplasticity, neuronal survival, and neural </w:t>
      </w:r>
      <w:r w:rsidRPr="000333DE">
        <w:lastRenderedPageBreak/>
        <w:t>regeneration, including p75 neurotrophin receptor (p75NTR), nerve growth factor (NGF), interleukin-1β (IL1β), tumor necrosis factor</w:t>
      </w:r>
      <w:r w:rsidR="00596CDD" w:rsidRPr="000333DE">
        <w:t xml:space="preserve"> </w:t>
      </w:r>
      <w:r w:rsidRPr="000333DE">
        <w:t>α (TNFα), sortilin, and cyclophilin A. Notably, the binding probability of these miRNA-target interactions was consistently greater than 95%, underscoring the potential significance of these findings. Furthermore, the interaction between hsa-miR-5010-5p and its target genes w</w:t>
      </w:r>
      <w:r w:rsidR="00907D11" w:rsidRPr="000333DE">
        <w:t>as</w:t>
      </w:r>
      <w:r w:rsidRPr="000333DE">
        <w:t xml:space="preserve"> validated in the miRTarBase, providing additional confidence in the reliability of these specific miRNA-target pairs. The elucidation of these high-confidence interactions provides a foundation for further investigation into the functional roles of these miRNAs in the context of neurological disorders and may ultimately contribute to the development of novel therapeutic strategies.</w:t>
      </w:r>
    </w:p>
    <w:p w14:paraId="79A81333" w14:textId="322AA9FF" w:rsidR="00803B1C" w:rsidRPr="000333DE" w:rsidRDefault="00A7297B" w:rsidP="003B4312">
      <w:pPr>
        <w:rPr>
          <w:lang w:val="en-US"/>
        </w:rPr>
      </w:pPr>
      <w:r w:rsidRPr="000333DE">
        <w:t>W</w:t>
      </w:r>
      <w:r w:rsidR="005135DB" w:rsidRPr="000333DE">
        <w:rPr>
          <w:lang w:val="en-US"/>
        </w:rPr>
        <w:t xml:space="preserve">e </w:t>
      </w:r>
      <w:r w:rsidRPr="000333DE">
        <w:rPr>
          <w:lang w:val="en-US"/>
        </w:rPr>
        <w:t xml:space="preserve">also investigated the detected set of 19 miRNAs (p&lt;0.05) that </w:t>
      </w:r>
      <w:r w:rsidR="00907D11" w:rsidRPr="000333DE">
        <w:rPr>
          <w:lang w:val="en-US"/>
        </w:rPr>
        <w:t>were differentially expressed</w:t>
      </w:r>
      <w:r w:rsidRPr="000333DE">
        <w:rPr>
          <w:lang w:val="en-US"/>
        </w:rPr>
        <w:t xml:space="preserve"> between the two outcome groups: hsa-miR-6803-3p, hsa-miR-885-5p, hsa-miR-323a-3p, hsa-let-7i-3p, hsa-miR-1270, hsa-miR-4516, hsa-miR-1247-5p, hsa-miR-3124-5p, hsa-miR-1-3p, hsa-miR-598-3p, hsa-miR-551a, hsa-miR-3178, hsa-miR-374a-5p, hsa-miR-18a-3p, hsa-miR-197-5p, hsa-miR-365a-3p, hsa-miR-365b-3p, and hsa-miR-192-5p</w:t>
      </w:r>
      <w:r w:rsidR="003E7E6F" w:rsidRPr="000333DE">
        <w:rPr>
          <w:rFonts w:cs="Times New Roman"/>
          <w:b/>
          <w:bCs/>
          <w:lang w:val="en-US"/>
        </w:rPr>
        <w:t xml:space="preserve"> </w:t>
      </w:r>
      <w:r w:rsidR="003E7E6F" w:rsidRPr="000333DE">
        <w:rPr>
          <w:rFonts w:cs="Times New Roman"/>
          <w:lang w:val="en-US"/>
        </w:rPr>
        <w:t>and</w:t>
      </w:r>
      <w:r w:rsidR="002D5B79" w:rsidRPr="000333DE">
        <w:rPr>
          <w:rFonts w:cs="Times New Roman"/>
          <w:b/>
          <w:bCs/>
          <w:lang w:val="en-US"/>
        </w:rPr>
        <w:t xml:space="preserve"> </w:t>
      </w:r>
      <w:r w:rsidR="002D5B79" w:rsidRPr="000333DE">
        <w:rPr>
          <w:rFonts w:cs="Times New Roman"/>
        </w:rPr>
        <w:t>hsa-miR-27a-5p</w:t>
      </w:r>
      <w:r w:rsidR="003E7E6F" w:rsidRPr="000333DE">
        <w:rPr>
          <w:rFonts w:cs="Times New Roman"/>
        </w:rPr>
        <w:t xml:space="preserve">. </w:t>
      </w:r>
      <w:r w:rsidR="003E7E6F" w:rsidRPr="000333DE">
        <w:rPr>
          <w:lang w:val="en-US"/>
        </w:rPr>
        <w:t>While some of these miRNAs are implicated in processes such as cell proliferation, cancer, differentiation</w:t>
      </w:r>
      <w:r w:rsidR="00907D11" w:rsidRPr="000333DE">
        <w:rPr>
          <w:lang w:val="en-US"/>
        </w:rPr>
        <w:t>,</w:t>
      </w:r>
      <w:r w:rsidR="003E7E6F" w:rsidRPr="000333DE">
        <w:rPr>
          <w:lang w:val="en-US"/>
        </w:rPr>
        <w:t xml:space="preserve"> and apoptosis, many remain poorly characterized with limited information available on their functions</w:t>
      </w:r>
      <w:r w:rsidR="003E7E6F" w:rsidRPr="000333DE">
        <w:rPr>
          <w:rFonts w:cs="Times New Roman"/>
        </w:rPr>
        <w:fldChar w:fldCharType="begin"/>
      </w:r>
      <w:r w:rsidR="006256D9" w:rsidRPr="000333DE">
        <w:rPr>
          <w:rFonts w:cs="Times New Roman"/>
        </w:rPr>
        <w:instrText xml:space="preserve"> ADDIN ZOTERO_ITEM CSL_CITATION {"citationID":"v9udp6Vy","properties":{"formattedCitation":"\\super 3\\uc0\\u8211{}12\\nosupersub{}","plainCitation":"3–12","noteIndex":0},"citationItems":[{"id":3529,"uris":["http://zotero.org/users/local/jiwJKqG7/items/TFK6K7R4"],"itemData":{"id":3529,"type":"article-journal","abstract":"BACKGROUND: Studies conducted in the last decades have revealed a role for the non-coding microRNAs (miRNAs) in cancer development and progression. Several miRNAs within the chromosome region 14q32, a region commonly deleted in cancers, are associated with poor clinical outcome in the childhood cancer neuroblastoma. We have previously identified miR-323a-3p from this region to be downregulated in chemotherapy treated neuroblastoma cells compared to pre-treatment cells from the same patients. Furthermore, in neuroblastoma tumors, this miRNA is downregulated in advanced stage 4 disease compared to stage 1-2. In this study, we attempt to delineate the unknown functional roles of miR-323a-3p in neuroblastoma.\nMETHODS: Synthetic miRNA mimics were used to overexpress miR-323a-3p in neuroblastoma cell lines. To investigate the functional roles of miR-323a-3p, cell viability assay, flow cytometry, reverse transcription-quantitative polymerase chain reaction, luciferase reporter assay and western blot were conducted on the neuroblastoma cell lines Kelly, SH-SY5Y and SK-N-BE(2)-C.\nRESULTS: Ectopic expression of miR-323a-3p resulted in marked reduction of cell viability in Kelly, SH-SY5Y and SK-N-BE(2)-C by causing G1-cell cycle arrest in Kelly and SH-SY5Y and apoptosis in all the cell lines tested. Furthermore, mRNA and protein levels of signal transducer and activator of transcription 3 (STAT3) were reduced upon miR-323a-3p overexpression. A direct binding of the miR-323a-3p to the 3'UTR of STAT3 was experimentally validated by luciferase reporter assay, where miR-323a-3p reduced luminescent signal from full length STAT3 3'UTR luciferase reporter, but not from a reporter with mutation in the predicted seed sequence.\nCONCLUSIONS: miR-323a-3p inhibits growth of neuroblastoma cell lines through G1-cell cycle arrest and apoptosis, and the well-known oncogene STAT3 is a direct target of this miRNA.","container-title":"Frontiers in Pediatrics","DOI":"10.3389/fped.2023.1098999","ISSN":"2296-2360","journalAbbreviation":"Front Pediatr","language":"eng","note":"PMID: 37033189\nPMCID: PMC10079869","page":"1098999","source":"PubMed","title":"Hsa-miR-323a-3p functions as a tumor suppressor and targets STAT3 in neuroblastoma cells","volume":"11","author":[{"family":"Bhavsar","given":"Swapnil Parashram"},{"family":"Olsen","given":"Lotte"},{"family":"Løkke","given":"Cecilie"},{"family":"Koster","given":"Jan"},{"family":"Flægstad","given":"Trond"},{"family":"Einvik","given":"Christer"}],"issued":{"date-parts":[["2023"]]}},"label":"page"},{"id":3526,"uris":["http://zotero.org/users/local/jiwJKqG7/items/59YWFTRQ"],"itemData":{"id":3526,"type":"article-journal","abstract":"Dysregulated microRNAs are closely related to the malignant progression of colorectal cancer (CRC). Although abnormal let-7i-3p expression has been reported in various human cancers, its biological role and potential mechanism in CRC remain unclear. Therefore, the purpose of this study was to investigate the expression and regulation of let-7i-3p in CRC. Here, we demonstrated that let-7i-3p expression was significantly downregulated in three CRC cell lines while CyclinD1 (CCND1) was upregulated compared with the normal colon epithelial FHC cells. Moreover, bioinformatics and luciferase reporter assays revealed that CCND1 was a direct functional target of let-7i-3p. In addition, let-7i-3p overexpression or CCND1 silencing inhibited cell cycle, proliferation, invasion, and migration and diminished the activation of p-ERK in HCT116 cells. However, exogenously expressing CCND1 alleviated these effects. Taken together, our findings may provide new insight into the pathogenesis of CRC and let-7i-3p/CCND1 might function as new therapeutic targets for CRC.","container-title":"Open Medicine (Warsaw, Poland)","DOI":"10.1515/med-2022-0499","ISSN":"2391-5463","issue":"1","journalAbbreviation":"Open Med (Wars)","language":"eng","note":"PMID: 35795002\nPMCID: PMC9175015","page":"1019-1030","source":"PubMed","title":"Let-7i-3p inhibits the cell cycle, proliferation, invasion, and migration of colorectal cancer cells via downregulating CCND1","volume":"17","author":[{"family":"Tu","given":"Fei"},{"family":"Li","given":"Mengfan"},{"family":"Chen","given":"Yinyu"},{"family":"Chu","given":"Huiru"},{"family":"Wang","given":"Shujie"},{"family":"Hai","given":"Lun"},{"family":"Xie","given":"Ting"},{"family":"Geng","given":"Fangfang"},{"family":"Zhao","given":"Tiesuo"},{"family":"Wang","given":"Qingzhi"},{"family":"Feng","given":"Zhiwei"}],"issued":{"date-parts":[["2022"]]}}},{"id":3502,"uris":["http://zotero.org/users/local/jiwJKqG7/items/AW98DHFW"],"itemData":{"id":3502,"type":"article-journal","abstract":"BACKGROUND: Glioblastoma multiforme (GBM) is one of the most aggressive brain tumors among human beings. In this study, we explored the functions of human microRNA-1270 (hsa-miR-1270) on GBM cancer cell proliferation, migration, and tumorigenesis.\nMATERIALS AND METHODS: In GBM cell lines and clinical tissues, hsa-miR-1270 expression was probed by quantitative real-time PCR (qRT-PCR). In LN-18 and A172 cells, hsa-miR-1270 was upregulated by lentiviral transduction. The effects of hsa-miR-1270 upregulation on GBM in vitro and in vivo functions were probed by proliferation, migration, and xenograft assays, respectively. The correlation between hsa-miR-1270 and Wilms' tumor gene (WT1) was probed by dual-luciferase activity assay, qRT-PCR, and Western blot. WT1 was then secondarily over-expressed in hsa-miR-1270-upregulated LN-18 and A172 cells, to explore its mechanisms in GBM's association with hsa-miR-1270.\nRESULTS: Hsa-miR-1270 was significantly downregulated in both GBM cell lines and clinical tumors. Upregulating hsa-miR-1270 considerably suppressed GBM cell proliferation and migration in vitro and xenograft in vivo. WT1 was inversely correlated with hsa-miR-1270 in GBM. WT1 overexpression in hsa-miR-1270-upregulated GBM cells reversed the anticancer functions of hsa-miR-1270 on cancer proliferation and migration.\nCONCLUSION: Hsa-miR-1270 upregulation may have suppressing effects on GBM cancer cells, likely by functionally acting through WT1.","container-title":"OncoTargets and Therapy","DOI":"10.2147/OTT.S192521","ISSN":"1178-6930","journalAbbreviation":"Onco Targets Ther","language":"eng","note":"PMID: 31417281\nPMCID: PMC6592694","page":"4839-4848","source":"PubMed","title":"Upregulation of microRNA-1270 suppressed human glioblastoma cancer cell proliferation migration and tumorigenesis by acting through WT1","volume":"12","author":[{"family":"Wei","given":"Lai"},{"family":"Li","given":"Pan"},{"family":"Zhao","given":"Chunjing"},{"family":"Wang","given":"Na"},{"family":"Wei","given":"Na"}],"issued":{"date-parts":[["2019"]]}}},{"id":3505,"uris":["http://zotero.org/users/local/jiwJKqG7/items/B3SZFTNU"],"itemData":{"id":3505,"type":"article-journal","abstract":"PURPOSE: This study was designed to dissect the role of long noncoding RNA metastasis-associated lung adenocarcinoma transcript 1 (MALAT1) in retinoblastoma (RB) and its underlying mechanism.\nMETHODS: Gain- and loss-of-function experiments were adopted to explore the effects of MALAT1 and microRNA (miR)-598-3p on the biologic behaviors of RB cells. Reverse transcription quantitative polymerase chain reaction (RT-qPCR) was used to assess the expression of MALAT1 and miR-598-3p in Y79 and HXO-RB44 cells. The proliferation of RB cells was determined with the cell counting kit-8 (CCK-8) assay and 5-ethynyl-2'-deoxyuridine (EdU) staining. Flow cytometry was employed for the measurement of the apoptotic rate, western blotting for examination of the expression of apoptosis-related proteins (Bax and Bcl-2) and phosphoinositide 3-kinase/protein kinase-B (PI3K/AKT) pathway-related factors (PI3K, AKT, p-PI3K, and p-AKT), and the luciferase reporter assay for assessment of the interaction between MALAT1 and miR-598-3p.\nRESULTS: High expression of MALAT1 and low expression of miR-598-3p were noticed in Y79 and HXO-RB44 cells. MALAT1 upregulation or miR-598-3p downregulation facilitated RB cell proliferation and inhibited cell apoptosis, as evidenced by the increased proliferation rate and Bcl-2 expression, as well as diminished Bax expression and apoptotic rate, in the RB cells after transfection with pcDNA3.1-MALAT1 or miR-598-3p inhibitor. MALAT1 bound to and negatively regulated miR-598-3p. The PI3K/AKT pathway activation occurred with MALAT1 overexpression. MALAT1 promoted RB cell proliferation and repressed cell apoptosis by repressing miR-598-3p to activate the PI3K/AKT pathway.\nCONCLUSIONS: MALAT1 repressed miR-598-3p to activate the PI3K/AKT pathway, thus facilitating cell proliferation and inhibiting cell apoptosis in RB.","container-title":"Molecular Vision","ISSN":"1090-0535","journalAbbreviation":"Mol Vis","language":"eng","note":"PMID: 36284668\nPMCID: PMC9514550","page":"269-279","source":"PubMed","title":"The long noncoding RNA MALAT1/microRNA-598-3p axis regulates the proliferation and apoptosis of retinoblastoma cells through the PI3K/AKT pathway","volume":"28","author":[{"family":"Lin","given":"Xiaoli"},{"family":"Huang","given":"Xionggao"},{"family":"Wang","given":"Ling"},{"family":"Liu","given":"Weixian"}],"issued":{"date-parts":[["2022"]]}}},{"id":3507,"uris":["http://zotero.org/users/local/jiwJKqG7/items/NBLNNFVQ"],"itemData":{"id":3507,"type":"article-journal","abstract":"Colorectal cancer primarily metastasizes to the liver and globally kills over 600,000 people annually. By functionally screening 661 microRNAs (miRNAs) in parallel during liver colonization, we have identified miR-551a and miR-483 as robust endogenous suppressors of liver colonization and metastasis. These miRNAs convergently target creatine kinase, brain-type (CKB), which phosphorylates the metabolite creatine, to generate phosphocreatine. CKB is released into the extracellular space by metastatic cells encountering hepatic hypoxia and catalyzes production of phosphocreatine, which is imported through the SLC6A8 transporter and used to generate ATP—fueling metastatic survival. Combinatorial therapeutic viral delivery of miR-551a and miR-483-5p through single-dose adeno-associated viral (AAV) delivery significantly suppressed colon cancer metastasis, as did CKB inhibition with a small-molecule inhibitor. Importantly, human liver metastases express higher CKB and SLC6A8 levels and reduced miR-551a/miR-483 levels relative to primary tumors. We identify the extracellular space as an important compartment for malignant energetic catalysis and therapeutic targeting.","container-title":"Cell","DOI":"10.1016/j.cell.2014.12.018","ISSN":"1097-4172","issue":"3","journalAbbreviation":"Cell","language":"eng","note":"PMID: 25601461\nPMCID: PMC4312495","page":"393-406","source":"PubMed","title":"Extracellular metabolic energetics can promote cancer progression","volume":"160","author":[{"family":"Loo","given":"Jia Min"},{"family":"Scherl","given":"Alexis"},{"family":"Nguyen","given":"Alexander"},{"family":"Man","given":"Fung Ying"},{"family":"Weinberg","given":"Ethan"},{"family":"Zeng","given":"Zhaoshi"},{"family":"Saltz","given":"Leonard"},{"family":"Paty","given":"Philip B."},{"family":"Tavazoie","given":"Sohail F."}],"issued":{"date-parts":[["2015",1,29]]}}},{"id":3510,"uris":["http://zotero.org/users/local/jiwJKqG7/items/ET2HARGV"],"itemData":{"id":3510,"type":"article-journal","abstract":"Triple-negative breast cancer (TNBC) has a poorer outcome than other subtypes of breast cancer, and the discovery of dysregulated microRNA (miRNA) and their role in tumor progression has provided a new avenue for elucidating the mechanism involved in TNBC. In this study, we identified that miR-3178 was significantly reduced in TNBC, and the low miR-3178 expression correlated with poor overall survival in TNBC but not in non-TNBC. The ectopic overexpression of miR-3178 suppressed TNBC cell proliferation, invasion, and migration by inhibiting the epithelial-to-mesenchymal (EMT) transition. Notch1 was validated as the direct target gene of miR-3178, which was confirmed by the dual-luciferase reporter assay. miR-3178 decreased the expression of Notch1 and restoration of Notch1 expression attenuated the inhibitory effects of miR-3178 on cell proliferation, metastasis, and the EMT in TNBC. miR-3178 inhibited cell proliferation and metastasis by targeting Notch1 in TNBC, and the restoration of miR-3178 might be a potential therapeutic strategy for TNBC.","container-title":"Cell Death &amp; Disease","DOI":"10.1038/s41419-018-1091-y","ISSN":"2041-4889","issue":"11","journalAbbreviation":"Cell Death Dis","language":"eng","note":"PMID: 30333478\nPMCID: PMC6192997","page":"1059","source":"PubMed","title":"miR-3178 inhibits cell proliferation and metastasis by targeting Notch1 in triple-negative breast cancer","volume":"9","author":[{"family":"Kong","given":"Peng"},{"family":"Chen","given":"Lie"},{"family":"Yu","given":"Muxin"},{"family":"Tao","given":"Jing"},{"family":"Liu","given":"Jiawei"},{"family":"Wang","given":"Yue"},{"family":"Pan","given":"Hong"},{"family":"Zhou","given":"Wenbin"},{"family":"Wang","given":"Shui"}],"issued":{"date-parts":[["2018",10,17]]}}},{"id":3515,"uris":["http://zotero.org/users/local/jiwJKqG7/items/PVM588E8"],"itemData":{"id":3515,"type":"article-journal","abstract":"Hepatocellular carcinoma (HCC) is one of the leading causes of cancer-related deaths, and its incidence is still high in China. This study aimed to investigate the circular RNAs (circRNAs) involved in the development of HCC and elucidate the mechanism. RNA sequencing found 72 downregulated circRNAs and 88 upregulated circRNAs in human HCC tissues, including hsa_circ_0098181, hsa_circ_0072309, hsa_circ_0000831, and hsa_circ_0000231. The reduction of hsa_circ_0098181 was confirmed in eight paired human HCC tissues, hepatoma cell lines, and CCL4/DEN-induced mouse HCC models by RT-qPCR. The FISH assay revealed that hsa_circ_0098181 is mainly located in the cytoplasm of hepatocytes in the paratumor tissues. Further log-rank analysis performed in 91 HCC patients demonstrated that low expression of hsa_circ_0098181 was related to poor prognosis. The plasmid and lentivirus overexpressing hsa_circ_0098181 were delivered into HCC cell lines. After hsa_circ_0098181 was upregulated, the proliferation, invasion, migration, and colony formation of HCC cell lines were inhibited, and the apoptosis was promoted. Moreover, exogenous hsa_circ_0098181 delivery mitigated the tumor formation ability of Huh7 in Balb/C nude mice. The dual-luciferase reporter assay and the RIP assay verified that hsa_circ_0098181 sponged miR-18a-3p to regulate PPARA. In addition, a rescue experiment found miR-18a-3p mimic partly reversed the suppression of hsa_circ_0098181 on proliferation, invasion, and migration of HCC cell lines. In conclusion, hsa_circ_0098181 can repress the development of HCC through sponging miR-18a-3p and promoting the expression of PPARA in vitro and in vivo, and hsa_circ_0098181 might be a therapeutic target for HCC.","container-title":"Frontiers in Pharmacology","DOI":"10.3389/fphar.2022.819735","ISSN":"1663-9812","journalAbbreviation":"Front Pharmacol","language":"eng","note":"PMID: 35264957\nPMCID: PMC8899401","page":"819735","source":"PubMed","title":"Hsa_Circ_0098181 Suppresses Hepatocellular Carcinoma by Sponging miR-18a-3p and Targeting PPARA","volume":"13","author":[{"family":"Luo","given":"Yuan-Yuan"},{"family":"Tao","given":"Ke-Gong"},{"family":"Lu","given":"Yi-Ting"},{"family":"Li","given":"Bin-Bin"},{"family":"Wu","given":"Kai-Ming"},{"family":"Ding","given":"Chen-Hong"},{"family":"Yan","given":"Fang-Zhi"},{"family":"Liu","given":"Yue"},{"family":"Lin","given":"Yong"},{"family":"Zhang","given":"Xin"},{"family":"Zeng","given":"Xin"}],"issued":{"date-parts":[["2022"]]}}},{"id":3518,"uris":["http://zotero.org/users/local/jiwJKqG7/items/RHHDK354"],"itemData":{"id":3518,"type":"article-journal","abstract":"Sepsis often leads to systemic multiple organ dysfunction, with the majority of deaths attributable to acute myocardial injury (AMI). In this study, we aimed to explore the functional role of miR-365a-3p in sepsis-induced AMI. The sepsis myocardial injury model was constructed using lipopolysaccharide (LPS) both in vitro and in vivo with selective regulation of miR-365a-3p expression. Real-time PCR or Western blot was employed to detect the expressions of miR-365a-3p, inflammatory cytokines (tumor necrosis factor α (TNF-α), interleukin-1β (IL-1β), and IL-6), and inflammation-related proteins (nuclear factor-κB (NF-κB), I-κB, myeloid differentiation factor 88 (MyD88)) in myocardial tissues and cells. Also, cell counting kit-8 (CCK8) and flow cytometry assays were used to measure cardiomyocyte proliferation and apoptosis, respectively. Furthermore, the targeting relationship between miR-365a-3p and MyD88 was verified with the dual luciferase activity assay. miR-365a-3p was downregulated in LPS-induced myocardial injury model. miR-365a-3p overexpression attenuated cardiomyocyte apoptosis and suppressed the expressions of inflammatory cytokines and proteins. Inhibiting miR-365a-3p, however, produced the opposite effects. Mechanistically, miR-365a-3p targeted the 3'-untranslated region of MyD88, thereby inactivating MyD88-mediated NF-κB pathway. miR-365a-3p overexpression mitigated sepsis-mediated myocardial injury by inhibiting MyD88-mediated NF-κB activation.","container-title":"Canadian Journal of Physiology and Pharmacology","DOI":"10.1139/cjpp-2020-0646","ISSN":"1205-7541","issue":"10","journalAbbreviation":"Can J Physiol Pharmacol","language":"eng","note":"PMID: 33852805","page":"1007-1015","source":"PubMed","title":"Overexpression of miR-365a-3p relieves sepsis-induced acute myocardial injury by targeting MyD88/NF-κB pathway","volume":"99","author":[{"family":"Lv","given":"Hong"},{"family":"Tian","given":"Meng"},{"family":"Hu","given":"Ping"},{"family":"Wang","given":"Bin"},{"family":"Yang","given":"Lin"}],"issued":{"date-parts":[["2021",10]]}}},{"id":3520,"uris":["http://zotero.org/users/local/jiwJKqG7/items/4QJFS4Q7"],"itemData":{"id":3520,"type":"article-journal","abstract":"MicroRNAs (miRNAs) are a type of small non-coding RNAs that play an essential role in numerous biological processes by regulating the post-transcriptional expression of target genes. Recent studies have demonstrated that miR-192-5p, a member of the miR-192 family, partakes in several human diseases, especially various cancers, including cancers of the lung, liver, and breast. Importantly, the levels of miR-192-5p are abundant in biofluids, including the serum and urine, and the exosomal levels of miR-192-5p in circulation can aid in the diagnosis and prognosis of various diseases, such as chronic hepatitis B (CHB) infection disease. Notably, recent studies suggest that miR-192-5p is regulated by long noncoding RNAs (lncRNAs) and circular RNAs (circRNAs). However, there are no comprehensive overviews on the role of miR-192-5p in human diseases. This review discusses the significant studies on the role of miR-192-5p in various human diseases, with special emphasis on the diseases of the respiratory and digestive systems.","container-title":"Frontiers in Pharmacology","DOI":"10.3389/fphar.2021.614068","ISSN":"1663-9812","journalAbbreviation":"Front Pharmacol","language":"eng","note":"PMID: 33708127\nPMCID: PMC7940509","page":"614068","source":"PubMed","title":"Emerging Role of MiR-192-5p in Human Diseases","volume":"12","author":[{"family":"Ren","given":"Fu-Jia"},{"family":"Yao","given":"Yao"},{"family":"Cai","given":"Xiao-Yu"},{"family":"Fang","given":"Guo-Ying"}],"issued":{"date-parts":[["2021"]]}}},{"id":3523,"uris":["http://zotero.org/users/local/jiwJKqG7/items/L7PNEXG3"],"itemData":{"id":3523,"type":"article-journal","abstract":"Activity of human natural killer (NK) cells against cancer cells is deeply suppressed by TGF-β1, an immunomodulatory cytokine that is released and activated in the tumor microenvironment. Moreover, our previous data showed that TGF-β1 modifies the chemokine receptor repertoire of NK cells. In particular, it decreases the expression of CX3CR1 that drives these effectors toward peripheral tissues, including tumor sites. To identify possible mechanisms mediating chemokine receptors modulation, we analyzed the microRNA profile of TGF-β1-treated primary NK cells. The analysis pointed out miR-27a-5p as a possible modulator of CX3CR1. We demonstrated the functional interaction of miR-27a-5p with the 3' untranslated region (3'UTR) of CX3CR1 mRNA by two different experimental approaches: by the use of a luciferase assay based on a reporter construct containing the CX3CR1 3'UTR and by transfection of primary NK cells with a miR-27a-5p inhibitor. We also showed that the TGF-β1-mediated increase of miR-27a-5p expression is a consequence of miR-23a-27a-24-2 cluster induction. Moreover, we demonstrated that miR-27a-5p downregulates the surface expression of CX3CR1. Finally, we showed that neuroblastoma cells induced in resting NK cells a downregulation of the CX3CR1 expression that was paralleled by a significant increase of miR-27a-5p expression. Therefore, the present study highlights miR-27a-5p as a pivotal TGF-β1-induced regulator of CX3CR1 expression.","container-title":"Frontiers in Immunology","DOI":"10.3389/fimmu.2017.00868","ISSN":"1664-3224","journalAbbreviation":"Front Immunol","language":"eng","note":"PMID: 28791023\nPMCID: PMC5524732","page":"868","source":"PubMed","title":"TGF-β1 Downregulates the Expression of CX3CR1 by Inducing miR-27a-5p in Primary Human NK Cells","volume":"8","author":[{"family":"Regis","given":"Stefano"},{"family":"Caliendo","given":"Fabio"},{"family":"Dondero","given":"Alessandra"},{"family":"Casu","given":"Beatrice"},{"family":"Romano","given":"Filomena"},{"family":"Loiacono","given":"Fabrizio"},{"family":"Moretta","given":"Alessandro"},{"family":"Bottino","given":"Cristina"},{"family":"Castriconi","given":"Roberta"}],"issued":{"date-parts":[["2017"]]}}}],"schema":"https://github.com/citation-style-language/schema/raw/master/csl-citation.json"} </w:instrText>
      </w:r>
      <w:r w:rsidR="003E7E6F" w:rsidRPr="000333DE">
        <w:rPr>
          <w:rFonts w:cs="Times New Roman"/>
        </w:rPr>
        <w:fldChar w:fldCharType="separate"/>
      </w:r>
      <w:r w:rsidR="006256D9" w:rsidRPr="000333DE">
        <w:rPr>
          <w:rFonts w:cs="Times New Roman"/>
          <w:vertAlign w:val="superscript"/>
        </w:rPr>
        <w:t>3–12</w:t>
      </w:r>
      <w:r w:rsidR="003E7E6F" w:rsidRPr="000333DE">
        <w:rPr>
          <w:rFonts w:cs="Times New Roman"/>
        </w:rPr>
        <w:fldChar w:fldCharType="end"/>
      </w:r>
      <w:r w:rsidRPr="000333DE">
        <w:rPr>
          <w:lang w:val="en-US"/>
        </w:rPr>
        <w:t>. Further research is needed to elucidate the roles of these miRNAs</w:t>
      </w:r>
      <w:r w:rsidR="00813C7A" w:rsidRPr="000333DE">
        <w:rPr>
          <w:lang w:val="en-US"/>
        </w:rPr>
        <w:t>.</w:t>
      </w:r>
    </w:p>
    <w:p w14:paraId="4B0F6A78" w14:textId="77777777" w:rsidR="00803B1C" w:rsidRPr="000333DE" w:rsidRDefault="00803B1C" w:rsidP="003B4312">
      <w:pPr>
        <w:rPr>
          <w:b/>
          <w:bCs/>
          <w:sz w:val="28"/>
          <w:szCs w:val="28"/>
        </w:rPr>
      </w:pPr>
    </w:p>
    <w:p w14:paraId="50897662" w14:textId="77777777" w:rsidR="00DC07C0" w:rsidRPr="000333DE" w:rsidRDefault="00DC07C0" w:rsidP="003B4312">
      <w:pPr>
        <w:rPr>
          <w:b/>
          <w:bCs/>
          <w:sz w:val="28"/>
          <w:szCs w:val="28"/>
        </w:rPr>
      </w:pPr>
    </w:p>
    <w:p w14:paraId="4D69013F" w14:textId="77777777" w:rsidR="00DC07C0" w:rsidRPr="000333DE" w:rsidRDefault="00DC07C0" w:rsidP="003B4312">
      <w:pPr>
        <w:rPr>
          <w:b/>
          <w:bCs/>
          <w:sz w:val="28"/>
          <w:szCs w:val="28"/>
        </w:rPr>
      </w:pPr>
    </w:p>
    <w:p w14:paraId="4F12E93B" w14:textId="77777777" w:rsidR="00DC07C0" w:rsidRPr="000333DE" w:rsidRDefault="00DC07C0" w:rsidP="003B4312">
      <w:pPr>
        <w:rPr>
          <w:b/>
          <w:bCs/>
          <w:sz w:val="28"/>
          <w:szCs w:val="28"/>
        </w:rPr>
      </w:pPr>
    </w:p>
    <w:p w14:paraId="1811D6FA" w14:textId="77777777" w:rsidR="00724267" w:rsidRPr="000333DE" w:rsidRDefault="00724267" w:rsidP="003B4312">
      <w:pPr>
        <w:rPr>
          <w:b/>
          <w:bCs/>
          <w:sz w:val="28"/>
          <w:szCs w:val="28"/>
        </w:rPr>
      </w:pPr>
    </w:p>
    <w:p w14:paraId="1DB4F5C6" w14:textId="5E7DB83D" w:rsidR="003B4312" w:rsidRPr="000333DE" w:rsidRDefault="003B4312" w:rsidP="003B4312">
      <w:pPr>
        <w:rPr>
          <w:b/>
          <w:bCs/>
          <w:sz w:val="28"/>
          <w:szCs w:val="28"/>
        </w:rPr>
      </w:pPr>
      <w:r w:rsidRPr="000333DE">
        <w:rPr>
          <w:b/>
          <w:bCs/>
          <w:sz w:val="28"/>
          <w:szCs w:val="28"/>
        </w:rPr>
        <w:lastRenderedPageBreak/>
        <w:t>References:</w:t>
      </w:r>
    </w:p>
    <w:p w14:paraId="0E439D8F" w14:textId="77777777" w:rsidR="006256D9" w:rsidRPr="000333DE" w:rsidRDefault="003E7E6F" w:rsidP="006256D9">
      <w:pPr>
        <w:pStyle w:val="Lhdeluettelo4"/>
        <w:jc w:val="both"/>
        <w:rPr>
          <w:rFonts w:cs="Times New Roman"/>
          <w:b w:val="0"/>
          <w:bCs/>
          <w:sz w:val="28"/>
        </w:rPr>
      </w:pPr>
      <w:r w:rsidRPr="000333DE">
        <w:rPr>
          <w:sz w:val="24"/>
          <w:szCs w:val="22"/>
          <w:lang w:val="en-US"/>
        </w:rPr>
        <w:fldChar w:fldCharType="begin"/>
      </w:r>
      <w:r w:rsidR="006256D9" w:rsidRPr="000333DE">
        <w:instrText xml:space="preserve"> ADDIN ZOTERO_BIBL {"uncited":[],"omitted":[],"custom":[]} CSL_BIBLIOGRAPHY </w:instrText>
      </w:r>
      <w:r w:rsidRPr="000333DE">
        <w:rPr>
          <w:sz w:val="24"/>
          <w:szCs w:val="22"/>
          <w:lang w:val="en-US"/>
        </w:rPr>
        <w:fldChar w:fldCharType="separate"/>
      </w:r>
      <w:r w:rsidR="006256D9" w:rsidRPr="000333DE">
        <w:rPr>
          <w:rFonts w:cs="Times New Roman"/>
          <w:b w:val="0"/>
          <w:bCs/>
          <w:sz w:val="28"/>
        </w:rPr>
        <w:t>1.</w:t>
      </w:r>
      <w:r w:rsidR="006256D9" w:rsidRPr="000333DE">
        <w:rPr>
          <w:rFonts w:cs="Times New Roman"/>
          <w:b w:val="0"/>
          <w:bCs/>
          <w:sz w:val="28"/>
        </w:rPr>
        <w:tab/>
        <w:t xml:space="preserve">Wu G, Dawson E, Duong A, Haw R, Stein L. ReactomeFIViz: a Cytoscape app for pathway and network-based data analysis. </w:t>
      </w:r>
      <w:r w:rsidR="006256D9" w:rsidRPr="000333DE">
        <w:rPr>
          <w:rFonts w:cs="Times New Roman"/>
          <w:b w:val="0"/>
          <w:bCs/>
          <w:i/>
          <w:iCs/>
          <w:sz w:val="28"/>
        </w:rPr>
        <w:t>F1000Research</w:t>
      </w:r>
      <w:r w:rsidR="006256D9" w:rsidRPr="000333DE">
        <w:rPr>
          <w:rFonts w:cs="Times New Roman"/>
          <w:b w:val="0"/>
          <w:bCs/>
          <w:sz w:val="28"/>
        </w:rPr>
        <w:t>. 2014;3:146. doi:10.12688/f1000research.4431.2</w:t>
      </w:r>
    </w:p>
    <w:p w14:paraId="530040AE" w14:textId="77777777" w:rsidR="006256D9" w:rsidRPr="000333DE" w:rsidRDefault="006256D9" w:rsidP="006256D9">
      <w:pPr>
        <w:pStyle w:val="Lhdeluettelo4"/>
        <w:jc w:val="both"/>
        <w:rPr>
          <w:rFonts w:cs="Times New Roman"/>
          <w:b w:val="0"/>
          <w:bCs/>
          <w:sz w:val="28"/>
        </w:rPr>
      </w:pPr>
      <w:r w:rsidRPr="000333DE">
        <w:rPr>
          <w:rFonts w:cs="Times New Roman"/>
          <w:b w:val="0"/>
          <w:bCs/>
          <w:sz w:val="28"/>
        </w:rPr>
        <w:t>2.</w:t>
      </w:r>
      <w:r w:rsidRPr="000333DE">
        <w:rPr>
          <w:rFonts w:cs="Times New Roman"/>
          <w:b w:val="0"/>
          <w:bCs/>
          <w:sz w:val="28"/>
        </w:rPr>
        <w:tab/>
        <w:t xml:space="preserve">Benjamini Y, Hochberg Y. Controlling the False Discovery Rate: A Practical and Powerful Approach to Multiple Testing. </w:t>
      </w:r>
      <w:r w:rsidRPr="000333DE">
        <w:rPr>
          <w:rFonts w:cs="Times New Roman"/>
          <w:b w:val="0"/>
          <w:bCs/>
          <w:i/>
          <w:iCs/>
          <w:sz w:val="28"/>
        </w:rPr>
        <w:t>J R Stat Soc Ser B Methodol</w:t>
      </w:r>
      <w:r w:rsidRPr="000333DE">
        <w:rPr>
          <w:rFonts w:cs="Times New Roman"/>
          <w:b w:val="0"/>
          <w:bCs/>
          <w:sz w:val="28"/>
        </w:rPr>
        <w:t>. 1995(57):289-300.</w:t>
      </w:r>
    </w:p>
    <w:p w14:paraId="4BBE22DC" w14:textId="77777777" w:rsidR="006256D9" w:rsidRPr="000333DE" w:rsidRDefault="006256D9" w:rsidP="006256D9">
      <w:pPr>
        <w:pStyle w:val="Lhdeluettelo4"/>
        <w:jc w:val="both"/>
        <w:rPr>
          <w:rFonts w:cs="Times New Roman"/>
          <w:b w:val="0"/>
          <w:bCs/>
          <w:sz w:val="28"/>
        </w:rPr>
      </w:pPr>
      <w:r w:rsidRPr="000333DE">
        <w:rPr>
          <w:rFonts w:cs="Times New Roman"/>
          <w:b w:val="0"/>
          <w:bCs/>
          <w:sz w:val="28"/>
        </w:rPr>
        <w:t>3.</w:t>
      </w:r>
      <w:r w:rsidRPr="000333DE">
        <w:rPr>
          <w:rFonts w:cs="Times New Roman"/>
          <w:b w:val="0"/>
          <w:bCs/>
          <w:sz w:val="28"/>
        </w:rPr>
        <w:tab/>
        <w:t xml:space="preserve">Bhavsar SP, Olsen L, Løkke C, Koster J, Flægstad T, Einvik C. Hsa-miR-323a-3p functions as a tumor suppressor and targets STAT3 in neuroblastoma cells. </w:t>
      </w:r>
      <w:r w:rsidRPr="000333DE">
        <w:rPr>
          <w:rFonts w:cs="Times New Roman"/>
          <w:b w:val="0"/>
          <w:bCs/>
          <w:i/>
          <w:iCs/>
          <w:sz w:val="28"/>
        </w:rPr>
        <w:t>Front Pediatr</w:t>
      </w:r>
      <w:r w:rsidRPr="000333DE">
        <w:rPr>
          <w:rFonts w:cs="Times New Roman"/>
          <w:b w:val="0"/>
          <w:bCs/>
          <w:sz w:val="28"/>
        </w:rPr>
        <w:t>. 2023;11:1098999. doi:10.3389/fped.2023.1098999</w:t>
      </w:r>
    </w:p>
    <w:p w14:paraId="584C2EFB" w14:textId="77777777" w:rsidR="006256D9" w:rsidRPr="000333DE" w:rsidRDefault="006256D9" w:rsidP="006256D9">
      <w:pPr>
        <w:pStyle w:val="Lhdeluettelo4"/>
        <w:jc w:val="both"/>
        <w:rPr>
          <w:rFonts w:cs="Times New Roman"/>
          <w:b w:val="0"/>
          <w:bCs/>
          <w:sz w:val="28"/>
        </w:rPr>
      </w:pPr>
      <w:r w:rsidRPr="000333DE">
        <w:rPr>
          <w:rFonts w:cs="Times New Roman"/>
          <w:b w:val="0"/>
          <w:bCs/>
          <w:sz w:val="28"/>
        </w:rPr>
        <w:t>4.</w:t>
      </w:r>
      <w:r w:rsidRPr="000333DE">
        <w:rPr>
          <w:rFonts w:cs="Times New Roman"/>
          <w:b w:val="0"/>
          <w:bCs/>
          <w:sz w:val="28"/>
        </w:rPr>
        <w:tab/>
        <w:t xml:space="preserve">Tu F, Li M, Chen Y, et al. Let-7i-3p inhibits the cell cycle, proliferation, invasion, and migration of colorectal cancer cells via downregulating CCND1. </w:t>
      </w:r>
      <w:r w:rsidRPr="000333DE">
        <w:rPr>
          <w:rFonts w:cs="Times New Roman"/>
          <w:b w:val="0"/>
          <w:bCs/>
          <w:i/>
          <w:iCs/>
          <w:sz w:val="28"/>
        </w:rPr>
        <w:t>Open Med Wars Pol</w:t>
      </w:r>
      <w:r w:rsidRPr="000333DE">
        <w:rPr>
          <w:rFonts w:cs="Times New Roman"/>
          <w:b w:val="0"/>
          <w:bCs/>
          <w:sz w:val="28"/>
        </w:rPr>
        <w:t>. 2022;17(1):1019-1030. doi:10.1515/med-2022-0499</w:t>
      </w:r>
    </w:p>
    <w:p w14:paraId="7DB343F2" w14:textId="77777777" w:rsidR="006256D9" w:rsidRPr="000333DE" w:rsidRDefault="006256D9" w:rsidP="006256D9">
      <w:pPr>
        <w:pStyle w:val="Lhdeluettelo4"/>
        <w:jc w:val="both"/>
        <w:rPr>
          <w:rFonts w:cs="Times New Roman"/>
          <w:b w:val="0"/>
          <w:bCs/>
          <w:sz w:val="28"/>
        </w:rPr>
      </w:pPr>
      <w:r w:rsidRPr="000333DE">
        <w:rPr>
          <w:rFonts w:cs="Times New Roman"/>
          <w:b w:val="0"/>
          <w:bCs/>
          <w:sz w:val="28"/>
        </w:rPr>
        <w:t>5.</w:t>
      </w:r>
      <w:r w:rsidRPr="000333DE">
        <w:rPr>
          <w:rFonts w:cs="Times New Roman"/>
          <w:b w:val="0"/>
          <w:bCs/>
          <w:sz w:val="28"/>
        </w:rPr>
        <w:tab/>
        <w:t xml:space="preserve">Wei L, Li P, Zhao C, Wang N, Wei N. Upregulation of microRNA-1270 suppressed human glioblastoma cancer cell proliferation migration and tumorigenesis by acting through WT1. </w:t>
      </w:r>
      <w:r w:rsidRPr="000333DE">
        <w:rPr>
          <w:rFonts w:cs="Times New Roman"/>
          <w:b w:val="0"/>
          <w:bCs/>
          <w:i/>
          <w:iCs/>
          <w:sz w:val="28"/>
        </w:rPr>
        <w:t>OncoTargets Ther</w:t>
      </w:r>
      <w:r w:rsidRPr="000333DE">
        <w:rPr>
          <w:rFonts w:cs="Times New Roman"/>
          <w:b w:val="0"/>
          <w:bCs/>
          <w:sz w:val="28"/>
        </w:rPr>
        <w:t>. 2019;12:4839-4848. doi:10.2147/OTT.S192521</w:t>
      </w:r>
    </w:p>
    <w:p w14:paraId="6142A947" w14:textId="77777777" w:rsidR="006256D9" w:rsidRPr="000333DE" w:rsidRDefault="006256D9" w:rsidP="006256D9">
      <w:pPr>
        <w:pStyle w:val="Lhdeluettelo4"/>
        <w:jc w:val="both"/>
        <w:rPr>
          <w:rFonts w:cs="Times New Roman"/>
          <w:b w:val="0"/>
          <w:bCs/>
          <w:sz w:val="28"/>
        </w:rPr>
      </w:pPr>
      <w:r w:rsidRPr="000333DE">
        <w:rPr>
          <w:rFonts w:cs="Times New Roman"/>
          <w:b w:val="0"/>
          <w:bCs/>
          <w:sz w:val="28"/>
        </w:rPr>
        <w:t>6.</w:t>
      </w:r>
      <w:r w:rsidRPr="000333DE">
        <w:rPr>
          <w:rFonts w:cs="Times New Roman"/>
          <w:b w:val="0"/>
          <w:bCs/>
          <w:sz w:val="28"/>
        </w:rPr>
        <w:tab/>
        <w:t xml:space="preserve">Lin X, Huang X, Wang L, Liu W. The long noncoding RNA MALAT1/microRNA-598-3p axis regulates the proliferation and apoptosis of retinoblastoma cells through the PI3K/AKT pathway. </w:t>
      </w:r>
      <w:r w:rsidRPr="000333DE">
        <w:rPr>
          <w:rFonts w:cs="Times New Roman"/>
          <w:b w:val="0"/>
          <w:bCs/>
          <w:i/>
          <w:iCs/>
          <w:sz w:val="28"/>
        </w:rPr>
        <w:t>Mol Vis</w:t>
      </w:r>
      <w:r w:rsidRPr="000333DE">
        <w:rPr>
          <w:rFonts w:cs="Times New Roman"/>
          <w:b w:val="0"/>
          <w:bCs/>
          <w:sz w:val="28"/>
        </w:rPr>
        <w:t>. 2022;28:269-279.</w:t>
      </w:r>
    </w:p>
    <w:p w14:paraId="5564E720" w14:textId="77777777" w:rsidR="006256D9" w:rsidRPr="000333DE" w:rsidRDefault="006256D9" w:rsidP="006256D9">
      <w:pPr>
        <w:pStyle w:val="Lhdeluettelo4"/>
        <w:jc w:val="both"/>
        <w:rPr>
          <w:rFonts w:cs="Times New Roman"/>
          <w:b w:val="0"/>
          <w:bCs/>
          <w:sz w:val="28"/>
        </w:rPr>
      </w:pPr>
      <w:r w:rsidRPr="000333DE">
        <w:rPr>
          <w:rFonts w:cs="Times New Roman"/>
          <w:b w:val="0"/>
          <w:bCs/>
          <w:sz w:val="28"/>
        </w:rPr>
        <w:t>7.</w:t>
      </w:r>
      <w:r w:rsidRPr="000333DE">
        <w:rPr>
          <w:rFonts w:cs="Times New Roman"/>
          <w:b w:val="0"/>
          <w:bCs/>
          <w:sz w:val="28"/>
        </w:rPr>
        <w:tab/>
        <w:t xml:space="preserve">Loo JM, Scherl A, Nguyen A, et al. Extracellular metabolic energetics can promote cancer progression. </w:t>
      </w:r>
      <w:r w:rsidRPr="000333DE">
        <w:rPr>
          <w:rFonts w:cs="Times New Roman"/>
          <w:b w:val="0"/>
          <w:bCs/>
          <w:i/>
          <w:iCs/>
          <w:sz w:val="28"/>
        </w:rPr>
        <w:t>Cell</w:t>
      </w:r>
      <w:r w:rsidRPr="000333DE">
        <w:rPr>
          <w:rFonts w:cs="Times New Roman"/>
          <w:b w:val="0"/>
          <w:bCs/>
          <w:sz w:val="28"/>
        </w:rPr>
        <w:t>. 2015;160(3):393-406. doi:10.1016/j.cell.2014.12.018</w:t>
      </w:r>
    </w:p>
    <w:p w14:paraId="1B03AAC4" w14:textId="77777777" w:rsidR="006256D9" w:rsidRPr="000333DE" w:rsidRDefault="006256D9" w:rsidP="006256D9">
      <w:pPr>
        <w:pStyle w:val="Lhdeluettelo4"/>
        <w:jc w:val="both"/>
        <w:rPr>
          <w:rFonts w:cs="Times New Roman"/>
          <w:b w:val="0"/>
          <w:bCs/>
          <w:sz w:val="28"/>
        </w:rPr>
      </w:pPr>
      <w:r w:rsidRPr="000333DE">
        <w:rPr>
          <w:rFonts w:cs="Times New Roman"/>
          <w:b w:val="0"/>
          <w:bCs/>
          <w:sz w:val="28"/>
        </w:rPr>
        <w:t>8.</w:t>
      </w:r>
      <w:r w:rsidRPr="000333DE">
        <w:rPr>
          <w:rFonts w:cs="Times New Roman"/>
          <w:b w:val="0"/>
          <w:bCs/>
          <w:sz w:val="28"/>
        </w:rPr>
        <w:tab/>
        <w:t xml:space="preserve">Kong P, Chen L, Yu M, et al. miR-3178 inhibits cell proliferation and metastasis by targeting Notch1 in triple-negative breast cancer. </w:t>
      </w:r>
      <w:r w:rsidRPr="000333DE">
        <w:rPr>
          <w:rFonts w:cs="Times New Roman"/>
          <w:b w:val="0"/>
          <w:bCs/>
          <w:i/>
          <w:iCs/>
          <w:sz w:val="28"/>
        </w:rPr>
        <w:t>Cell Death Dis</w:t>
      </w:r>
      <w:r w:rsidRPr="000333DE">
        <w:rPr>
          <w:rFonts w:cs="Times New Roman"/>
          <w:b w:val="0"/>
          <w:bCs/>
          <w:sz w:val="28"/>
        </w:rPr>
        <w:t>. 2018;9(11):1059. doi:10.1038/s41419-018-1091-y</w:t>
      </w:r>
    </w:p>
    <w:p w14:paraId="76BAE982" w14:textId="77777777" w:rsidR="006256D9" w:rsidRPr="000333DE" w:rsidRDefault="006256D9" w:rsidP="006256D9">
      <w:pPr>
        <w:pStyle w:val="Lhdeluettelo4"/>
        <w:jc w:val="both"/>
        <w:rPr>
          <w:rFonts w:cs="Times New Roman"/>
          <w:b w:val="0"/>
          <w:bCs/>
          <w:sz w:val="28"/>
        </w:rPr>
      </w:pPr>
      <w:r w:rsidRPr="000333DE">
        <w:rPr>
          <w:rFonts w:cs="Times New Roman"/>
          <w:b w:val="0"/>
          <w:bCs/>
          <w:sz w:val="28"/>
        </w:rPr>
        <w:t>9.</w:t>
      </w:r>
      <w:r w:rsidRPr="000333DE">
        <w:rPr>
          <w:rFonts w:cs="Times New Roman"/>
          <w:b w:val="0"/>
          <w:bCs/>
          <w:sz w:val="28"/>
        </w:rPr>
        <w:tab/>
        <w:t xml:space="preserve">Luo YY, Tao KG, Lu YT, et al. Hsa_Circ_0098181 Suppresses Hepatocellular Carcinoma by Sponging miR-18a-3p and Targeting PPARA. </w:t>
      </w:r>
      <w:r w:rsidRPr="000333DE">
        <w:rPr>
          <w:rFonts w:cs="Times New Roman"/>
          <w:b w:val="0"/>
          <w:bCs/>
          <w:i/>
          <w:iCs/>
          <w:sz w:val="28"/>
        </w:rPr>
        <w:t>Front Pharmacol</w:t>
      </w:r>
      <w:r w:rsidRPr="000333DE">
        <w:rPr>
          <w:rFonts w:cs="Times New Roman"/>
          <w:b w:val="0"/>
          <w:bCs/>
          <w:sz w:val="28"/>
        </w:rPr>
        <w:t>. 2022;13:819735. doi:10.3389/fphar.2022.819735</w:t>
      </w:r>
    </w:p>
    <w:p w14:paraId="7B9D04ED" w14:textId="77777777" w:rsidR="006256D9" w:rsidRPr="000333DE" w:rsidRDefault="006256D9" w:rsidP="006256D9">
      <w:pPr>
        <w:pStyle w:val="Lhdeluettelo4"/>
        <w:jc w:val="both"/>
        <w:rPr>
          <w:rFonts w:cs="Times New Roman"/>
          <w:b w:val="0"/>
          <w:bCs/>
          <w:sz w:val="28"/>
        </w:rPr>
      </w:pPr>
      <w:r w:rsidRPr="000333DE">
        <w:rPr>
          <w:rFonts w:cs="Times New Roman"/>
          <w:b w:val="0"/>
          <w:bCs/>
          <w:sz w:val="28"/>
        </w:rPr>
        <w:t>10.</w:t>
      </w:r>
      <w:r w:rsidRPr="000333DE">
        <w:rPr>
          <w:rFonts w:cs="Times New Roman"/>
          <w:b w:val="0"/>
          <w:bCs/>
          <w:sz w:val="28"/>
        </w:rPr>
        <w:tab/>
        <w:t xml:space="preserve">Lv H, Tian M, Hu P, Wang B, Yang L. Overexpression of miR-365a-3p relieves sepsis-induced acute myocardial injury by targeting MyD88/NF-κB pathway. </w:t>
      </w:r>
      <w:r w:rsidRPr="000333DE">
        <w:rPr>
          <w:rFonts w:cs="Times New Roman"/>
          <w:b w:val="0"/>
          <w:bCs/>
          <w:i/>
          <w:iCs/>
          <w:sz w:val="28"/>
        </w:rPr>
        <w:t>Can J Physiol Pharmacol</w:t>
      </w:r>
      <w:r w:rsidRPr="000333DE">
        <w:rPr>
          <w:rFonts w:cs="Times New Roman"/>
          <w:b w:val="0"/>
          <w:bCs/>
          <w:sz w:val="28"/>
        </w:rPr>
        <w:t>. 2021;99(10):1007-1015. doi:10.1139/cjpp-2020-0646</w:t>
      </w:r>
    </w:p>
    <w:p w14:paraId="51D2FD18" w14:textId="77777777" w:rsidR="006256D9" w:rsidRPr="000333DE" w:rsidRDefault="006256D9" w:rsidP="006256D9">
      <w:pPr>
        <w:pStyle w:val="Lhdeluettelo4"/>
        <w:jc w:val="both"/>
        <w:rPr>
          <w:rFonts w:cs="Times New Roman"/>
          <w:b w:val="0"/>
          <w:bCs/>
          <w:sz w:val="28"/>
        </w:rPr>
      </w:pPr>
      <w:r w:rsidRPr="000333DE">
        <w:rPr>
          <w:rFonts w:cs="Times New Roman"/>
          <w:b w:val="0"/>
          <w:bCs/>
          <w:sz w:val="28"/>
        </w:rPr>
        <w:t>11.</w:t>
      </w:r>
      <w:r w:rsidRPr="000333DE">
        <w:rPr>
          <w:rFonts w:cs="Times New Roman"/>
          <w:b w:val="0"/>
          <w:bCs/>
          <w:sz w:val="28"/>
        </w:rPr>
        <w:tab/>
        <w:t xml:space="preserve">Ren FJ, Yao Y, Cai XY, Fang GY. Emerging Role of MiR-192-5p in Human Diseases. </w:t>
      </w:r>
      <w:r w:rsidRPr="000333DE">
        <w:rPr>
          <w:rFonts w:cs="Times New Roman"/>
          <w:b w:val="0"/>
          <w:bCs/>
          <w:i/>
          <w:iCs/>
          <w:sz w:val="28"/>
        </w:rPr>
        <w:t>Front Pharmacol</w:t>
      </w:r>
      <w:r w:rsidRPr="000333DE">
        <w:rPr>
          <w:rFonts w:cs="Times New Roman"/>
          <w:b w:val="0"/>
          <w:bCs/>
          <w:sz w:val="28"/>
        </w:rPr>
        <w:t>. 2021;12:614068. doi:10.3389/fphar.2021.614068</w:t>
      </w:r>
    </w:p>
    <w:p w14:paraId="26446B72" w14:textId="77777777" w:rsidR="006256D9" w:rsidRPr="000333DE" w:rsidRDefault="006256D9" w:rsidP="006256D9">
      <w:pPr>
        <w:pStyle w:val="Lhdeluettelo4"/>
        <w:jc w:val="both"/>
        <w:rPr>
          <w:rFonts w:cs="Times New Roman"/>
          <w:b w:val="0"/>
          <w:bCs/>
          <w:sz w:val="28"/>
        </w:rPr>
      </w:pPr>
      <w:r w:rsidRPr="000333DE">
        <w:rPr>
          <w:rFonts w:cs="Times New Roman"/>
          <w:b w:val="0"/>
          <w:bCs/>
          <w:sz w:val="28"/>
        </w:rPr>
        <w:lastRenderedPageBreak/>
        <w:t>12.</w:t>
      </w:r>
      <w:r w:rsidRPr="000333DE">
        <w:rPr>
          <w:rFonts w:cs="Times New Roman"/>
          <w:b w:val="0"/>
          <w:bCs/>
          <w:sz w:val="28"/>
        </w:rPr>
        <w:tab/>
        <w:t xml:space="preserve">Regis S, Caliendo F, Dondero A, et al. TGF-β1 Downregulates the Expression of CX3CR1 by Inducing miR-27a-5p in Primary Human NK Cells. </w:t>
      </w:r>
      <w:r w:rsidRPr="000333DE">
        <w:rPr>
          <w:rFonts w:cs="Times New Roman"/>
          <w:b w:val="0"/>
          <w:bCs/>
          <w:i/>
          <w:iCs/>
          <w:sz w:val="28"/>
        </w:rPr>
        <w:t>Front Immunol</w:t>
      </w:r>
      <w:r w:rsidRPr="000333DE">
        <w:rPr>
          <w:rFonts w:cs="Times New Roman"/>
          <w:b w:val="0"/>
          <w:bCs/>
          <w:sz w:val="28"/>
        </w:rPr>
        <w:t>. 2017;8:868. doi:10.3389/fimmu.2017.00868</w:t>
      </w:r>
    </w:p>
    <w:p w14:paraId="400D1933" w14:textId="7D8BF1AB" w:rsidR="003B4312" w:rsidRPr="000333DE" w:rsidRDefault="003E7E6F" w:rsidP="008008AE">
      <w:pPr>
        <w:rPr>
          <w:b/>
          <w:bCs/>
          <w:sz w:val="28"/>
          <w:szCs w:val="28"/>
        </w:rPr>
      </w:pPr>
      <w:r w:rsidRPr="000333DE">
        <w:rPr>
          <w:sz w:val="28"/>
          <w:szCs w:val="28"/>
        </w:rPr>
        <w:fldChar w:fldCharType="end"/>
      </w:r>
    </w:p>
    <w:p w14:paraId="1C96BCD9" w14:textId="77777777" w:rsidR="006256D9" w:rsidRPr="000333DE" w:rsidRDefault="006256D9" w:rsidP="00803B1C">
      <w:pPr>
        <w:rPr>
          <w:b/>
          <w:bCs/>
          <w:lang w:val="en-US"/>
        </w:rPr>
      </w:pPr>
    </w:p>
    <w:p w14:paraId="302F5A0B" w14:textId="77777777" w:rsidR="006256D9" w:rsidRPr="000333DE" w:rsidRDefault="006256D9" w:rsidP="00803B1C">
      <w:pPr>
        <w:rPr>
          <w:b/>
          <w:bCs/>
          <w:lang w:val="en-US"/>
        </w:rPr>
      </w:pPr>
    </w:p>
    <w:p w14:paraId="073B2CCC" w14:textId="77777777" w:rsidR="006256D9" w:rsidRPr="000333DE" w:rsidRDefault="006256D9" w:rsidP="00803B1C">
      <w:pPr>
        <w:rPr>
          <w:b/>
          <w:bCs/>
          <w:lang w:val="en-US"/>
        </w:rPr>
      </w:pPr>
    </w:p>
    <w:p w14:paraId="16EE2A76" w14:textId="77777777" w:rsidR="006256D9" w:rsidRPr="000333DE" w:rsidRDefault="006256D9" w:rsidP="00803B1C">
      <w:pPr>
        <w:rPr>
          <w:b/>
          <w:bCs/>
          <w:lang w:val="en-US"/>
        </w:rPr>
      </w:pPr>
    </w:p>
    <w:p w14:paraId="0F739AFB" w14:textId="77777777" w:rsidR="00DC0835" w:rsidRPr="000333DE" w:rsidRDefault="00DC0835" w:rsidP="008E5969">
      <w:pPr>
        <w:rPr>
          <w:b/>
          <w:bCs/>
          <w:lang w:val="en-US"/>
        </w:rPr>
      </w:pPr>
    </w:p>
    <w:p w14:paraId="5375AE11" w14:textId="77777777" w:rsidR="00DC0835" w:rsidRPr="000333DE" w:rsidRDefault="00DC0835" w:rsidP="008E5969">
      <w:pPr>
        <w:rPr>
          <w:b/>
          <w:bCs/>
          <w:lang w:val="en-US"/>
        </w:rPr>
      </w:pPr>
    </w:p>
    <w:p w14:paraId="511DB0DF" w14:textId="77777777" w:rsidR="00DC07C0" w:rsidRPr="000333DE" w:rsidRDefault="00DC07C0" w:rsidP="008E5969">
      <w:pPr>
        <w:rPr>
          <w:b/>
          <w:bCs/>
          <w:sz w:val="28"/>
          <w:szCs w:val="24"/>
          <w:lang w:val="en-US"/>
        </w:rPr>
      </w:pPr>
    </w:p>
    <w:p w14:paraId="45927283" w14:textId="77777777" w:rsidR="00DC07C0" w:rsidRPr="000333DE" w:rsidRDefault="00DC07C0" w:rsidP="008E5969">
      <w:pPr>
        <w:rPr>
          <w:b/>
          <w:bCs/>
          <w:sz w:val="28"/>
          <w:szCs w:val="24"/>
          <w:lang w:val="en-US"/>
        </w:rPr>
      </w:pPr>
    </w:p>
    <w:p w14:paraId="14B33A3D" w14:textId="77777777" w:rsidR="00DC07C0" w:rsidRPr="000333DE" w:rsidRDefault="00DC07C0" w:rsidP="008E5969">
      <w:pPr>
        <w:rPr>
          <w:b/>
          <w:bCs/>
          <w:sz w:val="28"/>
          <w:szCs w:val="24"/>
          <w:lang w:val="en-US"/>
        </w:rPr>
      </w:pPr>
    </w:p>
    <w:p w14:paraId="0A774DA5" w14:textId="77777777" w:rsidR="00DC07C0" w:rsidRPr="000333DE" w:rsidRDefault="00DC07C0" w:rsidP="008E5969">
      <w:pPr>
        <w:rPr>
          <w:b/>
          <w:bCs/>
          <w:sz w:val="28"/>
          <w:szCs w:val="24"/>
          <w:lang w:val="en-US"/>
        </w:rPr>
      </w:pPr>
    </w:p>
    <w:p w14:paraId="475906A9" w14:textId="77777777" w:rsidR="00DC07C0" w:rsidRPr="000333DE" w:rsidRDefault="00DC07C0" w:rsidP="008E5969">
      <w:pPr>
        <w:rPr>
          <w:b/>
          <w:bCs/>
          <w:sz w:val="28"/>
          <w:szCs w:val="24"/>
          <w:lang w:val="en-US"/>
        </w:rPr>
      </w:pPr>
    </w:p>
    <w:p w14:paraId="5A0FE8D0" w14:textId="77777777" w:rsidR="00DC07C0" w:rsidRPr="000333DE" w:rsidRDefault="00DC07C0" w:rsidP="008E5969">
      <w:pPr>
        <w:rPr>
          <w:b/>
          <w:bCs/>
          <w:sz w:val="28"/>
          <w:szCs w:val="24"/>
          <w:lang w:val="en-US"/>
        </w:rPr>
      </w:pPr>
    </w:p>
    <w:p w14:paraId="12F5D38E" w14:textId="77777777" w:rsidR="00DC07C0" w:rsidRPr="000333DE" w:rsidRDefault="00DC07C0" w:rsidP="008E5969">
      <w:pPr>
        <w:rPr>
          <w:b/>
          <w:bCs/>
          <w:sz w:val="28"/>
          <w:szCs w:val="24"/>
          <w:lang w:val="en-US"/>
        </w:rPr>
      </w:pPr>
    </w:p>
    <w:p w14:paraId="4E509309" w14:textId="77777777" w:rsidR="00DC07C0" w:rsidRPr="000333DE" w:rsidRDefault="00DC07C0" w:rsidP="008E5969">
      <w:pPr>
        <w:rPr>
          <w:b/>
          <w:bCs/>
          <w:sz w:val="28"/>
          <w:szCs w:val="24"/>
          <w:lang w:val="en-US"/>
        </w:rPr>
      </w:pPr>
    </w:p>
    <w:p w14:paraId="3333E339" w14:textId="77777777" w:rsidR="00DC07C0" w:rsidRPr="000333DE" w:rsidRDefault="00DC07C0" w:rsidP="008E5969">
      <w:pPr>
        <w:rPr>
          <w:b/>
          <w:bCs/>
          <w:sz w:val="28"/>
          <w:szCs w:val="24"/>
          <w:lang w:val="en-US"/>
        </w:rPr>
      </w:pPr>
    </w:p>
    <w:p w14:paraId="7B503B58" w14:textId="77777777" w:rsidR="00DC07C0" w:rsidRPr="000333DE" w:rsidRDefault="00DC07C0" w:rsidP="008E5969">
      <w:pPr>
        <w:rPr>
          <w:b/>
          <w:bCs/>
          <w:sz w:val="28"/>
          <w:szCs w:val="24"/>
          <w:lang w:val="en-US"/>
        </w:rPr>
      </w:pPr>
    </w:p>
    <w:p w14:paraId="763A3961" w14:textId="68A0C91D" w:rsidR="00DC0835" w:rsidRPr="000333DE" w:rsidRDefault="00DC0835" w:rsidP="008E5969">
      <w:pPr>
        <w:rPr>
          <w:b/>
          <w:bCs/>
          <w:sz w:val="28"/>
          <w:szCs w:val="24"/>
          <w:lang w:val="en-US"/>
        </w:rPr>
      </w:pPr>
      <w:r w:rsidRPr="000333DE">
        <w:rPr>
          <w:b/>
          <w:bCs/>
          <w:sz w:val="28"/>
          <w:szCs w:val="24"/>
          <w:lang w:val="en-US"/>
        </w:rPr>
        <w:lastRenderedPageBreak/>
        <w:t>Supplemental figure legends</w:t>
      </w:r>
    </w:p>
    <w:p w14:paraId="6C662B14" w14:textId="3779800F" w:rsidR="008E5969" w:rsidRPr="000333DE" w:rsidRDefault="008E5969" w:rsidP="008E5969">
      <w:pPr>
        <w:rPr>
          <w:lang w:val="en-US"/>
        </w:rPr>
      </w:pPr>
      <w:r w:rsidRPr="000333DE">
        <w:rPr>
          <w:b/>
          <w:bCs/>
          <w:lang w:val="en-US"/>
        </w:rPr>
        <w:t>Figure S1. Pearson correlation analysis between patients’ age, p75NTR, IL1</w:t>
      </w:r>
      <w:r w:rsidRPr="000333DE">
        <w:rPr>
          <w:b/>
          <w:bCs/>
          <w:lang w:val="en-US"/>
        </w:rPr>
        <w:sym w:font="Symbol" w:char="F062"/>
      </w:r>
      <w:r w:rsidRPr="000333DE">
        <w:rPr>
          <w:b/>
          <w:bCs/>
          <w:lang w:val="en-US"/>
        </w:rPr>
        <w:t>, cyclophilin A, TNFα, sortilin</w:t>
      </w:r>
      <w:r w:rsidR="007103E4" w:rsidRPr="000333DE">
        <w:rPr>
          <w:b/>
          <w:bCs/>
          <w:lang w:val="en-US"/>
        </w:rPr>
        <w:t>,</w:t>
      </w:r>
      <w:r w:rsidRPr="000333DE">
        <w:rPr>
          <w:b/>
          <w:bCs/>
          <w:lang w:val="en-US"/>
        </w:rPr>
        <w:t xml:space="preserve"> and NGF</w:t>
      </w:r>
      <w:r w:rsidRPr="000333DE">
        <w:rPr>
          <w:lang w:val="en-US"/>
        </w:rPr>
        <w:t xml:space="preserve"> </w:t>
      </w:r>
      <w:r w:rsidRPr="000333DE">
        <w:rPr>
          <w:b/>
          <w:bCs/>
          <w:lang w:val="en-US"/>
        </w:rPr>
        <w:t>A)</w:t>
      </w:r>
      <w:r w:rsidRPr="000333DE">
        <w:rPr>
          <w:lang w:val="en-US"/>
        </w:rPr>
        <w:t xml:space="preserve"> No significant correlation was identified between P75NTR concentration and age (r=0.0231, R2=0.0005, p=0.8465). </w:t>
      </w:r>
      <w:r w:rsidRPr="000333DE">
        <w:rPr>
          <w:b/>
          <w:bCs/>
          <w:lang w:val="en-US"/>
        </w:rPr>
        <w:t>B)</w:t>
      </w:r>
      <w:r w:rsidRPr="000333DE">
        <w:rPr>
          <w:lang w:val="en-US"/>
        </w:rPr>
        <w:t xml:space="preserve"> Minor negative correlation was identified between IL1</w:t>
      </w:r>
      <w:r w:rsidRPr="000333DE">
        <w:rPr>
          <w:lang w:val="en-US"/>
        </w:rPr>
        <w:sym w:font="Symbol" w:char="F062"/>
      </w:r>
      <w:r w:rsidRPr="000333DE">
        <w:rPr>
          <w:lang w:val="en-US"/>
        </w:rPr>
        <w:t xml:space="preserve"> concentration and age that closing towards statistical significance level (r=-0.2129, R2=0.0453, p=0.0685). </w:t>
      </w:r>
      <w:r w:rsidRPr="000333DE">
        <w:rPr>
          <w:b/>
          <w:bCs/>
          <w:lang w:val="en-US"/>
        </w:rPr>
        <w:t>C)</w:t>
      </w:r>
      <w:r w:rsidRPr="000333DE">
        <w:rPr>
          <w:lang w:val="en-US"/>
        </w:rPr>
        <w:t xml:space="preserve"> No correlation was identified between Cyclophilin and age (r=-0.0289, R2=0.0008, p=0.8065). </w:t>
      </w:r>
      <w:r w:rsidRPr="000333DE">
        <w:rPr>
          <w:b/>
          <w:bCs/>
          <w:lang w:val="en-US"/>
        </w:rPr>
        <w:t xml:space="preserve">D) </w:t>
      </w:r>
      <w:r w:rsidRPr="000333DE">
        <w:rPr>
          <w:lang w:val="en-US"/>
        </w:rPr>
        <w:t>No correlation was identified between TNFα concentration and age</w:t>
      </w:r>
      <w:r w:rsidR="007103E4" w:rsidRPr="000333DE">
        <w:rPr>
          <w:lang w:val="en-US"/>
        </w:rPr>
        <w:t xml:space="preserve"> </w:t>
      </w:r>
      <w:r w:rsidRPr="000333DE">
        <w:rPr>
          <w:lang w:val="en-US"/>
        </w:rPr>
        <w:t xml:space="preserve">(r=0.1382, R2=0.0191, p=0.2401). </w:t>
      </w:r>
      <w:r w:rsidRPr="000333DE">
        <w:rPr>
          <w:b/>
          <w:bCs/>
          <w:lang w:val="en-US"/>
        </w:rPr>
        <w:t>E)</w:t>
      </w:r>
      <w:r w:rsidRPr="000333DE">
        <w:rPr>
          <w:lang w:val="en-US"/>
        </w:rPr>
        <w:t xml:space="preserve"> No correlation was identified between sortilin concentration and age (r=0.0757, R2=0.0057, p=0.5213) </w:t>
      </w:r>
      <w:r w:rsidRPr="000333DE">
        <w:rPr>
          <w:b/>
          <w:bCs/>
          <w:lang w:val="en-US"/>
        </w:rPr>
        <w:t xml:space="preserve">F) </w:t>
      </w:r>
      <w:r w:rsidRPr="000333DE">
        <w:rPr>
          <w:lang w:val="en-US"/>
        </w:rPr>
        <w:t>No correlation was identified between NGF concentration and age (r=0.0709, R2=0.0050, p=0.5483).</w:t>
      </w:r>
    </w:p>
    <w:p w14:paraId="7E0237CE" w14:textId="77777777" w:rsidR="006256D9" w:rsidRPr="000333DE" w:rsidRDefault="006256D9" w:rsidP="00803B1C">
      <w:pPr>
        <w:rPr>
          <w:b/>
          <w:bCs/>
          <w:lang w:val="en-US"/>
        </w:rPr>
      </w:pPr>
    </w:p>
    <w:p w14:paraId="541C60E2" w14:textId="4B329E02" w:rsidR="00803B1C" w:rsidRDefault="00803B1C" w:rsidP="002D5B79">
      <w:pPr>
        <w:rPr>
          <w:lang w:val="en-US"/>
        </w:rPr>
      </w:pPr>
      <w:r w:rsidRPr="000333DE">
        <w:rPr>
          <w:b/>
          <w:bCs/>
          <w:lang w:val="en-US"/>
        </w:rPr>
        <w:t>Figure S</w:t>
      </w:r>
      <w:r w:rsidR="008E5969" w:rsidRPr="000333DE">
        <w:rPr>
          <w:b/>
          <w:bCs/>
          <w:lang w:val="en-US"/>
        </w:rPr>
        <w:t>2</w:t>
      </w:r>
      <w:r w:rsidR="00002E09" w:rsidRPr="000333DE">
        <w:rPr>
          <w:b/>
          <w:bCs/>
          <w:lang w:val="en-US"/>
        </w:rPr>
        <w:t xml:space="preserve">. </w:t>
      </w:r>
      <w:r w:rsidRPr="000333DE">
        <w:rPr>
          <w:b/>
          <w:bCs/>
          <w:lang w:val="en-US"/>
        </w:rPr>
        <w:t xml:space="preserve">Protein biomarkers after acute brain insult in </w:t>
      </w:r>
      <w:r w:rsidR="00002E09" w:rsidRPr="000333DE">
        <w:rPr>
          <w:b/>
          <w:bCs/>
          <w:lang w:val="en-US"/>
        </w:rPr>
        <w:t>individual cohorts</w:t>
      </w:r>
      <w:r w:rsidRPr="000333DE">
        <w:rPr>
          <w:b/>
          <w:bCs/>
          <w:lang w:val="en-US"/>
        </w:rPr>
        <w:t xml:space="preserve"> of aneurysmal subarachnoid hemorrhage (</w:t>
      </w:r>
      <w:r w:rsidR="00002E09" w:rsidRPr="000333DE">
        <w:rPr>
          <w:b/>
          <w:bCs/>
          <w:lang w:val="en-US"/>
        </w:rPr>
        <w:t xml:space="preserve">aSAH, </w:t>
      </w:r>
      <w:r w:rsidRPr="000333DE">
        <w:rPr>
          <w:b/>
          <w:bCs/>
          <w:lang w:val="en-US"/>
        </w:rPr>
        <w:t>n=31), traumatic brain injury (</w:t>
      </w:r>
      <w:r w:rsidR="00002E09" w:rsidRPr="000333DE">
        <w:rPr>
          <w:b/>
          <w:bCs/>
          <w:lang w:val="en-US"/>
        </w:rPr>
        <w:t xml:space="preserve">TBI, </w:t>
      </w:r>
      <w:r w:rsidRPr="000333DE">
        <w:rPr>
          <w:b/>
          <w:bCs/>
          <w:lang w:val="en-US"/>
        </w:rPr>
        <w:t>n=13)</w:t>
      </w:r>
      <w:r w:rsidR="007103E4" w:rsidRPr="000333DE">
        <w:rPr>
          <w:b/>
          <w:bCs/>
          <w:lang w:val="en-US"/>
        </w:rPr>
        <w:t>,</w:t>
      </w:r>
      <w:r w:rsidRPr="000333DE">
        <w:rPr>
          <w:b/>
          <w:bCs/>
          <w:lang w:val="en-US"/>
        </w:rPr>
        <w:t xml:space="preserve"> and ischemic stroke (</w:t>
      </w:r>
      <w:r w:rsidR="00002E09" w:rsidRPr="000333DE">
        <w:rPr>
          <w:b/>
          <w:bCs/>
          <w:lang w:val="en-US"/>
        </w:rPr>
        <w:t xml:space="preserve">IS, </w:t>
      </w:r>
      <w:r w:rsidRPr="000333DE">
        <w:rPr>
          <w:b/>
          <w:bCs/>
          <w:lang w:val="en-US"/>
        </w:rPr>
        <w:t>n=30) patients.</w:t>
      </w:r>
      <w:r w:rsidR="00002E09" w:rsidRPr="000333DE">
        <w:rPr>
          <w:b/>
          <w:bCs/>
          <w:lang w:val="en-US"/>
        </w:rPr>
        <w:t xml:space="preserve"> No significant statistical differences were identified in biomarker concentrations between disease groups (A-H and J) except in interleukin-1</w:t>
      </w:r>
      <w:r w:rsidR="00002E09" w:rsidRPr="000333DE">
        <w:rPr>
          <w:b/>
          <w:bCs/>
          <w:lang w:val="en-US"/>
        </w:rPr>
        <w:sym w:font="Symbol" w:char="F062"/>
      </w:r>
      <w:r w:rsidR="00002E09" w:rsidRPr="000333DE">
        <w:rPr>
          <w:b/>
          <w:bCs/>
          <w:lang w:val="en-US"/>
        </w:rPr>
        <w:t xml:space="preserve"> (IL1</w:t>
      </w:r>
      <w:r w:rsidR="00FA5988" w:rsidRPr="000333DE">
        <w:rPr>
          <w:b/>
          <w:bCs/>
          <w:lang w:val="en-US"/>
        </w:rPr>
        <w:t>b</w:t>
      </w:r>
      <w:r w:rsidR="00002E09" w:rsidRPr="000333DE">
        <w:rPr>
          <w:b/>
          <w:bCs/>
          <w:lang w:val="en-US"/>
        </w:rPr>
        <w:t xml:space="preserve">) groups and tumor necrosis factor </w:t>
      </w:r>
      <w:r w:rsidR="00002E09" w:rsidRPr="000333DE">
        <w:rPr>
          <w:b/>
          <w:bCs/>
          <w:lang w:val="en-US"/>
        </w:rPr>
        <w:sym w:font="Symbol" w:char="F061"/>
      </w:r>
      <w:r w:rsidR="00002E09" w:rsidRPr="000333DE">
        <w:rPr>
          <w:b/>
          <w:bCs/>
          <w:lang w:val="en-US"/>
        </w:rPr>
        <w:t xml:space="preserve"> (TNFa) favorable outcome group. A)</w:t>
      </w:r>
      <w:r w:rsidRPr="000333DE">
        <w:rPr>
          <w:b/>
          <w:bCs/>
          <w:lang w:val="en-US"/>
        </w:rPr>
        <w:t xml:space="preserve"> </w:t>
      </w:r>
      <w:r w:rsidR="00002E09" w:rsidRPr="000333DE">
        <w:rPr>
          <w:lang w:val="en-US"/>
        </w:rPr>
        <w:t xml:space="preserve">No significant difference was identified in </w:t>
      </w:r>
      <w:r w:rsidR="00E457F7" w:rsidRPr="000333DE">
        <w:rPr>
          <w:lang w:val="en-US"/>
        </w:rPr>
        <w:t>p75 neurotrophin receptor (</w:t>
      </w:r>
      <w:r w:rsidR="00002E09" w:rsidRPr="000333DE">
        <w:rPr>
          <w:lang w:val="en-US"/>
        </w:rPr>
        <w:t>p75NTR</w:t>
      </w:r>
      <w:r w:rsidR="00E457F7" w:rsidRPr="000333DE">
        <w:rPr>
          <w:lang w:val="en-US"/>
        </w:rPr>
        <w:t>)</w:t>
      </w:r>
      <w:r w:rsidR="00002E09" w:rsidRPr="000333DE">
        <w:rPr>
          <w:lang w:val="en-US"/>
        </w:rPr>
        <w:t xml:space="preserve"> concentration</w:t>
      </w:r>
      <w:r w:rsidR="00E457F7" w:rsidRPr="000333DE">
        <w:rPr>
          <w:lang w:val="en-US"/>
        </w:rPr>
        <w:t xml:space="preserve"> </w:t>
      </w:r>
      <w:r w:rsidR="00002E09" w:rsidRPr="000333DE">
        <w:rPr>
          <w:lang w:val="en-US"/>
        </w:rPr>
        <w:t>between disease groups</w:t>
      </w:r>
      <w:r w:rsidR="00E457F7" w:rsidRPr="000333DE">
        <w:rPr>
          <w:lang w:val="en-US"/>
        </w:rPr>
        <w:t xml:space="preserve"> in favorable outcome group (</w:t>
      </w:r>
      <w:r w:rsidR="00002E09" w:rsidRPr="000333DE">
        <w:rPr>
          <w:lang w:val="en-US"/>
        </w:rPr>
        <w:t>p=0.99</w:t>
      </w:r>
      <w:r w:rsidR="00E457F7" w:rsidRPr="000333DE">
        <w:rPr>
          <w:lang w:val="en-US"/>
        </w:rPr>
        <w:t>).</w:t>
      </w:r>
      <w:r w:rsidR="00002E09" w:rsidRPr="000333DE">
        <w:rPr>
          <w:lang w:val="en-US"/>
        </w:rPr>
        <w:t xml:space="preserve"> </w:t>
      </w:r>
      <w:r w:rsidR="00E457F7" w:rsidRPr="000333DE">
        <w:rPr>
          <w:b/>
          <w:bCs/>
          <w:lang w:val="en-US"/>
        </w:rPr>
        <w:t>B)</w:t>
      </w:r>
      <w:r w:rsidR="00E457F7" w:rsidRPr="000333DE">
        <w:rPr>
          <w:lang w:val="en-US"/>
        </w:rPr>
        <w:t xml:space="preserve"> No significant difference was identified in p75NTR concentration between disease groups in unfavorable outcome group (p=0.24</w:t>
      </w:r>
      <w:r w:rsidR="00AE4D1E" w:rsidRPr="000333DE">
        <w:rPr>
          <w:lang w:val="en-US"/>
        </w:rPr>
        <w:t xml:space="preserve">) </w:t>
      </w:r>
      <w:r w:rsidR="00E457F7" w:rsidRPr="000333DE">
        <w:rPr>
          <w:b/>
          <w:bCs/>
          <w:lang w:val="en-US"/>
        </w:rPr>
        <w:t>C)</w:t>
      </w:r>
      <w:r w:rsidR="00E457F7" w:rsidRPr="000333DE">
        <w:rPr>
          <w:lang w:val="en-US"/>
        </w:rPr>
        <w:t xml:space="preserve"> No significant difference was identified in nerv</w:t>
      </w:r>
      <w:r w:rsidR="00AE4D1E" w:rsidRPr="000333DE">
        <w:rPr>
          <w:lang w:val="en-US"/>
        </w:rPr>
        <w:t>e</w:t>
      </w:r>
      <w:r w:rsidR="00E457F7" w:rsidRPr="000333DE">
        <w:rPr>
          <w:lang w:val="en-US"/>
        </w:rPr>
        <w:t xml:space="preserve"> growth factor (NGF) concentration between disease groups in favorable outcome group (p=0.14).</w:t>
      </w:r>
      <w:r w:rsidR="00E457F7" w:rsidRPr="000333DE">
        <w:rPr>
          <w:b/>
          <w:bCs/>
          <w:lang w:val="en-US"/>
        </w:rPr>
        <w:t xml:space="preserve"> D)</w:t>
      </w:r>
      <w:r w:rsidR="00E457F7" w:rsidRPr="000333DE">
        <w:rPr>
          <w:lang w:val="en-US"/>
        </w:rPr>
        <w:t xml:space="preserve"> No significant difference was identified in NGF concentration between disease groups in unfavorable outcome group (p=0.24).</w:t>
      </w:r>
      <w:r w:rsidR="00AE4D1E" w:rsidRPr="000333DE">
        <w:rPr>
          <w:lang w:val="en-US"/>
        </w:rPr>
        <w:t xml:space="preserve"> </w:t>
      </w:r>
      <w:r w:rsidR="00AE4D1E" w:rsidRPr="000333DE">
        <w:rPr>
          <w:b/>
          <w:bCs/>
          <w:lang w:val="en-US"/>
        </w:rPr>
        <w:t>E)</w:t>
      </w:r>
      <w:r w:rsidR="00AE4D1E" w:rsidRPr="000333DE">
        <w:rPr>
          <w:lang w:val="en-US"/>
        </w:rPr>
        <w:t xml:space="preserve"> No significant difference was identified in sortilin concentration between disease groups in favorable outcome group (p=0.50). </w:t>
      </w:r>
      <w:r w:rsidR="00AE4D1E" w:rsidRPr="000333DE">
        <w:rPr>
          <w:b/>
          <w:bCs/>
          <w:lang w:val="en-US"/>
        </w:rPr>
        <w:t>F)</w:t>
      </w:r>
      <w:r w:rsidR="00AE4D1E" w:rsidRPr="000333DE">
        <w:rPr>
          <w:lang w:val="en-US"/>
        </w:rPr>
        <w:t xml:space="preserve"> No significant difference was identified in sortilin concentration between disease groups in unfavorable outcome </w:t>
      </w:r>
      <w:r w:rsidR="00AE4D1E" w:rsidRPr="000333DE">
        <w:rPr>
          <w:lang w:val="en-US"/>
        </w:rPr>
        <w:lastRenderedPageBreak/>
        <w:t>group (p=0.41).</w:t>
      </w:r>
      <w:r w:rsidR="00AE4D1E" w:rsidRPr="000333DE">
        <w:rPr>
          <w:b/>
          <w:bCs/>
          <w:lang w:val="en-US"/>
        </w:rPr>
        <w:t xml:space="preserve"> G)</w:t>
      </w:r>
      <w:r w:rsidR="00AE4D1E" w:rsidRPr="000333DE">
        <w:rPr>
          <w:lang w:val="en-US"/>
        </w:rPr>
        <w:t xml:space="preserve"> No significant difference was identified in cyclophilin concentration between disease groups in favorable outcome group (p=0.49).</w:t>
      </w:r>
      <w:r w:rsidR="00AE4D1E" w:rsidRPr="000333DE">
        <w:rPr>
          <w:b/>
          <w:bCs/>
          <w:lang w:val="en-US"/>
        </w:rPr>
        <w:t xml:space="preserve"> H)</w:t>
      </w:r>
      <w:r w:rsidR="00AE4D1E" w:rsidRPr="000333DE">
        <w:rPr>
          <w:lang w:val="en-US"/>
        </w:rPr>
        <w:t xml:space="preserve"> </w:t>
      </w:r>
      <w:r w:rsidR="00D60ADE" w:rsidRPr="000333DE">
        <w:rPr>
          <w:lang w:val="en-US"/>
        </w:rPr>
        <w:t>No s</w:t>
      </w:r>
      <w:r w:rsidR="00AE4D1E" w:rsidRPr="000333DE">
        <w:rPr>
          <w:lang w:val="en-US"/>
        </w:rPr>
        <w:t xml:space="preserve">ignificant difference was identified in in cyclophilin concentration between disease groups in unfavorable outcome group (p=0.18). </w:t>
      </w:r>
      <w:r w:rsidR="00AE4D1E" w:rsidRPr="000333DE">
        <w:rPr>
          <w:b/>
          <w:bCs/>
          <w:lang w:val="en-US"/>
        </w:rPr>
        <w:t>(I)</w:t>
      </w:r>
      <w:r w:rsidR="00AE4D1E" w:rsidRPr="000333DE">
        <w:rPr>
          <w:lang w:val="en-US"/>
        </w:rPr>
        <w:t xml:space="preserve"> </w:t>
      </w:r>
      <w:r w:rsidR="00D60ADE" w:rsidRPr="000333DE">
        <w:rPr>
          <w:lang w:val="en-US"/>
        </w:rPr>
        <w:t>S</w:t>
      </w:r>
      <w:r w:rsidR="00AE4D1E" w:rsidRPr="000333DE">
        <w:rPr>
          <w:lang w:val="en-US"/>
        </w:rPr>
        <w:t>ignificant difference was identified in TNFa concentration between disease groups in favorable outcome group (p=0.03).</w:t>
      </w:r>
      <w:r w:rsidR="00AE4D1E" w:rsidRPr="000333DE">
        <w:rPr>
          <w:b/>
          <w:bCs/>
          <w:lang w:val="en-US"/>
        </w:rPr>
        <w:t xml:space="preserve"> J)</w:t>
      </w:r>
      <w:r w:rsidR="00AE4D1E" w:rsidRPr="000333DE">
        <w:rPr>
          <w:lang w:val="en-US"/>
        </w:rPr>
        <w:t xml:space="preserve"> No significant difference was identified in </w:t>
      </w:r>
      <w:r w:rsidR="00D60ADE" w:rsidRPr="000333DE">
        <w:rPr>
          <w:lang w:val="en-US"/>
        </w:rPr>
        <w:t>TNFa</w:t>
      </w:r>
      <w:r w:rsidR="00AE4D1E" w:rsidRPr="000333DE">
        <w:rPr>
          <w:lang w:val="en-US"/>
        </w:rPr>
        <w:t xml:space="preserve"> concentration between disease groups in unfavorable outcome group (p=0.</w:t>
      </w:r>
      <w:r w:rsidR="00D60ADE" w:rsidRPr="000333DE">
        <w:rPr>
          <w:lang w:val="en-US"/>
        </w:rPr>
        <w:t>1</w:t>
      </w:r>
      <w:r w:rsidR="00AE4D1E" w:rsidRPr="000333DE">
        <w:rPr>
          <w:lang w:val="en-US"/>
        </w:rPr>
        <w:t xml:space="preserve">1). </w:t>
      </w:r>
      <w:r w:rsidR="00AE4D1E" w:rsidRPr="000333DE">
        <w:rPr>
          <w:b/>
          <w:bCs/>
          <w:lang w:val="en-US"/>
        </w:rPr>
        <w:t>K)</w:t>
      </w:r>
      <w:r w:rsidR="00AE4D1E" w:rsidRPr="000333DE">
        <w:rPr>
          <w:lang w:val="en-US"/>
        </w:rPr>
        <w:t xml:space="preserve"> </w:t>
      </w:r>
      <w:r w:rsidR="00D60ADE" w:rsidRPr="000333DE">
        <w:rPr>
          <w:lang w:val="en-US"/>
        </w:rPr>
        <w:t>S</w:t>
      </w:r>
      <w:r w:rsidR="00AE4D1E" w:rsidRPr="000333DE">
        <w:rPr>
          <w:lang w:val="en-US"/>
        </w:rPr>
        <w:t xml:space="preserve">ignificant difference was identified in </w:t>
      </w:r>
      <w:r w:rsidR="00D60ADE" w:rsidRPr="000333DE">
        <w:rPr>
          <w:lang w:val="en-US"/>
        </w:rPr>
        <w:t>IL1B</w:t>
      </w:r>
      <w:r w:rsidR="00AE4D1E" w:rsidRPr="000333DE">
        <w:rPr>
          <w:lang w:val="en-US"/>
        </w:rPr>
        <w:t xml:space="preserve"> concentration between disease groups in favorable outcome group (p</w:t>
      </w:r>
      <w:r w:rsidR="00D60ADE" w:rsidRPr="000333DE">
        <w:rPr>
          <w:lang w:val="en-US"/>
        </w:rPr>
        <w:t>&lt;0.001</w:t>
      </w:r>
      <w:r w:rsidR="00AE4D1E" w:rsidRPr="000333DE">
        <w:rPr>
          <w:lang w:val="en-US"/>
        </w:rPr>
        <w:t>).</w:t>
      </w:r>
      <w:r w:rsidR="00AE4D1E" w:rsidRPr="000333DE">
        <w:rPr>
          <w:b/>
          <w:bCs/>
          <w:lang w:val="en-US"/>
        </w:rPr>
        <w:t xml:space="preserve"> L)</w:t>
      </w:r>
      <w:r w:rsidR="00AE4D1E" w:rsidRPr="000333DE">
        <w:rPr>
          <w:lang w:val="en-US"/>
        </w:rPr>
        <w:t xml:space="preserve"> No significant difference was identified in </w:t>
      </w:r>
      <w:r w:rsidR="00D60ADE" w:rsidRPr="000333DE">
        <w:rPr>
          <w:lang w:val="en-US"/>
        </w:rPr>
        <w:t>IL1B</w:t>
      </w:r>
      <w:r w:rsidR="00AE4D1E" w:rsidRPr="000333DE">
        <w:rPr>
          <w:lang w:val="en-US"/>
        </w:rPr>
        <w:t xml:space="preserve"> concentration between disease groups in unfavorable outcome group (p=0.</w:t>
      </w:r>
      <w:r w:rsidR="00D60ADE" w:rsidRPr="000333DE">
        <w:rPr>
          <w:lang w:val="en-US"/>
        </w:rPr>
        <w:t>04</w:t>
      </w:r>
      <w:r w:rsidR="00AE4D1E" w:rsidRPr="000333DE">
        <w:rPr>
          <w:lang w:val="en-US"/>
        </w:rPr>
        <w:t>).</w:t>
      </w:r>
      <w:r w:rsidR="00367F36" w:rsidRPr="000333DE">
        <w:rPr>
          <w:lang w:val="en-US"/>
        </w:rPr>
        <w:t xml:space="preserve"> </w:t>
      </w:r>
      <w:r w:rsidRPr="000333DE">
        <w:rPr>
          <w:lang w:val="en-US"/>
        </w:rPr>
        <w:t xml:space="preserve">The serum molecule concentrations were </w:t>
      </w:r>
      <w:r w:rsidR="00002E09" w:rsidRPr="000333DE">
        <w:rPr>
          <w:lang w:val="en-US"/>
        </w:rPr>
        <w:t>divided</w:t>
      </w:r>
      <w:r w:rsidRPr="000333DE">
        <w:rPr>
          <w:lang w:val="en-US"/>
        </w:rPr>
        <w:t xml:space="preserve"> </w:t>
      </w:r>
      <w:r w:rsidR="00002E09" w:rsidRPr="000333DE">
        <w:rPr>
          <w:lang w:val="en-US"/>
        </w:rPr>
        <w:t>in</w:t>
      </w:r>
      <w:r w:rsidRPr="000333DE">
        <w:rPr>
          <w:lang w:val="en-US"/>
        </w:rPr>
        <w:t xml:space="preserve"> favorable (modified Rankin Scale 0-3) and unfavorable outcome (modified Rankin Scale 4-6)</w:t>
      </w:r>
      <w:r w:rsidR="00E457F7" w:rsidRPr="000333DE">
        <w:rPr>
          <w:lang w:val="en-US"/>
        </w:rPr>
        <w:t xml:space="preserve"> and all three disease groups were compare</w:t>
      </w:r>
      <w:r w:rsidR="00D07434" w:rsidRPr="000333DE">
        <w:rPr>
          <w:lang w:val="en-US"/>
        </w:rPr>
        <w:t>d</w:t>
      </w:r>
      <w:r w:rsidR="00E457F7" w:rsidRPr="000333DE">
        <w:rPr>
          <w:lang w:val="en-US"/>
        </w:rPr>
        <w:t xml:space="preserve"> with</w:t>
      </w:r>
      <w:r w:rsidRPr="000333DE">
        <w:rPr>
          <w:lang w:val="en-US"/>
        </w:rPr>
        <w:t xml:space="preserve"> </w:t>
      </w:r>
      <w:r w:rsidR="00E457F7" w:rsidRPr="000333DE">
        <w:rPr>
          <w:lang w:val="en-US"/>
        </w:rPr>
        <w:t>o</w:t>
      </w:r>
      <w:r w:rsidR="00002E09" w:rsidRPr="000333DE">
        <w:rPr>
          <w:lang w:val="en-US"/>
        </w:rPr>
        <w:t>ne-way ANOVA</w:t>
      </w:r>
      <w:r w:rsidRPr="000333DE">
        <w:rPr>
          <w:lang w:val="en-US"/>
        </w:rPr>
        <w:t>. p &lt; 0.05</w:t>
      </w:r>
      <w:r w:rsidR="00002E09" w:rsidRPr="000333DE">
        <w:rPr>
          <w:lang w:val="en-US"/>
        </w:rPr>
        <w:t xml:space="preserve"> </w:t>
      </w:r>
      <w:r w:rsidR="00E457F7" w:rsidRPr="000333DE">
        <w:rPr>
          <w:lang w:val="en-US"/>
        </w:rPr>
        <w:t>was</w:t>
      </w:r>
      <w:r w:rsidR="00002E09" w:rsidRPr="000333DE">
        <w:rPr>
          <w:lang w:val="en-US"/>
        </w:rPr>
        <w:t xml:space="preserve"> statistically significant.</w:t>
      </w:r>
      <w:r w:rsidRPr="000333DE">
        <w:rPr>
          <w:lang w:val="en-US"/>
        </w:rPr>
        <w:t xml:space="preserve"> Data represent mean ± SEM.</w:t>
      </w:r>
      <w:r w:rsidR="00B90756" w:rsidRPr="000333DE">
        <w:rPr>
          <w:lang w:val="en-US"/>
        </w:rPr>
        <w:t xml:space="preserve"> Ns. = not significant.</w:t>
      </w:r>
    </w:p>
    <w:p w14:paraId="01AC6A33" w14:textId="77777777" w:rsidR="004624E0" w:rsidRDefault="004624E0" w:rsidP="002D5B79">
      <w:pPr>
        <w:rPr>
          <w:lang w:val="en-US"/>
        </w:rPr>
      </w:pPr>
    </w:p>
    <w:sectPr w:rsidR="004624E0">
      <w:pgSz w:w="11906" w:h="16838"/>
      <w:pgMar w:top="1417" w:right="113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BA25BE"/>
    <w:multiLevelType w:val="multilevel"/>
    <w:tmpl w:val="24369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515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7B6"/>
    <w:rsid w:val="00002E09"/>
    <w:rsid w:val="000333DE"/>
    <w:rsid w:val="00094016"/>
    <w:rsid w:val="000B3073"/>
    <w:rsid w:val="000B7638"/>
    <w:rsid w:val="000E360D"/>
    <w:rsid w:val="000F2535"/>
    <w:rsid w:val="00122094"/>
    <w:rsid w:val="00186A2B"/>
    <w:rsid w:val="001A56F4"/>
    <w:rsid w:val="001D6578"/>
    <w:rsid w:val="00210E62"/>
    <w:rsid w:val="00213E14"/>
    <w:rsid w:val="0023226B"/>
    <w:rsid w:val="00281A44"/>
    <w:rsid w:val="002D5B79"/>
    <w:rsid w:val="00306A8D"/>
    <w:rsid w:val="00311239"/>
    <w:rsid w:val="00314A36"/>
    <w:rsid w:val="00367015"/>
    <w:rsid w:val="00367F36"/>
    <w:rsid w:val="003A027B"/>
    <w:rsid w:val="003B17AA"/>
    <w:rsid w:val="003B4312"/>
    <w:rsid w:val="003C67B6"/>
    <w:rsid w:val="003E3B9A"/>
    <w:rsid w:val="003E7E6F"/>
    <w:rsid w:val="00415E01"/>
    <w:rsid w:val="00454E6E"/>
    <w:rsid w:val="004624E0"/>
    <w:rsid w:val="004659B2"/>
    <w:rsid w:val="004B3B9A"/>
    <w:rsid w:val="004D0B05"/>
    <w:rsid w:val="004F0970"/>
    <w:rsid w:val="005135DB"/>
    <w:rsid w:val="00596CDD"/>
    <w:rsid w:val="005C50D0"/>
    <w:rsid w:val="005C649E"/>
    <w:rsid w:val="005E371B"/>
    <w:rsid w:val="00602A20"/>
    <w:rsid w:val="00623338"/>
    <w:rsid w:val="006256D9"/>
    <w:rsid w:val="0064128E"/>
    <w:rsid w:val="00693D96"/>
    <w:rsid w:val="007103E4"/>
    <w:rsid w:val="00724267"/>
    <w:rsid w:val="00734BB9"/>
    <w:rsid w:val="00780390"/>
    <w:rsid w:val="007D63D6"/>
    <w:rsid w:val="007D646E"/>
    <w:rsid w:val="007E0245"/>
    <w:rsid w:val="008008AE"/>
    <w:rsid w:val="00802FFF"/>
    <w:rsid w:val="00803B1C"/>
    <w:rsid w:val="00813C7A"/>
    <w:rsid w:val="00823887"/>
    <w:rsid w:val="00826A58"/>
    <w:rsid w:val="00852C00"/>
    <w:rsid w:val="00881D70"/>
    <w:rsid w:val="00883D9A"/>
    <w:rsid w:val="008B0BF7"/>
    <w:rsid w:val="008C19A3"/>
    <w:rsid w:val="008E5969"/>
    <w:rsid w:val="00907D11"/>
    <w:rsid w:val="0094042B"/>
    <w:rsid w:val="00963C43"/>
    <w:rsid w:val="009D43DC"/>
    <w:rsid w:val="00A11231"/>
    <w:rsid w:val="00A3730F"/>
    <w:rsid w:val="00A41005"/>
    <w:rsid w:val="00A510F1"/>
    <w:rsid w:val="00A60D29"/>
    <w:rsid w:val="00A7297B"/>
    <w:rsid w:val="00A85FCC"/>
    <w:rsid w:val="00AA091E"/>
    <w:rsid w:val="00AD2F8C"/>
    <w:rsid w:val="00AE4D1E"/>
    <w:rsid w:val="00B153C5"/>
    <w:rsid w:val="00B27909"/>
    <w:rsid w:val="00B90756"/>
    <w:rsid w:val="00BA45DC"/>
    <w:rsid w:val="00BC140D"/>
    <w:rsid w:val="00C51D01"/>
    <w:rsid w:val="00CD6B93"/>
    <w:rsid w:val="00D07434"/>
    <w:rsid w:val="00D1197D"/>
    <w:rsid w:val="00D52863"/>
    <w:rsid w:val="00D60ADE"/>
    <w:rsid w:val="00D8117F"/>
    <w:rsid w:val="00D9064A"/>
    <w:rsid w:val="00D92E00"/>
    <w:rsid w:val="00DA0324"/>
    <w:rsid w:val="00DC07C0"/>
    <w:rsid w:val="00DC0835"/>
    <w:rsid w:val="00DD6D09"/>
    <w:rsid w:val="00E14363"/>
    <w:rsid w:val="00E37505"/>
    <w:rsid w:val="00E457F7"/>
    <w:rsid w:val="00E5489B"/>
    <w:rsid w:val="00EF2790"/>
    <w:rsid w:val="00F11F08"/>
    <w:rsid w:val="00F11FE9"/>
    <w:rsid w:val="00F30834"/>
    <w:rsid w:val="00F30D71"/>
    <w:rsid w:val="00F43694"/>
    <w:rsid w:val="00F7167B"/>
    <w:rsid w:val="00FA5988"/>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9E0AD"/>
  <w15:chartTrackingRefBased/>
  <w15:docId w15:val="{9B167B88-5352-C045-91DF-BE462A12F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i-F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i">
    <w:name w:val="Normal"/>
    <w:qFormat/>
    <w:rsid w:val="00415E01"/>
    <w:pPr>
      <w:spacing w:after="160" w:line="480" w:lineRule="auto"/>
      <w:jc w:val="both"/>
    </w:pPr>
    <w:rPr>
      <w:rFonts w:ascii="Times New Roman" w:hAnsi="Times New Roman"/>
      <w:szCs w:val="22"/>
      <w:lang w:val="en-CA"/>
    </w:rPr>
  </w:style>
  <w:style w:type="paragraph" w:styleId="Otsikko2">
    <w:name w:val="heading 2"/>
    <w:basedOn w:val="Normaali"/>
    <w:next w:val="Normaali"/>
    <w:link w:val="Otsikko2Char"/>
    <w:uiPriority w:val="9"/>
    <w:qFormat/>
    <w:rsid w:val="004659B2"/>
    <w:pPr>
      <w:keepNext/>
      <w:keepLines/>
      <w:pBdr>
        <w:top w:val="nil"/>
        <w:left w:val="nil"/>
        <w:bottom w:val="nil"/>
        <w:right w:val="nil"/>
        <w:between w:val="nil"/>
        <w:bar w:val="nil"/>
      </w:pBdr>
      <w:spacing w:before="360" w:after="80"/>
      <w:outlineLvl w:val="1"/>
    </w:pPr>
    <w:rPr>
      <w:rFonts w:eastAsia="Arial Unicode MS"/>
      <w:b/>
      <w:bCs/>
      <w:color w:val="0070C0"/>
      <w:sz w:val="32"/>
      <w:szCs w:val="36"/>
      <w:bdr w:val="nil"/>
      <w:lang w:val="en-US"/>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styleId="Eivli">
    <w:name w:val="No Spacing"/>
    <w:uiPriority w:val="1"/>
    <w:qFormat/>
    <w:rsid w:val="00415E01"/>
    <w:rPr>
      <w:rFonts w:eastAsiaTheme="minorEastAsia"/>
      <w:sz w:val="22"/>
      <w:szCs w:val="22"/>
    </w:rPr>
  </w:style>
  <w:style w:type="character" w:customStyle="1" w:styleId="Otsikko2Char">
    <w:name w:val="Otsikko 2 Char"/>
    <w:basedOn w:val="Kappaleenoletusfontti"/>
    <w:link w:val="Otsikko2"/>
    <w:uiPriority w:val="9"/>
    <w:rsid w:val="004659B2"/>
    <w:rPr>
      <w:rFonts w:ascii="Times New Roman" w:eastAsia="Arial Unicode MS" w:hAnsi="Times New Roman"/>
      <w:b/>
      <w:bCs/>
      <w:color w:val="0070C0"/>
      <w:sz w:val="32"/>
      <w:szCs w:val="36"/>
      <w:bdr w:val="nil"/>
      <w:lang w:val="en-US"/>
    </w:rPr>
  </w:style>
  <w:style w:type="character" w:styleId="Hyperlinkki">
    <w:name w:val="Hyperlink"/>
    <w:basedOn w:val="Kappaleenoletusfontti"/>
    <w:uiPriority w:val="99"/>
    <w:unhideWhenUsed/>
    <w:rsid w:val="00623338"/>
    <w:rPr>
      <w:color w:val="0563C1" w:themeColor="hyperlink"/>
      <w:u w:val="single"/>
    </w:rPr>
  </w:style>
  <w:style w:type="character" w:styleId="Ratkaisematonmaininta">
    <w:name w:val="Unresolved Mention"/>
    <w:basedOn w:val="Kappaleenoletusfontti"/>
    <w:uiPriority w:val="99"/>
    <w:semiHidden/>
    <w:unhideWhenUsed/>
    <w:rsid w:val="00623338"/>
    <w:rPr>
      <w:color w:val="605E5C"/>
      <w:shd w:val="clear" w:color="auto" w:fill="E1DFDD"/>
    </w:rPr>
  </w:style>
  <w:style w:type="paragraph" w:customStyle="1" w:styleId="Lhdeluettelo1">
    <w:name w:val="Lähdeluettelo1"/>
    <w:basedOn w:val="Normaali"/>
    <w:link w:val="BibliographyChar"/>
    <w:rsid w:val="003B4312"/>
    <w:pPr>
      <w:tabs>
        <w:tab w:val="left" w:pos="260"/>
      </w:tabs>
      <w:spacing w:after="0"/>
      <w:ind w:left="264" w:hanging="264"/>
    </w:pPr>
    <w:rPr>
      <w:b/>
      <w:bCs/>
      <w:sz w:val="28"/>
      <w:szCs w:val="28"/>
    </w:rPr>
  </w:style>
  <w:style w:type="character" w:customStyle="1" w:styleId="BibliographyChar">
    <w:name w:val="Bibliography Char"/>
    <w:basedOn w:val="Kappaleenoletusfontti"/>
    <w:link w:val="Lhdeluettelo1"/>
    <w:rsid w:val="003B4312"/>
    <w:rPr>
      <w:rFonts w:ascii="Times New Roman" w:hAnsi="Times New Roman"/>
      <w:b/>
      <w:bCs/>
      <w:sz w:val="28"/>
      <w:szCs w:val="28"/>
      <w:lang w:val="en-CA"/>
    </w:rPr>
  </w:style>
  <w:style w:type="paragraph" w:customStyle="1" w:styleId="Lhdeluettelo2">
    <w:name w:val="Lähdeluettelo2"/>
    <w:basedOn w:val="Normaali"/>
    <w:link w:val="BibliographyChar1"/>
    <w:rsid w:val="008008AE"/>
    <w:pPr>
      <w:tabs>
        <w:tab w:val="left" w:pos="500"/>
      </w:tabs>
      <w:spacing w:after="240" w:line="240" w:lineRule="auto"/>
      <w:ind w:left="504" w:hanging="504"/>
      <w:jc w:val="center"/>
    </w:pPr>
    <w:rPr>
      <w:rFonts w:eastAsiaTheme="majorEastAsia" w:cstheme="majorBidi"/>
      <w:b/>
      <w:spacing w:val="-10"/>
      <w:kern w:val="28"/>
      <w:sz w:val="32"/>
      <w:szCs w:val="32"/>
    </w:rPr>
  </w:style>
  <w:style w:type="character" w:customStyle="1" w:styleId="BibliographyChar1">
    <w:name w:val="Bibliography Char1"/>
    <w:basedOn w:val="Kappaleenoletusfontti"/>
    <w:link w:val="Lhdeluettelo2"/>
    <w:rsid w:val="008008AE"/>
    <w:rPr>
      <w:rFonts w:ascii="Times New Roman" w:eastAsiaTheme="majorEastAsia" w:hAnsi="Times New Roman" w:cstheme="majorBidi"/>
      <w:b/>
      <w:spacing w:val="-10"/>
      <w:kern w:val="28"/>
      <w:sz w:val="32"/>
      <w:szCs w:val="32"/>
      <w:lang w:val="en-CA"/>
    </w:rPr>
  </w:style>
  <w:style w:type="paragraph" w:customStyle="1" w:styleId="Lhdeluettelo3">
    <w:name w:val="Lähdeluettelo3"/>
    <w:basedOn w:val="Normaali"/>
    <w:link w:val="BibliographyChar2"/>
    <w:rsid w:val="00DD6D09"/>
    <w:pPr>
      <w:tabs>
        <w:tab w:val="left" w:pos="380"/>
      </w:tabs>
      <w:spacing w:after="240" w:line="240" w:lineRule="auto"/>
      <w:ind w:left="384" w:hanging="384"/>
    </w:pPr>
    <w:rPr>
      <w:lang w:val="en-US"/>
    </w:rPr>
  </w:style>
  <w:style w:type="character" w:customStyle="1" w:styleId="BibliographyChar2">
    <w:name w:val="Bibliography Char2"/>
    <w:basedOn w:val="Kappaleenoletusfontti"/>
    <w:link w:val="Lhdeluettelo3"/>
    <w:rsid w:val="00DD6D09"/>
    <w:rPr>
      <w:rFonts w:ascii="Times New Roman" w:hAnsi="Times New Roman"/>
      <w:szCs w:val="22"/>
      <w:lang w:val="en-US"/>
    </w:rPr>
  </w:style>
  <w:style w:type="paragraph" w:customStyle="1" w:styleId="Lhdeluettelo4">
    <w:name w:val="Lähdeluettelo4"/>
    <w:basedOn w:val="Normaali"/>
    <w:link w:val="BibliographyChar3"/>
    <w:rsid w:val="006256D9"/>
    <w:pPr>
      <w:tabs>
        <w:tab w:val="left" w:pos="380"/>
      </w:tabs>
      <w:spacing w:after="240" w:line="240" w:lineRule="auto"/>
      <w:ind w:left="384" w:hanging="384"/>
      <w:jc w:val="center"/>
    </w:pPr>
    <w:rPr>
      <w:rFonts w:eastAsiaTheme="majorEastAsia" w:cstheme="majorBidi"/>
      <w:b/>
      <w:spacing w:val="-10"/>
      <w:kern w:val="28"/>
      <w:sz w:val="26"/>
      <w:szCs w:val="26"/>
    </w:rPr>
  </w:style>
  <w:style w:type="character" w:customStyle="1" w:styleId="BibliographyChar3">
    <w:name w:val="Bibliography Char3"/>
    <w:basedOn w:val="Kappaleenoletusfontti"/>
    <w:link w:val="Lhdeluettelo4"/>
    <w:rsid w:val="006256D9"/>
    <w:rPr>
      <w:rFonts w:ascii="Times New Roman" w:eastAsiaTheme="majorEastAsia" w:hAnsi="Times New Roman" w:cstheme="majorBidi"/>
      <w:b/>
      <w:spacing w:val="-10"/>
      <w:kern w:val="28"/>
      <w:sz w:val="26"/>
      <w:szCs w:val="26"/>
      <w:lang w:val="en-CA"/>
    </w:rPr>
  </w:style>
  <w:style w:type="character" w:styleId="AvattuHyperlinkki">
    <w:name w:val="FollowedHyperlink"/>
    <w:basedOn w:val="Kappaleenoletusfontti"/>
    <w:uiPriority w:val="99"/>
    <w:semiHidden/>
    <w:unhideWhenUsed/>
    <w:rsid w:val="00E5489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8143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cytoscape.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oskimaki@uchicago.edu" TargetMode="External"/><Relationship Id="rId5" Type="http://schemas.openxmlformats.org/officeDocument/2006/relationships/hyperlink" Target="mailto:jj.koskimaki@gmail.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270</TotalTime>
  <Pages>11</Pages>
  <Words>5654</Words>
  <Characters>45800</Characters>
  <Application>Microsoft Office Word</Application>
  <DocSecurity>0</DocSecurity>
  <Lines>381</Lines>
  <Paragraphs>102</Paragraphs>
  <ScaleCrop>false</ScaleCrop>
  <HeadingPairs>
    <vt:vector size="2" baseType="variant">
      <vt:variant>
        <vt:lpstr>Otsikko</vt:lpstr>
      </vt:variant>
      <vt:variant>
        <vt:i4>1</vt:i4>
      </vt:variant>
    </vt:vector>
  </HeadingPairs>
  <TitlesOfParts>
    <vt:vector size="1" baseType="lpstr">
      <vt:lpstr/>
    </vt:vector>
  </TitlesOfParts>
  <Company/>
  <LinksUpToDate>false</LinksUpToDate>
  <CharactersWithSpaces>51352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Janne Koskimäki</dc:creator>
  <cp:keywords/>
  <dc:description/>
  <cp:lastModifiedBy>Janne Koskimäki</cp:lastModifiedBy>
  <cp:revision>96</cp:revision>
  <dcterms:created xsi:type="dcterms:W3CDTF">2023-04-25T15:25:00Z</dcterms:created>
  <dcterms:modified xsi:type="dcterms:W3CDTF">2024-06-17T19:53:00Z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zotero-version="6.0.27"&gt;&lt;session id="XnGJkEQu"/&gt;&lt;style id="http://www.zotero.org/styles/brain" hasBibliography="1" bibliographyStyleHasBeenSet="1"/&gt;&lt;prefs&gt;&lt;pref name="fieldType" value="Field"/&gt;&lt;pref name="automaticJournalAbbreviatio</vt:lpwstr>
  </property>
  <property fmtid="{D5CDD505-2E9C-101B-9397-08002B2CF9AE}" pid="3" name="ZOTERO_PREF_2">
    <vt:lpwstr>ns" value="true"/&gt;&lt;/prefs&gt;&lt;/data&gt;</vt:lpwstr>
  </property>
</Properties>
</file>