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41162" w14:textId="77777777" w:rsidR="00043E8A" w:rsidRPr="002F0B10" w:rsidRDefault="00043E8A" w:rsidP="00043E8A">
      <w:pPr>
        <w:spacing w:line="480" w:lineRule="auto"/>
        <w:jc w:val="center"/>
        <w:rPr>
          <w:rFonts w:asciiTheme="minorBidi" w:hAnsiTheme="minorBidi"/>
          <w:b/>
          <w:bCs/>
          <w:sz w:val="24"/>
          <w:szCs w:val="24"/>
        </w:rPr>
      </w:pPr>
      <w:r w:rsidRPr="002F0B10">
        <w:rPr>
          <w:rFonts w:asciiTheme="minorBidi" w:hAnsiTheme="minorBidi"/>
          <w:b/>
          <w:bCs/>
          <w:sz w:val="24"/>
          <w:szCs w:val="24"/>
        </w:rPr>
        <w:t>Appendix A – Supplementary Materials</w:t>
      </w:r>
    </w:p>
    <w:p w14:paraId="0DDBBE03" w14:textId="77777777" w:rsidR="00043E8A" w:rsidRPr="002F0B10" w:rsidRDefault="00043E8A" w:rsidP="00043E8A">
      <w:pPr>
        <w:spacing w:line="360" w:lineRule="auto"/>
        <w:jc w:val="center"/>
        <w:rPr>
          <w:rFonts w:asciiTheme="minorBidi" w:hAnsiTheme="minorBidi"/>
          <w:b/>
          <w:bCs/>
          <w:sz w:val="24"/>
          <w:szCs w:val="24"/>
        </w:rPr>
      </w:pPr>
      <w:r w:rsidRPr="002F0B10">
        <w:rPr>
          <w:rFonts w:asciiTheme="minorBidi" w:hAnsiTheme="minorBidi"/>
          <w:b/>
          <w:bCs/>
          <w:sz w:val="24"/>
          <w:szCs w:val="24"/>
        </w:rPr>
        <w:t>Investigating the enigma of an irregular groundwater age pattern in a confined, presumed "fossil" complex aquifer through mixing cell flow modeling.</w:t>
      </w:r>
    </w:p>
    <w:p w14:paraId="7D9D2553" w14:textId="77777777" w:rsidR="00B53E34" w:rsidRPr="002F0B10" w:rsidRDefault="00B53E34" w:rsidP="00043E8A">
      <w:pPr>
        <w:spacing w:line="360" w:lineRule="auto"/>
        <w:jc w:val="center"/>
        <w:rPr>
          <w:rFonts w:asciiTheme="minorBidi" w:hAnsiTheme="minorBidi"/>
          <w:b/>
          <w:bCs/>
          <w:sz w:val="24"/>
          <w:szCs w:val="24"/>
          <w:rtl/>
        </w:rPr>
      </w:pPr>
    </w:p>
    <w:p w14:paraId="421531A9" w14:textId="455CCF85" w:rsidR="00043E8A" w:rsidRPr="002F0B10" w:rsidRDefault="00043E8A" w:rsidP="00043E8A">
      <w:pPr>
        <w:spacing w:line="480" w:lineRule="auto"/>
        <w:rPr>
          <w:rFonts w:asciiTheme="minorBidi" w:hAnsiTheme="minorBidi"/>
          <w:b/>
          <w:bCs/>
          <w:rtl/>
        </w:rPr>
      </w:pPr>
      <w:r w:rsidRPr="002F0B10">
        <w:rPr>
          <w:rFonts w:asciiTheme="minorBidi" w:hAnsiTheme="minorBidi"/>
          <w:b/>
          <w:bCs/>
        </w:rPr>
        <w:t>Text S</w:t>
      </w:r>
      <w:r w:rsidR="009E1F15" w:rsidRPr="002F0B10">
        <w:rPr>
          <w:rFonts w:asciiTheme="minorBidi" w:hAnsiTheme="minorBidi"/>
          <w:b/>
          <w:bCs/>
        </w:rPr>
        <w:t>.</w:t>
      </w:r>
      <w:r w:rsidRPr="002F0B10">
        <w:rPr>
          <w:rFonts w:asciiTheme="minorBidi" w:hAnsiTheme="minorBidi"/>
          <w:b/>
          <w:bCs/>
        </w:rPr>
        <w:t>1</w:t>
      </w:r>
      <w:r w:rsidR="009E1F15" w:rsidRPr="002F0B10">
        <w:rPr>
          <w:rFonts w:asciiTheme="minorBidi" w:hAnsiTheme="minorBidi"/>
          <w:b/>
          <w:bCs/>
        </w:rPr>
        <w:t>.</w:t>
      </w:r>
      <w:r w:rsidRPr="002F0B10">
        <w:rPr>
          <w:rFonts w:asciiTheme="minorBidi" w:hAnsiTheme="minorBidi"/>
          <w:b/>
          <w:bCs/>
        </w:rPr>
        <w:t xml:space="preserve"> Isotopic and hydrochemical characteristics of the groundwater.</w:t>
      </w:r>
    </w:p>
    <w:p w14:paraId="5064BA89" w14:textId="6B01E6BF" w:rsidR="00E06EE0" w:rsidRPr="002F0B10" w:rsidRDefault="00043E8A" w:rsidP="002F0B10">
      <w:pPr>
        <w:spacing w:line="360" w:lineRule="auto"/>
        <w:jc w:val="both"/>
        <w:rPr>
          <w:rFonts w:asciiTheme="minorBidi" w:eastAsia="Calibri" w:hAnsiTheme="minorBidi"/>
        </w:rPr>
      </w:pPr>
      <w:r w:rsidRPr="002F0B10">
        <w:rPr>
          <w:rFonts w:asciiTheme="minorBidi" w:eastAsia="Calibri" w:hAnsiTheme="minorBidi"/>
        </w:rPr>
        <w:t>The groundwater (GW), defined as the Mixed Nubian Aquifer (MNA), was sampled from boreholes to the Nubian Sandstone Aquifer (NSA) in the northern Negev at the end of the western flow path before joining the groundwater at the end of the eastern flow path south of the Dead Sea Valley (Fig. 1). The source of the GW in the center of Sinai is the same in both routes, and they flow a similar distance from the source to the outlet. Despite this, the age of the groundwater at the end of the western flow path (Table 1; boreholes MK1, MK5a, MK11, Y1, Y2a, and Y4) is of an order of magnitude lower compared to those at the end of its eastern flow path (boreholes EY6, EY13, EO5, EO8, and T8), which indicates a significant recharge of younger water through the Nubian sandstone outcrops at the top of the anticlines in North Sinai and the Negev (Ram et al., 2020). Thus, the groundwater in the MNA wells is enriched in heavy isotopes of oxygen and hydrogen compared to those in the NSA (Fig. S.1).</w:t>
      </w:r>
      <w:r w:rsidR="008D7D09" w:rsidRPr="002F0B10">
        <w:rPr>
          <w:rFonts w:asciiTheme="minorBidi" w:eastAsia="Calibri" w:hAnsiTheme="minorBidi"/>
        </w:rPr>
        <w:t xml:space="preserve"> </w:t>
      </w:r>
      <w:r w:rsidR="009E1F15">
        <w:rPr>
          <w:rFonts w:asciiTheme="minorBidi" w:eastAsia="Calibri" w:hAnsiTheme="minorBidi"/>
        </w:rPr>
        <w:t xml:space="preserve">The upstream NSA groundwater in central Sinai (Kuntella 3 &amp; Nakel 5) is the most isotopically depleted. </w:t>
      </w:r>
      <w:r w:rsidR="00B552C0" w:rsidRPr="005B5526">
        <w:rPr>
          <w:rFonts w:asciiTheme="minorBidi" w:eastAsia="Calibri" w:hAnsiTheme="minorBidi"/>
        </w:rPr>
        <w:t xml:space="preserve">The NSA wells (+), which designate cells in the MCM (marked with red dots), become enriched in their isotopic composition downstream from S1 (Shizafon) towards the EO5, EO8, and T8 wells (red arrow). It reflects the mixing of the NSA with isotopically enriched groundwater represented by specific groundwater (marked with red open circles) from the different aquifers. </w:t>
      </w:r>
      <w:r w:rsidRPr="002F0B10">
        <w:rPr>
          <w:rFonts w:asciiTheme="minorBidi" w:eastAsia="Calibri" w:hAnsiTheme="minorBidi"/>
        </w:rPr>
        <w:t>The red arrow illustrates the gradual increase in the composition of the heavy isotopes in the NSA from south to north, down</w:t>
      </w:r>
      <w:r w:rsidR="008D7D09" w:rsidRPr="002F0B10">
        <w:rPr>
          <w:rFonts w:asciiTheme="minorBidi" w:eastAsia="Calibri" w:hAnsiTheme="minorBidi"/>
        </w:rPr>
        <w:t xml:space="preserve"> </w:t>
      </w:r>
      <w:r w:rsidRPr="002F0B10">
        <w:rPr>
          <w:rFonts w:asciiTheme="minorBidi" w:eastAsia="Calibri" w:hAnsiTheme="minorBidi"/>
        </w:rPr>
        <w:t xml:space="preserve">the eastern flow path due to inputs and mixing with isotopically heavier groundwater </w:t>
      </w:r>
      <w:r w:rsidRPr="009A11D3">
        <w:rPr>
          <w:rFonts w:asciiTheme="minorBidi" w:eastAsia="Calibri" w:hAnsiTheme="minorBidi"/>
        </w:rPr>
        <w:t xml:space="preserve">from the JUA, JCA, AFA, SCA, and MNA sources. </w:t>
      </w:r>
      <w:r w:rsidR="00E06EE0">
        <w:rPr>
          <w:rFonts w:asciiTheme="minorBidi" w:eastAsia="Calibri" w:hAnsiTheme="minorBidi"/>
        </w:rPr>
        <w:t xml:space="preserve"> </w:t>
      </w:r>
    </w:p>
    <w:p w14:paraId="421EFF8E" w14:textId="43550747" w:rsidR="00043E8A" w:rsidRPr="009A11D3" w:rsidRDefault="00043E8A" w:rsidP="00B552C0">
      <w:pPr>
        <w:spacing w:line="276" w:lineRule="auto"/>
        <w:jc w:val="both"/>
        <w:rPr>
          <w:rFonts w:asciiTheme="minorBidi" w:eastAsia="Calibri" w:hAnsiTheme="minorBidi"/>
        </w:rPr>
      </w:pPr>
    </w:p>
    <w:p w14:paraId="3A3EB84A" w14:textId="752413C0" w:rsidR="00043E8A" w:rsidRPr="002F0B10" w:rsidRDefault="00043E8A" w:rsidP="002F0B10">
      <w:pPr>
        <w:spacing w:line="360" w:lineRule="auto"/>
        <w:jc w:val="both"/>
        <w:rPr>
          <w:rFonts w:asciiTheme="minorBidi" w:eastAsia="Calibri" w:hAnsiTheme="minorBidi"/>
        </w:rPr>
      </w:pPr>
      <w:r w:rsidRPr="009A11D3">
        <w:rPr>
          <w:rFonts w:asciiTheme="minorBidi" w:eastAsia="Calibri" w:hAnsiTheme="minorBidi"/>
        </w:rPr>
        <w:t xml:space="preserve">The hydrochemical composition (Fig. S.2) demonstrates the spatial variability of the </w:t>
      </w:r>
      <w:r w:rsidR="00B552C0">
        <w:rPr>
          <w:rFonts w:asciiTheme="minorBidi" w:eastAsia="Calibri" w:hAnsiTheme="minorBidi"/>
        </w:rPr>
        <w:t>ions</w:t>
      </w:r>
      <w:r w:rsidRPr="009A11D3">
        <w:rPr>
          <w:rFonts w:asciiTheme="minorBidi" w:eastAsia="Calibri" w:hAnsiTheme="minorBidi"/>
        </w:rPr>
        <w:t xml:space="preserve"> in the NSA and the Judea Calcareous Aquifer (JCA). Both cation and anion ternary plots show</w:t>
      </w:r>
      <w:r w:rsidRPr="009A11D3">
        <w:rPr>
          <w:rFonts w:ascii="Arial" w:hAnsi="Arial" w:cs="Arial"/>
          <w:shd w:val="clear" w:color="auto" w:fill="FFFFFF"/>
        </w:rPr>
        <w:t xml:space="preserve"> that the </w:t>
      </w:r>
      <w:r w:rsidR="009E1F15">
        <w:rPr>
          <w:rFonts w:ascii="Arial" w:hAnsi="Arial" w:cs="Arial"/>
          <w:shd w:val="clear" w:color="auto" w:fill="FFFFFF"/>
        </w:rPr>
        <w:t xml:space="preserve">GW </w:t>
      </w:r>
      <w:r w:rsidRPr="009A11D3">
        <w:rPr>
          <w:rFonts w:ascii="Arial" w:hAnsi="Arial" w:cs="Arial"/>
          <w:shd w:val="clear" w:color="auto" w:fill="FFFFFF"/>
        </w:rPr>
        <w:t>samples evolve along a "mixing line" except for the groundwater in the upstream NSA (Themed 1), the deep salty GW in Z20, and the GW in the deep Jurassic Limestone Aquifer (JUA).</w:t>
      </w:r>
      <w:r w:rsidRPr="009A11D3">
        <w:rPr>
          <w:rFonts w:ascii="Arial" w:hAnsi="Arial" w:cs="Arial" w:hint="cs"/>
          <w:shd w:val="clear" w:color="auto" w:fill="FFFFFF"/>
          <w:rtl/>
        </w:rPr>
        <w:t xml:space="preserve"> </w:t>
      </w:r>
      <w:r w:rsidRPr="009A11D3">
        <w:rPr>
          <w:rFonts w:ascii="Arial" w:hAnsi="Arial" w:cs="Arial"/>
          <w:shd w:val="clear" w:color="auto" w:fill="FFFFFF"/>
        </w:rPr>
        <w:t xml:space="preserve">The groundwater of the MNA is characterized by a relatively high concentration of </w:t>
      </w:r>
      <w:r w:rsidR="00943D68">
        <w:rPr>
          <w:rFonts w:ascii="Segoe UI" w:hAnsi="Segoe UI" w:cs="Segoe UI"/>
          <w:color w:val="000000"/>
          <w:sz w:val="21"/>
          <w:szCs w:val="21"/>
          <w:lang w:val="en-IL"/>
          <w14:ligatures w14:val="standardContextual"/>
        </w:rPr>
        <w:t>sodium and potassium</w:t>
      </w:r>
      <w:r w:rsidR="00943D68">
        <w:rPr>
          <w:rFonts w:ascii="Segoe UI" w:hAnsi="Segoe UI" w:cs="Segoe UI"/>
          <w:color w:val="000000"/>
          <w:sz w:val="21"/>
          <w:szCs w:val="21"/>
          <w14:ligatures w14:val="standardContextual"/>
        </w:rPr>
        <w:t xml:space="preserve">, </w:t>
      </w:r>
      <w:r w:rsidRPr="009A11D3">
        <w:rPr>
          <w:rFonts w:ascii="Arial" w:hAnsi="Arial" w:cs="Arial"/>
          <w:shd w:val="clear" w:color="auto" w:fill="FFFFFF"/>
        </w:rPr>
        <w:t xml:space="preserve">and low concentrations of calcium, magnesium, and sulfate. The diamond plots's integrated chemical composition shows that the MNA' 's GW (and part of the JCA's </w:t>
      </w:r>
      <w:r w:rsidR="009E1F15">
        <w:rPr>
          <w:rFonts w:ascii="Arial" w:hAnsi="Arial" w:cs="Arial"/>
          <w:shd w:val="clear" w:color="auto" w:fill="FFFFFF"/>
        </w:rPr>
        <w:t>GW</w:t>
      </w:r>
      <w:r w:rsidRPr="009A11D3">
        <w:rPr>
          <w:rFonts w:ascii="Arial" w:hAnsi="Arial" w:cs="Arial"/>
          <w:shd w:val="clear" w:color="auto" w:fill="FFFFFF"/>
        </w:rPr>
        <w:t xml:space="preserve">) is located at the lower end of the GW mixing line of the NSA, and the GW sampled </w:t>
      </w:r>
      <w:r w:rsidR="00943D68">
        <w:rPr>
          <w:rFonts w:ascii="Arial" w:hAnsi="Arial" w:cs="Arial"/>
          <w:shd w:val="clear" w:color="auto" w:fill="FFFFFF"/>
        </w:rPr>
        <w:t>from</w:t>
      </w:r>
      <w:r w:rsidRPr="009A11D3">
        <w:rPr>
          <w:rFonts w:ascii="Arial" w:hAnsi="Arial" w:cs="Arial"/>
          <w:shd w:val="clear" w:color="auto" w:fill="FFFFFF"/>
        </w:rPr>
        <w:t xml:space="preserve"> JUA, AFA, and SCA are located at the upper end. </w:t>
      </w:r>
      <w:r w:rsidR="002F0B10" w:rsidRPr="00E06EE0">
        <w:rPr>
          <w:rFonts w:ascii="Arial" w:hAnsi="Arial" w:cs="Arial"/>
          <w:shd w:val="clear" w:color="auto" w:fill="FFFFFF"/>
        </w:rPr>
        <w:t xml:space="preserve">All groundwater samples </w:t>
      </w:r>
      <w:r w:rsidR="002F0B10" w:rsidRPr="00E06EE0">
        <w:rPr>
          <w:rFonts w:ascii="Arial" w:hAnsi="Arial" w:cs="Arial"/>
          <w:shd w:val="clear" w:color="auto" w:fill="FFFFFF"/>
        </w:rPr>
        <w:lastRenderedPageBreak/>
        <w:t>are plotted at the top right side of the diamond, which is relatively high in Ca</w:t>
      </w:r>
      <w:r w:rsidR="002F0B10" w:rsidRPr="00E06EE0">
        <w:rPr>
          <w:rFonts w:ascii="Arial" w:hAnsi="Arial" w:cs="Arial"/>
          <w:shd w:val="clear" w:color="auto" w:fill="FFFFFF"/>
          <w:vertAlign w:val="superscript"/>
        </w:rPr>
        <w:t>2+</w:t>
      </w:r>
      <w:r w:rsidR="002F0B10" w:rsidRPr="00E06EE0">
        <w:rPr>
          <w:rFonts w:ascii="Arial" w:hAnsi="Arial" w:cs="Arial"/>
          <w:shd w:val="clear" w:color="auto" w:fill="FFFFFF"/>
        </w:rPr>
        <w:t xml:space="preserve"> + Mg</w:t>
      </w:r>
      <w:r w:rsidR="002F0B10" w:rsidRPr="00E06EE0">
        <w:rPr>
          <w:rFonts w:ascii="Arial" w:hAnsi="Arial" w:cs="Arial"/>
          <w:shd w:val="clear" w:color="auto" w:fill="FFFFFF"/>
          <w:vertAlign w:val="superscript"/>
        </w:rPr>
        <w:t>2+</w:t>
      </w:r>
      <w:r w:rsidR="002F0B10" w:rsidRPr="00E06EE0">
        <w:rPr>
          <w:rFonts w:ascii="Arial" w:hAnsi="Arial" w:cs="Arial"/>
          <w:shd w:val="clear" w:color="auto" w:fill="FFFFFF"/>
        </w:rPr>
        <w:t xml:space="preserve"> and Cl</w:t>
      </w:r>
      <w:r w:rsidR="002F0B10" w:rsidRPr="00B552C0">
        <w:rPr>
          <w:rFonts w:ascii="Arial" w:hAnsi="Arial" w:cs="Arial"/>
          <w:sz w:val="28"/>
          <w:szCs w:val="28"/>
          <w:shd w:val="clear" w:color="auto" w:fill="FFFFFF"/>
          <w:vertAlign w:val="superscript"/>
        </w:rPr>
        <w:t>-</w:t>
      </w:r>
      <w:r w:rsidR="002F0B10" w:rsidRPr="00E06EE0">
        <w:rPr>
          <w:rFonts w:ascii="Arial" w:hAnsi="Arial" w:cs="Arial"/>
          <w:shd w:val="clear" w:color="auto" w:fill="FFFFFF"/>
        </w:rPr>
        <w:t xml:space="preserve"> + SO</w:t>
      </w:r>
      <w:r w:rsidR="002F0B10" w:rsidRPr="00E06EE0">
        <w:rPr>
          <w:rFonts w:ascii="Arial" w:hAnsi="Arial" w:cs="Arial"/>
          <w:shd w:val="clear" w:color="auto" w:fill="FFFFFF"/>
          <w:vertAlign w:val="subscript"/>
        </w:rPr>
        <w:t>4</w:t>
      </w:r>
      <w:r w:rsidR="002F0B10" w:rsidRPr="00E06EE0">
        <w:rPr>
          <w:rFonts w:ascii="Arial" w:hAnsi="Arial" w:cs="Arial"/>
          <w:shd w:val="clear" w:color="auto" w:fill="FFFFFF"/>
          <w:vertAlign w:val="superscript"/>
        </w:rPr>
        <w:t>2-</w:t>
      </w:r>
      <w:r w:rsidR="002F0B10" w:rsidRPr="00E06EE0">
        <w:rPr>
          <w:rFonts w:ascii="Arial" w:hAnsi="Arial" w:cs="Arial"/>
          <w:shd w:val="clear" w:color="auto" w:fill="FFFFFF"/>
        </w:rPr>
        <w:t>.</w:t>
      </w:r>
      <w:r w:rsidR="002F0B10">
        <w:rPr>
          <w:rFonts w:asciiTheme="minorBidi" w:eastAsia="Calibri" w:hAnsiTheme="minorBidi"/>
        </w:rPr>
        <w:t xml:space="preserve"> </w:t>
      </w:r>
      <w:r w:rsidRPr="009A11D3">
        <w:rPr>
          <w:rFonts w:ascii="Arial" w:hAnsi="Arial" w:cs="Arial"/>
          <w:shd w:val="clear" w:color="auto" w:fill="FFFFFF"/>
        </w:rPr>
        <w:t>The downstream hydrochemical evolution (mixing) along Flow Path I from Cell I (S1) down to Cells VII and VIII (EO8 &amp; T8) is demonstrated by the red dots posted over the orange plus (+) symbols representing the NSA's GW. (Fig. S.2).</w:t>
      </w:r>
    </w:p>
    <w:p w14:paraId="1330B039" w14:textId="77777777" w:rsidR="00043E8A" w:rsidRDefault="00043E8A" w:rsidP="00043E8A">
      <w:pPr>
        <w:spacing w:line="480" w:lineRule="auto"/>
        <w:rPr>
          <w:rFonts w:asciiTheme="minorBidi" w:hAnsiTheme="minorBidi"/>
          <w:rtl/>
        </w:rPr>
      </w:pPr>
    </w:p>
    <w:p w14:paraId="6E6878E1" w14:textId="407DE086" w:rsidR="00043E8A" w:rsidRPr="00407E14" w:rsidRDefault="00043E8A" w:rsidP="00E06EE0">
      <w:pPr>
        <w:spacing w:line="480" w:lineRule="auto"/>
        <w:rPr>
          <w:rFonts w:asciiTheme="minorBidi" w:hAnsiTheme="minorBidi"/>
        </w:rPr>
      </w:pPr>
      <w:r w:rsidRPr="00064878">
        <w:rPr>
          <w:noProof/>
        </w:rPr>
        <w:drawing>
          <wp:inline distT="0" distB="0" distL="0" distR="0" wp14:anchorId="535364AE" wp14:editId="1B6DD460">
            <wp:extent cx="6822057" cy="4429125"/>
            <wp:effectExtent l="0" t="0" r="0" b="0"/>
            <wp:docPr id="1501630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12351"/>
                    <a:stretch/>
                  </pic:blipFill>
                  <pic:spPr bwMode="auto">
                    <a:xfrm>
                      <a:off x="0" y="0"/>
                      <a:ext cx="6840664" cy="4441205"/>
                    </a:xfrm>
                    <a:prstGeom prst="rect">
                      <a:avLst/>
                    </a:prstGeom>
                    <a:noFill/>
                    <a:ln>
                      <a:noFill/>
                    </a:ln>
                    <a:extLst>
                      <a:ext uri="{53640926-AAD7-44D8-BBD7-CCE9431645EC}">
                        <a14:shadowObscured xmlns:a14="http://schemas.microsoft.com/office/drawing/2010/main"/>
                      </a:ext>
                    </a:extLst>
                  </pic:spPr>
                </pic:pic>
              </a:graphicData>
            </a:graphic>
          </wp:inline>
        </w:drawing>
      </w:r>
    </w:p>
    <w:p w14:paraId="685CCCF6" w14:textId="42A03C97" w:rsidR="00E06EE0" w:rsidRPr="005B5526" w:rsidRDefault="00043E8A" w:rsidP="00E06EE0">
      <w:pPr>
        <w:spacing w:line="240" w:lineRule="auto"/>
        <w:jc w:val="both"/>
        <w:rPr>
          <w:rFonts w:asciiTheme="minorBidi" w:eastAsia="Calibri" w:hAnsiTheme="minorBidi"/>
          <w:lang w:bidi="ar-SA"/>
        </w:rPr>
      </w:pPr>
      <w:r w:rsidRPr="005B5526">
        <w:rPr>
          <w:rFonts w:asciiTheme="minorBidi" w:eastAsia="Calibri" w:hAnsiTheme="minorBidi"/>
          <w:b/>
          <w:bCs/>
          <w:lang w:bidi="ar-SA"/>
        </w:rPr>
        <w:t>Figure S.1.</w:t>
      </w:r>
      <w:r w:rsidR="00E06EE0" w:rsidRPr="005B5526">
        <w:rPr>
          <w:rFonts w:asciiTheme="minorBidi" w:eastAsia="Calibri" w:hAnsiTheme="minorBidi"/>
          <w:b/>
          <w:bCs/>
          <w:lang w:bidi="ar-SA"/>
        </w:rPr>
        <w:t xml:space="preserve"> </w:t>
      </w:r>
      <w:r w:rsidR="00E06EE0" w:rsidRPr="008D7D09">
        <w:rPr>
          <w:rFonts w:ascii="Symbol" w:hAnsi="Symbol"/>
          <w:color w:val="000000" w:themeColor="text1"/>
        </w:rPr>
        <w:t>d</w:t>
      </w:r>
      <w:r w:rsidR="00E06EE0" w:rsidRPr="008D7D09">
        <w:rPr>
          <w:rFonts w:asciiTheme="minorBidi" w:hAnsiTheme="minorBidi"/>
          <w:vertAlign w:val="superscript"/>
        </w:rPr>
        <w:t>2</w:t>
      </w:r>
      <w:r w:rsidR="00E06EE0" w:rsidRPr="008D7D09">
        <w:rPr>
          <w:rFonts w:asciiTheme="minorBidi" w:hAnsiTheme="minorBidi"/>
        </w:rPr>
        <w:t xml:space="preserve">H versus </w:t>
      </w:r>
      <w:r w:rsidR="00E06EE0" w:rsidRPr="008D7D09">
        <w:rPr>
          <w:rFonts w:ascii="Symbol" w:hAnsi="Symbol"/>
          <w:color w:val="000000" w:themeColor="text1"/>
        </w:rPr>
        <w:t>d</w:t>
      </w:r>
      <w:r w:rsidR="00E06EE0" w:rsidRPr="008D7D09">
        <w:rPr>
          <w:rFonts w:asciiTheme="minorBidi" w:hAnsiTheme="minorBidi"/>
          <w:vertAlign w:val="superscript"/>
        </w:rPr>
        <w:t>18</w:t>
      </w:r>
      <w:r w:rsidR="00E06EE0" w:rsidRPr="008D7D09">
        <w:rPr>
          <w:rFonts w:asciiTheme="minorBidi" w:hAnsiTheme="minorBidi"/>
        </w:rPr>
        <w:t xml:space="preserve">O </w:t>
      </w:r>
      <w:r w:rsidRPr="005B5526">
        <w:rPr>
          <w:rFonts w:asciiTheme="minorBidi" w:eastAsia="Calibri" w:hAnsiTheme="minorBidi"/>
          <w:lang w:bidi="ar-SA"/>
        </w:rPr>
        <w:t xml:space="preserve"> in groundwater for all the wells considered in the Mixing Cell Modeling (MCM). </w:t>
      </w:r>
      <w:r w:rsidR="00E06EE0" w:rsidRPr="005B5526">
        <w:rPr>
          <w:rFonts w:asciiTheme="minorBidi" w:eastAsia="Calibri" w:hAnsiTheme="minorBidi"/>
          <w:lang w:bidi="ar-SA"/>
        </w:rPr>
        <w:t xml:space="preserve">EMWWL and GMWL </w:t>
      </w:r>
      <w:r w:rsidR="008D7D09">
        <w:rPr>
          <w:rFonts w:asciiTheme="minorBidi" w:eastAsia="Calibri" w:hAnsiTheme="minorBidi"/>
          <w:lang w:bidi="ar-SA"/>
        </w:rPr>
        <w:t>designate</w:t>
      </w:r>
      <w:r w:rsidR="00E06EE0" w:rsidRPr="005B5526">
        <w:rPr>
          <w:rFonts w:asciiTheme="minorBidi" w:eastAsia="Calibri" w:hAnsiTheme="minorBidi"/>
          <w:lang w:bidi="ar-SA"/>
        </w:rPr>
        <w:t xml:space="preserve"> the </w:t>
      </w:r>
      <w:r w:rsidR="008D7D09">
        <w:rPr>
          <w:rFonts w:asciiTheme="minorBidi" w:eastAsia="Calibri" w:hAnsiTheme="minorBidi"/>
          <w:lang w:bidi="ar-SA"/>
        </w:rPr>
        <w:t>e</w:t>
      </w:r>
      <w:r w:rsidR="00E06EE0" w:rsidRPr="005B5526">
        <w:rPr>
          <w:rFonts w:asciiTheme="minorBidi" w:eastAsia="Calibri" w:hAnsiTheme="minorBidi"/>
          <w:lang w:bidi="ar-SA"/>
        </w:rPr>
        <w:t xml:space="preserve">astern </w:t>
      </w:r>
      <w:r w:rsidR="004E6F97" w:rsidRPr="005B5526">
        <w:rPr>
          <w:rFonts w:asciiTheme="minorBidi" w:eastAsia="Calibri" w:hAnsiTheme="minorBidi"/>
          <w:lang w:bidi="ar-SA"/>
        </w:rPr>
        <w:t xml:space="preserve">Mediterranean </w:t>
      </w:r>
      <w:r w:rsidR="008D7D09">
        <w:rPr>
          <w:rFonts w:asciiTheme="minorBidi" w:eastAsia="Calibri" w:hAnsiTheme="minorBidi"/>
          <w:lang w:bidi="ar-SA"/>
        </w:rPr>
        <w:t xml:space="preserve">water line, </w:t>
      </w:r>
      <w:r w:rsidR="004E6F97" w:rsidRPr="005B5526">
        <w:rPr>
          <w:rFonts w:asciiTheme="minorBidi" w:eastAsia="Calibri" w:hAnsiTheme="minorBidi"/>
          <w:lang w:bidi="ar-SA"/>
        </w:rPr>
        <w:t xml:space="preserve">and </w:t>
      </w:r>
      <w:r w:rsidR="008D7D09">
        <w:rPr>
          <w:rFonts w:asciiTheme="minorBidi" w:eastAsia="Calibri" w:hAnsiTheme="minorBidi"/>
          <w:lang w:bidi="ar-SA"/>
        </w:rPr>
        <w:t>g</w:t>
      </w:r>
      <w:r w:rsidR="004E6F97" w:rsidRPr="005B5526">
        <w:rPr>
          <w:rFonts w:asciiTheme="minorBidi" w:eastAsia="Calibri" w:hAnsiTheme="minorBidi"/>
          <w:lang w:bidi="ar-SA"/>
        </w:rPr>
        <w:t xml:space="preserve">lobal </w:t>
      </w:r>
      <w:r w:rsidR="008D7D09">
        <w:rPr>
          <w:rFonts w:asciiTheme="minorBidi" w:eastAsia="Calibri" w:hAnsiTheme="minorBidi"/>
          <w:lang w:bidi="ar-SA"/>
        </w:rPr>
        <w:t>m</w:t>
      </w:r>
      <w:r w:rsidR="00235CAB" w:rsidRPr="005B5526">
        <w:rPr>
          <w:rFonts w:asciiTheme="minorBidi" w:eastAsia="Calibri" w:hAnsiTheme="minorBidi"/>
          <w:lang w:bidi="ar-SA"/>
        </w:rPr>
        <w:t xml:space="preserve">eteoric </w:t>
      </w:r>
      <w:r w:rsidR="008D7D09">
        <w:rPr>
          <w:rFonts w:asciiTheme="minorBidi" w:eastAsia="Calibri" w:hAnsiTheme="minorBidi"/>
          <w:lang w:bidi="ar-SA"/>
        </w:rPr>
        <w:t>w</w:t>
      </w:r>
      <w:r w:rsidR="00235CAB" w:rsidRPr="005B5526">
        <w:rPr>
          <w:rFonts w:asciiTheme="minorBidi" w:eastAsia="Calibri" w:hAnsiTheme="minorBidi"/>
          <w:lang w:bidi="ar-SA"/>
        </w:rPr>
        <w:t xml:space="preserve">ater </w:t>
      </w:r>
      <w:r w:rsidR="008D7D09">
        <w:rPr>
          <w:rFonts w:asciiTheme="minorBidi" w:eastAsia="Calibri" w:hAnsiTheme="minorBidi"/>
          <w:lang w:bidi="ar-SA"/>
        </w:rPr>
        <w:t>l</w:t>
      </w:r>
      <w:r w:rsidR="00235CAB" w:rsidRPr="005B5526">
        <w:rPr>
          <w:rFonts w:asciiTheme="minorBidi" w:eastAsia="Calibri" w:hAnsiTheme="minorBidi"/>
          <w:lang w:bidi="ar-SA"/>
        </w:rPr>
        <w:t>ine, respectively.</w:t>
      </w:r>
    </w:p>
    <w:p w14:paraId="2ACF0A25" w14:textId="611A9E09" w:rsidR="00E06EE0" w:rsidRPr="005B5526" w:rsidRDefault="00E06EE0" w:rsidP="00E06EE0">
      <w:pPr>
        <w:spacing w:line="240" w:lineRule="auto"/>
        <w:jc w:val="both"/>
        <w:rPr>
          <w:rFonts w:asciiTheme="minorBidi" w:eastAsia="Calibri" w:hAnsiTheme="minorBidi"/>
          <w:lang w:bidi="ar-SA"/>
        </w:rPr>
      </w:pPr>
    </w:p>
    <w:p w14:paraId="40178326" w14:textId="77777777" w:rsidR="00043E8A" w:rsidRDefault="00043E8A" w:rsidP="00043E8A">
      <w:pPr>
        <w:spacing w:line="480" w:lineRule="auto"/>
        <w:rPr>
          <w:rFonts w:asciiTheme="minorBidi" w:eastAsia="Calibri" w:hAnsiTheme="minorBidi"/>
          <w:lang w:bidi="ar-SA"/>
        </w:rPr>
      </w:pPr>
    </w:p>
    <w:p w14:paraId="610F0DBD" w14:textId="77777777" w:rsidR="00043E8A" w:rsidRDefault="00043E8A" w:rsidP="00043E8A">
      <w:pPr>
        <w:spacing w:line="480" w:lineRule="auto"/>
        <w:rPr>
          <w:rFonts w:asciiTheme="minorBidi" w:eastAsia="Calibri" w:hAnsiTheme="minorBidi"/>
          <w:lang w:bidi="ar-SA"/>
        </w:rPr>
      </w:pPr>
    </w:p>
    <w:p w14:paraId="198EE9B3" w14:textId="77777777" w:rsidR="00043E8A" w:rsidRDefault="00043E8A" w:rsidP="00043E8A">
      <w:pPr>
        <w:spacing w:line="480" w:lineRule="auto"/>
        <w:rPr>
          <w:rFonts w:asciiTheme="minorBidi" w:eastAsia="Calibri" w:hAnsiTheme="minorBidi"/>
          <w:lang w:bidi="ar-SA"/>
        </w:rPr>
      </w:pPr>
      <w:r w:rsidRPr="005E5112">
        <w:rPr>
          <w:noProof/>
          <w:lang w:bidi="ar-SA"/>
        </w:rPr>
        <w:lastRenderedPageBreak/>
        <w:drawing>
          <wp:inline distT="0" distB="0" distL="0" distR="0" wp14:anchorId="59D0B455" wp14:editId="39EDAD5A">
            <wp:extent cx="6065351" cy="4829175"/>
            <wp:effectExtent l="0" t="0" r="0" b="0"/>
            <wp:docPr id="1803624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5339" r="21875" b="5396"/>
                    <a:stretch/>
                  </pic:blipFill>
                  <pic:spPr bwMode="auto">
                    <a:xfrm>
                      <a:off x="0" y="0"/>
                      <a:ext cx="6069908" cy="4832804"/>
                    </a:xfrm>
                    <a:prstGeom prst="rect">
                      <a:avLst/>
                    </a:prstGeom>
                    <a:noFill/>
                    <a:ln>
                      <a:noFill/>
                    </a:ln>
                    <a:extLst>
                      <a:ext uri="{53640926-AAD7-44D8-BBD7-CCE9431645EC}">
                        <a14:shadowObscured xmlns:a14="http://schemas.microsoft.com/office/drawing/2010/main"/>
                      </a:ext>
                    </a:extLst>
                  </pic:spPr>
                </pic:pic>
              </a:graphicData>
            </a:graphic>
          </wp:inline>
        </w:drawing>
      </w:r>
    </w:p>
    <w:p w14:paraId="1B685E86" w14:textId="0BF030B6" w:rsidR="005B5526" w:rsidRDefault="00043E8A" w:rsidP="002F0B10">
      <w:pPr>
        <w:spacing w:line="240" w:lineRule="auto"/>
        <w:jc w:val="both"/>
        <w:rPr>
          <w:rFonts w:asciiTheme="minorBidi" w:eastAsia="Calibri" w:hAnsiTheme="minorBidi"/>
          <w:b/>
          <w:bCs/>
          <w:lang w:bidi="ar-SA"/>
        </w:rPr>
      </w:pPr>
      <w:bookmarkStart w:id="0" w:name="_Hlk150341789"/>
      <w:r w:rsidRPr="002F0B10">
        <w:rPr>
          <w:rFonts w:asciiTheme="minorBidi" w:eastAsia="Calibri" w:hAnsiTheme="minorBidi"/>
          <w:b/>
          <w:bCs/>
          <w:lang w:bidi="ar-SA"/>
        </w:rPr>
        <w:t>Figure S.2.</w:t>
      </w:r>
      <w:r w:rsidRPr="00E06EE0">
        <w:rPr>
          <w:rFonts w:asciiTheme="minorBidi" w:eastAsia="Calibri" w:hAnsiTheme="minorBidi"/>
          <w:lang w:bidi="ar-SA"/>
        </w:rPr>
        <w:t xml:space="preserve"> A Piper Diagram </w:t>
      </w:r>
      <w:r w:rsidR="00090CC1" w:rsidRPr="00592F81">
        <w:rPr>
          <w:rFonts w:ascii="Arial" w:hAnsi="Arial" w:cs="Arial"/>
        </w:rPr>
        <w:t>(</w:t>
      </w:r>
      <w:r w:rsidR="00090CC1" w:rsidRPr="00E06EE0">
        <w:rPr>
          <w:rFonts w:ascii="Arial" w:hAnsi="Arial" w:cs="Arial"/>
        </w:rPr>
        <w:t xml:space="preserve">Piper, 1944) </w:t>
      </w:r>
      <w:r w:rsidRPr="00E06EE0">
        <w:rPr>
          <w:rFonts w:ascii="Arial" w:hAnsi="Arial" w:cs="Arial"/>
        </w:rPr>
        <w:t>showing the classification of groundwater samples from the various aquifers</w:t>
      </w:r>
      <w:r w:rsidRPr="00E06EE0">
        <w:rPr>
          <w:rFonts w:ascii="Arial" w:hAnsi="Arial" w:cs="Arial"/>
          <w:shd w:val="clear" w:color="auto" w:fill="FFFFFF"/>
        </w:rPr>
        <w:t>, using the dominant cations and anions of the groundwater samples.</w:t>
      </w:r>
      <w:bookmarkEnd w:id="0"/>
      <w:r w:rsidR="002F0B10">
        <w:rPr>
          <w:rFonts w:ascii="Arial" w:hAnsi="Arial" w:cs="Arial"/>
          <w:shd w:val="clear" w:color="auto" w:fill="FFFFFF"/>
        </w:rPr>
        <w:t xml:space="preserve"> </w:t>
      </w:r>
      <w:r w:rsidR="00865410" w:rsidRPr="00E06EE0">
        <w:rPr>
          <w:rFonts w:ascii="Arial" w:hAnsi="Arial" w:cs="Arial"/>
          <w:shd w:val="clear" w:color="auto" w:fill="FFFFFF"/>
        </w:rPr>
        <w:t>Plot diagram was created using GW_Chart (Winston, 2000, 2020).</w:t>
      </w:r>
    </w:p>
    <w:p w14:paraId="40BF2A7A" w14:textId="77777777" w:rsidR="00A76EB6" w:rsidRDefault="00A76EB6" w:rsidP="00B53E34">
      <w:pPr>
        <w:spacing w:line="480" w:lineRule="auto"/>
        <w:rPr>
          <w:rFonts w:asciiTheme="minorBidi" w:eastAsia="Calibri" w:hAnsiTheme="minorBidi"/>
          <w:b/>
          <w:bCs/>
          <w:lang w:bidi="ar-SA"/>
        </w:rPr>
      </w:pPr>
    </w:p>
    <w:p w14:paraId="5F8348DC" w14:textId="07757967" w:rsidR="00043E8A" w:rsidRPr="00E63806" w:rsidRDefault="00043E8A" w:rsidP="00B53E34">
      <w:pPr>
        <w:spacing w:line="480" w:lineRule="auto"/>
        <w:rPr>
          <w:rFonts w:asciiTheme="minorBidi" w:eastAsia="Calibri" w:hAnsiTheme="minorBidi"/>
          <w:b/>
          <w:bCs/>
          <w:lang w:bidi="ar-SA"/>
        </w:rPr>
      </w:pPr>
      <w:r w:rsidRPr="00E63806">
        <w:rPr>
          <w:rFonts w:asciiTheme="minorBidi" w:eastAsia="Calibri" w:hAnsiTheme="minorBidi"/>
          <w:b/>
          <w:bCs/>
          <w:lang w:bidi="ar-SA"/>
        </w:rPr>
        <w:t>References</w:t>
      </w:r>
    </w:p>
    <w:p w14:paraId="06A7AFE2" w14:textId="77777777" w:rsidR="00090CC1" w:rsidRPr="00E63806" w:rsidRDefault="00090CC1" w:rsidP="00090CC1">
      <w:pPr>
        <w:widowControl w:val="0"/>
        <w:autoSpaceDE w:val="0"/>
        <w:autoSpaceDN w:val="0"/>
        <w:adjustRightInd w:val="0"/>
        <w:spacing w:line="240" w:lineRule="auto"/>
        <w:ind w:left="480" w:hanging="480"/>
        <w:rPr>
          <w:rFonts w:asciiTheme="minorBidi" w:hAnsiTheme="minorBidi"/>
          <w:noProof/>
          <w:sz w:val="20"/>
          <w:szCs w:val="20"/>
        </w:rPr>
      </w:pPr>
      <w:r w:rsidRPr="00E63806">
        <w:rPr>
          <w:rFonts w:asciiTheme="minorBidi" w:hAnsiTheme="minorBidi"/>
          <w:noProof/>
          <w:sz w:val="20"/>
          <w:szCs w:val="20"/>
        </w:rPr>
        <w:t xml:space="preserve">Piper, A.M.,1944. A Graphic Procedure in the Geochemical Interpretation of Water-Analyses. Eos, Transactions American Geophysical Union, 25, 914-928. </w:t>
      </w:r>
      <w:hyperlink r:id="rId6" w:history="1">
        <w:r w:rsidRPr="00E63806">
          <w:rPr>
            <w:rStyle w:val="Hyperlink"/>
            <w:rFonts w:asciiTheme="minorBidi" w:hAnsiTheme="minorBidi"/>
            <w:noProof/>
            <w:sz w:val="20"/>
            <w:szCs w:val="20"/>
          </w:rPr>
          <w:t>http://dx.doi.org/10.1029/TR025i006p00914</w:t>
        </w:r>
      </w:hyperlink>
    </w:p>
    <w:p w14:paraId="4A8F0F44" w14:textId="0A475A4D" w:rsidR="00043E8A" w:rsidRPr="00E63806" w:rsidRDefault="00043E8A" w:rsidP="00865410">
      <w:pPr>
        <w:widowControl w:val="0"/>
        <w:autoSpaceDE w:val="0"/>
        <w:autoSpaceDN w:val="0"/>
        <w:adjustRightInd w:val="0"/>
        <w:spacing w:line="240" w:lineRule="auto"/>
        <w:ind w:left="480" w:hanging="480"/>
        <w:rPr>
          <w:rFonts w:asciiTheme="minorBidi" w:hAnsiTheme="minorBidi"/>
          <w:noProof/>
          <w:color w:val="4472C4" w:themeColor="accent1"/>
          <w:sz w:val="20"/>
          <w:szCs w:val="20"/>
        </w:rPr>
      </w:pPr>
      <w:r w:rsidRPr="00E63806">
        <w:rPr>
          <w:rFonts w:asciiTheme="minorBidi" w:hAnsiTheme="minorBidi"/>
          <w:noProof/>
          <w:sz w:val="20"/>
          <w:szCs w:val="20"/>
        </w:rPr>
        <w:t xml:space="preserve">Ram, R., Burg, A., Zappala, J.C., Yokochi, R., Yechieli, Y., Purtschert, R., Jiang, W., Lu, Z.-T., Mueller, P., Bernier, R., Adar, E.M., 2020. Identifying recharge processes into a vast "fossil" aquifer based on dynamic groundwater </w:t>
      </w:r>
      <w:r w:rsidRPr="00E63806">
        <w:rPr>
          <w:rFonts w:asciiTheme="minorBidi" w:hAnsiTheme="minorBidi"/>
          <w:noProof/>
          <w:sz w:val="20"/>
          <w:szCs w:val="20"/>
          <w:vertAlign w:val="superscript"/>
        </w:rPr>
        <w:t>81</w:t>
      </w:r>
      <w:r w:rsidRPr="00E63806">
        <w:rPr>
          <w:rFonts w:asciiTheme="minorBidi" w:hAnsiTheme="minorBidi"/>
          <w:noProof/>
          <w:sz w:val="20"/>
          <w:szCs w:val="20"/>
        </w:rPr>
        <w:t xml:space="preserve">Kr age evolution. J. Hydrol. 587, 124946. </w:t>
      </w:r>
      <w:r w:rsidRPr="00E63806">
        <w:rPr>
          <w:rFonts w:asciiTheme="minorBidi" w:hAnsiTheme="minorBidi"/>
          <w:noProof/>
          <w:color w:val="4472C4" w:themeColor="accent1"/>
          <w:sz w:val="20"/>
          <w:szCs w:val="20"/>
        </w:rPr>
        <w:t>https://doi.org/10.1016/j.jhydrol.2020.124946</w:t>
      </w:r>
    </w:p>
    <w:p w14:paraId="6D497A65" w14:textId="77777777" w:rsidR="00043E8A" w:rsidRPr="00E63806" w:rsidRDefault="00043E8A" w:rsidP="00B53E34">
      <w:pPr>
        <w:widowControl w:val="0"/>
        <w:autoSpaceDE w:val="0"/>
        <w:autoSpaceDN w:val="0"/>
        <w:adjustRightInd w:val="0"/>
        <w:spacing w:line="240" w:lineRule="auto"/>
        <w:ind w:left="480" w:hanging="480"/>
        <w:rPr>
          <w:rFonts w:asciiTheme="minorBidi" w:hAnsiTheme="minorBidi"/>
          <w:noProof/>
          <w:sz w:val="20"/>
          <w:szCs w:val="20"/>
        </w:rPr>
      </w:pPr>
      <w:r w:rsidRPr="00E63806">
        <w:rPr>
          <w:rFonts w:asciiTheme="minorBidi" w:hAnsiTheme="minorBidi"/>
          <w:noProof/>
          <w:sz w:val="20"/>
          <w:szCs w:val="20"/>
        </w:rPr>
        <w:t>Winston, R.B., 2000, </w:t>
      </w:r>
      <w:hyperlink r:id="rId7" w:history="1">
        <w:r w:rsidRPr="00E63806">
          <w:rPr>
            <w:rFonts w:asciiTheme="minorBidi" w:hAnsiTheme="minorBidi"/>
            <w:noProof/>
            <w:sz w:val="20"/>
            <w:szCs w:val="20"/>
          </w:rPr>
          <w:t>Graphical User Interface for MODFLOW, Version 4</w:t>
        </w:r>
      </w:hyperlink>
      <w:r w:rsidRPr="00E63806">
        <w:rPr>
          <w:rFonts w:asciiTheme="minorBidi" w:hAnsiTheme="minorBidi"/>
          <w:noProof/>
          <w:sz w:val="20"/>
          <w:szCs w:val="20"/>
        </w:rPr>
        <w:t>: U.S. Geological Survey Open-File Report 00-315, 27 p., </w:t>
      </w:r>
      <w:hyperlink r:id="rId8" w:history="1">
        <w:r w:rsidRPr="00E63806">
          <w:rPr>
            <w:rFonts w:asciiTheme="minorBidi" w:hAnsiTheme="minorBidi"/>
            <w:noProof/>
            <w:sz w:val="20"/>
            <w:szCs w:val="20"/>
          </w:rPr>
          <w:t>https://doi.org/10.3133/ofr00315</w:t>
        </w:r>
      </w:hyperlink>
    </w:p>
    <w:p w14:paraId="55BD1ECC" w14:textId="5BD8C54D" w:rsidR="00043E8A" w:rsidRPr="00E63806" w:rsidRDefault="00043E8A" w:rsidP="00B53E34">
      <w:pPr>
        <w:widowControl w:val="0"/>
        <w:autoSpaceDE w:val="0"/>
        <w:autoSpaceDN w:val="0"/>
        <w:adjustRightInd w:val="0"/>
        <w:spacing w:line="240" w:lineRule="auto"/>
        <w:ind w:left="480" w:hanging="480"/>
        <w:rPr>
          <w:rFonts w:asciiTheme="minorBidi" w:hAnsiTheme="minorBidi"/>
          <w:noProof/>
          <w:sz w:val="20"/>
          <w:szCs w:val="20"/>
          <w:rtl/>
        </w:rPr>
      </w:pPr>
      <w:r w:rsidRPr="00E63806">
        <w:rPr>
          <w:rFonts w:asciiTheme="minorBidi" w:hAnsiTheme="minorBidi"/>
          <w:noProof/>
          <w:sz w:val="20"/>
          <w:szCs w:val="20"/>
        </w:rPr>
        <w:t>Winston, R.B., 2020, GW_Chart version 1.30 : U.S. Geological Survey Software Release, 26 June 2020, </w:t>
      </w:r>
      <w:hyperlink r:id="rId9" w:history="1">
        <w:r w:rsidRPr="00E63806">
          <w:rPr>
            <w:rFonts w:asciiTheme="minorBidi" w:hAnsiTheme="minorBidi"/>
            <w:noProof/>
            <w:sz w:val="20"/>
            <w:szCs w:val="20"/>
          </w:rPr>
          <w:t>https://doi.org/10.5066/P9Y29U1H</w:t>
        </w:r>
      </w:hyperlink>
    </w:p>
    <w:sectPr w:rsidR="00043E8A" w:rsidRPr="00E63806" w:rsidSect="00B53E34">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Y0NDWxNDaxMDQwMzVV0lEKTi0uzszPAykwqQUAaGE0qywAAAA="/>
  </w:docVars>
  <w:rsids>
    <w:rsidRoot w:val="00043E8A"/>
    <w:rsid w:val="00043E8A"/>
    <w:rsid w:val="00090CC1"/>
    <w:rsid w:val="001311EE"/>
    <w:rsid w:val="00235CAB"/>
    <w:rsid w:val="002F0B10"/>
    <w:rsid w:val="004E6F97"/>
    <w:rsid w:val="005B5526"/>
    <w:rsid w:val="006F2309"/>
    <w:rsid w:val="008243F1"/>
    <w:rsid w:val="00865410"/>
    <w:rsid w:val="008D7D09"/>
    <w:rsid w:val="00943D68"/>
    <w:rsid w:val="009E1F15"/>
    <w:rsid w:val="00A76EB6"/>
    <w:rsid w:val="00B53E34"/>
    <w:rsid w:val="00B552C0"/>
    <w:rsid w:val="00C66589"/>
    <w:rsid w:val="00E06EE0"/>
    <w:rsid w:val="00E63806"/>
  </w:rsids>
  <m:mathPr>
    <m:mathFont m:val="Cambria Math"/>
    <m:brkBin m:val="before"/>
    <m:brkBinSub m:val="--"/>
    <m:smallFrac m:val="0"/>
    <m:dispDef/>
    <m:lMargin m:val="0"/>
    <m:rMargin m:val="0"/>
    <m:defJc m:val="centerGroup"/>
    <m:wrapIndent m:val="1440"/>
    <m:intLim m:val="subSup"/>
    <m:naryLim m:val="undOvr"/>
  </m:mathPr>
  <w:themeFontLang w:val="en-I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9AFB"/>
  <w15:chartTrackingRefBased/>
  <w15:docId w15:val="{F22EA169-DE36-47C9-88F5-D72E564D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E8A"/>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043E8A"/>
  </w:style>
  <w:style w:type="character" w:styleId="Hyperlink">
    <w:name w:val="Hyperlink"/>
    <w:basedOn w:val="DefaultParagraphFont"/>
    <w:uiPriority w:val="99"/>
    <w:unhideWhenUsed/>
    <w:rsid w:val="00865410"/>
    <w:rPr>
      <w:color w:val="0563C1" w:themeColor="hyperlink"/>
      <w:u w:val="single"/>
    </w:rPr>
  </w:style>
  <w:style w:type="character" w:styleId="UnresolvedMention">
    <w:name w:val="Unresolved Mention"/>
    <w:basedOn w:val="DefaultParagraphFont"/>
    <w:uiPriority w:val="99"/>
    <w:semiHidden/>
    <w:unhideWhenUsed/>
    <w:rsid w:val="00865410"/>
    <w:rPr>
      <w:color w:val="605E5C"/>
      <w:shd w:val="clear" w:color="auto" w:fill="E1DFDD"/>
    </w:rPr>
  </w:style>
  <w:style w:type="paragraph" w:styleId="Revision">
    <w:name w:val="Revision"/>
    <w:hidden/>
    <w:uiPriority w:val="99"/>
    <w:semiHidden/>
    <w:rsid w:val="00090CC1"/>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33/ofr00315" TargetMode="External"/><Relationship Id="rId3" Type="http://schemas.openxmlformats.org/officeDocument/2006/relationships/webSettings" Target="webSettings.xml"/><Relationship Id="rId7" Type="http://schemas.openxmlformats.org/officeDocument/2006/relationships/hyperlink" Target="https://pubs.er.usgs.gov/publication/ofr003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29/TR025i006p00914" TargetMode="External"/><Relationship Id="rId11" Type="http://schemas.openxmlformats.org/officeDocument/2006/relationships/theme" Target="theme/theme1.xml"/><Relationship Id="rId5" Type="http://schemas.openxmlformats.org/officeDocument/2006/relationships/image" Target="media/image2.emf"/><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hyperlink" Target="https://doi.org/10.5066/P9Y29U1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Eilon Adar</dc:creator>
  <cp:keywords/>
  <dc:description/>
  <cp:lastModifiedBy>Eilon Adar</cp:lastModifiedBy>
  <cp:revision>4</cp:revision>
  <dcterms:created xsi:type="dcterms:W3CDTF">2023-11-26T06:52:00Z</dcterms:created>
  <dcterms:modified xsi:type="dcterms:W3CDTF">2023-11-27T08:52:00Z</dcterms:modified>
</cp:coreProperties>
</file>