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22F8F" w14:textId="7C9D3FC6" w:rsidR="00CF672B" w:rsidRDefault="00104C3F" w:rsidP="00104C3F">
      <w:pPr>
        <w:spacing w:after="0" w:line="240" w:lineRule="auto"/>
        <w:rPr>
          <w:b/>
          <w:bCs/>
          <w:u w:val="single"/>
        </w:rPr>
      </w:pPr>
      <w:r>
        <w:rPr>
          <w:b/>
          <w:bCs/>
          <w:u w:val="single"/>
        </w:rPr>
        <w:t>1</w:t>
      </w:r>
      <w:r w:rsidRPr="00104C3F">
        <w:rPr>
          <w:b/>
          <w:bCs/>
          <w:u w:val="single"/>
          <w:vertAlign w:val="superscript"/>
        </w:rPr>
        <w:t>st</w:t>
      </w:r>
      <w:r>
        <w:rPr>
          <w:b/>
          <w:bCs/>
          <w:u w:val="single"/>
        </w:rPr>
        <w:t xml:space="preserve"> round</w:t>
      </w:r>
    </w:p>
    <w:p w14:paraId="37A477AE" w14:textId="01B729FA" w:rsidR="00104C3F" w:rsidRDefault="00104C3F" w:rsidP="00104C3F">
      <w:pPr>
        <w:spacing w:after="0" w:line="240" w:lineRule="auto"/>
        <w:rPr>
          <w:b/>
          <w:bCs/>
        </w:rPr>
      </w:pPr>
      <w:r>
        <w:rPr>
          <w:b/>
          <w:bCs/>
        </w:rPr>
        <w:t>Reviewer 1</w:t>
      </w:r>
    </w:p>
    <w:p w14:paraId="6AD213CA" w14:textId="5A09BCFE" w:rsidR="00104C3F" w:rsidRDefault="00104C3F" w:rsidP="00104C3F">
      <w:pPr>
        <w:spacing w:after="0" w:line="240" w:lineRule="auto"/>
      </w:pPr>
      <w:r>
        <w:t>The authors proposed a new method to interpret the individual dimensions of a parts-based representation and illustrated the method in several single-cell RNA-</w:t>
      </w:r>
      <w:proofErr w:type="spellStart"/>
      <w:r>
        <w:t>seq</w:t>
      </w:r>
      <w:proofErr w:type="spellEnd"/>
      <w:r>
        <w:t xml:space="preserve"> and ATAC-</w:t>
      </w:r>
      <w:proofErr w:type="spellStart"/>
      <w:r>
        <w:t>seq</w:t>
      </w:r>
      <w:proofErr w:type="spellEnd"/>
      <w:r>
        <w:t xml:space="preserve"> data sets including simulated data. The tool is important for the community for the single cell data analysis. The manuscript is clearly written, and the authors provided source codes and data. I would recommend the publication if the following points </w:t>
      </w:r>
      <w:proofErr w:type="gramStart"/>
      <w:r>
        <w:t>are</w:t>
      </w:r>
      <w:proofErr w:type="gramEnd"/>
      <w:r>
        <w:t xml:space="preserve"> addressed.</w:t>
      </w:r>
      <w:r>
        <w:br/>
        <w:t xml:space="preserve">1. With the growth of multi-omics and spatial transcriptomics, it is interesting to indicate whether it's possible, and if </w:t>
      </w:r>
      <w:proofErr w:type="gramStart"/>
      <w:r>
        <w:t>possible</w:t>
      </w:r>
      <w:proofErr w:type="gramEnd"/>
      <w:r>
        <w:t xml:space="preserve"> how well the method performs on datasets containing both ATAC and RNA-</w:t>
      </w:r>
      <w:proofErr w:type="spellStart"/>
      <w:r>
        <w:t>seq</w:t>
      </w:r>
      <w:proofErr w:type="spellEnd"/>
      <w:r>
        <w:t>, or spatial transcriptomics datasets.</w:t>
      </w:r>
      <w:r>
        <w:br/>
        <w:t>2. The authors made discussion on K selection. This is also one problem in clustering methods. As a recent paper could decide optimal cluster number by hierarchical clustering [</w:t>
      </w:r>
      <w:proofErr w:type="spellStart"/>
      <w:r>
        <w:t>eg.</w:t>
      </w:r>
      <w:proofErr w:type="spellEnd"/>
      <w:r>
        <w:t xml:space="preserve"> PMID: 35524494], is it possible to decide some criteria to automatically judge an optimal K.</w:t>
      </w:r>
      <w:r>
        <w:br/>
        <w:t>3. As the batch effect is an important factor in single cell data, it will be illustrative to evaluate the performance on batched datasets in addition to single dataset.</w:t>
      </w:r>
    </w:p>
    <w:p w14:paraId="42A44E04" w14:textId="3451BEF4" w:rsidR="00104C3F" w:rsidRDefault="00104C3F" w:rsidP="00104C3F">
      <w:pPr>
        <w:spacing w:after="0" w:line="240" w:lineRule="auto"/>
      </w:pPr>
    </w:p>
    <w:p w14:paraId="3F1765C4" w14:textId="2F522265" w:rsidR="00104C3F" w:rsidRDefault="00104C3F" w:rsidP="00104C3F">
      <w:pPr>
        <w:spacing w:after="0" w:line="240" w:lineRule="auto"/>
        <w:rPr>
          <w:b/>
          <w:bCs/>
        </w:rPr>
      </w:pPr>
      <w:r>
        <w:rPr>
          <w:b/>
          <w:bCs/>
        </w:rPr>
        <w:t>Reviewer 2</w:t>
      </w:r>
    </w:p>
    <w:p w14:paraId="7CFE39E8" w14:textId="55AB092F" w:rsidR="00104C3F" w:rsidRDefault="00104C3F" w:rsidP="00104C3F">
      <w:pPr>
        <w:spacing w:after="0" w:line="240" w:lineRule="auto"/>
      </w:pPr>
      <w:r>
        <w:t xml:space="preserve">The paper by </w:t>
      </w:r>
      <w:proofErr w:type="spellStart"/>
      <w:r>
        <w:t>Carbonetto</w:t>
      </w:r>
      <w:proofErr w:type="spellEnd"/>
      <w:r>
        <w:t xml:space="preserve"> et al introduces a new method to perform differential expression analysis in topic models. </w:t>
      </w:r>
      <w:proofErr w:type="gramStart"/>
      <w:r>
        <w:t>In particular, this</w:t>
      </w:r>
      <w:proofErr w:type="gramEnd"/>
      <w:r>
        <w:t xml:space="preserve"> approach accounts for the case where each cell can have fractional membership in each cluster. The novel contribution of the paper is an efficient MCMC-based computation of the least extreme LFC metric in the Poisson NMF model. While we believe that this will be a useful tool for the single-cell community, we make several suggestions that we believe will improve the quality of the manuscript. Overall, we believe that this paper has the potential to be of sufficient impact and scientific rigor for the journal, although we recommend further improvements as outlined below. </w:t>
      </w:r>
      <w:r>
        <w:br/>
      </w:r>
      <w:r>
        <w:br/>
      </w:r>
      <w:r>
        <w:br/>
        <w:t>Major Comments:</w:t>
      </w:r>
      <w:r>
        <w:br/>
      </w:r>
      <w:r>
        <w:br/>
      </w:r>
      <w:r>
        <w:br/>
        <w:t>Overall motivation</w:t>
      </w:r>
      <w:r>
        <w:br/>
      </w:r>
      <w:r>
        <w:br/>
      </w:r>
      <w:r>
        <w:br/>
        <w:t>We believe that this is a potentially impactful contribution that would benefit from better motivation and context for the problem at hand. We have several unanswered questions after reading the paper/introduction, including: to what extent do other researchers compute differential expression across topics in single-cell data? If so, what are the primary methods/approaches that are used? If not, what are the main motivations / benefits that can be obtained by developing a method to compute differential expression across topics? Pinpointing these questions would help orient the reader and increase the impact of the paper.</w:t>
      </w:r>
      <w:r>
        <w:br/>
      </w:r>
      <w:r>
        <w:br/>
      </w:r>
      <w:r>
        <w:br/>
        <w:t>Robustness to model assumptions</w:t>
      </w:r>
      <w:r>
        <w:br/>
      </w:r>
      <w:r>
        <w:br/>
      </w:r>
      <w:r>
        <w:br/>
        <w:t xml:space="preserve">In the case where cells do </w:t>
      </w:r>
      <w:proofErr w:type="gramStart"/>
      <w:r>
        <w:t>actually belong</w:t>
      </w:r>
      <w:proofErr w:type="gramEnd"/>
      <w:r>
        <w:t xml:space="preserve"> to discrete cell types this method is expected to perform worse than the standard approach of clustering followed by DE analysis. Some simulations or real data should be included to demonstrate that the model can still perform well in this setting.</w:t>
      </w:r>
      <w:r>
        <w:br/>
      </w:r>
      <w:r>
        <w:br/>
      </w:r>
      <w:r>
        <w:br/>
        <w:t xml:space="preserve">Authors should investigate the extent to which topics can learn noise and potentially create a </w:t>
      </w:r>
      <w:r>
        <w:lastRenderedPageBreak/>
        <w:t>simulation on single-topic data to measure the amount of noise for this approach.</w:t>
      </w:r>
      <w:r>
        <w:br/>
      </w:r>
      <w:r>
        <w:br/>
      </w:r>
      <w:r>
        <w:br/>
        <w:t>Undetermined sign</w:t>
      </w:r>
      <w:r>
        <w:br/>
      </w:r>
      <w:r>
        <w:br/>
      </w:r>
      <w:r>
        <w:br/>
        <w:t>We are concerned about the inclusion of the absolute value in the least extreme LFC metric (equation 6). This metric makes the most sense when the topic has the highest (or lowest) gene expression for a given gene. However, we are uncertain how to interpret this metric when a gene is of intermediate expression. For example, consider the case where there are three topics, A, B, and C of log-gene-expression 0, 2, and 4, respectively. According to this metric, the le-LFC of topic B would be 2, which could indicate a moderately strong differential expression. However</w:t>
      </w:r>
      <w:proofErr w:type="gramStart"/>
      <w:r>
        <w:t>, in reality, one</w:t>
      </w:r>
      <w:proofErr w:type="gramEnd"/>
      <w:r>
        <w:t xml:space="preserve"> would not consider this gene to be differentially expressed in topic B. In general, we would not consider a gene to be usefully differentially expressed within a topic if </w:t>
      </w:r>
      <w:proofErr w:type="gramStart"/>
      <w:r>
        <w:t>it's</w:t>
      </w:r>
      <w:proofErr w:type="gramEnd"/>
      <w:r>
        <w:t xml:space="preserve"> gene expression lies in the </w:t>
      </w:r>
      <w:proofErr w:type="spellStart"/>
      <w:r>
        <w:t>center</w:t>
      </w:r>
      <w:proofErr w:type="spellEnd"/>
      <w:r>
        <w:t xml:space="preserve"> of the gene expression distribution across topics. </w:t>
      </w:r>
      <w:r>
        <w:br/>
      </w:r>
      <w:r>
        <w:br/>
      </w:r>
      <w:r>
        <w:br/>
        <w:t xml:space="preserve">There is also a related issue of how sign is determined for this metric. We don't believe that the method for determining sign was explained in this paper, and we recommend making this adjustment. However, the signed le-LFC metric appears to be used in the figures. We assume that the sign is related to the sign of the next closest topic. But we are not sure how the definition occurs in the Bayesian setting of multiple states. In any case, it seems hard to determine a sign in cases such as the example above for topic B. </w:t>
      </w:r>
      <w:r>
        <w:br/>
      </w:r>
      <w:r>
        <w:br/>
      </w:r>
      <w:r>
        <w:br/>
        <w:t xml:space="preserve">Comparison to Frequentist method </w:t>
      </w:r>
      <w:r>
        <w:br/>
      </w:r>
      <w:r>
        <w:br/>
      </w:r>
      <w:r>
        <w:br/>
        <w:t xml:space="preserve">While we believe DE across topics to be a worthwhile </w:t>
      </w:r>
      <w:proofErr w:type="spellStart"/>
      <w:r>
        <w:t>endeavor</w:t>
      </w:r>
      <w:proofErr w:type="spellEnd"/>
      <w:r>
        <w:t xml:space="preserve">, we believe that the paper would be strengthened by better motivating the use of a Bayesian method for computing le-LFC. For example, one can consider simpler DE metrics computed directly based off the MLE or based </w:t>
      </w:r>
      <w:proofErr w:type="gramStart"/>
      <w:r>
        <w:t>off of</w:t>
      </w:r>
      <w:proofErr w:type="gramEnd"/>
      <w:r>
        <w:t xml:space="preserve"> MLE + fisher information matrix. It would be great if the authors could provide additional analyses that clearly demonstrate the necessity of the Bayesian approach. </w:t>
      </w:r>
      <w:r>
        <w:br/>
      </w:r>
      <w:r>
        <w:br/>
      </w:r>
      <w:r>
        <w:br/>
        <w:t>Length of paper / number of datasets</w:t>
      </w:r>
      <w:r>
        <w:br/>
      </w:r>
      <w:r>
        <w:br/>
      </w:r>
      <w:r>
        <w:br/>
        <w:t>Since this is primarily a computational methods paper, and Genome biology is a journal targeted at evaluating new methods, we wonder if the presentation of the biology of multiple datasets goes beyond what is necessary and could be reduced. Figures 6, 7, and 8 feel a little repetitive with some of the earlier figures, and we wonder if some can be moved to the supplement. In particular, the ATAC-</w:t>
      </w:r>
      <w:proofErr w:type="spellStart"/>
      <w:r>
        <w:t>seq</w:t>
      </w:r>
      <w:proofErr w:type="spellEnd"/>
      <w:r>
        <w:t xml:space="preserve"> data is probably the most interesting to focus on because it is application to a new type of data. We leave this as a suggestion for the discretion of the editor and the authors.</w:t>
      </w:r>
      <w:r>
        <w:br/>
      </w:r>
      <w:r>
        <w:br/>
      </w:r>
      <w:r>
        <w:br/>
        <w:t>Minor Comments:</w:t>
      </w:r>
      <w:r>
        <w:br/>
      </w:r>
      <w:r>
        <w:br/>
        <w:t xml:space="preserve">Appears to be no benchmark for runtime. For instance, how long did it take to obtain the results for Figure 1? </w:t>
      </w:r>
      <w:r>
        <w:br/>
      </w:r>
      <w:r>
        <w:br/>
      </w:r>
      <w:r>
        <w:lastRenderedPageBreak/>
        <w:t>Page 14 line 45 add definition of highest posterior density (HPD) interval</w:t>
      </w:r>
      <w:r>
        <w:br/>
      </w:r>
      <w:r>
        <w:br/>
        <w:t>For the analysis on simulated data (page 4 line 38) the number of cells is only 200, which is significantly smaller than typical single-cell RNA-</w:t>
      </w:r>
      <w:proofErr w:type="spellStart"/>
      <w:r>
        <w:t>seq</w:t>
      </w:r>
      <w:proofErr w:type="spellEnd"/>
      <w:r>
        <w:t xml:space="preserve"> data. </w:t>
      </w:r>
      <w:r>
        <w:br/>
      </w:r>
      <w:r>
        <w:br/>
        <w:t xml:space="preserve">On Page 12, the section "Two group model" introduces new notation that could have been described using equation 9. Also, it appears that this model is never actually used in any other parts of the paper. </w:t>
      </w:r>
      <w:r>
        <w:br/>
      </w:r>
      <w:r>
        <w:br/>
        <w:t xml:space="preserve">For figure 2, should include an equation (in methods or results) for the posterior z score. </w:t>
      </w:r>
      <w:r>
        <w:br/>
      </w:r>
      <w:r>
        <w:br/>
        <w:t>Page 14 line 45 add definition of highest posterior density (HPD) interval</w:t>
      </w:r>
      <w:r>
        <w:br/>
      </w:r>
      <w:r>
        <w:br/>
        <w:t>For the analysis on simulated data (page 4 line 38) the number of cells is only 200, which is significantly smaller than typical single-cell RNA-</w:t>
      </w:r>
      <w:proofErr w:type="spellStart"/>
      <w:r>
        <w:t>seq</w:t>
      </w:r>
      <w:proofErr w:type="spellEnd"/>
      <w:r>
        <w:t xml:space="preserve"> data. </w:t>
      </w:r>
      <w:r>
        <w:br/>
      </w:r>
      <w:r>
        <w:br/>
        <w:t>Is this paper looking for DE across topics, or looking for changes in topic-level expression across populations? Should make this distinction more clearly at the start. I believe that it only does DE across topics.</w:t>
      </w:r>
      <w:r>
        <w:br/>
      </w:r>
      <w:r>
        <w:br/>
        <w:t>We recommend citing the paper "Cell type-specific inference of differential expression in spatial transcriptomics" (Nature Methods, 2022) as a similar model in a different context.</w:t>
      </w:r>
      <w:r>
        <w:br/>
      </w:r>
      <w:r>
        <w:br/>
        <w:t>Figure 1c: enrichment coefficients are less than 1. Are these in log space? If so, this could be more clearly clarified.</w:t>
      </w:r>
      <w:r>
        <w:br/>
      </w:r>
      <w:r>
        <w:br/>
        <w:t xml:space="preserve">Typo: "genes upregulated in CD34+ in </w:t>
      </w:r>
      <w:proofErr w:type="spellStart"/>
      <w:r>
        <w:t>hematopoetic</w:t>
      </w:r>
      <w:proofErr w:type="spellEnd"/>
      <w:r>
        <w:t xml:space="preserve"> cells"</w:t>
      </w:r>
      <w:r>
        <w:br/>
      </w:r>
      <w:r>
        <w:br/>
        <w:t xml:space="preserve">Figure 2: missing </w:t>
      </w:r>
      <w:proofErr w:type="spellStart"/>
      <w:r>
        <w:t>color</w:t>
      </w:r>
      <w:proofErr w:type="spellEnd"/>
      <w:r>
        <w:t xml:space="preserve"> scale?</w:t>
      </w:r>
      <w:r>
        <w:br/>
      </w:r>
      <w:r>
        <w:br/>
        <w:t>Can the le-LFC metric also be applied to single cell RNA-</w:t>
      </w:r>
      <w:proofErr w:type="spellStart"/>
      <w:r>
        <w:t>seq</w:t>
      </w:r>
      <w:proofErr w:type="spellEnd"/>
      <w:r>
        <w:t xml:space="preserve"> data? Has it been applied before? If so, how well does it work? </w:t>
      </w:r>
      <w:r>
        <w:br/>
      </w:r>
      <w:r>
        <w:br/>
        <w:t>The notation in the two groups model in the methods section does not match the earlier notation. Authors should stick to the l ('ell') variable or at least define the new variables in terms of the l variable. Also, the authors should state explicitly that they are considering discrete topics / non admixed for the two groups model because we found this to be confusing.</w:t>
      </w:r>
      <w:r>
        <w:br/>
      </w:r>
      <w:r>
        <w:br/>
        <w:t>"Maximum a posteriori estimation": how are the gamma prior parameter values determined / motivated?</w:t>
      </w:r>
      <w:r>
        <w:br/>
      </w:r>
      <w:r>
        <w:br/>
        <w:t>Some of the estimated DE values are extremely large (13-15). It would be good to present some plots based on the raw data that can convince the reader that these are real effects present in the data, rather than an artifact of the topic learning procedure.</w:t>
      </w:r>
    </w:p>
    <w:p w14:paraId="1D8C377A" w14:textId="27391046" w:rsidR="00104C3F" w:rsidRDefault="00104C3F" w:rsidP="00104C3F">
      <w:pPr>
        <w:spacing w:after="0" w:line="240" w:lineRule="auto"/>
      </w:pPr>
    </w:p>
    <w:p w14:paraId="533215CF" w14:textId="66E3DC0B" w:rsidR="00104C3F" w:rsidRDefault="00104C3F" w:rsidP="00104C3F">
      <w:pPr>
        <w:spacing w:after="0" w:line="240" w:lineRule="auto"/>
        <w:rPr>
          <w:b/>
          <w:bCs/>
        </w:rPr>
      </w:pPr>
      <w:r>
        <w:rPr>
          <w:b/>
          <w:bCs/>
        </w:rPr>
        <w:t>Authors’ response</w:t>
      </w:r>
    </w:p>
    <w:p w14:paraId="454C542F" w14:textId="77777777" w:rsidR="00DF278B" w:rsidRPr="00DF278B" w:rsidRDefault="00DF278B" w:rsidP="00DF278B">
      <w:pPr>
        <w:spacing w:before="416" w:after="0" w:line="240" w:lineRule="auto"/>
        <w:ind w:left="1" w:right="11" w:firstLine="238"/>
        <w:jc w:val="both"/>
        <w:rPr>
          <w:rFonts w:ascii="Times New Roman" w:eastAsia="Times New Roman" w:hAnsi="Times New Roman" w:cs="Times New Roman"/>
          <w:sz w:val="24"/>
          <w:szCs w:val="24"/>
          <w:lang w:eastAsia="en-GB"/>
        </w:rPr>
      </w:pPr>
      <w:r w:rsidRPr="00DF278B">
        <w:rPr>
          <w:rFonts w:ascii="Arial" w:eastAsia="Times New Roman" w:hAnsi="Arial" w:cs="Arial"/>
          <w:color w:val="000000"/>
          <w:lang w:eastAsia="en-GB"/>
        </w:rPr>
        <w:t>We thank the Editor and the reviewers for their feedback on our manuscript. We made several changes to the manuscript to address the reviewers’ comments, which we summarize here: </w:t>
      </w:r>
    </w:p>
    <w:p w14:paraId="1C4660AC" w14:textId="77777777" w:rsidR="00DF278B" w:rsidRPr="00DF278B" w:rsidRDefault="00DF278B" w:rsidP="00DF278B">
      <w:pPr>
        <w:spacing w:before="129" w:after="0" w:line="240" w:lineRule="auto"/>
        <w:ind w:left="24" w:right="21" w:hanging="253"/>
        <w:rPr>
          <w:rFonts w:ascii="Times New Roman" w:eastAsia="Times New Roman" w:hAnsi="Times New Roman" w:cs="Times New Roman"/>
          <w:sz w:val="24"/>
          <w:szCs w:val="24"/>
          <w:lang w:eastAsia="en-GB"/>
        </w:rPr>
      </w:pPr>
      <w:r w:rsidRPr="00DF278B">
        <w:rPr>
          <w:rFonts w:ascii="Arial" w:eastAsia="Times New Roman" w:hAnsi="Arial" w:cs="Arial"/>
          <w:color w:val="000000"/>
          <w:lang w:eastAsia="en-GB"/>
        </w:rPr>
        <w:lastRenderedPageBreak/>
        <w:t xml:space="preserve">1. We added a paragraph to better motivate the MCMC algorithm (see “Quantifying </w:t>
      </w:r>
      <w:proofErr w:type="spellStart"/>
      <w:r w:rsidRPr="00DF278B">
        <w:rPr>
          <w:rFonts w:ascii="Arial" w:eastAsia="Times New Roman" w:hAnsi="Arial" w:cs="Arial"/>
          <w:color w:val="000000"/>
          <w:lang w:eastAsia="en-GB"/>
        </w:rPr>
        <w:t>uncer</w:t>
      </w:r>
      <w:proofErr w:type="spellEnd"/>
      <w:r w:rsidRPr="00DF278B">
        <w:rPr>
          <w:rFonts w:ascii="Arial" w:eastAsia="Times New Roman" w:hAnsi="Arial" w:cs="Arial"/>
          <w:color w:val="000000"/>
          <w:lang w:eastAsia="en-GB"/>
        </w:rPr>
        <w:t xml:space="preserve"> </w:t>
      </w:r>
      <w:proofErr w:type="spellStart"/>
      <w:r w:rsidRPr="00DF278B">
        <w:rPr>
          <w:rFonts w:ascii="Arial" w:eastAsia="Times New Roman" w:hAnsi="Arial" w:cs="Arial"/>
          <w:color w:val="000000"/>
          <w:lang w:eastAsia="en-GB"/>
        </w:rPr>
        <w:t>tainty</w:t>
      </w:r>
      <w:proofErr w:type="spellEnd"/>
      <w:r w:rsidRPr="00DF278B">
        <w:rPr>
          <w:rFonts w:ascii="Arial" w:eastAsia="Times New Roman" w:hAnsi="Arial" w:cs="Arial"/>
          <w:color w:val="000000"/>
          <w:lang w:eastAsia="en-GB"/>
        </w:rPr>
        <w:t xml:space="preserve"> and stabilizing LFC estimates” in Methods). </w:t>
      </w:r>
    </w:p>
    <w:p w14:paraId="52F778E8" w14:textId="77777777" w:rsidR="00DF278B" w:rsidRPr="00DF278B" w:rsidRDefault="00DF278B" w:rsidP="00DF278B">
      <w:pPr>
        <w:spacing w:before="126" w:after="0" w:line="240" w:lineRule="auto"/>
        <w:ind w:left="6" w:right="11" w:hanging="276"/>
        <w:rPr>
          <w:rFonts w:ascii="Times New Roman" w:eastAsia="Times New Roman" w:hAnsi="Times New Roman" w:cs="Times New Roman"/>
          <w:sz w:val="24"/>
          <w:szCs w:val="24"/>
          <w:lang w:eastAsia="en-GB"/>
        </w:rPr>
      </w:pPr>
      <w:r w:rsidRPr="00DF278B">
        <w:rPr>
          <w:rFonts w:ascii="Arial" w:eastAsia="Times New Roman" w:hAnsi="Arial" w:cs="Arial"/>
          <w:color w:val="000000"/>
          <w:lang w:eastAsia="en-GB"/>
        </w:rPr>
        <w:t xml:space="preserve">2. We added a table (Table 1) summarizing the running times for the </w:t>
      </w:r>
      <w:proofErr w:type="spellStart"/>
      <w:r w:rsidRPr="00DF278B">
        <w:rPr>
          <w:rFonts w:ascii="Arial" w:eastAsia="Times New Roman" w:hAnsi="Arial" w:cs="Arial"/>
          <w:color w:val="000000"/>
          <w:lang w:eastAsia="en-GB"/>
        </w:rPr>
        <w:t>GoM</w:t>
      </w:r>
      <w:proofErr w:type="spellEnd"/>
      <w:r w:rsidRPr="00DF278B">
        <w:rPr>
          <w:rFonts w:ascii="Arial" w:eastAsia="Times New Roman" w:hAnsi="Arial" w:cs="Arial"/>
          <w:color w:val="000000"/>
          <w:lang w:eastAsia="en-GB"/>
        </w:rPr>
        <w:t xml:space="preserve"> DE analyses for all 4 data sets. </w:t>
      </w:r>
    </w:p>
    <w:p w14:paraId="7AE62EA0" w14:textId="77777777" w:rsidR="00DF278B" w:rsidRPr="00DF278B" w:rsidRDefault="00DF278B" w:rsidP="00DF278B">
      <w:pPr>
        <w:spacing w:before="126" w:after="0" w:line="240" w:lineRule="auto"/>
        <w:ind w:left="9" w:right="11" w:hanging="268"/>
        <w:rPr>
          <w:rFonts w:ascii="Times New Roman" w:eastAsia="Times New Roman" w:hAnsi="Times New Roman" w:cs="Times New Roman"/>
          <w:sz w:val="24"/>
          <w:szCs w:val="24"/>
          <w:lang w:eastAsia="en-GB"/>
        </w:rPr>
      </w:pPr>
      <w:r w:rsidRPr="00DF278B">
        <w:rPr>
          <w:rFonts w:ascii="Arial" w:eastAsia="Times New Roman" w:hAnsi="Arial" w:cs="Arial"/>
          <w:color w:val="000000"/>
          <w:lang w:eastAsia="en-GB"/>
        </w:rPr>
        <w:t>3. We removed the “two-group model” from the paper since it was not essential and, as Reviewer 2 pointed out, might cause confusion. </w:t>
      </w:r>
    </w:p>
    <w:p w14:paraId="6B97A1DD" w14:textId="77777777" w:rsidR="00DF278B" w:rsidRPr="00DF278B" w:rsidRDefault="00DF278B" w:rsidP="00DF278B">
      <w:pPr>
        <w:spacing w:before="126" w:after="0" w:line="240" w:lineRule="auto"/>
        <w:ind w:left="2" w:right="11" w:hanging="281"/>
        <w:rPr>
          <w:rFonts w:ascii="Times New Roman" w:eastAsia="Times New Roman" w:hAnsi="Times New Roman" w:cs="Times New Roman"/>
          <w:sz w:val="24"/>
          <w:szCs w:val="24"/>
          <w:lang w:eastAsia="en-GB"/>
        </w:rPr>
      </w:pPr>
      <w:r w:rsidRPr="00DF278B">
        <w:rPr>
          <w:rFonts w:ascii="Arial" w:eastAsia="Times New Roman" w:hAnsi="Arial" w:cs="Arial"/>
          <w:color w:val="000000"/>
          <w:lang w:eastAsia="en-GB"/>
        </w:rPr>
        <w:t xml:space="preserve">4. We added a paragraph to the Discussion on the potential for applying topic </w:t>
      </w:r>
      <w:proofErr w:type="spellStart"/>
      <w:r w:rsidRPr="00DF278B">
        <w:rPr>
          <w:rFonts w:ascii="Arial" w:eastAsia="Times New Roman" w:hAnsi="Arial" w:cs="Arial"/>
          <w:color w:val="000000"/>
          <w:lang w:eastAsia="en-GB"/>
        </w:rPr>
        <w:t>modeling</w:t>
      </w:r>
      <w:proofErr w:type="spellEnd"/>
      <w:r w:rsidRPr="00DF278B">
        <w:rPr>
          <w:rFonts w:ascii="Arial" w:eastAsia="Times New Roman" w:hAnsi="Arial" w:cs="Arial"/>
          <w:color w:val="000000"/>
          <w:lang w:eastAsia="en-GB"/>
        </w:rPr>
        <w:t xml:space="preserve"> to “multi-omics” data. </w:t>
      </w:r>
    </w:p>
    <w:p w14:paraId="3329914C" w14:textId="77777777" w:rsidR="00DF278B" w:rsidRPr="00DF278B" w:rsidRDefault="00DF278B" w:rsidP="00DF278B">
      <w:pPr>
        <w:spacing w:before="126" w:after="0" w:line="240" w:lineRule="auto"/>
        <w:ind w:left="6"/>
        <w:rPr>
          <w:rFonts w:ascii="Times New Roman" w:eastAsia="Times New Roman" w:hAnsi="Times New Roman" w:cs="Times New Roman"/>
          <w:sz w:val="24"/>
          <w:szCs w:val="24"/>
          <w:lang w:eastAsia="en-GB"/>
        </w:rPr>
      </w:pPr>
      <w:r w:rsidRPr="00DF278B">
        <w:rPr>
          <w:rFonts w:ascii="Arial" w:eastAsia="Times New Roman" w:hAnsi="Arial" w:cs="Arial"/>
          <w:color w:val="000000"/>
          <w:lang w:eastAsia="en-GB"/>
        </w:rPr>
        <w:t>5. We wrote an expanded discussion on dealing with batch effects. </w:t>
      </w:r>
    </w:p>
    <w:p w14:paraId="5CB7EDBE" w14:textId="77777777" w:rsidR="00DF278B" w:rsidRPr="00DF278B" w:rsidRDefault="00DF278B" w:rsidP="00DF278B">
      <w:pPr>
        <w:spacing w:before="119" w:after="0" w:line="240" w:lineRule="auto"/>
        <w:ind w:left="7" w:right="11" w:hanging="269"/>
        <w:jc w:val="both"/>
        <w:rPr>
          <w:rFonts w:ascii="Times New Roman" w:eastAsia="Times New Roman" w:hAnsi="Times New Roman" w:cs="Times New Roman"/>
          <w:sz w:val="24"/>
          <w:szCs w:val="24"/>
          <w:lang w:eastAsia="en-GB"/>
        </w:rPr>
      </w:pPr>
      <w:r w:rsidRPr="00DF278B">
        <w:rPr>
          <w:rFonts w:ascii="Arial" w:eastAsia="Times New Roman" w:hAnsi="Arial" w:cs="Arial"/>
          <w:color w:val="000000"/>
          <w:lang w:eastAsia="en-GB"/>
        </w:rPr>
        <w:t xml:space="preserve">6. Finally, we provided better theoretical justification for the use of the multinomial model for </w:t>
      </w:r>
      <w:proofErr w:type="spellStart"/>
      <w:r w:rsidRPr="00DF278B">
        <w:rPr>
          <w:rFonts w:ascii="Arial" w:eastAsia="Times New Roman" w:hAnsi="Arial" w:cs="Arial"/>
          <w:color w:val="000000"/>
          <w:lang w:eastAsia="en-GB"/>
        </w:rPr>
        <w:t>scATAC-seq</w:t>
      </w:r>
      <w:proofErr w:type="spellEnd"/>
      <w:r w:rsidRPr="00DF278B">
        <w:rPr>
          <w:rFonts w:ascii="Arial" w:eastAsia="Times New Roman" w:hAnsi="Arial" w:cs="Arial"/>
          <w:color w:val="000000"/>
          <w:lang w:eastAsia="en-GB"/>
        </w:rPr>
        <w:t xml:space="preserve"> data (see “Models for single-cell ATAC-</w:t>
      </w:r>
      <w:proofErr w:type="spellStart"/>
      <w:r w:rsidRPr="00DF278B">
        <w:rPr>
          <w:rFonts w:ascii="Arial" w:eastAsia="Times New Roman" w:hAnsi="Arial" w:cs="Arial"/>
          <w:color w:val="000000"/>
          <w:lang w:eastAsia="en-GB"/>
        </w:rPr>
        <w:t>seq</w:t>
      </w:r>
      <w:proofErr w:type="spellEnd"/>
      <w:r w:rsidRPr="00DF278B">
        <w:rPr>
          <w:rFonts w:ascii="Arial" w:eastAsia="Times New Roman" w:hAnsi="Arial" w:cs="Arial"/>
          <w:color w:val="000000"/>
          <w:lang w:eastAsia="en-GB"/>
        </w:rPr>
        <w:t xml:space="preserve"> data” in Methods). Although this was not requested by the reviewers, in revisiting the manuscript we believed that this was a methodological gap that needed to be addressed. In the new text, we explain that using the topic model for </w:t>
      </w:r>
      <w:proofErr w:type="spellStart"/>
      <w:r w:rsidRPr="00DF278B">
        <w:rPr>
          <w:rFonts w:ascii="Arial" w:eastAsia="Times New Roman" w:hAnsi="Arial" w:cs="Arial"/>
          <w:color w:val="000000"/>
          <w:lang w:eastAsia="en-GB"/>
        </w:rPr>
        <w:t>scATAC-seq</w:t>
      </w:r>
      <w:proofErr w:type="spellEnd"/>
      <w:r w:rsidRPr="00DF278B">
        <w:rPr>
          <w:rFonts w:ascii="Arial" w:eastAsia="Times New Roman" w:hAnsi="Arial" w:cs="Arial"/>
          <w:color w:val="000000"/>
          <w:lang w:eastAsia="en-GB"/>
        </w:rPr>
        <w:t xml:space="preserve"> data implicitly assumes </w:t>
      </w:r>
      <w:r w:rsidRPr="00DF278B">
        <w:rPr>
          <w:rFonts w:ascii="Arial" w:eastAsia="Times New Roman" w:hAnsi="Arial" w:cs="Arial"/>
          <w:i/>
          <w:iCs/>
          <w:color w:val="000000"/>
          <w:lang w:eastAsia="en-GB"/>
        </w:rPr>
        <w:t xml:space="preserve">a multinomial model of the (binarized) accessibility data. </w:t>
      </w:r>
      <w:r w:rsidRPr="00DF278B">
        <w:rPr>
          <w:rFonts w:ascii="Arial" w:eastAsia="Times New Roman" w:hAnsi="Arial" w:cs="Arial"/>
          <w:color w:val="000000"/>
          <w:lang w:eastAsia="en-GB"/>
        </w:rPr>
        <w:t xml:space="preserve">We show that this multinomial model is nearly equivalent to the binomial model that was previously suggested by </w:t>
      </w:r>
      <w:proofErr w:type="spellStart"/>
      <w:r w:rsidRPr="00DF278B">
        <w:rPr>
          <w:rFonts w:ascii="Arial" w:eastAsia="Times New Roman" w:hAnsi="Arial" w:cs="Arial"/>
          <w:color w:val="000000"/>
          <w:lang w:eastAsia="en-GB"/>
        </w:rPr>
        <w:t>Ashuach</w:t>
      </w:r>
      <w:proofErr w:type="spellEnd"/>
      <w:r w:rsidRPr="00DF278B">
        <w:rPr>
          <w:rFonts w:ascii="Arial" w:eastAsia="Times New Roman" w:hAnsi="Arial" w:cs="Arial"/>
          <w:color w:val="000000"/>
          <w:lang w:eastAsia="en-GB"/>
        </w:rPr>
        <w:t xml:space="preserve"> et al. (2022). In summary, we now provide a theoretical justification for the topic model that was missing from our earlier submission (and was missing from González-Blas et al. 2019). </w:t>
      </w:r>
    </w:p>
    <w:p w14:paraId="4E7D6DEF" w14:textId="1C957EE2" w:rsidR="00104C3F" w:rsidRDefault="00DF278B" w:rsidP="00DF278B">
      <w:pPr>
        <w:spacing w:after="0" w:line="240" w:lineRule="auto"/>
        <w:rPr>
          <w:rFonts w:ascii="Arial" w:eastAsia="Times New Roman" w:hAnsi="Arial" w:cs="Arial"/>
          <w:color w:val="000000"/>
          <w:lang w:eastAsia="en-GB"/>
        </w:rPr>
      </w:pPr>
      <w:r w:rsidRPr="00DF278B">
        <w:rPr>
          <w:rFonts w:ascii="Arial" w:eastAsia="Times New Roman" w:hAnsi="Arial" w:cs="Arial"/>
          <w:color w:val="000000"/>
          <w:lang w:eastAsia="en-GB"/>
        </w:rPr>
        <w:t xml:space="preserve">In addition to these changes, we made other smaller changes in the manuscript to address the reviewers’ comments. All non-trivial changes have been highlighted </w:t>
      </w:r>
      <w:r w:rsidRPr="00DF278B">
        <w:rPr>
          <w:rFonts w:ascii="Arial" w:eastAsia="Times New Roman" w:hAnsi="Arial" w:cs="Arial"/>
          <w:color w:val="0326E6"/>
          <w:lang w:eastAsia="en-GB"/>
        </w:rPr>
        <w:t>in blue</w:t>
      </w:r>
      <w:r w:rsidRPr="00DF278B">
        <w:rPr>
          <w:rFonts w:ascii="Arial" w:eastAsia="Times New Roman" w:hAnsi="Arial" w:cs="Arial"/>
          <w:color w:val="000000"/>
          <w:lang w:eastAsia="en-GB"/>
        </w:rPr>
        <w:t>. For completeness, we include the remarks from the Editor in this letter.</w:t>
      </w:r>
    </w:p>
    <w:p w14:paraId="2E317793" w14:textId="3AC50337" w:rsidR="00DF278B" w:rsidRDefault="00DF278B" w:rsidP="00DF278B">
      <w:pPr>
        <w:spacing w:after="0" w:line="240" w:lineRule="auto"/>
        <w:rPr>
          <w:rFonts w:ascii="Arial" w:eastAsia="Times New Roman" w:hAnsi="Arial" w:cs="Arial"/>
          <w:color w:val="000000"/>
          <w:lang w:eastAsia="en-GB"/>
        </w:rPr>
      </w:pPr>
    </w:p>
    <w:p w14:paraId="33193364" w14:textId="798D0337" w:rsidR="00DF278B" w:rsidRDefault="00DF278B" w:rsidP="00DF278B">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Reviewer #1</w:t>
      </w:r>
    </w:p>
    <w:p w14:paraId="0FC46CBE" w14:textId="77777777" w:rsidR="00DF278B" w:rsidRDefault="00DF278B" w:rsidP="00DF278B">
      <w:pPr>
        <w:pStyle w:val="NormalWeb"/>
        <w:spacing w:before="241" w:beforeAutospacing="0" w:after="0" w:afterAutospacing="0"/>
        <w:ind w:right="11" w:firstLine="249"/>
        <w:jc w:val="both"/>
      </w:pPr>
      <w:r>
        <w:rPr>
          <w:rFonts w:ascii="Arial" w:hAnsi="Arial" w:cs="Arial"/>
          <w:color w:val="000000"/>
          <w:sz w:val="22"/>
          <w:szCs w:val="22"/>
        </w:rPr>
        <w:t>The authors proposed a new method to interpret the in dividual dimensions of a parts-based representation and illustrated the method in several single-cell RNA-</w:t>
      </w:r>
      <w:proofErr w:type="spellStart"/>
      <w:r>
        <w:rPr>
          <w:rFonts w:ascii="Arial" w:hAnsi="Arial" w:cs="Arial"/>
          <w:color w:val="000000"/>
          <w:sz w:val="22"/>
          <w:szCs w:val="22"/>
        </w:rPr>
        <w:t>seq</w:t>
      </w:r>
      <w:proofErr w:type="spellEnd"/>
      <w:r>
        <w:rPr>
          <w:rFonts w:ascii="Arial" w:hAnsi="Arial" w:cs="Arial"/>
          <w:color w:val="000000"/>
          <w:sz w:val="22"/>
          <w:szCs w:val="22"/>
        </w:rPr>
        <w:t xml:space="preserve"> and ATAC-</w:t>
      </w:r>
      <w:proofErr w:type="spellStart"/>
      <w:r>
        <w:rPr>
          <w:rFonts w:ascii="Arial" w:hAnsi="Arial" w:cs="Arial"/>
          <w:color w:val="000000"/>
          <w:sz w:val="22"/>
          <w:szCs w:val="22"/>
        </w:rPr>
        <w:t>seq</w:t>
      </w:r>
      <w:proofErr w:type="spellEnd"/>
      <w:r>
        <w:rPr>
          <w:rFonts w:ascii="Arial" w:hAnsi="Arial" w:cs="Arial"/>
          <w:color w:val="000000"/>
          <w:sz w:val="22"/>
          <w:szCs w:val="22"/>
        </w:rPr>
        <w:t xml:space="preserve"> data sets including simulated data. The tool is important for the community for the single-cell data analysis. The manuscript is clearly written, and the authors provided source codes and data. I would recommend the publication if the following points </w:t>
      </w:r>
      <w:proofErr w:type="gramStart"/>
      <w:r>
        <w:rPr>
          <w:rFonts w:ascii="Arial" w:hAnsi="Arial" w:cs="Arial"/>
          <w:color w:val="000000"/>
          <w:sz w:val="22"/>
          <w:szCs w:val="22"/>
        </w:rPr>
        <w:t>are</w:t>
      </w:r>
      <w:proofErr w:type="gramEnd"/>
      <w:r>
        <w:rPr>
          <w:rFonts w:ascii="Arial" w:hAnsi="Arial" w:cs="Arial"/>
          <w:color w:val="000000"/>
          <w:sz w:val="22"/>
          <w:szCs w:val="22"/>
        </w:rPr>
        <w:t xml:space="preserve"> addressed.</w:t>
      </w:r>
    </w:p>
    <w:p w14:paraId="31C15988" w14:textId="7D8C5CA8" w:rsidR="00DF278B" w:rsidRDefault="00DF278B" w:rsidP="00DF278B">
      <w:pPr>
        <w:spacing w:after="0" w:line="240" w:lineRule="auto"/>
        <w:rPr>
          <w:b/>
          <w:bCs/>
        </w:rPr>
      </w:pPr>
    </w:p>
    <w:p w14:paraId="220650B1" w14:textId="77777777" w:rsidR="00DF278B" w:rsidRPr="00E17490" w:rsidRDefault="00DF278B" w:rsidP="00DF278B">
      <w:pPr>
        <w:pStyle w:val="NormalWeb"/>
        <w:spacing w:before="226" w:beforeAutospacing="0" w:after="0" w:afterAutospacing="0"/>
        <w:ind w:right="10" w:firstLine="7"/>
        <w:jc w:val="both"/>
        <w:rPr>
          <w:color w:val="4472C4" w:themeColor="accent1"/>
        </w:rPr>
      </w:pPr>
      <w:r w:rsidRPr="00E17490">
        <w:rPr>
          <w:rFonts w:ascii="Arial" w:hAnsi="Arial" w:cs="Arial"/>
          <w:color w:val="4472C4" w:themeColor="accent1"/>
          <w:sz w:val="22"/>
          <w:szCs w:val="22"/>
        </w:rPr>
        <w:t>Our response. Thank you for reviewing our manuscript and for the constructive feedback on our work. We have responded to the reviewer’s individual comments in the paragraphs below. </w:t>
      </w:r>
    </w:p>
    <w:p w14:paraId="67524E1F" w14:textId="77777777" w:rsidR="00DF278B" w:rsidRDefault="00DF278B" w:rsidP="00DF278B">
      <w:pPr>
        <w:pStyle w:val="NormalWeb"/>
        <w:spacing w:before="136" w:beforeAutospacing="0" w:after="0" w:afterAutospacing="0"/>
        <w:ind w:left="2" w:right="11" w:firstLine="8"/>
        <w:jc w:val="both"/>
      </w:pPr>
      <w:r>
        <w:rPr>
          <w:rFonts w:ascii="Arial" w:hAnsi="Arial" w:cs="Arial"/>
          <w:color w:val="000000"/>
          <w:sz w:val="22"/>
          <w:szCs w:val="22"/>
        </w:rPr>
        <w:t xml:space="preserve">Comment 1. With the growth of multi-omics and spatial transcriptomics, it is interesting to indicate whether it’s possible, and if </w:t>
      </w:r>
      <w:proofErr w:type="gramStart"/>
      <w:r>
        <w:rPr>
          <w:rFonts w:ascii="Arial" w:hAnsi="Arial" w:cs="Arial"/>
          <w:color w:val="000000"/>
          <w:sz w:val="22"/>
          <w:szCs w:val="22"/>
        </w:rPr>
        <w:t>possible</w:t>
      </w:r>
      <w:proofErr w:type="gramEnd"/>
      <w:r>
        <w:rPr>
          <w:rFonts w:ascii="Arial" w:hAnsi="Arial" w:cs="Arial"/>
          <w:color w:val="000000"/>
          <w:sz w:val="22"/>
          <w:szCs w:val="22"/>
        </w:rPr>
        <w:t xml:space="preserve"> how well the method performs on datasets containing both ATAC and RNA-</w:t>
      </w:r>
      <w:proofErr w:type="spellStart"/>
      <w:r>
        <w:rPr>
          <w:rFonts w:ascii="Arial" w:hAnsi="Arial" w:cs="Arial"/>
          <w:color w:val="000000"/>
          <w:sz w:val="22"/>
          <w:szCs w:val="22"/>
        </w:rPr>
        <w:t>seq</w:t>
      </w:r>
      <w:proofErr w:type="spellEnd"/>
      <w:r>
        <w:rPr>
          <w:rFonts w:ascii="Arial" w:hAnsi="Arial" w:cs="Arial"/>
          <w:color w:val="000000"/>
          <w:sz w:val="22"/>
          <w:szCs w:val="22"/>
        </w:rPr>
        <w:t>, or spatial transcriptomics datasets. </w:t>
      </w:r>
    </w:p>
    <w:p w14:paraId="5B8BE176" w14:textId="1B4622DA" w:rsidR="00DF278B" w:rsidRPr="00E17490" w:rsidRDefault="00DF278B" w:rsidP="00DF278B">
      <w:pPr>
        <w:pStyle w:val="NormalWeb"/>
        <w:spacing w:before="96" w:beforeAutospacing="0" w:after="0" w:afterAutospacing="0"/>
        <w:ind w:left="5" w:right="11" w:hanging="6"/>
        <w:rPr>
          <w:color w:val="4472C4" w:themeColor="accent1"/>
        </w:rPr>
      </w:pPr>
      <w:r w:rsidRPr="00E17490">
        <w:rPr>
          <w:rFonts w:ascii="Arial" w:hAnsi="Arial" w:cs="Arial"/>
          <w:color w:val="4472C4" w:themeColor="accent1"/>
          <w:sz w:val="22"/>
          <w:szCs w:val="22"/>
        </w:rPr>
        <w:t xml:space="preserve">Our response. Following the reviewer’s suggestion, we have added a paragraph to the Discussion touching on the potential for applying topic </w:t>
      </w:r>
      <w:proofErr w:type="spellStart"/>
      <w:r w:rsidRPr="00E17490">
        <w:rPr>
          <w:rFonts w:ascii="Arial" w:hAnsi="Arial" w:cs="Arial"/>
          <w:color w:val="4472C4" w:themeColor="accent1"/>
          <w:sz w:val="22"/>
          <w:szCs w:val="22"/>
        </w:rPr>
        <w:t>modeling</w:t>
      </w:r>
      <w:proofErr w:type="spellEnd"/>
      <w:r w:rsidRPr="00E17490">
        <w:rPr>
          <w:rFonts w:ascii="Arial" w:hAnsi="Arial" w:cs="Arial"/>
          <w:color w:val="4472C4" w:themeColor="accent1"/>
          <w:sz w:val="22"/>
          <w:szCs w:val="22"/>
        </w:rPr>
        <w:t xml:space="preserve"> approaches to multimodal single-cell data such as sci-CAR (Cao et al., 2018). This is what we wrote: </w:t>
      </w:r>
    </w:p>
    <w:p w14:paraId="205562C8" w14:textId="77777777" w:rsidR="00DF278B" w:rsidRPr="00E17490" w:rsidRDefault="00DF278B" w:rsidP="00DF278B">
      <w:pPr>
        <w:pStyle w:val="NormalWeb"/>
        <w:spacing w:before="169" w:beforeAutospacing="0" w:after="0" w:afterAutospacing="0"/>
        <w:ind w:left="478" w:right="489" w:firstLine="2"/>
        <w:jc w:val="both"/>
        <w:rPr>
          <w:color w:val="4472C4" w:themeColor="accent1"/>
        </w:rPr>
      </w:pPr>
      <w:r w:rsidRPr="00E17490">
        <w:rPr>
          <w:rFonts w:ascii="Arial" w:hAnsi="Arial" w:cs="Arial"/>
          <w:color w:val="4472C4" w:themeColor="accent1"/>
          <w:sz w:val="18"/>
          <w:szCs w:val="18"/>
        </w:rPr>
        <w:t xml:space="preserve">Recently developed technologies profile both transcription and chromatin accessibility in single cells (Ma et al., 2020; Cao et al., 2018). For such data, one could fit two topic models, one to the RNA </w:t>
      </w:r>
      <w:proofErr w:type="spellStart"/>
      <w:r w:rsidRPr="00E17490">
        <w:rPr>
          <w:rFonts w:ascii="Arial" w:hAnsi="Arial" w:cs="Arial"/>
          <w:color w:val="4472C4" w:themeColor="accent1"/>
          <w:sz w:val="18"/>
          <w:szCs w:val="18"/>
        </w:rPr>
        <w:t>seq</w:t>
      </w:r>
      <w:proofErr w:type="spellEnd"/>
      <w:r w:rsidRPr="00E17490">
        <w:rPr>
          <w:rFonts w:ascii="Arial" w:hAnsi="Arial" w:cs="Arial"/>
          <w:color w:val="4472C4" w:themeColor="accent1"/>
          <w:sz w:val="18"/>
          <w:szCs w:val="18"/>
        </w:rPr>
        <w:t xml:space="preserve"> data and another to the ATAC-</w:t>
      </w:r>
      <w:proofErr w:type="spellStart"/>
      <w:r w:rsidRPr="00E17490">
        <w:rPr>
          <w:rFonts w:ascii="Arial" w:hAnsi="Arial" w:cs="Arial"/>
          <w:color w:val="4472C4" w:themeColor="accent1"/>
          <w:sz w:val="18"/>
          <w:szCs w:val="18"/>
        </w:rPr>
        <w:t>seq</w:t>
      </w:r>
      <w:proofErr w:type="spellEnd"/>
      <w:r w:rsidRPr="00E17490">
        <w:rPr>
          <w:rFonts w:ascii="Arial" w:hAnsi="Arial" w:cs="Arial"/>
          <w:color w:val="4472C4" w:themeColor="accent1"/>
          <w:sz w:val="18"/>
          <w:szCs w:val="18"/>
        </w:rPr>
        <w:t xml:space="preserve"> data. (With a careful initialization of the topic model fitting algorithm, the topics could be made more consistent across the two modalities.) But it would be preferable to </w:t>
      </w:r>
      <w:proofErr w:type="spellStart"/>
      <w:r w:rsidRPr="00E17490">
        <w:rPr>
          <w:rFonts w:ascii="Arial" w:hAnsi="Arial" w:cs="Arial"/>
          <w:color w:val="4472C4" w:themeColor="accent1"/>
          <w:sz w:val="18"/>
          <w:szCs w:val="18"/>
        </w:rPr>
        <w:t>analyze</w:t>
      </w:r>
      <w:proofErr w:type="spellEnd"/>
      <w:r w:rsidRPr="00E17490">
        <w:rPr>
          <w:rFonts w:ascii="Arial" w:hAnsi="Arial" w:cs="Arial"/>
          <w:color w:val="4472C4" w:themeColor="accent1"/>
          <w:sz w:val="18"/>
          <w:szCs w:val="18"/>
        </w:rPr>
        <w:t xml:space="preserve"> the multimodal data jointly for improved accuracy (Stuart and </w:t>
      </w:r>
      <w:proofErr w:type="spellStart"/>
      <w:r w:rsidRPr="00E17490">
        <w:rPr>
          <w:rFonts w:ascii="Arial" w:hAnsi="Arial" w:cs="Arial"/>
          <w:color w:val="4472C4" w:themeColor="accent1"/>
          <w:sz w:val="18"/>
          <w:szCs w:val="18"/>
        </w:rPr>
        <w:t>Satija</w:t>
      </w:r>
      <w:proofErr w:type="spellEnd"/>
      <w:r w:rsidRPr="00E17490">
        <w:rPr>
          <w:rFonts w:ascii="Arial" w:hAnsi="Arial" w:cs="Arial"/>
          <w:color w:val="4472C4" w:themeColor="accent1"/>
          <w:sz w:val="18"/>
          <w:szCs w:val="18"/>
        </w:rPr>
        <w:t xml:space="preserve">, 2019; Shiga et al., 2021; Zhang et al., 2012; Yang and </w:t>
      </w:r>
      <w:proofErr w:type="spellStart"/>
      <w:r w:rsidRPr="00E17490">
        <w:rPr>
          <w:rFonts w:ascii="Arial" w:hAnsi="Arial" w:cs="Arial"/>
          <w:color w:val="4472C4" w:themeColor="accent1"/>
          <w:sz w:val="18"/>
          <w:szCs w:val="18"/>
        </w:rPr>
        <w:t>Michailidis</w:t>
      </w:r>
      <w:proofErr w:type="spellEnd"/>
      <w:r w:rsidRPr="00E17490">
        <w:rPr>
          <w:rFonts w:ascii="Arial" w:hAnsi="Arial" w:cs="Arial"/>
          <w:color w:val="4472C4" w:themeColor="accent1"/>
          <w:sz w:val="18"/>
          <w:szCs w:val="18"/>
        </w:rPr>
        <w:t xml:space="preserve">, 2015; </w:t>
      </w:r>
      <w:proofErr w:type="spellStart"/>
      <w:r w:rsidRPr="00E17490">
        <w:rPr>
          <w:rFonts w:ascii="Arial" w:hAnsi="Arial" w:cs="Arial"/>
          <w:color w:val="4472C4" w:themeColor="accent1"/>
          <w:sz w:val="18"/>
          <w:szCs w:val="18"/>
        </w:rPr>
        <w:t>Jin</w:t>
      </w:r>
      <w:proofErr w:type="spellEnd"/>
      <w:r w:rsidRPr="00E17490">
        <w:rPr>
          <w:rFonts w:ascii="Arial" w:hAnsi="Arial" w:cs="Arial"/>
          <w:color w:val="4472C4" w:themeColor="accent1"/>
          <w:sz w:val="18"/>
          <w:szCs w:val="18"/>
        </w:rPr>
        <w:t xml:space="preserve">, Zhang and </w:t>
      </w:r>
      <w:proofErr w:type="spellStart"/>
      <w:r w:rsidRPr="00E17490">
        <w:rPr>
          <w:rFonts w:ascii="Arial" w:hAnsi="Arial" w:cs="Arial"/>
          <w:color w:val="4472C4" w:themeColor="accent1"/>
          <w:sz w:val="18"/>
          <w:szCs w:val="18"/>
        </w:rPr>
        <w:t>Nie</w:t>
      </w:r>
      <w:proofErr w:type="spellEnd"/>
      <w:r w:rsidRPr="00E17490">
        <w:rPr>
          <w:rFonts w:ascii="Arial" w:hAnsi="Arial" w:cs="Arial"/>
          <w:color w:val="4472C4" w:themeColor="accent1"/>
          <w:sz w:val="18"/>
          <w:szCs w:val="18"/>
        </w:rPr>
        <w:t>, 2020; Hao et al., 2023). Potentially, the strategy used in MOFA (</w:t>
      </w:r>
      <w:proofErr w:type="spellStart"/>
      <w:r w:rsidRPr="00E17490">
        <w:rPr>
          <w:rFonts w:ascii="Arial" w:hAnsi="Arial" w:cs="Arial"/>
          <w:color w:val="4472C4" w:themeColor="accent1"/>
          <w:sz w:val="18"/>
          <w:szCs w:val="18"/>
        </w:rPr>
        <w:t>Argelaguet</w:t>
      </w:r>
      <w:proofErr w:type="spellEnd"/>
      <w:r w:rsidRPr="00E17490">
        <w:rPr>
          <w:rFonts w:ascii="Arial" w:hAnsi="Arial" w:cs="Arial"/>
          <w:color w:val="4472C4" w:themeColor="accent1"/>
          <w:sz w:val="18"/>
          <w:szCs w:val="18"/>
        </w:rPr>
        <w:t xml:space="preserve"> et al., 2018, 2020) could be adapted for topic </w:t>
      </w:r>
      <w:proofErr w:type="spellStart"/>
      <w:r w:rsidRPr="00E17490">
        <w:rPr>
          <w:rFonts w:ascii="Arial" w:hAnsi="Arial" w:cs="Arial"/>
          <w:color w:val="4472C4" w:themeColor="accent1"/>
          <w:sz w:val="18"/>
          <w:szCs w:val="18"/>
        </w:rPr>
        <w:t>modeling</w:t>
      </w:r>
      <w:proofErr w:type="spellEnd"/>
      <w:r w:rsidRPr="00E17490">
        <w:rPr>
          <w:rFonts w:ascii="Arial" w:hAnsi="Arial" w:cs="Arial"/>
          <w:color w:val="4472C4" w:themeColor="accent1"/>
          <w:sz w:val="18"/>
          <w:szCs w:val="18"/>
        </w:rPr>
        <w:t>—that is, the transcripts and accessibility profiles would share the same topic proportions, L, but each modality would have a different F. However, it remains to be seen how well this strategy works in practice. </w:t>
      </w:r>
    </w:p>
    <w:p w14:paraId="06BB5040" w14:textId="77777777" w:rsidR="00DF278B" w:rsidRPr="00E17490" w:rsidRDefault="00DF278B" w:rsidP="00DF278B">
      <w:pPr>
        <w:pStyle w:val="NormalWeb"/>
        <w:spacing w:before="136" w:beforeAutospacing="0" w:after="0" w:afterAutospacing="0"/>
        <w:ind w:right="11" w:firstLine="241"/>
        <w:jc w:val="both"/>
        <w:rPr>
          <w:color w:val="4472C4" w:themeColor="accent1"/>
        </w:rPr>
      </w:pPr>
      <w:r w:rsidRPr="00E17490">
        <w:rPr>
          <w:rFonts w:ascii="Arial" w:hAnsi="Arial" w:cs="Arial"/>
          <w:color w:val="4472C4" w:themeColor="accent1"/>
          <w:sz w:val="22"/>
          <w:szCs w:val="22"/>
        </w:rPr>
        <w:t xml:space="preserve">For spatial transcriptomics data, we agree with the reviewer that there is the potential to apply topic </w:t>
      </w:r>
      <w:proofErr w:type="spellStart"/>
      <w:r w:rsidRPr="00E17490">
        <w:rPr>
          <w:rFonts w:ascii="Arial" w:hAnsi="Arial" w:cs="Arial"/>
          <w:color w:val="4472C4" w:themeColor="accent1"/>
          <w:sz w:val="22"/>
          <w:szCs w:val="22"/>
        </w:rPr>
        <w:t>modeling</w:t>
      </w:r>
      <w:proofErr w:type="spellEnd"/>
      <w:r w:rsidRPr="00E17490">
        <w:rPr>
          <w:rFonts w:ascii="Arial" w:hAnsi="Arial" w:cs="Arial"/>
          <w:color w:val="4472C4" w:themeColor="accent1"/>
          <w:sz w:val="22"/>
          <w:szCs w:val="22"/>
        </w:rPr>
        <w:t xml:space="preserve"> approaches to recover spatial (and other) structure from these data. However, we prefer not to discuss this in the manuscript since (a) there are already many </w:t>
      </w:r>
      <w:r w:rsidRPr="00E17490">
        <w:rPr>
          <w:rFonts w:ascii="Arial" w:hAnsi="Arial" w:cs="Arial"/>
          <w:color w:val="4472C4" w:themeColor="accent1"/>
          <w:sz w:val="22"/>
          <w:szCs w:val="22"/>
        </w:rPr>
        <w:lastRenderedPageBreak/>
        <w:t xml:space="preserve">papers on methods for spatial transcriptomics data; (b) there are subtleties in interpreting the results that may depend on the specifics of the technology. For example, for spatial </w:t>
      </w:r>
      <w:proofErr w:type="spellStart"/>
      <w:r w:rsidRPr="00E17490">
        <w:rPr>
          <w:rFonts w:ascii="Arial" w:hAnsi="Arial" w:cs="Arial"/>
          <w:color w:val="4472C4" w:themeColor="accent1"/>
          <w:sz w:val="22"/>
          <w:szCs w:val="22"/>
        </w:rPr>
        <w:t>transcrip</w:t>
      </w:r>
      <w:proofErr w:type="spellEnd"/>
      <w:r w:rsidRPr="00E17490">
        <w:rPr>
          <w:rFonts w:ascii="Arial" w:hAnsi="Arial" w:cs="Arial"/>
          <w:color w:val="4472C4" w:themeColor="accent1"/>
          <w:sz w:val="22"/>
          <w:szCs w:val="22"/>
        </w:rPr>
        <w:t xml:space="preserve"> </w:t>
      </w:r>
      <w:proofErr w:type="spellStart"/>
      <w:r w:rsidRPr="00E17490">
        <w:rPr>
          <w:rFonts w:ascii="Arial" w:hAnsi="Arial" w:cs="Arial"/>
          <w:color w:val="4472C4" w:themeColor="accent1"/>
          <w:sz w:val="22"/>
          <w:szCs w:val="22"/>
        </w:rPr>
        <w:t>tomic</w:t>
      </w:r>
      <w:proofErr w:type="spellEnd"/>
      <w:r w:rsidRPr="00E17490">
        <w:rPr>
          <w:rFonts w:ascii="Arial" w:hAnsi="Arial" w:cs="Arial"/>
          <w:color w:val="4472C4" w:themeColor="accent1"/>
          <w:sz w:val="22"/>
          <w:szCs w:val="22"/>
        </w:rPr>
        <w:t xml:space="preserve"> assays with lower resolution (e.g., 10 cells or so per location), topic proportions might be confounded with cell proportions. Given these points, we believe our comments would be too speculative. </w:t>
      </w:r>
    </w:p>
    <w:p w14:paraId="5B026690" w14:textId="77777777" w:rsidR="00DF278B" w:rsidRDefault="00DF278B" w:rsidP="00DF278B">
      <w:pPr>
        <w:pStyle w:val="NormalWeb"/>
        <w:spacing w:before="136" w:beforeAutospacing="0" w:after="0" w:afterAutospacing="0"/>
        <w:ind w:left="2" w:right="11" w:firstLine="8"/>
        <w:jc w:val="both"/>
      </w:pPr>
      <w:r>
        <w:rPr>
          <w:rFonts w:ascii="Arial" w:hAnsi="Arial" w:cs="Arial"/>
          <w:color w:val="000000"/>
          <w:sz w:val="22"/>
          <w:szCs w:val="22"/>
        </w:rPr>
        <w:t xml:space="preserve">Comment 2. The authors made discussion on </w:t>
      </w:r>
      <w:r>
        <w:rPr>
          <w:rFonts w:ascii="Arial" w:hAnsi="Arial" w:cs="Arial"/>
          <w:i/>
          <w:iCs/>
          <w:color w:val="000000"/>
          <w:sz w:val="22"/>
          <w:szCs w:val="22"/>
        </w:rPr>
        <w:t xml:space="preserve">K </w:t>
      </w:r>
      <w:r>
        <w:rPr>
          <w:rFonts w:ascii="Arial" w:hAnsi="Arial" w:cs="Arial"/>
          <w:color w:val="000000"/>
          <w:sz w:val="22"/>
          <w:szCs w:val="22"/>
        </w:rPr>
        <w:t xml:space="preserve">selection. This is also one problem in </w:t>
      </w:r>
      <w:proofErr w:type="spellStart"/>
      <w:r>
        <w:rPr>
          <w:rFonts w:ascii="Arial" w:hAnsi="Arial" w:cs="Arial"/>
          <w:color w:val="000000"/>
          <w:sz w:val="22"/>
          <w:szCs w:val="22"/>
        </w:rPr>
        <w:t>clus</w:t>
      </w:r>
      <w:proofErr w:type="spellEnd"/>
      <w:r>
        <w:rPr>
          <w:rFonts w:ascii="Arial" w:hAnsi="Arial" w:cs="Arial"/>
          <w:color w:val="000000"/>
          <w:sz w:val="22"/>
          <w:szCs w:val="22"/>
        </w:rPr>
        <w:t xml:space="preserve"> </w:t>
      </w:r>
      <w:proofErr w:type="spellStart"/>
      <w:r>
        <w:rPr>
          <w:rFonts w:ascii="Arial" w:hAnsi="Arial" w:cs="Arial"/>
          <w:color w:val="000000"/>
          <w:sz w:val="22"/>
          <w:szCs w:val="22"/>
        </w:rPr>
        <w:t>tering</w:t>
      </w:r>
      <w:proofErr w:type="spellEnd"/>
      <w:r>
        <w:rPr>
          <w:rFonts w:ascii="Arial" w:hAnsi="Arial" w:cs="Arial"/>
          <w:color w:val="000000"/>
          <w:sz w:val="22"/>
          <w:szCs w:val="22"/>
        </w:rPr>
        <w:t xml:space="preserve"> methods. As a recent paper could decide optimal cluster number by hierarchical </w:t>
      </w:r>
      <w:proofErr w:type="spellStart"/>
      <w:r>
        <w:rPr>
          <w:rFonts w:ascii="Arial" w:hAnsi="Arial" w:cs="Arial"/>
          <w:color w:val="000000"/>
          <w:sz w:val="22"/>
          <w:szCs w:val="22"/>
        </w:rPr>
        <w:t>clus</w:t>
      </w:r>
      <w:proofErr w:type="spellEnd"/>
      <w:r>
        <w:rPr>
          <w:rFonts w:ascii="Arial" w:hAnsi="Arial" w:cs="Arial"/>
          <w:color w:val="000000"/>
          <w:sz w:val="22"/>
          <w:szCs w:val="22"/>
        </w:rPr>
        <w:t xml:space="preserve"> </w:t>
      </w:r>
      <w:proofErr w:type="spellStart"/>
      <w:r>
        <w:rPr>
          <w:rFonts w:ascii="Arial" w:hAnsi="Arial" w:cs="Arial"/>
          <w:color w:val="000000"/>
          <w:sz w:val="22"/>
          <w:szCs w:val="22"/>
        </w:rPr>
        <w:t>tering</w:t>
      </w:r>
      <w:proofErr w:type="spellEnd"/>
      <w:r>
        <w:rPr>
          <w:rFonts w:ascii="Arial" w:hAnsi="Arial" w:cs="Arial"/>
          <w:color w:val="000000"/>
          <w:sz w:val="22"/>
          <w:szCs w:val="22"/>
        </w:rPr>
        <w:t xml:space="preserve"> (Zeng et al., 2022), is it possible to decide some criteria to automatically judge an optimal </w:t>
      </w:r>
      <w:r>
        <w:rPr>
          <w:rFonts w:ascii="Arial" w:hAnsi="Arial" w:cs="Arial"/>
          <w:i/>
          <w:iCs/>
          <w:color w:val="000000"/>
          <w:sz w:val="22"/>
          <w:szCs w:val="22"/>
        </w:rPr>
        <w:t>K</w:t>
      </w:r>
      <w:r>
        <w:rPr>
          <w:rFonts w:ascii="Arial" w:hAnsi="Arial" w:cs="Arial"/>
          <w:color w:val="000000"/>
          <w:sz w:val="22"/>
          <w:szCs w:val="22"/>
        </w:rPr>
        <w:t>. </w:t>
      </w:r>
    </w:p>
    <w:p w14:paraId="06258ED0" w14:textId="77777777" w:rsidR="00DF278B" w:rsidRPr="00E17490" w:rsidRDefault="00DF278B" w:rsidP="00DF278B">
      <w:pPr>
        <w:pStyle w:val="NormalWeb"/>
        <w:spacing w:before="136" w:beforeAutospacing="0" w:after="0" w:afterAutospacing="0"/>
        <w:ind w:left="2" w:right="11" w:firstLine="5"/>
        <w:jc w:val="both"/>
        <w:rPr>
          <w:color w:val="4472C4" w:themeColor="accent1"/>
        </w:rPr>
      </w:pPr>
      <w:r w:rsidRPr="00E17490">
        <w:rPr>
          <w:rFonts w:ascii="Arial" w:hAnsi="Arial" w:cs="Arial"/>
          <w:color w:val="4472C4" w:themeColor="accent1"/>
          <w:sz w:val="22"/>
          <w:szCs w:val="22"/>
        </w:rPr>
        <w:t xml:space="preserve">Our response. There have been many papers written on selection of </w:t>
      </w:r>
      <w:r w:rsidRPr="00E17490">
        <w:rPr>
          <w:rFonts w:ascii="Arial" w:hAnsi="Arial" w:cs="Arial"/>
          <w:i/>
          <w:iCs/>
          <w:color w:val="4472C4" w:themeColor="accent1"/>
          <w:sz w:val="22"/>
          <w:szCs w:val="22"/>
        </w:rPr>
        <w:t xml:space="preserve">K </w:t>
      </w:r>
      <w:r w:rsidRPr="00E17490">
        <w:rPr>
          <w:rFonts w:ascii="Arial" w:hAnsi="Arial" w:cs="Arial"/>
          <w:color w:val="4472C4" w:themeColor="accent1"/>
          <w:sz w:val="22"/>
          <w:szCs w:val="22"/>
        </w:rPr>
        <w:t xml:space="preserve">in topic models and related models, including STRUCTURE, non-negative matrix factorization, and mixture models. Many of these papers have suggested different criteria for determining which </w:t>
      </w:r>
      <w:r w:rsidRPr="00E17490">
        <w:rPr>
          <w:rFonts w:ascii="Arial" w:hAnsi="Arial" w:cs="Arial"/>
          <w:i/>
          <w:iCs/>
          <w:color w:val="4472C4" w:themeColor="accent1"/>
          <w:sz w:val="22"/>
          <w:szCs w:val="22"/>
        </w:rPr>
        <w:t xml:space="preserve">K </w:t>
      </w:r>
      <w:r w:rsidRPr="00E17490">
        <w:rPr>
          <w:rFonts w:ascii="Arial" w:hAnsi="Arial" w:cs="Arial"/>
          <w:color w:val="4472C4" w:themeColor="accent1"/>
          <w:sz w:val="22"/>
          <w:szCs w:val="22"/>
        </w:rPr>
        <w:t xml:space="preserve">is “best”. Our view, which reiterates what we said previously in the Discussion, is that there is no single “optimal” </w:t>
      </w:r>
      <w:r w:rsidRPr="00E17490">
        <w:rPr>
          <w:rFonts w:ascii="Arial" w:hAnsi="Arial" w:cs="Arial"/>
          <w:i/>
          <w:iCs/>
          <w:color w:val="4472C4" w:themeColor="accent1"/>
          <w:sz w:val="22"/>
          <w:szCs w:val="22"/>
        </w:rPr>
        <w:t>K</w:t>
      </w:r>
      <w:r w:rsidRPr="00E17490">
        <w:rPr>
          <w:rFonts w:ascii="Arial" w:hAnsi="Arial" w:cs="Arial"/>
          <w:color w:val="4472C4" w:themeColor="accent1"/>
          <w:sz w:val="22"/>
          <w:szCs w:val="22"/>
        </w:rPr>
        <w:t xml:space="preserve">; a good choice of </w:t>
      </w:r>
      <w:r w:rsidRPr="00E17490">
        <w:rPr>
          <w:rFonts w:ascii="Arial" w:hAnsi="Arial" w:cs="Arial"/>
          <w:i/>
          <w:iCs/>
          <w:color w:val="4472C4" w:themeColor="accent1"/>
          <w:sz w:val="22"/>
          <w:szCs w:val="22"/>
        </w:rPr>
        <w:t xml:space="preserve">K </w:t>
      </w:r>
      <w:r w:rsidRPr="00E17490">
        <w:rPr>
          <w:rFonts w:ascii="Arial" w:hAnsi="Arial" w:cs="Arial"/>
          <w:color w:val="4472C4" w:themeColor="accent1"/>
          <w:sz w:val="22"/>
          <w:szCs w:val="22"/>
        </w:rPr>
        <w:t xml:space="preserve">will depend on the aims of the researcher, and in some </w:t>
      </w:r>
      <w:proofErr w:type="gramStart"/>
      <w:r w:rsidRPr="00E17490">
        <w:rPr>
          <w:rFonts w:ascii="Arial" w:hAnsi="Arial" w:cs="Arial"/>
          <w:color w:val="4472C4" w:themeColor="accent1"/>
          <w:sz w:val="22"/>
          <w:szCs w:val="22"/>
        </w:rPr>
        <w:t>cases</w:t>
      </w:r>
      <w:proofErr w:type="gramEnd"/>
      <w:r w:rsidRPr="00E17490">
        <w:rPr>
          <w:rFonts w:ascii="Arial" w:hAnsi="Arial" w:cs="Arial"/>
          <w:color w:val="4472C4" w:themeColor="accent1"/>
          <w:sz w:val="22"/>
          <w:szCs w:val="22"/>
        </w:rPr>
        <w:t xml:space="preserve"> it may be beneficial to show topic </w:t>
      </w:r>
      <w:proofErr w:type="spellStart"/>
      <w:r w:rsidRPr="00E17490">
        <w:rPr>
          <w:rFonts w:ascii="Arial" w:hAnsi="Arial" w:cs="Arial"/>
          <w:color w:val="4472C4" w:themeColor="accent1"/>
          <w:sz w:val="22"/>
          <w:szCs w:val="22"/>
        </w:rPr>
        <w:t>modeling</w:t>
      </w:r>
      <w:proofErr w:type="spellEnd"/>
      <w:r w:rsidRPr="00E17490">
        <w:rPr>
          <w:rFonts w:ascii="Arial" w:hAnsi="Arial" w:cs="Arial"/>
          <w:color w:val="4472C4" w:themeColor="accent1"/>
          <w:sz w:val="22"/>
          <w:szCs w:val="22"/>
        </w:rPr>
        <w:t xml:space="preserve"> results for several choices of </w:t>
      </w:r>
      <w:r w:rsidRPr="00E17490">
        <w:rPr>
          <w:rFonts w:ascii="Arial" w:hAnsi="Arial" w:cs="Arial"/>
          <w:i/>
          <w:iCs/>
          <w:color w:val="4472C4" w:themeColor="accent1"/>
          <w:sz w:val="22"/>
          <w:szCs w:val="22"/>
        </w:rPr>
        <w:t>K</w:t>
      </w:r>
      <w:r w:rsidRPr="00E17490">
        <w:rPr>
          <w:rFonts w:ascii="Arial" w:hAnsi="Arial" w:cs="Arial"/>
          <w:color w:val="4472C4" w:themeColor="accent1"/>
          <w:sz w:val="22"/>
          <w:szCs w:val="22"/>
        </w:rPr>
        <w:t>. For example, increasing the number of topics in the Mouse sci-ATAC-</w:t>
      </w:r>
      <w:proofErr w:type="spellStart"/>
      <w:r w:rsidRPr="00E17490">
        <w:rPr>
          <w:rFonts w:ascii="Arial" w:hAnsi="Arial" w:cs="Arial"/>
          <w:color w:val="4472C4" w:themeColor="accent1"/>
          <w:sz w:val="22"/>
          <w:szCs w:val="22"/>
        </w:rPr>
        <w:t>seq</w:t>
      </w:r>
      <w:proofErr w:type="spellEnd"/>
      <w:r w:rsidRPr="00E17490">
        <w:rPr>
          <w:rFonts w:ascii="Arial" w:hAnsi="Arial" w:cs="Arial"/>
          <w:color w:val="4472C4" w:themeColor="accent1"/>
          <w:sz w:val="22"/>
          <w:szCs w:val="22"/>
        </w:rPr>
        <w:t xml:space="preserve"> Atlas data reveals more structure within tissues; see https://tinyurl.com/2p99swdk. </w:t>
      </w:r>
    </w:p>
    <w:p w14:paraId="69E475A3" w14:textId="77777777" w:rsidR="00DF278B" w:rsidRPr="00E17490" w:rsidRDefault="00DF278B" w:rsidP="00DF278B">
      <w:pPr>
        <w:pStyle w:val="NormalWeb"/>
        <w:spacing w:before="7" w:beforeAutospacing="0" w:after="0" w:afterAutospacing="0"/>
        <w:ind w:left="2" w:right="11" w:firstLine="240"/>
        <w:jc w:val="both"/>
        <w:rPr>
          <w:color w:val="4472C4" w:themeColor="accent1"/>
        </w:rPr>
      </w:pPr>
      <w:r w:rsidRPr="00E17490">
        <w:rPr>
          <w:rFonts w:ascii="Arial" w:hAnsi="Arial" w:cs="Arial"/>
          <w:color w:val="4472C4" w:themeColor="accent1"/>
          <w:sz w:val="22"/>
          <w:szCs w:val="22"/>
        </w:rPr>
        <w:t xml:space="preserve">The approach suggested by Zeng et al. (2022) is based on the idea that there is a “correct” number of underlying cell types. But the truth is almost always more complicated; consider that our notions of “cell type” do not fully account for underlying dynamic, spatial and other continuous processes shaping cells (Morris, 2019; </w:t>
      </w:r>
      <w:proofErr w:type="spellStart"/>
      <w:r w:rsidRPr="00E17490">
        <w:rPr>
          <w:rFonts w:ascii="Arial" w:hAnsi="Arial" w:cs="Arial"/>
          <w:color w:val="4472C4" w:themeColor="accent1"/>
          <w:sz w:val="22"/>
          <w:szCs w:val="22"/>
        </w:rPr>
        <w:t>Levsky</w:t>
      </w:r>
      <w:proofErr w:type="spellEnd"/>
      <w:r w:rsidRPr="00E17490">
        <w:rPr>
          <w:rFonts w:ascii="Arial" w:hAnsi="Arial" w:cs="Arial"/>
          <w:color w:val="4472C4" w:themeColor="accent1"/>
          <w:sz w:val="22"/>
          <w:szCs w:val="22"/>
        </w:rPr>
        <w:t xml:space="preserve"> and Singer, 2003). </w:t>
      </w:r>
    </w:p>
    <w:p w14:paraId="55A2DF51" w14:textId="77777777" w:rsidR="00DF278B" w:rsidRDefault="00DF278B" w:rsidP="00DF278B">
      <w:pPr>
        <w:pStyle w:val="NormalWeb"/>
        <w:spacing w:before="136" w:beforeAutospacing="0" w:after="0" w:afterAutospacing="0"/>
        <w:ind w:left="2" w:right="11" w:firstLine="8"/>
      </w:pPr>
      <w:r>
        <w:rPr>
          <w:rFonts w:ascii="Arial" w:hAnsi="Arial" w:cs="Arial"/>
          <w:color w:val="000000"/>
          <w:sz w:val="22"/>
          <w:szCs w:val="22"/>
        </w:rPr>
        <w:t>Comment 3. As the batch effect is</w:t>
      </w:r>
      <w:r>
        <w:rPr>
          <w:rFonts w:ascii="Arial" w:hAnsi="Arial" w:cs="Arial"/>
          <w:color w:val="000000"/>
          <w:sz w:val="22"/>
          <w:szCs w:val="22"/>
        </w:rPr>
        <w:t xml:space="preserve"> </w:t>
      </w:r>
      <w:r>
        <w:rPr>
          <w:rFonts w:ascii="Arial" w:hAnsi="Arial" w:cs="Arial"/>
          <w:color w:val="000000"/>
          <w:sz w:val="22"/>
          <w:szCs w:val="22"/>
        </w:rPr>
        <w:t>an important factor in single cell data, it will be illustrative to evaluate the performance on batched datasets in addition to single dataset. </w:t>
      </w:r>
    </w:p>
    <w:p w14:paraId="3AB7B380" w14:textId="383061BC" w:rsidR="00DF278B" w:rsidRPr="00E17490" w:rsidRDefault="00DF278B" w:rsidP="00DF278B">
      <w:pPr>
        <w:pStyle w:val="NormalWeb"/>
        <w:spacing w:before="226" w:beforeAutospacing="0" w:after="0" w:afterAutospacing="0"/>
        <w:ind w:left="3" w:right="11" w:firstLine="5"/>
        <w:jc w:val="both"/>
        <w:rPr>
          <w:rFonts w:ascii="Arial" w:hAnsi="Arial" w:cs="Arial"/>
          <w:color w:val="4472C4" w:themeColor="accent1"/>
          <w:sz w:val="22"/>
          <w:szCs w:val="22"/>
        </w:rPr>
      </w:pPr>
      <w:r w:rsidRPr="00E17490">
        <w:rPr>
          <w:rFonts w:ascii="Arial" w:hAnsi="Arial" w:cs="Arial"/>
          <w:color w:val="4472C4" w:themeColor="accent1"/>
          <w:sz w:val="22"/>
          <w:szCs w:val="22"/>
        </w:rPr>
        <w:t xml:space="preserve">Our response. The two </w:t>
      </w:r>
      <w:proofErr w:type="spellStart"/>
      <w:r w:rsidRPr="00E17490">
        <w:rPr>
          <w:rFonts w:ascii="Arial" w:hAnsi="Arial" w:cs="Arial"/>
          <w:color w:val="4472C4" w:themeColor="accent1"/>
          <w:sz w:val="22"/>
          <w:szCs w:val="22"/>
        </w:rPr>
        <w:t>scATAC-seq</w:t>
      </w:r>
      <w:proofErr w:type="spellEnd"/>
      <w:r w:rsidRPr="00E17490">
        <w:rPr>
          <w:rFonts w:ascii="Arial" w:hAnsi="Arial" w:cs="Arial"/>
          <w:color w:val="4472C4" w:themeColor="accent1"/>
          <w:sz w:val="22"/>
          <w:szCs w:val="22"/>
        </w:rPr>
        <w:t xml:space="preserve"> data sets illustrated the impact of batch effects on the topics; the Mouse Atlas data includes replicates for several tissues (Figure 7A), and the hematopoietic system data includes cells from multiple donors (Figure S15). We also had</w:t>
      </w:r>
      <w:r w:rsidRPr="00E17490">
        <w:rPr>
          <w:rFonts w:ascii="Arial" w:hAnsi="Arial" w:cs="Arial"/>
          <w:color w:val="4472C4" w:themeColor="accent1"/>
          <w:sz w:val="22"/>
          <w:szCs w:val="22"/>
        </w:rPr>
        <w:t xml:space="preserve"> </w:t>
      </w:r>
      <w:r w:rsidRPr="00E17490">
        <w:rPr>
          <w:rFonts w:ascii="Arial" w:hAnsi="Arial" w:cs="Arial"/>
          <w:color w:val="4472C4" w:themeColor="accent1"/>
          <w:sz w:val="22"/>
          <w:szCs w:val="22"/>
        </w:rPr>
        <w:t xml:space="preserve">a paragraph in the Discussion about how to deal with batch effects in topic </w:t>
      </w:r>
      <w:proofErr w:type="spellStart"/>
      <w:r w:rsidRPr="00E17490">
        <w:rPr>
          <w:rFonts w:ascii="Arial" w:hAnsi="Arial" w:cs="Arial"/>
          <w:color w:val="4472C4" w:themeColor="accent1"/>
          <w:sz w:val="22"/>
          <w:szCs w:val="22"/>
        </w:rPr>
        <w:t>modeling</w:t>
      </w:r>
      <w:proofErr w:type="spellEnd"/>
      <w:r w:rsidRPr="00E17490">
        <w:rPr>
          <w:rFonts w:ascii="Arial" w:hAnsi="Arial" w:cs="Arial"/>
          <w:color w:val="4472C4" w:themeColor="accent1"/>
          <w:sz w:val="22"/>
          <w:szCs w:val="22"/>
        </w:rPr>
        <w:t xml:space="preserve"> </w:t>
      </w:r>
      <w:proofErr w:type="spellStart"/>
      <w:r w:rsidRPr="00E17490">
        <w:rPr>
          <w:rFonts w:ascii="Arial" w:hAnsi="Arial" w:cs="Arial"/>
          <w:color w:val="4472C4" w:themeColor="accent1"/>
          <w:sz w:val="22"/>
          <w:szCs w:val="22"/>
        </w:rPr>
        <w:t>analy</w:t>
      </w:r>
      <w:proofErr w:type="spellEnd"/>
      <w:r w:rsidRPr="00E17490">
        <w:rPr>
          <w:rFonts w:ascii="Arial" w:hAnsi="Arial" w:cs="Arial"/>
          <w:color w:val="4472C4" w:themeColor="accent1"/>
          <w:sz w:val="22"/>
          <w:szCs w:val="22"/>
        </w:rPr>
        <w:t xml:space="preserve"> </w:t>
      </w:r>
      <w:proofErr w:type="spellStart"/>
      <w:r w:rsidRPr="00E17490">
        <w:rPr>
          <w:rFonts w:ascii="Arial" w:hAnsi="Arial" w:cs="Arial"/>
          <w:color w:val="4472C4" w:themeColor="accent1"/>
          <w:sz w:val="22"/>
          <w:szCs w:val="22"/>
        </w:rPr>
        <w:t>ses</w:t>
      </w:r>
      <w:proofErr w:type="spellEnd"/>
      <w:r w:rsidRPr="00E17490">
        <w:rPr>
          <w:rFonts w:ascii="Arial" w:hAnsi="Arial" w:cs="Arial"/>
          <w:color w:val="4472C4" w:themeColor="accent1"/>
          <w:sz w:val="22"/>
          <w:szCs w:val="22"/>
        </w:rPr>
        <w:t xml:space="preserve"> of single-cell data. </w:t>
      </w:r>
      <w:proofErr w:type="gramStart"/>
      <w:r w:rsidRPr="00E17490">
        <w:rPr>
          <w:rFonts w:ascii="Arial" w:hAnsi="Arial" w:cs="Arial"/>
          <w:color w:val="4472C4" w:themeColor="accent1"/>
          <w:sz w:val="22"/>
          <w:szCs w:val="22"/>
        </w:rPr>
        <w:t>This being said, we</w:t>
      </w:r>
      <w:proofErr w:type="gramEnd"/>
      <w:r w:rsidRPr="00E17490">
        <w:rPr>
          <w:rFonts w:ascii="Arial" w:hAnsi="Arial" w:cs="Arial"/>
          <w:color w:val="4472C4" w:themeColor="accent1"/>
          <w:sz w:val="22"/>
          <w:szCs w:val="22"/>
        </w:rPr>
        <w:t xml:space="preserve"> agree with the reviewer that this is an important aspect of the analysis, so we have expanded on the discussion of batch effects in the revised manuscript.</w:t>
      </w:r>
    </w:p>
    <w:p w14:paraId="332238DF" w14:textId="1F93F1D0" w:rsidR="00DF278B" w:rsidRDefault="00DF278B" w:rsidP="00DF278B">
      <w:pPr>
        <w:pStyle w:val="NormalWeb"/>
        <w:spacing w:before="0" w:beforeAutospacing="0" w:after="0" w:afterAutospacing="0"/>
        <w:ind w:left="3" w:right="11" w:firstLine="5"/>
        <w:jc w:val="both"/>
        <w:rPr>
          <w:rFonts w:ascii="Arial" w:hAnsi="Arial" w:cs="Arial"/>
          <w:color w:val="000000"/>
          <w:sz w:val="22"/>
          <w:szCs w:val="22"/>
        </w:rPr>
      </w:pPr>
    </w:p>
    <w:p w14:paraId="09B08B23" w14:textId="324D93B8" w:rsidR="00DF278B" w:rsidRDefault="00DF278B" w:rsidP="00DF278B">
      <w:pPr>
        <w:pStyle w:val="NormalWeb"/>
        <w:spacing w:before="0" w:beforeAutospacing="0" w:after="0" w:afterAutospacing="0"/>
        <w:ind w:left="3" w:right="11" w:firstLine="5"/>
        <w:jc w:val="both"/>
        <w:rPr>
          <w:rFonts w:ascii="Arial" w:hAnsi="Arial" w:cs="Arial"/>
          <w:color w:val="000000"/>
          <w:sz w:val="22"/>
          <w:szCs w:val="22"/>
        </w:rPr>
      </w:pPr>
      <w:r>
        <w:rPr>
          <w:rFonts w:ascii="Arial" w:hAnsi="Arial" w:cs="Arial"/>
          <w:color w:val="000000"/>
          <w:sz w:val="22"/>
          <w:szCs w:val="22"/>
        </w:rPr>
        <w:t>Reviewer #2</w:t>
      </w:r>
    </w:p>
    <w:p w14:paraId="7E302E34" w14:textId="77777777" w:rsidR="00DF278B" w:rsidRDefault="00DF278B" w:rsidP="00DF278B">
      <w:pPr>
        <w:pStyle w:val="NormalWeb"/>
        <w:spacing w:before="229" w:beforeAutospacing="0" w:after="0" w:afterAutospacing="0"/>
        <w:ind w:right="11" w:firstLine="249"/>
        <w:jc w:val="both"/>
      </w:pPr>
      <w:r>
        <w:rPr>
          <w:rFonts w:ascii="Arial" w:hAnsi="Arial" w:cs="Arial"/>
          <w:color w:val="000000"/>
          <w:sz w:val="22"/>
          <w:szCs w:val="22"/>
        </w:rPr>
        <w:t xml:space="preserve">We believe that this is a potentially impactful </w:t>
      </w:r>
      <w:proofErr w:type="spellStart"/>
      <w:r>
        <w:rPr>
          <w:rFonts w:ascii="Arial" w:hAnsi="Arial" w:cs="Arial"/>
          <w:color w:val="000000"/>
          <w:sz w:val="22"/>
          <w:szCs w:val="22"/>
        </w:rPr>
        <w:t>contribu</w:t>
      </w:r>
      <w:proofErr w:type="spellEnd"/>
      <w:r>
        <w:rPr>
          <w:rFonts w:ascii="Arial" w:hAnsi="Arial" w:cs="Arial"/>
          <w:color w:val="000000"/>
          <w:sz w:val="22"/>
          <w:szCs w:val="22"/>
        </w:rPr>
        <w:t xml:space="preserve"> </w:t>
      </w:r>
      <w:proofErr w:type="spellStart"/>
      <w:r>
        <w:rPr>
          <w:rFonts w:ascii="Arial" w:hAnsi="Arial" w:cs="Arial"/>
          <w:color w:val="000000"/>
          <w:sz w:val="22"/>
          <w:szCs w:val="22"/>
        </w:rPr>
        <w:t>tion</w:t>
      </w:r>
      <w:proofErr w:type="spellEnd"/>
      <w:r>
        <w:rPr>
          <w:rFonts w:ascii="Arial" w:hAnsi="Arial" w:cs="Arial"/>
          <w:color w:val="000000"/>
          <w:sz w:val="22"/>
          <w:szCs w:val="22"/>
        </w:rPr>
        <w:t xml:space="preserve"> that would benefit from better motivation and context for the problem at hand. We have several unanswered questions after reading the paper/introduction, including: to what extent do other researchers compute differential expression across topics in single-cell data? If so, what are the primary methods/approaches that are used? If not, what are the main </w:t>
      </w:r>
      <w:proofErr w:type="spellStart"/>
      <w:r>
        <w:rPr>
          <w:rFonts w:ascii="Arial" w:hAnsi="Arial" w:cs="Arial"/>
          <w:color w:val="000000"/>
          <w:sz w:val="22"/>
          <w:szCs w:val="22"/>
        </w:rPr>
        <w:t>motiva</w:t>
      </w:r>
      <w:proofErr w:type="spellEnd"/>
      <w:r>
        <w:rPr>
          <w:rFonts w:ascii="Arial" w:hAnsi="Arial" w:cs="Arial"/>
          <w:color w:val="000000"/>
          <w:sz w:val="22"/>
          <w:szCs w:val="22"/>
        </w:rPr>
        <w:t xml:space="preserve"> </w:t>
      </w:r>
      <w:proofErr w:type="spellStart"/>
      <w:r>
        <w:rPr>
          <w:rFonts w:ascii="Arial" w:hAnsi="Arial" w:cs="Arial"/>
          <w:color w:val="000000"/>
          <w:sz w:val="22"/>
          <w:szCs w:val="22"/>
        </w:rPr>
        <w:t>tions</w:t>
      </w:r>
      <w:proofErr w:type="spellEnd"/>
      <w:r>
        <w:rPr>
          <w:rFonts w:ascii="Arial" w:hAnsi="Arial" w:cs="Arial"/>
          <w:color w:val="000000"/>
          <w:sz w:val="22"/>
          <w:szCs w:val="22"/>
        </w:rPr>
        <w:t xml:space="preserve">/benefits that can be obtained by developing a method to compute differential expression across topics? Pinpointing these questions would help orient the reader and increase the </w:t>
      </w:r>
      <w:proofErr w:type="spellStart"/>
      <w:r>
        <w:rPr>
          <w:rFonts w:ascii="Arial" w:hAnsi="Arial" w:cs="Arial"/>
          <w:color w:val="000000"/>
          <w:sz w:val="22"/>
          <w:szCs w:val="22"/>
        </w:rPr>
        <w:t>im</w:t>
      </w:r>
      <w:proofErr w:type="spellEnd"/>
      <w:r>
        <w:rPr>
          <w:rFonts w:ascii="Arial" w:hAnsi="Arial" w:cs="Arial"/>
          <w:color w:val="000000"/>
          <w:sz w:val="22"/>
          <w:szCs w:val="22"/>
        </w:rPr>
        <w:t xml:space="preserve"> pact of the paper. </w:t>
      </w:r>
    </w:p>
    <w:p w14:paraId="19698152" w14:textId="77777777" w:rsidR="00DF278B" w:rsidRPr="00E17490" w:rsidRDefault="00DF278B" w:rsidP="00DF278B">
      <w:pPr>
        <w:pStyle w:val="NormalWeb"/>
        <w:spacing w:before="123" w:beforeAutospacing="0" w:after="0" w:afterAutospacing="0"/>
        <w:ind w:right="11" w:firstLine="7"/>
        <w:rPr>
          <w:color w:val="4472C4" w:themeColor="accent1"/>
        </w:rPr>
      </w:pPr>
      <w:r w:rsidRPr="00E17490">
        <w:rPr>
          <w:rFonts w:ascii="Arial" w:hAnsi="Arial" w:cs="Arial"/>
          <w:color w:val="4472C4" w:themeColor="accent1"/>
          <w:sz w:val="22"/>
          <w:szCs w:val="22"/>
        </w:rPr>
        <w:t>Our response. Thank you very much for the detailed commentary on our work. We begin by answering your initial questions: </w:t>
      </w:r>
    </w:p>
    <w:p w14:paraId="7F92E726" w14:textId="77777777" w:rsidR="00DF278B" w:rsidRPr="00E17490" w:rsidRDefault="00DF278B" w:rsidP="00DF278B">
      <w:pPr>
        <w:pStyle w:val="NormalWeb"/>
        <w:spacing w:before="123" w:beforeAutospacing="0" w:after="0" w:afterAutospacing="0"/>
        <w:ind w:left="41" w:right="11" w:hanging="178"/>
        <w:jc w:val="both"/>
        <w:rPr>
          <w:color w:val="4472C4" w:themeColor="accent1"/>
        </w:rPr>
      </w:pPr>
      <w:r w:rsidRPr="00E17490">
        <w:rPr>
          <w:rFonts w:ascii="Arial" w:hAnsi="Arial" w:cs="Arial"/>
          <w:color w:val="4472C4" w:themeColor="accent1"/>
          <w:sz w:val="22"/>
          <w:szCs w:val="22"/>
        </w:rPr>
        <w:t xml:space="preserve">• </w:t>
      </w:r>
      <w:r w:rsidRPr="00E17490">
        <w:rPr>
          <w:rFonts w:ascii="Arial" w:hAnsi="Arial" w:cs="Arial"/>
          <w:i/>
          <w:iCs/>
          <w:color w:val="4472C4" w:themeColor="accent1"/>
          <w:sz w:val="22"/>
          <w:szCs w:val="22"/>
        </w:rPr>
        <w:t xml:space="preserve">To what extent do other researchers compute differential expression across topics in single cell data? If so, what are the primary methods/approaches that are used? </w:t>
      </w:r>
      <w:r w:rsidRPr="00E17490">
        <w:rPr>
          <w:rFonts w:ascii="Arial" w:hAnsi="Arial" w:cs="Arial"/>
          <w:color w:val="4472C4" w:themeColor="accent1"/>
          <w:sz w:val="22"/>
          <w:szCs w:val="22"/>
        </w:rPr>
        <w:t xml:space="preserve">To our </w:t>
      </w:r>
      <w:proofErr w:type="spellStart"/>
      <w:r w:rsidRPr="00E17490">
        <w:rPr>
          <w:rFonts w:ascii="Arial" w:hAnsi="Arial" w:cs="Arial"/>
          <w:color w:val="4472C4" w:themeColor="accent1"/>
          <w:sz w:val="22"/>
          <w:szCs w:val="22"/>
        </w:rPr>
        <w:t>knowl</w:t>
      </w:r>
      <w:proofErr w:type="spellEnd"/>
      <w:r w:rsidRPr="00E17490">
        <w:rPr>
          <w:rFonts w:ascii="Arial" w:hAnsi="Arial" w:cs="Arial"/>
          <w:color w:val="4472C4" w:themeColor="accent1"/>
          <w:sz w:val="22"/>
          <w:szCs w:val="22"/>
        </w:rPr>
        <w:t xml:space="preserve"> edge, this is </w:t>
      </w:r>
      <w:proofErr w:type="gramStart"/>
      <w:r w:rsidRPr="00E17490">
        <w:rPr>
          <w:rFonts w:ascii="Arial" w:hAnsi="Arial" w:cs="Arial"/>
          <w:color w:val="4472C4" w:themeColor="accent1"/>
          <w:sz w:val="22"/>
          <w:szCs w:val="22"/>
        </w:rPr>
        <w:t>has</w:t>
      </w:r>
      <w:proofErr w:type="gramEnd"/>
      <w:r w:rsidRPr="00E17490">
        <w:rPr>
          <w:rFonts w:ascii="Arial" w:hAnsi="Arial" w:cs="Arial"/>
          <w:color w:val="4472C4" w:themeColor="accent1"/>
          <w:sz w:val="22"/>
          <w:szCs w:val="22"/>
        </w:rPr>
        <w:t xml:space="preserve"> not been done previously because </w:t>
      </w:r>
      <w:r w:rsidRPr="00E17490">
        <w:rPr>
          <w:rFonts w:ascii="Arial" w:hAnsi="Arial" w:cs="Arial"/>
          <w:i/>
          <w:iCs/>
          <w:color w:val="4472C4" w:themeColor="accent1"/>
          <w:sz w:val="22"/>
          <w:szCs w:val="22"/>
        </w:rPr>
        <w:t xml:space="preserve">no methods have been developed to do this. </w:t>
      </w:r>
      <w:r w:rsidRPr="00E17490">
        <w:rPr>
          <w:rFonts w:ascii="Arial" w:hAnsi="Arial" w:cs="Arial"/>
          <w:color w:val="4472C4" w:themeColor="accent1"/>
          <w:sz w:val="22"/>
          <w:szCs w:val="22"/>
        </w:rPr>
        <w:t xml:space="preserve">In the Results (“Evaluation of DE analysis methods using simulated </w:t>
      </w:r>
      <w:proofErr w:type="gramStart"/>
      <w:r w:rsidRPr="00E17490">
        <w:rPr>
          <w:rFonts w:ascii="Arial" w:hAnsi="Arial" w:cs="Arial"/>
          <w:color w:val="4472C4" w:themeColor="accent1"/>
          <w:sz w:val="22"/>
          <w:szCs w:val="22"/>
        </w:rPr>
        <w:t>data“</w:t>
      </w:r>
      <w:proofErr w:type="gramEnd"/>
      <w:r w:rsidRPr="00E17490">
        <w:rPr>
          <w:rFonts w:ascii="Arial" w:hAnsi="Arial" w:cs="Arial"/>
          <w:color w:val="4472C4" w:themeColor="accent1"/>
          <w:sz w:val="22"/>
          <w:szCs w:val="22"/>
        </w:rPr>
        <w:t xml:space="preserve">) we stated, “Since existing DE methods cannot handle the situation in which there are partial mem </w:t>
      </w:r>
      <w:proofErr w:type="spellStart"/>
      <w:r w:rsidRPr="00E17490">
        <w:rPr>
          <w:rFonts w:ascii="Arial" w:hAnsi="Arial" w:cs="Arial"/>
          <w:color w:val="4472C4" w:themeColor="accent1"/>
          <w:sz w:val="22"/>
          <w:szCs w:val="22"/>
        </w:rPr>
        <w:t>berships</w:t>
      </w:r>
      <w:proofErr w:type="spellEnd"/>
      <w:r w:rsidRPr="00E17490">
        <w:rPr>
          <w:rFonts w:ascii="Arial" w:hAnsi="Arial" w:cs="Arial"/>
          <w:color w:val="4472C4" w:themeColor="accent1"/>
          <w:sz w:val="22"/>
          <w:szCs w:val="22"/>
        </w:rPr>
        <w:t xml:space="preserve"> to groups, we mainly sought to verify that the method behaves as expected in the ideal setting when data sets are simulated from the topic model.” To our knowledge, the only method that we can compare to is the K-L divergence measure that was used in Dey, Hsiao and Stephens </w:t>
      </w:r>
      <w:r w:rsidRPr="00E17490">
        <w:rPr>
          <w:rFonts w:ascii="Arial" w:hAnsi="Arial" w:cs="Arial"/>
          <w:color w:val="4472C4" w:themeColor="accent1"/>
          <w:sz w:val="22"/>
          <w:szCs w:val="22"/>
        </w:rPr>
        <w:lastRenderedPageBreak/>
        <w:t xml:space="preserve">(2017) to identify “driving genes” for topics. However, this measure does not properly quantify uncertainty in expression differences, and therefore does not provide a measure of support for differential expression comparable to existing methods such as </w:t>
      </w:r>
      <w:proofErr w:type="spellStart"/>
      <w:r w:rsidRPr="00E17490">
        <w:rPr>
          <w:rFonts w:ascii="Arial" w:hAnsi="Arial" w:cs="Arial"/>
          <w:color w:val="4472C4" w:themeColor="accent1"/>
          <w:sz w:val="22"/>
          <w:szCs w:val="22"/>
        </w:rPr>
        <w:t>edgeR</w:t>
      </w:r>
      <w:proofErr w:type="spellEnd"/>
      <w:r w:rsidRPr="00E17490">
        <w:rPr>
          <w:rFonts w:ascii="Arial" w:hAnsi="Arial" w:cs="Arial"/>
          <w:color w:val="4472C4" w:themeColor="accent1"/>
          <w:sz w:val="22"/>
          <w:szCs w:val="22"/>
        </w:rPr>
        <w:t xml:space="preserve"> or DESeq2. </w:t>
      </w:r>
    </w:p>
    <w:p w14:paraId="41BA9E22" w14:textId="77777777" w:rsidR="00DF278B" w:rsidRPr="00E17490" w:rsidRDefault="00DF278B" w:rsidP="00DF278B">
      <w:pPr>
        <w:pStyle w:val="NormalWeb"/>
        <w:spacing w:before="125" w:beforeAutospacing="0" w:after="0" w:afterAutospacing="0"/>
        <w:ind w:left="41" w:right="5" w:hanging="180"/>
        <w:jc w:val="both"/>
        <w:rPr>
          <w:color w:val="4472C4" w:themeColor="accent1"/>
        </w:rPr>
      </w:pPr>
      <w:r w:rsidRPr="00E17490">
        <w:rPr>
          <w:rFonts w:ascii="Arial" w:hAnsi="Arial" w:cs="Arial"/>
          <w:color w:val="4472C4" w:themeColor="accent1"/>
          <w:sz w:val="22"/>
          <w:szCs w:val="22"/>
        </w:rPr>
        <w:t xml:space="preserve">• </w:t>
      </w:r>
      <w:r w:rsidRPr="00E17490">
        <w:rPr>
          <w:rFonts w:ascii="Arial" w:hAnsi="Arial" w:cs="Arial"/>
          <w:i/>
          <w:iCs/>
          <w:color w:val="4472C4" w:themeColor="accent1"/>
          <w:sz w:val="22"/>
          <w:szCs w:val="22"/>
        </w:rPr>
        <w:t xml:space="preserve">If not, what are the main motivations/benefits that can be obtained by developing a method to compute differential expression across topics? </w:t>
      </w:r>
      <w:r w:rsidRPr="00E17490">
        <w:rPr>
          <w:rFonts w:ascii="Arial" w:hAnsi="Arial" w:cs="Arial"/>
          <w:color w:val="4472C4" w:themeColor="accent1"/>
          <w:sz w:val="22"/>
          <w:szCs w:val="22"/>
        </w:rPr>
        <w:t xml:space="preserve">We provided motivation in the abstract and introduction. In the introduction, we cited several papers that have use topic models (and related NMF methods) to </w:t>
      </w:r>
      <w:proofErr w:type="spellStart"/>
      <w:r w:rsidRPr="00E17490">
        <w:rPr>
          <w:rFonts w:ascii="Arial" w:hAnsi="Arial" w:cs="Arial"/>
          <w:color w:val="4472C4" w:themeColor="accent1"/>
          <w:sz w:val="22"/>
          <w:szCs w:val="22"/>
        </w:rPr>
        <w:t>analyze</w:t>
      </w:r>
      <w:proofErr w:type="spellEnd"/>
      <w:r w:rsidRPr="00E17490">
        <w:rPr>
          <w:rFonts w:ascii="Arial" w:hAnsi="Arial" w:cs="Arial"/>
          <w:color w:val="4472C4" w:themeColor="accent1"/>
          <w:sz w:val="22"/>
          <w:szCs w:val="22"/>
        </w:rPr>
        <w:t xml:space="preserve"> single-cell data. The focus of our paper is therefore the question of how to interpret the individual dimensions of a parts-based representation learned by fitting a topic model. </w:t>
      </w:r>
    </w:p>
    <w:p w14:paraId="2F51459C" w14:textId="77777777" w:rsidR="00DF278B" w:rsidRDefault="00DF278B" w:rsidP="00DF278B">
      <w:pPr>
        <w:pStyle w:val="NormalWeb"/>
        <w:spacing w:before="123" w:beforeAutospacing="0" w:after="0" w:afterAutospacing="0"/>
        <w:ind w:left="2" w:right="11" w:firstLine="8"/>
        <w:jc w:val="both"/>
      </w:pPr>
      <w:r>
        <w:rPr>
          <w:rFonts w:ascii="Arial" w:hAnsi="Arial" w:cs="Arial"/>
          <w:color w:val="000000"/>
          <w:sz w:val="22"/>
          <w:szCs w:val="22"/>
        </w:rPr>
        <w:t xml:space="preserve">Comment 1: Robustness to model assumptions. In the case where cells do </w:t>
      </w:r>
      <w:proofErr w:type="gramStart"/>
      <w:r>
        <w:rPr>
          <w:rFonts w:ascii="Arial" w:hAnsi="Arial" w:cs="Arial"/>
          <w:color w:val="000000"/>
          <w:sz w:val="22"/>
          <w:szCs w:val="22"/>
        </w:rPr>
        <w:t>actually belong</w:t>
      </w:r>
      <w:proofErr w:type="gramEnd"/>
      <w:r>
        <w:rPr>
          <w:rFonts w:ascii="Arial" w:hAnsi="Arial" w:cs="Arial"/>
          <w:color w:val="000000"/>
          <w:sz w:val="22"/>
          <w:szCs w:val="22"/>
        </w:rPr>
        <w:t xml:space="preserve"> to discrete cell types this method is expected to perform worse than the standard approach of clustering followed by DE analysis. Some simulations or real data should be included to demonstrate that the model can still perform well in this setting. </w:t>
      </w:r>
    </w:p>
    <w:p w14:paraId="5BE8418B" w14:textId="77777777" w:rsidR="00DF278B" w:rsidRDefault="00DF278B" w:rsidP="00DF278B">
      <w:pPr>
        <w:pStyle w:val="NormalWeb"/>
        <w:spacing w:before="6" w:beforeAutospacing="0" w:after="0" w:afterAutospacing="0"/>
        <w:ind w:left="7" w:right="11" w:firstLine="234"/>
      </w:pPr>
      <w:r>
        <w:rPr>
          <w:rFonts w:ascii="Arial" w:hAnsi="Arial" w:cs="Arial"/>
          <w:color w:val="000000"/>
          <w:sz w:val="22"/>
          <w:szCs w:val="22"/>
        </w:rPr>
        <w:t>Authors should investigate the extent to which topics can learn noise and potentially create a simulation on single-topic data to measure the amount of noise for this approach. </w:t>
      </w:r>
    </w:p>
    <w:p w14:paraId="78276375" w14:textId="77777777" w:rsidR="00DF278B" w:rsidRPr="00E17490" w:rsidRDefault="00DF278B" w:rsidP="00DF278B">
      <w:pPr>
        <w:pStyle w:val="NormalWeb"/>
        <w:spacing w:before="123" w:beforeAutospacing="0" w:after="0" w:afterAutospacing="0"/>
        <w:ind w:right="11" w:firstLine="7"/>
        <w:jc w:val="both"/>
        <w:rPr>
          <w:color w:val="4472C4" w:themeColor="accent1"/>
        </w:rPr>
      </w:pPr>
      <w:r w:rsidRPr="00E17490">
        <w:rPr>
          <w:rFonts w:ascii="Arial" w:hAnsi="Arial" w:cs="Arial"/>
          <w:color w:val="4472C4" w:themeColor="accent1"/>
          <w:sz w:val="22"/>
          <w:szCs w:val="22"/>
        </w:rPr>
        <w:t xml:space="preserve">Our response. The topic model includes discrete clusters as a special case—topic </w:t>
      </w:r>
      <w:r w:rsidRPr="00E17490">
        <w:rPr>
          <w:rFonts w:ascii="Arial" w:hAnsi="Arial" w:cs="Arial"/>
          <w:i/>
          <w:iCs/>
          <w:color w:val="4472C4" w:themeColor="accent1"/>
          <w:sz w:val="22"/>
          <w:szCs w:val="22"/>
        </w:rPr>
        <w:t xml:space="preserve">k </w:t>
      </w:r>
      <w:r w:rsidRPr="00E17490">
        <w:rPr>
          <w:rFonts w:ascii="Arial" w:hAnsi="Arial" w:cs="Arial"/>
          <w:color w:val="4472C4" w:themeColor="accent1"/>
          <w:sz w:val="22"/>
          <w:szCs w:val="22"/>
        </w:rPr>
        <w:t xml:space="preserve">is a discrete cluster if the topic proportions </w:t>
      </w:r>
      <w:proofErr w:type="spellStart"/>
      <w:r w:rsidRPr="00E17490">
        <w:rPr>
          <w:rFonts w:ascii="Arial" w:hAnsi="Arial" w:cs="Arial"/>
          <w:i/>
          <w:iCs/>
          <w:color w:val="4472C4" w:themeColor="accent1"/>
          <w:sz w:val="22"/>
          <w:szCs w:val="22"/>
        </w:rPr>
        <w:t>l</w:t>
      </w:r>
      <w:r w:rsidRPr="00E17490">
        <w:rPr>
          <w:rFonts w:ascii="Arial" w:hAnsi="Arial" w:cs="Arial"/>
          <w:i/>
          <w:iCs/>
          <w:color w:val="4472C4" w:themeColor="accent1"/>
          <w:sz w:val="16"/>
          <w:szCs w:val="16"/>
          <w:vertAlign w:val="subscript"/>
        </w:rPr>
        <w:t>ik</w:t>
      </w:r>
      <w:proofErr w:type="spellEnd"/>
      <w:r w:rsidRPr="00E17490">
        <w:rPr>
          <w:rFonts w:ascii="Arial" w:hAnsi="Arial" w:cs="Arial"/>
          <w:i/>
          <w:iCs/>
          <w:color w:val="4472C4" w:themeColor="accent1"/>
          <w:sz w:val="16"/>
          <w:szCs w:val="16"/>
          <w:vertAlign w:val="subscript"/>
        </w:rPr>
        <w:t xml:space="preserve"> </w:t>
      </w:r>
      <w:r w:rsidRPr="00E17490">
        <w:rPr>
          <w:rFonts w:ascii="Arial" w:hAnsi="Arial" w:cs="Arial"/>
          <w:color w:val="4472C4" w:themeColor="accent1"/>
          <w:sz w:val="22"/>
          <w:szCs w:val="22"/>
        </w:rPr>
        <w:t xml:space="preserve">are all binary—so we wouldn’t necessarily expect performance to be worse in this setting. In any event, this is precisely the setting we </w:t>
      </w:r>
      <w:proofErr w:type="spellStart"/>
      <w:r w:rsidRPr="00E17490">
        <w:rPr>
          <w:rFonts w:ascii="Arial" w:hAnsi="Arial" w:cs="Arial"/>
          <w:color w:val="4472C4" w:themeColor="accent1"/>
          <w:sz w:val="22"/>
          <w:szCs w:val="22"/>
        </w:rPr>
        <w:t>consid</w:t>
      </w:r>
      <w:proofErr w:type="spellEnd"/>
      <w:r w:rsidRPr="00E17490">
        <w:rPr>
          <w:rFonts w:ascii="Arial" w:hAnsi="Arial" w:cs="Arial"/>
          <w:color w:val="4472C4" w:themeColor="accent1"/>
          <w:sz w:val="22"/>
          <w:szCs w:val="22"/>
        </w:rPr>
        <w:t xml:space="preserve"> </w:t>
      </w:r>
      <w:proofErr w:type="spellStart"/>
      <w:r w:rsidRPr="00E17490">
        <w:rPr>
          <w:rFonts w:ascii="Arial" w:hAnsi="Arial" w:cs="Arial"/>
          <w:color w:val="4472C4" w:themeColor="accent1"/>
          <w:sz w:val="22"/>
          <w:szCs w:val="22"/>
        </w:rPr>
        <w:t>ered</w:t>
      </w:r>
      <w:proofErr w:type="spellEnd"/>
      <w:r w:rsidRPr="00E17490">
        <w:rPr>
          <w:rFonts w:ascii="Arial" w:hAnsi="Arial" w:cs="Arial"/>
          <w:color w:val="4472C4" w:themeColor="accent1"/>
          <w:sz w:val="22"/>
          <w:szCs w:val="22"/>
        </w:rPr>
        <w:t xml:space="preserve"> in the first part of our simulations: “We began our evaluation by first considering the case of two groups in which there is no partial membership to these groups; that is, when the cells can be clearly separated into two cell types.” In these simulations, we compared the </w:t>
      </w:r>
      <w:proofErr w:type="spellStart"/>
      <w:r w:rsidRPr="00E17490">
        <w:rPr>
          <w:rFonts w:ascii="Arial" w:hAnsi="Arial" w:cs="Arial"/>
          <w:color w:val="4472C4" w:themeColor="accent1"/>
          <w:sz w:val="22"/>
          <w:szCs w:val="22"/>
        </w:rPr>
        <w:t>GoM</w:t>
      </w:r>
      <w:proofErr w:type="spellEnd"/>
      <w:r w:rsidRPr="00E17490">
        <w:rPr>
          <w:rFonts w:ascii="Arial" w:hAnsi="Arial" w:cs="Arial"/>
          <w:color w:val="4472C4" w:themeColor="accent1"/>
          <w:sz w:val="22"/>
          <w:szCs w:val="22"/>
        </w:rPr>
        <w:t xml:space="preserve"> DE analysis to two methods, DESeq2 and MAST, that assume discrete clusters. In particular, the DESeq2 and </w:t>
      </w:r>
      <w:proofErr w:type="spellStart"/>
      <w:r w:rsidRPr="00E17490">
        <w:rPr>
          <w:rFonts w:ascii="Arial" w:hAnsi="Arial" w:cs="Arial"/>
          <w:color w:val="4472C4" w:themeColor="accent1"/>
          <w:sz w:val="22"/>
          <w:szCs w:val="22"/>
        </w:rPr>
        <w:t>GoM</w:t>
      </w:r>
      <w:proofErr w:type="spellEnd"/>
      <w:r w:rsidRPr="00E17490">
        <w:rPr>
          <w:rFonts w:ascii="Arial" w:hAnsi="Arial" w:cs="Arial"/>
          <w:color w:val="4472C4" w:themeColor="accent1"/>
          <w:sz w:val="22"/>
          <w:szCs w:val="22"/>
        </w:rPr>
        <w:t xml:space="preserve"> DE methods, which are based on similar models, achieved very similar performance in this setting (Figures 4 and S7). Please see “Evaluation of DE analysis methods using simulated data” for more details.</w:t>
      </w:r>
    </w:p>
    <w:p w14:paraId="6528CA3D" w14:textId="1A1F8A46" w:rsidR="00DF278B" w:rsidRDefault="00DF278B" w:rsidP="00DF278B">
      <w:pPr>
        <w:pStyle w:val="NormalWeb"/>
        <w:spacing w:before="0" w:beforeAutospacing="0" w:after="0" w:afterAutospacing="0"/>
        <w:ind w:left="3" w:right="11" w:firstLine="5"/>
        <w:jc w:val="both"/>
        <w:rPr>
          <w:rFonts w:ascii="Arial" w:hAnsi="Arial" w:cs="Arial"/>
          <w:color w:val="000000"/>
          <w:sz w:val="22"/>
          <w:szCs w:val="22"/>
        </w:rPr>
      </w:pPr>
    </w:p>
    <w:p w14:paraId="02E46D24" w14:textId="77777777" w:rsidR="00DF278B" w:rsidRDefault="00DF278B" w:rsidP="00DF278B">
      <w:pPr>
        <w:pStyle w:val="NormalWeb"/>
        <w:spacing w:before="226" w:beforeAutospacing="0" w:after="0" w:afterAutospacing="0"/>
        <w:ind w:left="1" w:right="11" w:firstLine="9"/>
        <w:jc w:val="both"/>
      </w:pPr>
      <w:r>
        <w:rPr>
          <w:rFonts w:ascii="Arial" w:hAnsi="Arial" w:cs="Arial"/>
          <w:color w:val="000000"/>
          <w:sz w:val="22"/>
          <w:szCs w:val="22"/>
        </w:rPr>
        <w:t xml:space="preserve">Comment 2: Undetermined sign. We are concerned about the inclusion of the absolute value in the least extreme LFC metric (equation 6). This metric makes the most sense when the topic has the highest (or lowest) gene expression for a given gene. However, we are </w:t>
      </w:r>
      <w:proofErr w:type="spellStart"/>
      <w:proofErr w:type="gramStart"/>
      <w:r>
        <w:rPr>
          <w:rFonts w:ascii="Arial" w:hAnsi="Arial" w:cs="Arial"/>
          <w:color w:val="000000"/>
          <w:sz w:val="22"/>
          <w:szCs w:val="22"/>
        </w:rPr>
        <w:t>un certain</w:t>
      </w:r>
      <w:proofErr w:type="spellEnd"/>
      <w:proofErr w:type="gramEnd"/>
      <w:r>
        <w:rPr>
          <w:rFonts w:ascii="Arial" w:hAnsi="Arial" w:cs="Arial"/>
          <w:color w:val="000000"/>
          <w:sz w:val="22"/>
          <w:szCs w:val="22"/>
        </w:rPr>
        <w:t xml:space="preserve"> how to interpret this metric when a gene is of intermediate expression. For example, consider the case where there are three topics, A, B, and C of log-expression 0, 2, and 4, re </w:t>
      </w:r>
      <w:proofErr w:type="spellStart"/>
      <w:r>
        <w:rPr>
          <w:rFonts w:ascii="Arial" w:hAnsi="Arial" w:cs="Arial"/>
          <w:color w:val="000000"/>
          <w:sz w:val="22"/>
          <w:szCs w:val="22"/>
        </w:rPr>
        <w:t>spectively</w:t>
      </w:r>
      <w:proofErr w:type="spellEnd"/>
      <w:r>
        <w:rPr>
          <w:rFonts w:ascii="Arial" w:hAnsi="Arial" w:cs="Arial"/>
          <w:color w:val="000000"/>
          <w:sz w:val="22"/>
          <w:szCs w:val="22"/>
        </w:rPr>
        <w:t xml:space="preserve">. According to this metric, the </w:t>
      </w:r>
      <w:proofErr w:type="spellStart"/>
      <w:r>
        <w:rPr>
          <w:rFonts w:ascii="Arial" w:hAnsi="Arial" w:cs="Arial"/>
          <w:color w:val="000000"/>
          <w:sz w:val="22"/>
          <w:szCs w:val="22"/>
        </w:rPr>
        <w:t>l.e.</w:t>
      </w:r>
      <w:proofErr w:type="spellEnd"/>
      <w:r>
        <w:rPr>
          <w:rFonts w:ascii="Arial" w:hAnsi="Arial" w:cs="Arial"/>
          <w:color w:val="000000"/>
          <w:sz w:val="22"/>
          <w:szCs w:val="22"/>
        </w:rPr>
        <w:t xml:space="preserve"> LFC of topic B would be 2, which could indicate a moderately strong differential expression. However</w:t>
      </w:r>
      <w:proofErr w:type="gramStart"/>
      <w:r>
        <w:rPr>
          <w:rFonts w:ascii="Arial" w:hAnsi="Arial" w:cs="Arial"/>
          <w:color w:val="000000"/>
          <w:sz w:val="22"/>
          <w:szCs w:val="22"/>
        </w:rPr>
        <w:t>, in reality, one</w:t>
      </w:r>
      <w:proofErr w:type="gramEnd"/>
      <w:r>
        <w:rPr>
          <w:rFonts w:ascii="Arial" w:hAnsi="Arial" w:cs="Arial"/>
          <w:color w:val="000000"/>
          <w:sz w:val="22"/>
          <w:szCs w:val="22"/>
        </w:rPr>
        <w:t xml:space="preserve"> would not consider this gene to be differentially expressed in topic B. In general, we would not consider a gene to be usefully differentially expressed within a topic if </w:t>
      </w:r>
      <w:proofErr w:type="gramStart"/>
      <w:r>
        <w:rPr>
          <w:rFonts w:ascii="Arial" w:hAnsi="Arial" w:cs="Arial"/>
          <w:color w:val="000000"/>
          <w:sz w:val="22"/>
          <w:szCs w:val="22"/>
        </w:rPr>
        <w:t>it’s</w:t>
      </w:r>
      <w:proofErr w:type="gramEnd"/>
      <w:r>
        <w:rPr>
          <w:rFonts w:ascii="Arial" w:hAnsi="Arial" w:cs="Arial"/>
          <w:color w:val="000000"/>
          <w:sz w:val="22"/>
          <w:szCs w:val="22"/>
        </w:rPr>
        <w:t xml:space="preserve"> gene expression lies in the </w:t>
      </w:r>
      <w:proofErr w:type="spellStart"/>
      <w:r>
        <w:rPr>
          <w:rFonts w:ascii="Arial" w:hAnsi="Arial" w:cs="Arial"/>
          <w:color w:val="000000"/>
          <w:sz w:val="22"/>
          <w:szCs w:val="22"/>
        </w:rPr>
        <w:t>center</w:t>
      </w:r>
      <w:proofErr w:type="spellEnd"/>
      <w:r>
        <w:rPr>
          <w:rFonts w:ascii="Arial" w:hAnsi="Arial" w:cs="Arial"/>
          <w:color w:val="000000"/>
          <w:sz w:val="22"/>
          <w:szCs w:val="22"/>
        </w:rPr>
        <w:t xml:space="preserve"> of the gene expression distribution across topics. </w:t>
      </w:r>
    </w:p>
    <w:p w14:paraId="103BAE69" w14:textId="77777777" w:rsidR="00DF278B" w:rsidRDefault="00DF278B" w:rsidP="00DF278B">
      <w:pPr>
        <w:pStyle w:val="NormalWeb"/>
        <w:spacing w:before="7" w:beforeAutospacing="0" w:after="0" w:afterAutospacing="0"/>
        <w:ind w:left="2" w:right="11" w:firstLine="240"/>
        <w:jc w:val="both"/>
      </w:pPr>
      <w:r>
        <w:rPr>
          <w:rFonts w:ascii="Arial" w:hAnsi="Arial" w:cs="Arial"/>
          <w:color w:val="000000"/>
          <w:sz w:val="22"/>
          <w:szCs w:val="22"/>
        </w:rPr>
        <w:t xml:space="preserve">There is also a related issue of how sign is determined for this metric. We don’t believe that the method for determining sign was explained in this paper, and we recommend making this adjustment. However, the signed </w:t>
      </w:r>
      <w:proofErr w:type="spellStart"/>
      <w:r>
        <w:rPr>
          <w:rFonts w:ascii="Arial" w:hAnsi="Arial" w:cs="Arial"/>
          <w:color w:val="000000"/>
          <w:sz w:val="22"/>
          <w:szCs w:val="22"/>
        </w:rPr>
        <w:t>l.e.</w:t>
      </w:r>
      <w:proofErr w:type="spellEnd"/>
      <w:r>
        <w:rPr>
          <w:rFonts w:ascii="Arial" w:hAnsi="Arial" w:cs="Arial"/>
          <w:color w:val="000000"/>
          <w:sz w:val="22"/>
          <w:szCs w:val="22"/>
        </w:rPr>
        <w:t xml:space="preserve"> LFC metric appears to be used in the figures. We assume that the sign is related to the sign of the next closest topic. But we are not sure how the definition occurs in the Bayesian setting of multiple states. In any case, it seems hard to determine a sign in cases such as the example above for topic B. </w:t>
      </w:r>
    </w:p>
    <w:p w14:paraId="5C9EABB1" w14:textId="77777777" w:rsidR="00DF278B" w:rsidRPr="00E17490" w:rsidRDefault="00DF278B" w:rsidP="00DF278B">
      <w:pPr>
        <w:pStyle w:val="NormalWeb"/>
        <w:spacing w:before="136" w:beforeAutospacing="0" w:after="0" w:afterAutospacing="0"/>
        <w:ind w:left="3" w:right="7" w:firstLine="4"/>
        <w:jc w:val="both"/>
        <w:rPr>
          <w:color w:val="4472C4" w:themeColor="accent1"/>
        </w:rPr>
      </w:pPr>
      <w:r w:rsidRPr="00E17490">
        <w:rPr>
          <w:rFonts w:ascii="Arial" w:hAnsi="Arial" w:cs="Arial"/>
          <w:color w:val="4472C4" w:themeColor="accent1"/>
          <w:sz w:val="22"/>
          <w:szCs w:val="22"/>
        </w:rPr>
        <w:t xml:space="preserve">Our response. First, we would like to clarify any possible misunderstanding here: </w:t>
      </w:r>
      <w:r w:rsidRPr="00E17490">
        <w:rPr>
          <w:rFonts w:ascii="Arial" w:hAnsi="Arial" w:cs="Arial"/>
          <w:i/>
          <w:iCs/>
          <w:color w:val="4472C4" w:themeColor="accent1"/>
          <w:sz w:val="22"/>
          <w:szCs w:val="22"/>
        </w:rPr>
        <w:t>the least extreme (</w:t>
      </w:r>
      <w:proofErr w:type="spellStart"/>
      <w:r w:rsidRPr="00E17490">
        <w:rPr>
          <w:rFonts w:ascii="Arial" w:hAnsi="Arial" w:cs="Arial"/>
          <w:i/>
          <w:iCs/>
          <w:color w:val="4472C4" w:themeColor="accent1"/>
          <w:sz w:val="22"/>
          <w:szCs w:val="22"/>
        </w:rPr>
        <w:t>l.e.</w:t>
      </w:r>
      <w:proofErr w:type="spellEnd"/>
      <w:r w:rsidRPr="00E17490">
        <w:rPr>
          <w:rFonts w:ascii="Arial" w:hAnsi="Arial" w:cs="Arial"/>
          <w:i/>
          <w:iCs/>
          <w:color w:val="4472C4" w:themeColor="accent1"/>
          <w:sz w:val="22"/>
          <w:szCs w:val="22"/>
        </w:rPr>
        <w:t xml:space="preserve">) LFC is a signed metric. </w:t>
      </w:r>
      <w:r w:rsidRPr="00E17490">
        <w:rPr>
          <w:rFonts w:ascii="Arial" w:hAnsi="Arial" w:cs="Arial"/>
          <w:color w:val="4472C4" w:themeColor="accent1"/>
          <w:sz w:val="22"/>
          <w:szCs w:val="22"/>
        </w:rPr>
        <w:t xml:space="preserve">To clarify, we review the definition from (6) and (7) in the paper. We start with the </w:t>
      </w:r>
      <w:r w:rsidRPr="00E17490">
        <w:rPr>
          <w:rFonts w:ascii="Arial" w:hAnsi="Arial" w:cs="Arial"/>
          <w:i/>
          <w:iCs/>
          <w:color w:val="4472C4" w:themeColor="accent1"/>
          <w:sz w:val="22"/>
          <w:szCs w:val="22"/>
        </w:rPr>
        <w:t>pairwise LFC</w:t>
      </w:r>
      <w:r w:rsidRPr="00E17490">
        <w:rPr>
          <w:rFonts w:ascii="Arial" w:hAnsi="Arial" w:cs="Arial"/>
          <w:color w:val="4472C4" w:themeColor="accent1"/>
          <w:sz w:val="22"/>
          <w:szCs w:val="22"/>
        </w:rPr>
        <w:t xml:space="preserve">, which is simply the LFC that compares the expression between topics </w:t>
      </w:r>
      <w:r w:rsidRPr="00E17490">
        <w:rPr>
          <w:rFonts w:ascii="Arial" w:hAnsi="Arial" w:cs="Arial"/>
          <w:i/>
          <w:iCs/>
          <w:color w:val="4472C4" w:themeColor="accent1"/>
          <w:sz w:val="22"/>
          <w:szCs w:val="22"/>
        </w:rPr>
        <w:t xml:space="preserve">k </w:t>
      </w:r>
      <w:r w:rsidRPr="00E17490">
        <w:rPr>
          <w:rFonts w:ascii="Arial" w:hAnsi="Arial" w:cs="Arial"/>
          <w:color w:val="4472C4" w:themeColor="accent1"/>
          <w:sz w:val="22"/>
          <w:szCs w:val="22"/>
        </w:rPr>
        <w:t xml:space="preserve">and </w:t>
      </w:r>
      <w:r w:rsidRPr="00E17490">
        <w:rPr>
          <w:rFonts w:ascii="Arial" w:hAnsi="Arial" w:cs="Arial"/>
          <w:i/>
          <w:iCs/>
          <w:color w:val="4472C4" w:themeColor="accent1"/>
          <w:sz w:val="22"/>
          <w:szCs w:val="22"/>
        </w:rPr>
        <w:t>l</w:t>
      </w:r>
      <w:r w:rsidRPr="00E17490">
        <w:rPr>
          <w:rFonts w:ascii="Arial" w:hAnsi="Arial" w:cs="Arial"/>
          <w:color w:val="4472C4" w:themeColor="accent1"/>
          <w:sz w:val="22"/>
          <w:szCs w:val="22"/>
        </w:rPr>
        <w:t>: </w:t>
      </w:r>
    </w:p>
    <w:p w14:paraId="4E2D82F6" w14:textId="77777777" w:rsidR="00DF278B" w:rsidRPr="00E17490" w:rsidRDefault="00DF278B" w:rsidP="00DF278B">
      <w:pPr>
        <w:pStyle w:val="NormalWeb"/>
        <w:spacing w:before="49" w:beforeAutospacing="0" w:after="0" w:afterAutospacing="0"/>
        <w:ind w:left="10"/>
        <w:rPr>
          <w:color w:val="4472C4" w:themeColor="accent1"/>
        </w:rPr>
      </w:pPr>
      <w:r w:rsidRPr="00E17490">
        <w:rPr>
          <w:rFonts w:ascii="Arial" w:hAnsi="Arial" w:cs="Arial"/>
          <w:color w:val="4472C4" w:themeColor="accent1"/>
          <w:sz w:val="22"/>
          <w:szCs w:val="22"/>
        </w:rPr>
        <w:t xml:space="preserve">(1) </w:t>
      </w:r>
      <w:proofErr w:type="spellStart"/>
      <w:proofErr w:type="gramStart"/>
      <w:r w:rsidRPr="00E17490">
        <w:rPr>
          <w:rFonts w:ascii="Arial" w:hAnsi="Arial" w:cs="Arial"/>
          <w:color w:val="4472C4" w:themeColor="accent1"/>
          <w:sz w:val="22"/>
          <w:szCs w:val="22"/>
        </w:rPr>
        <w:t>LFC</w:t>
      </w:r>
      <w:r w:rsidRPr="00E17490">
        <w:rPr>
          <w:rFonts w:ascii="Arial" w:hAnsi="Arial" w:cs="Arial"/>
          <w:i/>
          <w:iCs/>
          <w:color w:val="4472C4" w:themeColor="accent1"/>
          <w:sz w:val="16"/>
          <w:szCs w:val="16"/>
          <w:vertAlign w:val="subscript"/>
        </w:rPr>
        <w:t>k,l</w:t>
      </w:r>
      <w:proofErr w:type="spellEnd"/>
      <w:proofErr w:type="gramEnd"/>
      <w:r w:rsidRPr="00E17490">
        <w:rPr>
          <w:rFonts w:ascii="Arial" w:hAnsi="Arial" w:cs="Arial"/>
          <w:color w:val="4472C4" w:themeColor="accent1"/>
          <w:sz w:val="22"/>
          <w:szCs w:val="22"/>
        </w:rPr>
        <w:t>(</w:t>
      </w:r>
      <w:r w:rsidRPr="00E17490">
        <w:rPr>
          <w:rFonts w:ascii="Arial" w:hAnsi="Arial" w:cs="Arial"/>
          <w:i/>
          <w:iCs/>
          <w:color w:val="4472C4" w:themeColor="accent1"/>
          <w:sz w:val="22"/>
          <w:szCs w:val="22"/>
        </w:rPr>
        <w:t>j</w:t>
      </w:r>
      <w:r w:rsidRPr="00E17490">
        <w:rPr>
          <w:rFonts w:ascii="Arial" w:hAnsi="Arial" w:cs="Arial"/>
          <w:color w:val="4472C4" w:themeColor="accent1"/>
          <w:sz w:val="22"/>
          <w:szCs w:val="22"/>
        </w:rPr>
        <w:t>) := log</w:t>
      </w:r>
      <w:r w:rsidRPr="00E17490">
        <w:rPr>
          <w:rFonts w:ascii="Arial" w:hAnsi="Arial" w:cs="Arial"/>
          <w:color w:val="4472C4" w:themeColor="accent1"/>
          <w:sz w:val="16"/>
          <w:szCs w:val="16"/>
          <w:vertAlign w:val="subscript"/>
        </w:rPr>
        <w:t>2</w:t>
      </w:r>
      <w:r w:rsidRPr="00E17490">
        <w:rPr>
          <w:rFonts w:ascii="Arial" w:hAnsi="Arial" w:cs="Arial"/>
          <w:i/>
          <w:iCs/>
          <w:color w:val="4472C4" w:themeColor="accent1"/>
          <w:sz w:val="22"/>
          <w:szCs w:val="22"/>
        </w:rPr>
        <w:t>p</w:t>
      </w:r>
      <w:r w:rsidRPr="00E17490">
        <w:rPr>
          <w:rFonts w:ascii="Arial" w:hAnsi="Arial" w:cs="Arial"/>
          <w:i/>
          <w:iCs/>
          <w:color w:val="4472C4" w:themeColor="accent1"/>
          <w:sz w:val="16"/>
          <w:szCs w:val="16"/>
          <w:vertAlign w:val="subscript"/>
        </w:rPr>
        <w:t>jk</w:t>
      </w:r>
      <w:r w:rsidRPr="00E17490">
        <w:rPr>
          <w:rFonts w:ascii="Arial" w:hAnsi="Arial" w:cs="Arial"/>
          <w:i/>
          <w:iCs/>
          <w:color w:val="4472C4" w:themeColor="accent1"/>
          <w:sz w:val="16"/>
          <w:szCs w:val="16"/>
        </w:rPr>
        <w:t> </w:t>
      </w:r>
    </w:p>
    <w:p w14:paraId="4305F328" w14:textId="77777777" w:rsidR="00DF278B" w:rsidRPr="00E17490" w:rsidRDefault="00DF278B" w:rsidP="00DF278B">
      <w:pPr>
        <w:pStyle w:val="NormalWeb"/>
        <w:spacing w:before="0" w:beforeAutospacing="0" w:after="0" w:afterAutospacing="0"/>
        <w:ind w:right="3041"/>
        <w:jc w:val="right"/>
        <w:rPr>
          <w:color w:val="4472C4" w:themeColor="accent1"/>
        </w:rPr>
      </w:pPr>
      <w:proofErr w:type="spellStart"/>
      <w:r w:rsidRPr="00E17490">
        <w:rPr>
          <w:rFonts w:ascii="Arial" w:hAnsi="Arial" w:cs="Arial"/>
          <w:i/>
          <w:iCs/>
          <w:color w:val="4472C4" w:themeColor="accent1"/>
          <w:sz w:val="22"/>
          <w:szCs w:val="22"/>
        </w:rPr>
        <w:t>p</w:t>
      </w:r>
      <w:r w:rsidRPr="00E17490">
        <w:rPr>
          <w:rFonts w:ascii="Arial" w:hAnsi="Arial" w:cs="Arial"/>
          <w:i/>
          <w:iCs/>
          <w:color w:val="4472C4" w:themeColor="accent1"/>
          <w:sz w:val="16"/>
          <w:szCs w:val="16"/>
          <w:vertAlign w:val="subscript"/>
        </w:rPr>
        <w:t>jl</w:t>
      </w:r>
      <w:proofErr w:type="spellEnd"/>
      <w:r w:rsidRPr="00E17490">
        <w:rPr>
          <w:rFonts w:ascii="Arial" w:hAnsi="Arial" w:cs="Arial"/>
          <w:i/>
          <w:iCs/>
          <w:color w:val="4472C4" w:themeColor="accent1"/>
          <w:sz w:val="22"/>
          <w:szCs w:val="22"/>
        </w:rPr>
        <w:t>. </w:t>
      </w:r>
    </w:p>
    <w:p w14:paraId="564E0C90" w14:textId="77777777" w:rsidR="00DF278B" w:rsidRPr="00E17490" w:rsidRDefault="00DF278B" w:rsidP="00DF278B">
      <w:pPr>
        <w:pStyle w:val="NormalWeb"/>
        <w:spacing w:before="74" w:beforeAutospacing="0" w:after="0" w:afterAutospacing="0"/>
        <w:ind w:left="3"/>
        <w:rPr>
          <w:color w:val="4472C4" w:themeColor="accent1"/>
        </w:rPr>
      </w:pPr>
      <w:r w:rsidRPr="00E17490">
        <w:rPr>
          <w:rFonts w:ascii="Arial" w:hAnsi="Arial" w:cs="Arial"/>
          <w:color w:val="4472C4" w:themeColor="accent1"/>
          <w:sz w:val="22"/>
          <w:szCs w:val="22"/>
        </w:rPr>
        <w:t xml:space="preserve">The </w:t>
      </w:r>
      <w:proofErr w:type="spellStart"/>
      <w:r w:rsidRPr="00E17490">
        <w:rPr>
          <w:rFonts w:ascii="Arial" w:hAnsi="Arial" w:cs="Arial"/>
          <w:color w:val="4472C4" w:themeColor="accent1"/>
          <w:sz w:val="22"/>
          <w:szCs w:val="22"/>
        </w:rPr>
        <w:t>l.e.</w:t>
      </w:r>
      <w:proofErr w:type="spellEnd"/>
      <w:r w:rsidRPr="00E17490">
        <w:rPr>
          <w:rFonts w:ascii="Arial" w:hAnsi="Arial" w:cs="Arial"/>
          <w:color w:val="4472C4" w:themeColor="accent1"/>
          <w:sz w:val="22"/>
          <w:szCs w:val="22"/>
        </w:rPr>
        <w:t xml:space="preserve"> LFC for topic </w:t>
      </w:r>
      <w:r w:rsidRPr="00E17490">
        <w:rPr>
          <w:rFonts w:ascii="Arial" w:hAnsi="Arial" w:cs="Arial"/>
          <w:i/>
          <w:iCs/>
          <w:color w:val="4472C4" w:themeColor="accent1"/>
          <w:sz w:val="22"/>
          <w:szCs w:val="22"/>
        </w:rPr>
        <w:t>k</w:t>
      </w:r>
      <w:r w:rsidRPr="00E17490">
        <w:rPr>
          <w:rFonts w:ascii="Arial" w:hAnsi="Arial" w:cs="Arial"/>
          <w:color w:val="4472C4" w:themeColor="accent1"/>
          <w:sz w:val="22"/>
          <w:szCs w:val="22"/>
        </w:rPr>
        <w:t xml:space="preserve">, denoted </w:t>
      </w:r>
      <w:proofErr w:type="spellStart"/>
      <w:r w:rsidRPr="00E17490">
        <w:rPr>
          <w:rFonts w:ascii="Arial" w:hAnsi="Arial" w:cs="Arial"/>
          <w:color w:val="4472C4" w:themeColor="accent1"/>
          <w:sz w:val="22"/>
          <w:szCs w:val="22"/>
        </w:rPr>
        <w:t>LFC</w:t>
      </w:r>
      <w:r w:rsidRPr="00E17490">
        <w:rPr>
          <w:rFonts w:ascii="Arial" w:hAnsi="Arial" w:cs="Arial"/>
          <w:color w:val="4472C4" w:themeColor="accent1"/>
          <w:sz w:val="16"/>
          <w:szCs w:val="16"/>
          <w:vertAlign w:val="superscript"/>
        </w:rPr>
        <w:t>l</w:t>
      </w:r>
      <w:r w:rsidRPr="00E17490">
        <w:rPr>
          <w:rFonts w:ascii="Arial" w:hAnsi="Arial" w:cs="Arial"/>
          <w:i/>
          <w:iCs/>
          <w:color w:val="4472C4" w:themeColor="accent1"/>
          <w:sz w:val="16"/>
          <w:szCs w:val="16"/>
          <w:vertAlign w:val="superscript"/>
        </w:rPr>
        <w:t>.</w:t>
      </w:r>
      <w:r w:rsidRPr="00E17490">
        <w:rPr>
          <w:rFonts w:ascii="Arial" w:hAnsi="Arial" w:cs="Arial"/>
          <w:color w:val="4472C4" w:themeColor="accent1"/>
          <w:sz w:val="16"/>
          <w:szCs w:val="16"/>
          <w:vertAlign w:val="superscript"/>
        </w:rPr>
        <w:t>e</w:t>
      </w:r>
      <w:proofErr w:type="spellEnd"/>
      <w:r w:rsidRPr="00E17490">
        <w:rPr>
          <w:rFonts w:ascii="Arial" w:hAnsi="Arial" w:cs="Arial"/>
          <w:i/>
          <w:iCs/>
          <w:color w:val="4472C4" w:themeColor="accent1"/>
          <w:sz w:val="16"/>
          <w:szCs w:val="16"/>
          <w:vertAlign w:val="superscript"/>
        </w:rPr>
        <w:t>.</w:t>
      </w:r>
      <w:r w:rsidRPr="00E17490">
        <w:rPr>
          <w:rFonts w:ascii="Arial" w:hAnsi="Arial" w:cs="Arial"/>
          <w:i/>
          <w:iCs/>
          <w:color w:val="4472C4" w:themeColor="accent1"/>
          <w:sz w:val="16"/>
          <w:szCs w:val="16"/>
        </w:rPr>
        <w:t> </w:t>
      </w:r>
    </w:p>
    <w:p w14:paraId="0B44D1A6" w14:textId="77777777" w:rsidR="00DF278B" w:rsidRPr="00E17490" w:rsidRDefault="00DF278B" w:rsidP="00DF278B">
      <w:pPr>
        <w:pStyle w:val="NormalWeb"/>
        <w:spacing w:before="0" w:beforeAutospacing="0" w:after="0" w:afterAutospacing="0"/>
        <w:ind w:left="3" w:right="21"/>
        <w:jc w:val="center"/>
        <w:rPr>
          <w:color w:val="4472C4" w:themeColor="accent1"/>
        </w:rPr>
      </w:pPr>
      <w:r w:rsidRPr="00E17490">
        <w:rPr>
          <w:rFonts w:ascii="Arial" w:hAnsi="Arial" w:cs="Arial"/>
          <w:i/>
          <w:iCs/>
          <w:color w:val="4472C4" w:themeColor="accent1"/>
          <w:sz w:val="16"/>
          <w:szCs w:val="16"/>
          <w:vertAlign w:val="subscript"/>
        </w:rPr>
        <w:t>k</w:t>
      </w:r>
      <w:r w:rsidRPr="00E17490">
        <w:rPr>
          <w:rFonts w:ascii="Arial" w:hAnsi="Arial" w:cs="Arial"/>
          <w:color w:val="4472C4" w:themeColor="accent1"/>
          <w:sz w:val="22"/>
          <w:szCs w:val="22"/>
          <w:vertAlign w:val="superscript"/>
        </w:rPr>
        <w:t>(</w:t>
      </w:r>
      <w:r w:rsidRPr="00E17490">
        <w:rPr>
          <w:rFonts w:ascii="Arial" w:hAnsi="Arial" w:cs="Arial"/>
          <w:i/>
          <w:iCs/>
          <w:color w:val="4472C4" w:themeColor="accent1"/>
          <w:sz w:val="22"/>
          <w:szCs w:val="22"/>
          <w:vertAlign w:val="superscript"/>
        </w:rPr>
        <w:t>j</w:t>
      </w:r>
      <w:r w:rsidRPr="00E17490">
        <w:rPr>
          <w:rFonts w:ascii="Arial" w:hAnsi="Arial" w:cs="Arial"/>
          <w:color w:val="4472C4" w:themeColor="accent1"/>
          <w:sz w:val="22"/>
          <w:szCs w:val="22"/>
          <w:vertAlign w:val="superscript"/>
        </w:rPr>
        <w:t xml:space="preserve">), is a pairwise LFC (1) in which the topic </w:t>
      </w:r>
      <w:proofErr w:type="gramStart"/>
      <w:r w:rsidRPr="00E17490">
        <w:rPr>
          <w:rFonts w:ascii="Arial" w:hAnsi="Arial" w:cs="Arial"/>
          <w:color w:val="4472C4" w:themeColor="accent1"/>
          <w:sz w:val="22"/>
          <w:szCs w:val="22"/>
          <w:vertAlign w:val="superscript"/>
        </w:rPr>
        <w:t>appear</w:t>
      </w:r>
      <w:proofErr w:type="gramEnd"/>
      <w:r w:rsidRPr="00E17490">
        <w:rPr>
          <w:rFonts w:ascii="Arial" w:hAnsi="Arial" w:cs="Arial"/>
          <w:color w:val="4472C4" w:themeColor="accent1"/>
          <w:sz w:val="22"/>
          <w:szCs w:val="22"/>
          <w:vertAlign w:val="superscript"/>
        </w:rPr>
        <w:t xml:space="preserve"> </w:t>
      </w:r>
      <w:proofErr w:type="spellStart"/>
      <w:r w:rsidRPr="00E17490">
        <w:rPr>
          <w:rFonts w:ascii="Arial" w:hAnsi="Arial" w:cs="Arial"/>
          <w:color w:val="4472C4" w:themeColor="accent1"/>
          <w:sz w:val="22"/>
          <w:szCs w:val="22"/>
        </w:rPr>
        <w:t>ing</w:t>
      </w:r>
      <w:proofErr w:type="spellEnd"/>
      <w:r w:rsidRPr="00E17490">
        <w:rPr>
          <w:rFonts w:ascii="Arial" w:hAnsi="Arial" w:cs="Arial"/>
          <w:color w:val="4472C4" w:themeColor="accent1"/>
          <w:sz w:val="22"/>
          <w:szCs w:val="22"/>
        </w:rPr>
        <w:t xml:space="preserve"> in the denominator, topic </w:t>
      </w:r>
      <w:r w:rsidRPr="00E17490">
        <w:rPr>
          <w:rFonts w:ascii="Arial" w:hAnsi="Arial" w:cs="Arial"/>
          <w:i/>
          <w:iCs/>
          <w:color w:val="4472C4" w:themeColor="accent1"/>
          <w:sz w:val="22"/>
          <w:szCs w:val="22"/>
        </w:rPr>
        <w:t>l</w:t>
      </w:r>
      <w:r w:rsidRPr="00E17490">
        <w:rPr>
          <w:rFonts w:ascii="Arial" w:hAnsi="Arial" w:cs="Arial"/>
          <w:color w:val="4472C4" w:themeColor="accent1"/>
          <w:sz w:val="22"/>
          <w:szCs w:val="22"/>
        </w:rPr>
        <w:t xml:space="preserve">, is chosen to be the topic that produces the </w:t>
      </w:r>
      <w:r w:rsidRPr="00E17490">
        <w:rPr>
          <w:rFonts w:ascii="Arial" w:hAnsi="Arial" w:cs="Arial"/>
          <w:i/>
          <w:iCs/>
          <w:color w:val="4472C4" w:themeColor="accent1"/>
          <w:sz w:val="22"/>
          <w:szCs w:val="22"/>
        </w:rPr>
        <w:t>smallest change</w:t>
      </w:r>
      <w:r w:rsidRPr="00E17490">
        <w:rPr>
          <w:rFonts w:ascii="Arial" w:hAnsi="Arial" w:cs="Arial"/>
          <w:color w:val="4472C4" w:themeColor="accent1"/>
          <w:sz w:val="22"/>
          <w:szCs w:val="22"/>
        </w:rPr>
        <w:t xml:space="preserve">: </w:t>
      </w:r>
      <w:proofErr w:type="spellStart"/>
      <w:r w:rsidRPr="00E17490">
        <w:rPr>
          <w:rFonts w:ascii="Arial" w:hAnsi="Arial" w:cs="Arial"/>
          <w:color w:val="4472C4" w:themeColor="accent1"/>
          <w:sz w:val="22"/>
          <w:szCs w:val="22"/>
        </w:rPr>
        <w:t>LFC</w:t>
      </w:r>
      <w:r w:rsidRPr="00E17490">
        <w:rPr>
          <w:rFonts w:ascii="Arial" w:hAnsi="Arial" w:cs="Arial"/>
          <w:color w:val="4472C4" w:themeColor="accent1"/>
          <w:sz w:val="16"/>
          <w:szCs w:val="16"/>
          <w:vertAlign w:val="superscript"/>
        </w:rPr>
        <w:t>l</w:t>
      </w:r>
      <w:r w:rsidRPr="00E17490">
        <w:rPr>
          <w:rFonts w:ascii="Arial" w:hAnsi="Arial" w:cs="Arial"/>
          <w:i/>
          <w:iCs/>
          <w:color w:val="4472C4" w:themeColor="accent1"/>
          <w:sz w:val="16"/>
          <w:szCs w:val="16"/>
          <w:vertAlign w:val="superscript"/>
        </w:rPr>
        <w:t>.</w:t>
      </w:r>
      <w:r w:rsidRPr="00E17490">
        <w:rPr>
          <w:rFonts w:ascii="Arial" w:hAnsi="Arial" w:cs="Arial"/>
          <w:color w:val="4472C4" w:themeColor="accent1"/>
          <w:sz w:val="16"/>
          <w:szCs w:val="16"/>
          <w:vertAlign w:val="superscript"/>
        </w:rPr>
        <w:t>e</w:t>
      </w:r>
      <w:proofErr w:type="spellEnd"/>
      <w:r w:rsidRPr="00E17490">
        <w:rPr>
          <w:rFonts w:ascii="Arial" w:hAnsi="Arial" w:cs="Arial"/>
          <w:i/>
          <w:iCs/>
          <w:color w:val="4472C4" w:themeColor="accent1"/>
          <w:sz w:val="16"/>
          <w:szCs w:val="16"/>
          <w:vertAlign w:val="superscript"/>
        </w:rPr>
        <w:t>.</w:t>
      </w:r>
      <w:r w:rsidRPr="00E17490">
        <w:rPr>
          <w:rFonts w:ascii="Arial" w:hAnsi="Arial" w:cs="Arial"/>
          <w:i/>
          <w:iCs/>
          <w:color w:val="4472C4" w:themeColor="accent1"/>
          <w:sz w:val="16"/>
          <w:szCs w:val="16"/>
        </w:rPr>
        <w:t> </w:t>
      </w:r>
    </w:p>
    <w:p w14:paraId="6A2B7EE8" w14:textId="77777777" w:rsidR="00DF278B" w:rsidRPr="00E17490" w:rsidRDefault="00DF278B" w:rsidP="00DF278B">
      <w:pPr>
        <w:pStyle w:val="NormalWeb"/>
        <w:spacing w:before="0" w:beforeAutospacing="0" w:after="0" w:afterAutospacing="0"/>
        <w:ind w:left="2705"/>
        <w:rPr>
          <w:color w:val="4472C4" w:themeColor="accent1"/>
        </w:rPr>
      </w:pPr>
      <w:r w:rsidRPr="00E17490">
        <w:rPr>
          <w:rFonts w:ascii="Arial" w:hAnsi="Arial" w:cs="Arial"/>
          <w:i/>
          <w:iCs/>
          <w:color w:val="4472C4" w:themeColor="accent1"/>
          <w:sz w:val="16"/>
          <w:szCs w:val="16"/>
          <w:vertAlign w:val="subscript"/>
        </w:rPr>
        <w:lastRenderedPageBreak/>
        <w:t>k</w:t>
      </w:r>
      <w:r w:rsidRPr="00E17490">
        <w:rPr>
          <w:rFonts w:ascii="Arial" w:hAnsi="Arial" w:cs="Arial"/>
          <w:color w:val="4472C4" w:themeColor="accent1"/>
          <w:sz w:val="22"/>
          <w:szCs w:val="22"/>
        </w:rPr>
        <w:t>(</w:t>
      </w:r>
      <w:r w:rsidRPr="00E17490">
        <w:rPr>
          <w:rFonts w:ascii="Arial" w:hAnsi="Arial" w:cs="Arial"/>
          <w:i/>
          <w:iCs/>
          <w:color w:val="4472C4" w:themeColor="accent1"/>
          <w:sz w:val="22"/>
          <w:szCs w:val="22"/>
        </w:rPr>
        <w:t>j</w:t>
      </w:r>
      <w:proofErr w:type="gramStart"/>
      <w:r w:rsidRPr="00E17490">
        <w:rPr>
          <w:rFonts w:ascii="Arial" w:hAnsi="Arial" w:cs="Arial"/>
          <w:color w:val="4472C4" w:themeColor="accent1"/>
          <w:sz w:val="22"/>
          <w:szCs w:val="22"/>
        </w:rPr>
        <w:t>) :</w:t>
      </w:r>
      <w:proofErr w:type="gramEnd"/>
      <w:r w:rsidRPr="00E17490">
        <w:rPr>
          <w:rFonts w:ascii="Arial" w:hAnsi="Arial" w:cs="Arial"/>
          <w:color w:val="4472C4" w:themeColor="accent1"/>
          <w:sz w:val="22"/>
          <w:szCs w:val="22"/>
        </w:rPr>
        <w:t xml:space="preserve">= </w:t>
      </w:r>
      <w:proofErr w:type="spellStart"/>
      <w:r w:rsidRPr="00E17490">
        <w:rPr>
          <w:rFonts w:ascii="Arial" w:hAnsi="Arial" w:cs="Arial"/>
          <w:color w:val="4472C4" w:themeColor="accent1"/>
          <w:sz w:val="22"/>
          <w:szCs w:val="22"/>
        </w:rPr>
        <w:t>LFC</w:t>
      </w:r>
      <w:r w:rsidRPr="00E17490">
        <w:rPr>
          <w:rFonts w:ascii="Arial" w:hAnsi="Arial" w:cs="Arial"/>
          <w:i/>
          <w:iCs/>
          <w:color w:val="4472C4" w:themeColor="accent1"/>
          <w:sz w:val="16"/>
          <w:szCs w:val="16"/>
          <w:vertAlign w:val="subscript"/>
        </w:rPr>
        <w:t>k,l</w:t>
      </w:r>
      <w:proofErr w:type="spellEnd"/>
      <w:r w:rsidRPr="00E17490">
        <w:rPr>
          <w:rFonts w:ascii="Arial" w:hAnsi="Arial" w:cs="Arial"/>
          <w:color w:val="4472C4" w:themeColor="accent1"/>
          <w:sz w:val="22"/>
          <w:szCs w:val="22"/>
        </w:rPr>
        <w:t>(</w:t>
      </w:r>
      <w:r w:rsidRPr="00E17490">
        <w:rPr>
          <w:rFonts w:ascii="Arial" w:hAnsi="Arial" w:cs="Arial"/>
          <w:i/>
          <w:iCs/>
          <w:color w:val="4472C4" w:themeColor="accent1"/>
          <w:sz w:val="22"/>
          <w:szCs w:val="22"/>
        </w:rPr>
        <w:t>j</w:t>
      </w:r>
      <w:r w:rsidRPr="00E17490">
        <w:rPr>
          <w:rFonts w:ascii="Arial" w:hAnsi="Arial" w:cs="Arial"/>
          <w:color w:val="4472C4" w:themeColor="accent1"/>
          <w:sz w:val="22"/>
          <w:szCs w:val="22"/>
        </w:rPr>
        <w:t>) </w:t>
      </w:r>
      <w:r w:rsidRPr="00E17490">
        <w:rPr>
          <w:rFonts w:ascii="Arial" w:hAnsi="Arial" w:cs="Arial"/>
          <w:color w:val="4472C4" w:themeColor="accent1"/>
          <w:sz w:val="22"/>
          <w:szCs w:val="22"/>
        </w:rPr>
        <w:br/>
      </w:r>
    </w:p>
    <w:p w14:paraId="21B06D90" w14:textId="77777777" w:rsidR="00DF278B" w:rsidRPr="00E17490" w:rsidRDefault="00DF278B" w:rsidP="00DF278B">
      <w:pPr>
        <w:pStyle w:val="NormalWeb"/>
        <w:spacing w:before="57" w:beforeAutospacing="0" w:after="0" w:afterAutospacing="0"/>
        <w:rPr>
          <w:color w:val="4472C4" w:themeColor="accent1"/>
        </w:rPr>
      </w:pPr>
      <w:r w:rsidRPr="00E17490">
        <w:rPr>
          <w:rFonts w:ascii="Arial" w:hAnsi="Arial" w:cs="Arial"/>
          <w:color w:val="4472C4" w:themeColor="accent1"/>
          <w:sz w:val="22"/>
          <w:szCs w:val="22"/>
        </w:rPr>
        <w:t>(2) </w:t>
      </w:r>
    </w:p>
    <w:p w14:paraId="0867FAA4" w14:textId="77777777" w:rsidR="00DF278B" w:rsidRPr="00E17490" w:rsidRDefault="00DF278B" w:rsidP="00DF278B">
      <w:pPr>
        <w:pStyle w:val="NormalWeb"/>
        <w:spacing w:before="0" w:beforeAutospacing="0" w:after="0" w:afterAutospacing="0"/>
        <w:rPr>
          <w:color w:val="4472C4" w:themeColor="accent1"/>
        </w:rPr>
      </w:pPr>
      <w:r w:rsidRPr="00E17490">
        <w:rPr>
          <w:rFonts w:ascii="Arial" w:hAnsi="Arial" w:cs="Arial"/>
          <w:color w:val="4472C4" w:themeColor="accent1"/>
          <w:sz w:val="22"/>
          <w:szCs w:val="22"/>
        </w:rPr>
        <w:t xml:space="preserve">such that </w:t>
      </w:r>
      <w:r w:rsidRPr="00E17490">
        <w:rPr>
          <w:rFonts w:ascii="Arial" w:hAnsi="Arial" w:cs="Arial"/>
          <w:i/>
          <w:iCs/>
          <w:color w:val="4472C4" w:themeColor="accent1"/>
          <w:sz w:val="22"/>
          <w:szCs w:val="22"/>
        </w:rPr>
        <w:t xml:space="preserve">l </w:t>
      </w:r>
      <w:r w:rsidRPr="00E17490">
        <w:rPr>
          <w:rFonts w:ascii="Arial" w:hAnsi="Arial" w:cs="Arial"/>
          <w:color w:val="4472C4" w:themeColor="accent1"/>
          <w:sz w:val="22"/>
          <w:szCs w:val="22"/>
        </w:rPr>
        <w:t>= argmin</w:t>
      </w:r>
      <w:r w:rsidRPr="00E17490">
        <w:rPr>
          <w:rFonts w:ascii="Arial" w:hAnsi="Arial" w:cs="Arial"/>
          <w:i/>
          <w:iCs/>
          <w:color w:val="4472C4" w:themeColor="accent1"/>
          <w:sz w:val="16"/>
          <w:szCs w:val="16"/>
          <w:vertAlign w:val="subscript"/>
        </w:rPr>
        <w:t>l</w:t>
      </w:r>
      <w:r w:rsidRPr="00E17490">
        <w:rPr>
          <w:rFonts w:ascii="Arial" w:hAnsi="Arial" w:cs="Arial"/>
          <w:i/>
          <w:iCs/>
          <w:color w:val="4472C4" w:themeColor="accent1"/>
          <w:sz w:val="10"/>
          <w:szCs w:val="10"/>
          <w:vertAlign w:val="superscript"/>
        </w:rPr>
        <w:t>0</w:t>
      </w:r>
      <w:r w:rsidRPr="00E17490">
        <w:rPr>
          <w:rFonts w:ascii="Arial" w:hAnsi="Arial" w:cs="Arial"/>
          <w:i/>
          <w:iCs/>
          <w:color w:val="4472C4" w:themeColor="accent1"/>
          <w:sz w:val="16"/>
          <w:szCs w:val="16"/>
          <w:vertAlign w:val="subscript"/>
        </w:rPr>
        <w:t>6</w:t>
      </w:r>
      <w:r w:rsidRPr="00E17490">
        <w:rPr>
          <w:rFonts w:ascii="Arial" w:hAnsi="Arial" w:cs="Arial"/>
          <w:color w:val="4472C4" w:themeColor="accent1"/>
          <w:sz w:val="16"/>
          <w:szCs w:val="16"/>
          <w:vertAlign w:val="subscript"/>
        </w:rPr>
        <w:t>=</w:t>
      </w:r>
      <w:r w:rsidRPr="00E17490">
        <w:rPr>
          <w:rFonts w:ascii="Arial" w:hAnsi="Arial" w:cs="Arial"/>
          <w:i/>
          <w:iCs/>
          <w:color w:val="4472C4" w:themeColor="accent1"/>
          <w:sz w:val="16"/>
          <w:szCs w:val="16"/>
          <w:vertAlign w:val="subscript"/>
        </w:rPr>
        <w:t>k</w:t>
      </w:r>
      <w:r w:rsidRPr="00E17490">
        <w:rPr>
          <w:rFonts w:ascii="Arial" w:hAnsi="Arial" w:cs="Arial"/>
          <w:i/>
          <w:iCs/>
          <w:color w:val="4472C4" w:themeColor="accent1"/>
          <w:sz w:val="22"/>
          <w:szCs w:val="22"/>
        </w:rPr>
        <w:t>|</w:t>
      </w:r>
      <w:proofErr w:type="gramStart"/>
      <w:r w:rsidRPr="00E17490">
        <w:rPr>
          <w:rFonts w:ascii="Arial" w:hAnsi="Arial" w:cs="Arial"/>
          <w:color w:val="4472C4" w:themeColor="accent1"/>
          <w:sz w:val="22"/>
          <w:szCs w:val="22"/>
        </w:rPr>
        <w:t>LFC</w:t>
      </w:r>
      <w:r w:rsidRPr="00E17490">
        <w:rPr>
          <w:rFonts w:ascii="Arial" w:hAnsi="Arial" w:cs="Arial"/>
          <w:i/>
          <w:iCs/>
          <w:color w:val="4472C4" w:themeColor="accent1"/>
          <w:sz w:val="16"/>
          <w:szCs w:val="16"/>
          <w:vertAlign w:val="subscript"/>
        </w:rPr>
        <w:t>k,l</w:t>
      </w:r>
      <w:proofErr w:type="gramEnd"/>
      <w:r w:rsidRPr="00E17490">
        <w:rPr>
          <w:rFonts w:ascii="Arial" w:hAnsi="Arial" w:cs="Arial"/>
          <w:i/>
          <w:iCs/>
          <w:color w:val="4472C4" w:themeColor="accent1"/>
          <w:sz w:val="10"/>
          <w:szCs w:val="10"/>
        </w:rPr>
        <w:t xml:space="preserve">0 </w:t>
      </w:r>
      <w:r w:rsidRPr="00E17490">
        <w:rPr>
          <w:rFonts w:ascii="Arial" w:hAnsi="Arial" w:cs="Arial"/>
          <w:color w:val="4472C4" w:themeColor="accent1"/>
          <w:sz w:val="22"/>
          <w:szCs w:val="22"/>
        </w:rPr>
        <w:t>(</w:t>
      </w:r>
      <w:r w:rsidRPr="00E17490">
        <w:rPr>
          <w:rFonts w:ascii="Arial" w:hAnsi="Arial" w:cs="Arial"/>
          <w:i/>
          <w:iCs/>
          <w:color w:val="4472C4" w:themeColor="accent1"/>
          <w:sz w:val="22"/>
          <w:szCs w:val="22"/>
        </w:rPr>
        <w:t>j</w:t>
      </w:r>
      <w:r w:rsidRPr="00E17490">
        <w:rPr>
          <w:rFonts w:ascii="Arial" w:hAnsi="Arial" w:cs="Arial"/>
          <w:color w:val="4472C4" w:themeColor="accent1"/>
          <w:sz w:val="22"/>
          <w:szCs w:val="22"/>
        </w:rPr>
        <w:t>)</w:t>
      </w:r>
      <w:r w:rsidRPr="00E17490">
        <w:rPr>
          <w:rFonts w:ascii="Arial" w:hAnsi="Arial" w:cs="Arial"/>
          <w:i/>
          <w:iCs/>
          <w:color w:val="4472C4" w:themeColor="accent1"/>
          <w:sz w:val="22"/>
          <w:szCs w:val="22"/>
        </w:rPr>
        <w:t>|, </w:t>
      </w:r>
      <w:r w:rsidRPr="00E17490">
        <w:rPr>
          <w:rFonts w:ascii="Arial" w:hAnsi="Arial" w:cs="Arial"/>
          <w:i/>
          <w:iCs/>
          <w:color w:val="4472C4" w:themeColor="accent1"/>
          <w:sz w:val="22"/>
          <w:szCs w:val="22"/>
        </w:rPr>
        <w:br/>
      </w:r>
    </w:p>
    <w:p w14:paraId="18072A71" w14:textId="77777777" w:rsidR="00DF278B" w:rsidRPr="00E17490" w:rsidRDefault="00DF278B" w:rsidP="00DF278B">
      <w:pPr>
        <w:pStyle w:val="NormalWeb"/>
        <w:spacing w:before="82" w:beforeAutospacing="0" w:after="0" w:afterAutospacing="0"/>
        <w:ind w:left="2" w:right="11"/>
        <w:jc w:val="both"/>
        <w:rPr>
          <w:color w:val="4472C4" w:themeColor="accent1"/>
        </w:rPr>
      </w:pPr>
      <w:r w:rsidRPr="00E17490">
        <w:rPr>
          <w:rFonts w:ascii="Arial" w:hAnsi="Arial" w:cs="Arial"/>
          <w:color w:val="4472C4" w:themeColor="accent1"/>
          <w:sz w:val="22"/>
          <w:szCs w:val="22"/>
        </w:rPr>
        <w:t xml:space="preserve">Note that the absolute value is only inside the </w:t>
      </w:r>
      <w:proofErr w:type="spellStart"/>
      <w:r w:rsidRPr="00E17490">
        <w:rPr>
          <w:rFonts w:ascii="Arial" w:hAnsi="Arial" w:cs="Arial"/>
          <w:color w:val="4472C4" w:themeColor="accent1"/>
          <w:sz w:val="22"/>
          <w:szCs w:val="22"/>
        </w:rPr>
        <w:t>argmin</w:t>
      </w:r>
      <w:proofErr w:type="spellEnd"/>
      <w:r w:rsidRPr="00E17490">
        <w:rPr>
          <w:rFonts w:ascii="Arial" w:hAnsi="Arial" w:cs="Arial"/>
          <w:color w:val="4472C4" w:themeColor="accent1"/>
          <w:sz w:val="22"/>
          <w:szCs w:val="22"/>
        </w:rPr>
        <w:t xml:space="preserve">, which determines </w:t>
      </w:r>
      <w:r w:rsidRPr="00E17490">
        <w:rPr>
          <w:rFonts w:ascii="Arial" w:hAnsi="Arial" w:cs="Arial"/>
          <w:i/>
          <w:iCs/>
          <w:color w:val="4472C4" w:themeColor="accent1"/>
          <w:sz w:val="22"/>
          <w:szCs w:val="22"/>
        </w:rPr>
        <w:t>l</w:t>
      </w:r>
      <w:r w:rsidRPr="00E17490">
        <w:rPr>
          <w:rFonts w:ascii="Arial" w:hAnsi="Arial" w:cs="Arial"/>
          <w:color w:val="4472C4" w:themeColor="accent1"/>
          <w:sz w:val="22"/>
          <w:szCs w:val="22"/>
        </w:rPr>
        <w:t xml:space="preserve">, whereas the </w:t>
      </w:r>
      <w:proofErr w:type="spellStart"/>
      <w:r w:rsidRPr="00E17490">
        <w:rPr>
          <w:rFonts w:ascii="Arial" w:hAnsi="Arial" w:cs="Arial"/>
          <w:color w:val="4472C4" w:themeColor="accent1"/>
          <w:sz w:val="22"/>
          <w:szCs w:val="22"/>
        </w:rPr>
        <w:t>l.e.</w:t>
      </w:r>
      <w:proofErr w:type="spellEnd"/>
      <w:r w:rsidRPr="00E17490">
        <w:rPr>
          <w:rFonts w:ascii="Arial" w:hAnsi="Arial" w:cs="Arial"/>
          <w:color w:val="4472C4" w:themeColor="accent1"/>
          <w:sz w:val="22"/>
          <w:szCs w:val="22"/>
        </w:rPr>
        <w:t xml:space="preserve"> LFC retains the sign. We have added some clarification to the text in the hopes that it will help with understanding this key point: “In words, the </w:t>
      </w:r>
      <w:proofErr w:type="spellStart"/>
      <w:r w:rsidRPr="00E17490">
        <w:rPr>
          <w:rFonts w:ascii="Arial" w:hAnsi="Arial" w:cs="Arial"/>
          <w:color w:val="4472C4" w:themeColor="accent1"/>
          <w:sz w:val="22"/>
          <w:szCs w:val="22"/>
        </w:rPr>
        <w:t>l.e.</w:t>
      </w:r>
      <w:proofErr w:type="spellEnd"/>
      <w:r w:rsidRPr="00E17490">
        <w:rPr>
          <w:rFonts w:ascii="Arial" w:hAnsi="Arial" w:cs="Arial"/>
          <w:color w:val="4472C4" w:themeColor="accent1"/>
          <w:sz w:val="22"/>
          <w:szCs w:val="22"/>
        </w:rPr>
        <w:t xml:space="preserve"> LFC for topic </w:t>
      </w:r>
      <w:r w:rsidRPr="00E17490">
        <w:rPr>
          <w:rFonts w:ascii="Arial" w:hAnsi="Arial" w:cs="Arial"/>
          <w:i/>
          <w:iCs/>
          <w:color w:val="4472C4" w:themeColor="accent1"/>
          <w:sz w:val="22"/>
          <w:szCs w:val="22"/>
        </w:rPr>
        <w:t xml:space="preserve">k </w:t>
      </w:r>
      <w:r w:rsidRPr="00E17490">
        <w:rPr>
          <w:rFonts w:ascii="Arial" w:hAnsi="Arial" w:cs="Arial"/>
          <w:color w:val="4472C4" w:themeColor="accent1"/>
          <w:sz w:val="22"/>
          <w:szCs w:val="22"/>
        </w:rPr>
        <w:t xml:space="preserve">is the LFC comparing topics </w:t>
      </w:r>
      <w:r w:rsidRPr="00E17490">
        <w:rPr>
          <w:rFonts w:ascii="Arial" w:hAnsi="Arial" w:cs="Arial"/>
          <w:i/>
          <w:iCs/>
          <w:color w:val="4472C4" w:themeColor="accent1"/>
          <w:sz w:val="22"/>
          <w:szCs w:val="22"/>
        </w:rPr>
        <w:t xml:space="preserve">k </w:t>
      </w:r>
      <w:r w:rsidRPr="00E17490">
        <w:rPr>
          <w:rFonts w:ascii="Arial" w:hAnsi="Arial" w:cs="Arial"/>
          <w:color w:val="4472C4" w:themeColor="accent1"/>
          <w:sz w:val="22"/>
          <w:szCs w:val="22"/>
        </w:rPr>
        <w:t xml:space="preserve">and </w:t>
      </w:r>
      <w:r w:rsidRPr="00E17490">
        <w:rPr>
          <w:rFonts w:ascii="Arial" w:hAnsi="Arial" w:cs="Arial"/>
          <w:i/>
          <w:iCs/>
          <w:color w:val="4472C4" w:themeColor="accent1"/>
          <w:sz w:val="22"/>
          <w:szCs w:val="22"/>
        </w:rPr>
        <w:t>l</w:t>
      </w:r>
      <w:r w:rsidRPr="00E17490">
        <w:rPr>
          <w:rFonts w:ascii="Arial" w:hAnsi="Arial" w:cs="Arial"/>
          <w:color w:val="4472C4" w:themeColor="accent1"/>
          <w:sz w:val="22"/>
          <w:szCs w:val="22"/>
        </w:rPr>
        <w:t xml:space="preserve">, in which </w:t>
      </w:r>
      <w:r w:rsidRPr="00E17490">
        <w:rPr>
          <w:rFonts w:ascii="Arial" w:hAnsi="Arial" w:cs="Arial"/>
          <w:i/>
          <w:iCs/>
          <w:color w:val="4472C4" w:themeColor="accent1"/>
          <w:sz w:val="22"/>
          <w:szCs w:val="22"/>
        </w:rPr>
        <w:t xml:space="preserve">l </w:t>
      </w:r>
      <w:r w:rsidRPr="00E17490">
        <w:rPr>
          <w:rFonts w:ascii="Arial" w:hAnsi="Arial" w:cs="Arial"/>
          <w:color w:val="4472C4" w:themeColor="accent1"/>
          <w:sz w:val="22"/>
          <w:szCs w:val="22"/>
        </w:rPr>
        <w:t>is chosen to be topic that results in the smallest change (hence ‘least extreme’).” </w:t>
      </w:r>
    </w:p>
    <w:p w14:paraId="65F3E1C1" w14:textId="77777777" w:rsidR="00DF278B" w:rsidRPr="00E17490" w:rsidRDefault="00DF278B" w:rsidP="00DF278B">
      <w:pPr>
        <w:pStyle w:val="NormalWeb"/>
        <w:spacing w:before="7" w:beforeAutospacing="0" w:after="0" w:afterAutospacing="0"/>
        <w:ind w:right="11" w:firstLine="242"/>
        <w:jc w:val="both"/>
        <w:rPr>
          <w:color w:val="4472C4" w:themeColor="accent1"/>
        </w:rPr>
      </w:pPr>
      <w:r w:rsidRPr="00E17490">
        <w:rPr>
          <w:rFonts w:ascii="Arial" w:hAnsi="Arial" w:cs="Arial"/>
          <w:color w:val="4472C4" w:themeColor="accent1"/>
          <w:sz w:val="22"/>
          <w:szCs w:val="22"/>
        </w:rPr>
        <w:t xml:space="preserve">In the paper, we focus on identifying “distinctive genes”—a distinctive gene is one in which its expression is significantly different from its expression </w:t>
      </w:r>
      <w:r w:rsidRPr="00E17490">
        <w:rPr>
          <w:rFonts w:ascii="Arial" w:hAnsi="Arial" w:cs="Arial"/>
          <w:i/>
          <w:iCs/>
          <w:color w:val="4472C4" w:themeColor="accent1"/>
          <w:sz w:val="22"/>
          <w:szCs w:val="22"/>
        </w:rPr>
        <w:t xml:space="preserve">in all other topics. </w:t>
      </w:r>
      <w:r w:rsidRPr="00E17490">
        <w:rPr>
          <w:rFonts w:ascii="Arial" w:hAnsi="Arial" w:cs="Arial"/>
          <w:color w:val="4472C4" w:themeColor="accent1"/>
          <w:sz w:val="22"/>
          <w:szCs w:val="22"/>
        </w:rPr>
        <w:t xml:space="preserve">Typically, this will be a gene that is strongly overexpressed or strongly </w:t>
      </w:r>
      <w:proofErr w:type="spellStart"/>
      <w:r w:rsidRPr="00E17490">
        <w:rPr>
          <w:rFonts w:ascii="Arial" w:hAnsi="Arial" w:cs="Arial"/>
          <w:color w:val="4472C4" w:themeColor="accent1"/>
          <w:sz w:val="22"/>
          <w:szCs w:val="22"/>
        </w:rPr>
        <w:t>underexpressed</w:t>
      </w:r>
      <w:proofErr w:type="spellEnd"/>
      <w:r w:rsidRPr="00E17490">
        <w:rPr>
          <w:rFonts w:ascii="Arial" w:hAnsi="Arial" w:cs="Arial"/>
          <w:color w:val="4472C4" w:themeColor="accent1"/>
          <w:sz w:val="22"/>
          <w:szCs w:val="22"/>
        </w:rPr>
        <w:t xml:space="preserve"> in one topic. The reviewer’s example, with topics A, B and C, is an example in which this approach may not work so well, and one might prefer a different approach to measuring LFC. We have noted in the Methods (“Estimation of log-fold change”) that the </w:t>
      </w:r>
      <w:proofErr w:type="spellStart"/>
      <w:r w:rsidRPr="00E17490">
        <w:rPr>
          <w:rFonts w:ascii="Arial" w:hAnsi="Arial" w:cs="Arial"/>
          <w:color w:val="4472C4" w:themeColor="accent1"/>
          <w:sz w:val="22"/>
          <w:szCs w:val="22"/>
        </w:rPr>
        <w:t>GoM</w:t>
      </w:r>
      <w:proofErr w:type="spellEnd"/>
      <w:r w:rsidRPr="00E17490">
        <w:rPr>
          <w:rFonts w:ascii="Arial" w:hAnsi="Arial" w:cs="Arial"/>
          <w:color w:val="4472C4" w:themeColor="accent1"/>
          <w:sz w:val="22"/>
          <w:szCs w:val="22"/>
        </w:rPr>
        <w:t xml:space="preserve"> DE analysis framework is quite general, and in some </w:t>
      </w:r>
      <w:proofErr w:type="gramStart"/>
      <w:r w:rsidRPr="00E17490">
        <w:rPr>
          <w:rFonts w:ascii="Arial" w:hAnsi="Arial" w:cs="Arial"/>
          <w:color w:val="4472C4" w:themeColor="accent1"/>
          <w:sz w:val="22"/>
          <w:szCs w:val="22"/>
        </w:rPr>
        <w:t>settings</w:t>
      </w:r>
      <w:proofErr w:type="gramEnd"/>
      <w:r w:rsidRPr="00E17490">
        <w:rPr>
          <w:rFonts w:ascii="Arial" w:hAnsi="Arial" w:cs="Arial"/>
          <w:color w:val="4472C4" w:themeColor="accent1"/>
          <w:sz w:val="22"/>
          <w:szCs w:val="22"/>
        </w:rPr>
        <w:t xml:space="preserve"> one may prefer approaches other than the </w:t>
      </w:r>
      <w:proofErr w:type="spellStart"/>
      <w:r w:rsidRPr="00E17490">
        <w:rPr>
          <w:rFonts w:ascii="Arial" w:hAnsi="Arial" w:cs="Arial"/>
          <w:color w:val="4472C4" w:themeColor="accent1"/>
          <w:sz w:val="22"/>
          <w:szCs w:val="22"/>
        </w:rPr>
        <w:t>l.e.</w:t>
      </w:r>
      <w:proofErr w:type="spellEnd"/>
      <w:r w:rsidRPr="00E17490">
        <w:rPr>
          <w:rFonts w:ascii="Arial" w:hAnsi="Arial" w:cs="Arial"/>
          <w:color w:val="4472C4" w:themeColor="accent1"/>
          <w:sz w:val="22"/>
          <w:szCs w:val="22"/>
        </w:rPr>
        <w:t xml:space="preserve"> LFC. Two alternatives to the </w:t>
      </w:r>
      <w:proofErr w:type="spellStart"/>
      <w:r w:rsidRPr="00E17490">
        <w:rPr>
          <w:rFonts w:ascii="Arial" w:hAnsi="Arial" w:cs="Arial"/>
          <w:color w:val="4472C4" w:themeColor="accent1"/>
          <w:sz w:val="22"/>
          <w:szCs w:val="22"/>
        </w:rPr>
        <w:t>l.e.</w:t>
      </w:r>
      <w:proofErr w:type="spellEnd"/>
      <w:r w:rsidRPr="00E17490">
        <w:rPr>
          <w:rFonts w:ascii="Arial" w:hAnsi="Arial" w:cs="Arial"/>
          <w:color w:val="4472C4" w:themeColor="accent1"/>
          <w:sz w:val="22"/>
          <w:szCs w:val="22"/>
        </w:rPr>
        <w:t xml:space="preserve"> LFC are implemented in </w:t>
      </w:r>
      <w:proofErr w:type="spellStart"/>
      <w:r w:rsidRPr="00E17490">
        <w:rPr>
          <w:rFonts w:ascii="Arial" w:hAnsi="Arial" w:cs="Arial"/>
          <w:color w:val="4472C4" w:themeColor="accent1"/>
          <w:sz w:val="20"/>
          <w:szCs w:val="20"/>
        </w:rPr>
        <w:t>fastTopics</w:t>
      </w:r>
      <w:proofErr w:type="spellEnd"/>
      <w:r w:rsidRPr="00E17490">
        <w:rPr>
          <w:rFonts w:ascii="Arial" w:hAnsi="Arial" w:cs="Arial"/>
          <w:color w:val="4472C4" w:themeColor="accent1"/>
          <w:sz w:val="20"/>
          <w:szCs w:val="20"/>
        </w:rPr>
        <w:t xml:space="preserve"> </w:t>
      </w:r>
      <w:r w:rsidRPr="00E17490">
        <w:rPr>
          <w:rFonts w:ascii="Arial" w:hAnsi="Arial" w:cs="Arial"/>
          <w:color w:val="4472C4" w:themeColor="accent1"/>
          <w:sz w:val="22"/>
          <w:szCs w:val="22"/>
        </w:rPr>
        <w:t>R package. </w:t>
      </w:r>
    </w:p>
    <w:p w14:paraId="58288580" w14:textId="77777777" w:rsidR="00DF278B" w:rsidRDefault="00DF278B" w:rsidP="00DF278B">
      <w:pPr>
        <w:pStyle w:val="NormalWeb"/>
        <w:spacing w:before="136" w:beforeAutospacing="0" w:after="0" w:afterAutospacing="0"/>
        <w:ind w:right="11" w:firstLine="10"/>
        <w:jc w:val="both"/>
      </w:pPr>
      <w:r>
        <w:rPr>
          <w:rFonts w:ascii="Arial" w:hAnsi="Arial" w:cs="Arial"/>
          <w:color w:val="000000"/>
          <w:sz w:val="22"/>
          <w:szCs w:val="22"/>
        </w:rPr>
        <w:t xml:space="preserve">Comment 3: Comparison to frequentist method. While we believe DE across topics to be a worthwhile </w:t>
      </w:r>
      <w:proofErr w:type="spellStart"/>
      <w:r>
        <w:rPr>
          <w:rFonts w:ascii="Arial" w:hAnsi="Arial" w:cs="Arial"/>
          <w:color w:val="000000"/>
          <w:sz w:val="22"/>
          <w:szCs w:val="22"/>
        </w:rPr>
        <w:t>endeavor</w:t>
      </w:r>
      <w:proofErr w:type="spellEnd"/>
      <w:r>
        <w:rPr>
          <w:rFonts w:ascii="Arial" w:hAnsi="Arial" w:cs="Arial"/>
          <w:color w:val="000000"/>
          <w:sz w:val="22"/>
          <w:szCs w:val="22"/>
        </w:rPr>
        <w:t xml:space="preserve">, we believe that the paper would be strengthened by better </w:t>
      </w:r>
      <w:proofErr w:type="spellStart"/>
      <w:r>
        <w:rPr>
          <w:rFonts w:ascii="Arial" w:hAnsi="Arial" w:cs="Arial"/>
          <w:color w:val="000000"/>
          <w:sz w:val="22"/>
          <w:szCs w:val="22"/>
        </w:rPr>
        <w:t>moti</w:t>
      </w:r>
      <w:proofErr w:type="spellEnd"/>
      <w:r>
        <w:rPr>
          <w:rFonts w:ascii="Arial" w:hAnsi="Arial" w:cs="Arial"/>
          <w:color w:val="000000"/>
          <w:sz w:val="22"/>
          <w:szCs w:val="22"/>
        </w:rPr>
        <w:t xml:space="preserve"> </w:t>
      </w:r>
      <w:proofErr w:type="spellStart"/>
      <w:r>
        <w:rPr>
          <w:rFonts w:ascii="Arial" w:hAnsi="Arial" w:cs="Arial"/>
          <w:color w:val="000000"/>
          <w:sz w:val="22"/>
          <w:szCs w:val="22"/>
        </w:rPr>
        <w:t>vating</w:t>
      </w:r>
      <w:proofErr w:type="spellEnd"/>
      <w:r>
        <w:rPr>
          <w:rFonts w:ascii="Arial" w:hAnsi="Arial" w:cs="Arial"/>
          <w:color w:val="000000"/>
          <w:sz w:val="22"/>
          <w:szCs w:val="22"/>
        </w:rPr>
        <w:t xml:space="preserve"> the use of a Bayesian method for computing </w:t>
      </w:r>
      <w:proofErr w:type="spellStart"/>
      <w:r>
        <w:rPr>
          <w:rFonts w:ascii="Arial" w:hAnsi="Arial" w:cs="Arial"/>
          <w:color w:val="000000"/>
          <w:sz w:val="22"/>
          <w:szCs w:val="22"/>
        </w:rPr>
        <w:t>l.e.</w:t>
      </w:r>
      <w:proofErr w:type="spellEnd"/>
      <w:r>
        <w:rPr>
          <w:rFonts w:ascii="Arial" w:hAnsi="Arial" w:cs="Arial"/>
          <w:color w:val="000000"/>
          <w:sz w:val="22"/>
          <w:szCs w:val="22"/>
        </w:rPr>
        <w:t xml:space="preserve"> LFC. For example, one can consider simpler DE metrics computed directly based off the MLE or based </w:t>
      </w:r>
      <w:proofErr w:type="gramStart"/>
      <w:r>
        <w:rPr>
          <w:rFonts w:ascii="Arial" w:hAnsi="Arial" w:cs="Arial"/>
          <w:color w:val="000000"/>
          <w:sz w:val="22"/>
          <w:szCs w:val="22"/>
        </w:rPr>
        <w:t>off of</w:t>
      </w:r>
      <w:proofErr w:type="gramEnd"/>
      <w:r>
        <w:rPr>
          <w:rFonts w:ascii="Arial" w:hAnsi="Arial" w:cs="Arial"/>
          <w:color w:val="000000"/>
          <w:sz w:val="22"/>
          <w:szCs w:val="22"/>
        </w:rPr>
        <w:t xml:space="preserve"> MLE + fisher </w:t>
      </w:r>
      <w:proofErr w:type="spellStart"/>
      <w:r>
        <w:rPr>
          <w:rFonts w:ascii="Arial" w:hAnsi="Arial" w:cs="Arial"/>
          <w:color w:val="000000"/>
          <w:sz w:val="22"/>
          <w:szCs w:val="22"/>
        </w:rPr>
        <w:t>infor</w:t>
      </w:r>
      <w:proofErr w:type="spellEnd"/>
      <w:r>
        <w:rPr>
          <w:rFonts w:ascii="Arial" w:hAnsi="Arial" w:cs="Arial"/>
          <w:color w:val="000000"/>
          <w:sz w:val="22"/>
          <w:szCs w:val="22"/>
        </w:rPr>
        <w:t xml:space="preserve"> </w:t>
      </w:r>
      <w:proofErr w:type="spellStart"/>
      <w:r>
        <w:rPr>
          <w:rFonts w:ascii="Arial" w:hAnsi="Arial" w:cs="Arial"/>
          <w:color w:val="000000"/>
          <w:sz w:val="22"/>
          <w:szCs w:val="22"/>
        </w:rPr>
        <w:t>mation</w:t>
      </w:r>
      <w:proofErr w:type="spellEnd"/>
      <w:r>
        <w:rPr>
          <w:rFonts w:ascii="Arial" w:hAnsi="Arial" w:cs="Arial"/>
          <w:color w:val="000000"/>
          <w:sz w:val="22"/>
          <w:szCs w:val="22"/>
        </w:rPr>
        <w:t xml:space="preserve"> matrix. It would be great if the authors could provide additional analyses that clearly demonstrate the necessity of the Bayesian approach.</w:t>
      </w:r>
    </w:p>
    <w:p w14:paraId="5138152B" w14:textId="77777777" w:rsidR="00DF278B" w:rsidRPr="00E17490" w:rsidRDefault="00DF278B" w:rsidP="00DF278B">
      <w:pPr>
        <w:pStyle w:val="NormalWeb"/>
        <w:spacing w:before="226" w:beforeAutospacing="0" w:after="0" w:afterAutospacing="0"/>
        <w:ind w:left="2" w:right="11" w:firstLine="5"/>
        <w:jc w:val="both"/>
        <w:rPr>
          <w:color w:val="4472C4" w:themeColor="accent1"/>
        </w:rPr>
      </w:pPr>
      <w:r w:rsidRPr="00E17490">
        <w:rPr>
          <w:rFonts w:ascii="Arial" w:hAnsi="Arial" w:cs="Arial"/>
          <w:color w:val="4472C4" w:themeColor="accent1"/>
          <w:sz w:val="22"/>
          <w:szCs w:val="22"/>
        </w:rPr>
        <w:t xml:space="preserve">Our response. We believe the reviewer’s comment about the use of a “Bayesian method” is mainly about the choice of computational approach—in particular, the use of MCMC instead of a less computationally burdensome approach, for example, as the reviewer suggested, a method based on a Laplace (normal) approximation to the likelihood at the MLE. Indeed, the approach that the reviewer suggested would be the preferred approach, and it is in fact the first approach we implemented. This approach is also convenient as it is already implemented by the </w:t>
      </w:r>
      <w:proofErr w:type="spellStart"/>
      <w:r w:rsidRPr="00E17490">
        <w:rPr>
          <w:rFonts w:ascii="Arial" w:hAnsi="Arial" w:cs="Arial"/>
          <w:color w:val="4472C4" w:themeColor="accent1"/>
          <w:sz w:val="22"/>
          <w:szCs w:val="22"/>
        </w:rPr>
        <w:t>glm</w:t>
      </w:r>
      <w:proofErr w:type="spellEnd"/>
      <w:r w:rsidRPr="00E17490">
        <w:rPr>
          <w:rFonts w:ascii="Arial" w:hAnsi="Arial" w:cs="Arial"/>
          <w:color w:val="4472C4" w:themeColor="accent1"/>
          <w:sz w:val="22"/>
          <w:szCs w:val="22"/>
        </w:rPr>
        <w:t xml:space="preserve"> function in R with family = </w:t>
      </w:r>
      <w:proofErr w:type="spellStart"/>
      <w:proofErr w:type="gramStart"/>
      <w:r w:rsidRPr="00E17490">
        <w:rPr>
          <w:rFonts w:ascii="Arial" w:hAnsi="Arial" w:cs="Arial"/>
          <w:color w:val="4472C4" w:themeColor="accent1"/>
          <w:sz w:val="22"/>
          <w:szCs w:val="22"/>
        </w:rPr>
        <w:t>poisson</w:t>
      </w:r>
      <w:proofErr w:type="spellEnd"/>
      <w:r w:rsidRPr="00E17490">
        <w:rPr>
          <w:rFonts w:ascii="Arial" w:hAnsi="Arial" w:cs="Arial"/>
          <w:color w:val="4472C4" w:themeColor="accent1"/>
          <w:sz w:val="22"/>
          <w:szCs w:val="22"/>
        </w:rPr>
        <w:t>(</w:t>
      </w:r>
      <w:proofErr w:type="gramEnd"/>
      <w:r w:rsidRPr="00E17490">
        <w:rPr>
          <w:rFonts w:ascii="Arial" w:hAnsi="Arial" w:cs="Arial"/>
          <w:color w:val="4472C4" w:themeColor="accent1"/>
          <w:sz w:val="22"/>
          <w:szCs w:val="22"/>
        </w:rPr>
        <w:t>link = “identity”). However, two factors led us to consider a better approach. </w:t>
      </w:r>
    </w:p>
    <w:p w14:paraId="6F90EFC1" w14:textId="77777777" w:rsidR="00DF278B" w:rsidRPr="00E17490" w:rsidRDefault="00DF278B" w:rsidP="00DF278B">
      <w:pPr>
        <w:pStyle w:val="NormalWeb"/>
        <w:spacing w:before="7" w:beforeAutospacing="0" w:after="0" w:afterAutospacing="0"/>
        <w:ind w:right="11" w:firstLine="242"/>
        <w:jc w:val="both"/>
        <w:rPr>
          <w:color w:val="4472C4" w:themeColor="accent1"/>
        </w:rPr>
      </w:pPr>
      <w:r w:rsidRPr="00E17490">
        <w:rPr>
          <w:rFonts w:ascii="Arial" w:hAnsi="Arial" w:cs="Arial"/>
          <w:color w:val="4472C4" w:themeColor="accent1"/>
          <w:sz w:val="22"/>
          <w:szCs w:val="22"/>
        </w:rPr>
        <w:t xml:space="preserve">The first factor was that confidence intervals for the model parameters </w:t>
      </w:r>
      <w:proofErr w:type="spellStart"/>
      <w:r w:rsidRPr="00E17490">
        <w:rPr>
          <w:rFonts w:ascii="Arial" w:hAnsi="Arial" w:cs="Arial"/>
          <w:i/>
          <w:iCs/>
          <w:color w:val="4472C4" w:themeColor="accent1"/>
          <w:sz w:val="22"/>
          <w:szCs w:val="22"/>
        </w:rPr>
        <w:t>p</w:t>
      </w:r>
      <w:r w:rsidRPr="00E17490">
        <w:rPr>
          <w:rFonts w:ascii="Arial" w:hAnsi="Arial" w:cs="Arial"/>
          <w:i/>
          <w:iCs/>
          <w:color w:val="4472C4" w:themeColor="accent1"/>
          <w:sz w:val="16"/>
          <w:szCs w:val="16"/>
          <w:vertAlign w:val="subscript"/>
        </w:rPr>
        <w:t>jk</w:t>
      </w:r>
      <w:proofErr w:type="spellEnd"/>
      <w:r w:rsidRPr="00E17490">
        <w:rPr>
          <w:rFonts w:ascii="Arial" w:hAnsi="Arial" w:cs="Arial"/>
          <w:i/>
          <w:iCs/>
          <w:color w:val="4472C4" w:themeColor="accent1"/>
          <w:sz w:val="16"/>
          <w:szCs w:val="16"/>
          <w:vertAlign w:val="subscript"/>
        </w:rPr>
        <w:t xml:space="preserve"> </w:t>
      </w:r>
      <w:r w:rsidRPr="00E17490">
        <w:rPr>
          <w:rFonts w:ascii="Arial" w:hAnsi="Arial" w:cs="Arial"/>
          <w:color w:val="4472C4" w:themeColor="accent1"/>
          <w:sz w:val="22"/>
          <w:szCs w:val="22"/>
        </w:rPr>
        <w:t xml:space="preserve">were sometimes severely underestimated, leading to false-positive DE genes. The reason for this was the inadequacy of the normal approximation in some cases, </w:t>
      </w:r>
      <w:proofErr w:type="gramStart"/>
      <w:r w:rsidRPr="00E17490">
        <w:rPr>
          <w:rFonts w:ascii="Arial" w:hAnsi="Arial" w:cs="Arial"/>
          <w:color w:val="4472C4" w:themeColor="accent1"/>
          <w:sz w:val="22"/>
          <w:szCs w:val="22"/>
        </w:rPr>
        <w:t>in particular for</w:t>
      </w:r>
      <w:proofErr w:type="gramEnd"/>
      <w:r w:rsidRPr="00E17490">
        <w:rPr>
          <w:rFonts w:ascii="Arial" w:hAnsi="Arial" w:cs="Arial"/>
          <w:color w:val="4472C4" w:themeColor="accent1"/>
          <w:sz w:val="22"/>
          <w:szCs w:val="22"/>
        </w:rPr>
        <w:t xml:space="preserve"> genes with very low expression. (The inadequacy of the normal approximation has been the topic of several recent papers on statistical methods for genome-wide association studies, e.g., Dey et al. 2017.) It is unclear to us why this issue hasn’t been mentioned or discussed in the differential expression analysis literature, at least as far as we have seen, but this appears to be an underappreciated or under-discussed issue. </w:t>
      </w:r>
    </w:p>
    <w:p w14:paraId="264AB6DA" w14:textId="77777777" w:rsidR="00DF278B" w:rsidRPr="00E17490" w:rsidRDefault="00DF278B" w:rsidP="00DF278B">
      <w:pPr>
        <w:pStyle w:val="NormalWeb"/>
        <w:spacing w:before="11" w:beforeAutospacing="0" w:after="0" w:afterAutospacing="0"/>
        <w:ind w:left="1" w:right="11" w:firstLine="241"/>
        <w:jc w:val="both"/>
        <w:rPr>
          <w:color w:val="4472C4" w:themeColor="accent1"/>
        </w:rPr>
      </w:pPr>
      <w:r w:rsidRPr="00E17490">
        <w:rPr>
          <w:rFonts w:ascii="Arial" w:hAnsi="Arial" w:cs="Arial"/>
          <w:color w:val="4472C4" w:themeColor="accent1"/>
          <w:sz w:val="22"/>
          <w:szCs w:val="22"/>
        </w:rPr>
        <w:t xml:space="preserve">The second factor was that our </w:t>
      </w:r>
      <w:proofErr w:type="gramStart"/>
      <w:r w:rsidRPr="00E17490">
        <w:rPr>
          <w:rFonts w:ascii="Arial" w:hAnsi="Arial" w:cs="Arial"/>
          <w:color w:val="4472C4" w:themeColor="accent1"/>
          <w:sz w:val="22"/>
          <w:szCs w:val="22"/>
        </w:rPr>
        <w:t>ultimate goal</w:t>
      </w:r>
      <w:proofErr w:type="gramEnd"/>
      <w:r w:rsidRPr="00E17490">
        <w:rPr>
          <w:rFonts w:ascii="Arial" w:hAnsi="Arial" w:cs="Arial"/>
          <w:color w:val="4472C4" w:themeColor="accent1"/>
          <w:sz w:val="22"/>
          <w:szCs w:val="22"/>
        </w:rPr>
        <w:t xml:space="preserve"> was to obtain measures of uncertainty for the main quantities of interest—the </w:t>
      </w:r>
      <w:proofErr w:type="spellStart"/>
      <w:r w:rsidRPr="00E17490">
        <w:rPr>
          <w:rFonts w:ascii="Arial" w:hAnsi="Arial" w:cs="Arial"/>
          <w:color w:val="4472C4" w:themeColor="accent1"/>
          <w:sz w:val="22"/>
          <w:szCs w:val="22"/>
        </w:rPr>
        <w:t>l.e.</w:t>
      </w:r>
      <w:proofErr w:type="spellEnd"/>
      <w:r w:rsidRPr="00E17490">
        <w:rPr>
          <w:rFonts w:ascii="Arial" w:hAnsi="Arial" w:cs="Arial"/>
          <w:color w:val="4472C4" w:themeColor="accent1"/>
          <w:sz w:val="22"/>
          <w:szCs w:val="22"/>
        </w:rPr>
        <w:t xml:space="preserve"> LFCs—and it was unclear how to translate the analytical computations of confidence intervals for the </w:t>
      </w:r>
      <w:proofErr w:type="spellStart"/>
      <w:r w:rsidRPr="00E17490">
        <w:rPr>
          <w:rFonts w:ascii="Arial" w:hAnsi="Arial" w:cs="Arial"/>
          <w:i/>
          <w:iCs/>
          <w:color w:val="4472C4" w:themeColor="accent1"/>
          <w:sz w:val="22"/>
          <w:szCs w:val="22"/>
        </w:rPr>
        <w:t>p</w:t>
      </w:r>
      <w:r w:rsidRPr="00E17490">
        <w:rPr>
          <w:rFonts w:ascii="Arial" w:hAnsi="Arial" w:cs="Arial"/>
          <w:i/>
          <w:iCs/>
          <w:color w:val="4472C4" w:themeColor="accent1"/>
          <w:sz w:val="16"/>
          <w:szCs w:val="16"/>
          <w:vertAlign w:val="subscript"/>
        </w:rPr>
        <w:t>jk</w:t>
      </w:r>
      <w:r w:rsidRPr="00E17490">
        <w:rPr>
          <w:rFonts w:ascii="Arial" w:hAnsi="Arial" w:cs="Arial"/>
          <w:color w:val="4472C4" w:themeColor="accent1"/>
          <w:sz w:val="22"/>
          <w:szCs w:val="22"/>
        </w:rPr>
        <w:t>’s</w:t>
      </w:r>
      <w:proofErr w:type="spellEnd"/>
      <w:r w:rsidRPr="00E17490">
        <w:rPr>
          <w:rFonts w:ascii="Arial" w:hAnsi="Arial" w:cs="Arial"/>
          <w:color w:val="4472C4" w:themeColor="accent1"/>
          <w:sz w:val="22"/>
          <w:szCs w:val="22"/>
        </w:rPr>
        <w:t xml:space="preserve"> to confidence intervals for the </w:t>
      </w:r>
      <w:proofErr w:type="spellStart"/>
      <w:r w:rsidRPr="00E17490">
        <w:rPr>
          <w:rFonts w:ascii="Arial" w:hAnsi="Arial" w:cs="Arial"/>
          <w:color w:val="4472C4" w:themeColor="accent1"/>
          <w:sz w:val="22"/>
          <w:szCs w:val="22"/>
        </w:rPr>
        <w:t>l.e.</w:t>
      </w:r>
      <w:proofErr w:type="spellEnd"/>
      <w:r w:rsidRPr="00E17490">
        <w:rPr>
          <w:rFonts w:ascii="Arial" w:hAnsi="Arial" w:cs="Arial"/>
          <w:color w:val="4472C4" w:themeColor="accent1"/>
          <w:sz w:val="22"/>
          <w:szCs w:val="22"/>
        </w:rPr>
        <w:t xml:space="preserve"> LFCs without making further approximations or simplifications. Consider that the </w:t>
      </w:r>
      <w:proofErr w:type="spellStart"/>
      <w:r w:rsidRPr="00E17490">
        <w:rPr>
          <w:rFonts w:ascii="Arial" w:hAnsi="Arial" w:cs="Arial"/>
          <w:color w:val="4472C4" w:themeColor="accent1"/>
          <w:sz w:val="22"/>
          <w:szCs w:val="22"/>
        </w:rPr>
        <w:t>l.e.</w:t>
      </w:r>
      <w:proofErr w:type="spellEnd"/>
      <w:r w:rsidRPr="00E17490">
        <w:rPr>
          <w:rFonts w:ascii="Arial" w:hAnsi="Arial" w:cs="Arial"/>
          <w:color w:val="4472C4" w:themeColor="accent1"/>
          <w:sz w:val="22"/>
          <w:szCs w:val="22"/>
        </w:rPr>
        <w:t xml:space="preserve"> LFCs do not have a simple linear relationship to the expression levels </w:t>
      </w:r>
      <w:proofErr w:type="spellStart"/>
      <w:r w:rsidRPr="00E17490">
        <w:rPr>
          <w:rFonts w:ascii="Arial" w:hAnsi="Arial" w:cs="Arial"/>
          <w:i/>
          <w:iCs/>
          <w:color w:val="4472C4" w:themeColor="accent1"/>
          <w:sz w:val="22"/>
          <w:szCs w:val="22"/>
        </w:rPr>
        <w:t>p</w:t>
      </w:r>
      <w:r w:rsidRPr="00E17490">
        <w:rPr>
          <w:rFonts w:ascii="Arial" w:hAnsi="Arial" w:cs="Arial"/>
          <w:i/>
          <w:iCs/>
          <w:color w:val="4472C4" w:themeColor="accent1"/>
          <w:sz w:val="16"/>
          <w:szCs w:val="16"/>
          <w:vertAlign w:val="subscript"/>
        </w:rPr>
        <w:t>jk</w:t>
      </w:r>
      <w:proofErr w:type="spellEnd"/>
      <w:r w:rsidRPr="00E17490">
        <w:rPr>
          <w:rFonts w:ascii="Arial" w:hAnsi="Arial" w:cs="Arial"/>
          <w:color w:val="4472C4" w:themeColor="accent1"/>
          <w:sz w:val="22"/>
          <w:szCs w:val="22"/>
        </w:rPr>
        <w:t xml:space="preserve">, but instead involve an </w:t>
      </w:r>
      <w:proofErr w:type="spellStart"/>
      <w:r w:rsidRPr="00E17490">
        <w:rPr>
          <w:rFonts w:ascii="Arial" w:hAnsi="Arial" w:cs="Arial"/>
          <w:color w:val="4472C4" w:themeColor="accent1"/>
          <w:sz w:val="22"/>
          <w:szCs w:val="22"/>
        </w:rPr>
        <w:t>argmin</w:t>
      </w:r>
      <w:proofErr w:type="spellEnd"/>
      <w:r w:rsidRPr="00E17490">
        <w:rPr>
          <w:rFonts w:ascii="Arial" w:hAnsi="Arial" w:cs="Arial"/>
          <w:color w:val="4472C4" w:themeColor="accent1"/>
          <w:sz w:val="22"/>
          <w:szCs w:val="22"/>
        </w:rPr>
        <w:t xml:space="preserve"> operation, which makes analytical solutions particularly difficult to come by. </w:t>
      </w:r>
    </w:p>
    <w:p w14:paraId="1B5586DD" w14:textId="77777777" w:rsidR="00DF278B" w:rsidRPr="00E17490" w:rsidRDefault="00DF278B" w:rsidP="00DF278B">
      <w:pPr>
        <w:pStyle w:val="NormalWeb"/>
        <w:spacing w:before="19" w:beforeAutospacing="0" w:after="0" w:afterAutospacing="0"/>
        <w:ind w:right="11" w:firstLine="241"/>
        <w:jc w:val="both"/>
        <w:rPr>
          <w:color w:val="4472C4" w:themeColor="accent1"/>
        </w:rPr>
      </w:pPr>
      <w:r w:rsidRPr="00E17490">
        <w:rPr>
          <w:rFonts w:ascii="Arial" w:hAnsi="Arial" w:cs="Arial"/>
          <w:color w:val="4472C4" w:themeColor="accent1"/>
          <w:sz w:val="22"/>
          <w:szCs w:val="22"/>
        </w:rPr>
        <w:t xml:space="preserve">For these two reasons, we implemented an MCMC approach. We believe that more com </w:t>
      </w:r>
      <w:proofErr w:type="spellStart"/>
      <w:r w:rsidRPr="00E17490">
        <w:rPr>
          <w:rFonts w:ascii="Arial" w:hAnsi="Arial" w:cs="Arial"/>
          <w:color w:val="4472C4" w:themeColor="accent1"/>
          <w:sz w:val="22"/>
          <w:szCs w:val="22"/>
        </w:rPr>
        <w:t>putationally</w:t>
      </w:r>
      <w:proofErr w:type="spellEnd"/>
      <w:r w:rsidRPr="00E17490">
        <w:rPr>
          <w:rFonts w:ascii="Arial" w:hAnsi="Arial" w:cs="Arial"/>
          <w:color w:val="4472C4" w:themeColor="accent1"/>
          <w:sz w:val="22"/>
          <w:szCs w:val="22"/>
        </w:rPr>
        <w:t xml:space="preserve"> efficient (and possibly more accurate) solutions exist, but an advantage of the MCMC algorithm is that it was simple to implement, it is assumption-free, and it has the side benefit that it easily accommodates different choices of LFC (other options besides the </w:t>
      </w:r>
      <w:proofErr w:type="spellStart"/>
      <w:r w:rsidRPr="00E17490">
        <w:rPr>
          <w:rFonts w:ascii="Arial" w:hAnsi="Arial" w:cs="Arial"/>
          <w:color w:val="4472C4" w:themeColor="accent1"/>
          <w:sz w:val="22"/>
          <w:szCs w:val="22"/>
        </w:rPr>
        <w:t>l.e.</w:t>
      </w:r>
      <w:proofErr w:type="spellEnd"/>
      <w:r w:rsidRPr="00E17490">
        <w:rPr>
          <w:rFonts w:ascii="Arial" w:hAnsi="Arial" w:cs="Arial"/>
          <w:color w:val="4472C4" w:themeColor="accent1"/>
          <w:sz w:val="22"/>
          <w:szCs w:val="22"/>
        </w:rPr>
        <w:t xml:space="preserve"> LFC are also implemented in the R package). Please also see our response to Comment 2 which is related to this point. </w:t>
      </w:r>
    </w:p>
    <w:p w14:paraId="3B239292" w14:textId="77777777" w:rsidR="00DF278B" w:rsidRPr="00E17490" w:rsidRDefault="00DF278B" w:rsidP="00DF278B">
      <w:pPr>
        <w:pStyle w:val="NormalWeb"/>
        <w:spacing w:before="7" w:beforeAutospacing="0" w:after="0" w:afterAutospacing="0"/>
        <w:ind w:left="3" w:right="22" w:firstLine="240"/>
        <w:rPr>
          <w:color w:val="4472C4" w:themeColor="accent1"/>
        </w:rPr>
      </w:pPr>
      <w:r w:rsidRPr="00E17490">
        <w:rPr>
          <w:rFonts w:ascii="Arial" w:hAnsi="Arial" w:cs="Arial"/>
          <w:color w:val="4472C4" w:themeColor="accent1"/>
          <w:sz w:val="22"/>
          <w:szCs w:val="22"/>
        </w:rPr>
        <w:lastRenderedPageBreak/>
        <w:t xml:space="preserve">In the revised </w:t>
      </w:r>
      <w:proofErr w:type="spellStart"/>
      <w:proofErr w:type="gramStart"/>
      <w:r w:rsidRPr="00E17490">
        <w:rPr>
          <w:rFonts w:ascii="Arial" w:hAnsi="Arial" w:cs="Arial"/>
          <w:color w:val="4472C4" w:themeColor="accent1"/>
          <w:sz w:val="22"/>
          <w:szCs w:val="22"/>
        </w:rPr>
        <w:t>manuscript,we</w:t>
      </w:r>
      <w:proofErr w:type="spellEnd"/>
      <w:proofErr w:type="gramEnd"/>
      <w:r w:rsidRPr="00E17490">
        <w:rPr>
          <w:rFonts w:ascii="Arial" w:hAnsi="Arial" w:cs="Arial"/>
          <w:color w:val="4472C4" w:themeColor="accent1"/>
          <w:sz w:val="22"/>
          <w:szCs w:val="22"/>
        </w:rPr>
        <w:t xml:space="preserve"> have added some background at the beginning of “Quantify </w:t>
      </w:r>
      <w:proofErr w:type="spellStart"/>
      <w:r w:rsidRPr="00E17490">
        <w:rPr>
          <w:rFonts w:ascii="Arial" w:hAnsi="Arial" w:cs="Arial"/>
          <w:color w:val="4472C4" w:themeColor="accent1"/>
          <w:sz w:val="22"/>
          <w:szCs w:val="22"/>
        </w:rPr>
        <w:t>ing</w:t>
      </w:r>
      <w:proofErr w:type="spellEnd"/>
      <w:r w:rsidRPr="00E17490">
        <w:rPr>
          <w:rFonts w:ascii="Arial" w:hAnsi="Arial" w:cs="Arial"/>
          <w:color w:val="4472C4" w:themeColor="accent1"/>
          <w:sz w:val="22"/>
          <w:szCs w:val="22"/>
        </w:rPr>
        <w:t xml:space="preserve"> uncertainty and stabilizing LFC estimates” to better motivate the MCMC algorithm. </w:t>
      </w:r>
    </w:p>
    <w:p w14:paraId="5EBAAD0D" w14:textId="77777777" w:rsidR="00DF278B" w:rsidRDefault="00DF278B" w:rsidP="00DF278B">
      <w:pPr>
        <w:pStyle w:val="NormalWeb"/>
        <w:spacing w:before="136" w:beforeAutospacing="0" w:after="0" w:afterAutospacing="0"/>
        <w:ind w:left="3" w:firstLine="7"/>
        <w:jc w:val="both"/>
      </w:pPr>
      <w:r>
        <w:rPr>
          <w:rFonts w:ascii="Arial" w:hAnsi="Arial" w:cs="Arial"/>
          <w:color w:val="000000"/>
          <w:sz w:val="22"/>
          <w:szCs w:val="22"/>
        </w:rPr>
        <w:t xml:space="preserve">Comment 4: Length of paper / number of datasets. Since this is primarily a computational methods paper, and </w:t>
      </w:r>
      <w:r>
        <w:rPr>
          <w:rFonts w:ascii="Arial" w:hAnsi="Arial" w:cs="Arial"/>
          <w:i/>
          <w:iCs/>
          <w:color w:val="000000"/>
          <w:sz w:val="22"/>
          <w:szCs w:val="22"/>
        </w:rPr>
        <w:t xml:space="preserve">Genome Biology </w:t>
      </w:r>
      <w:r>
        <w:rPr>
          <w:rFonts w:ascii="Arial" w:hAnsi="Arial" w:cs="Arial"/>
          <w:color w:val="000000"/>
          <w:sz w:val="22"/>
          <w:szCs w:val="22"/>
        </w:rPr>
        <w:t>is a journal targeted at evaluating new methods, we wonder if the presentation of the biology of multiple datasets goes beyond what is necessary and could be reduced. Figures 6, 7, and 8 feel a little repetitive with some of the earlier figures, and we wonder if some can be moved to the supplement. In particular, the ATAC-</w:t>
      </w:r>
      <w:proofErr w:type="spellStart"/>
      <w:r>
        <w:rPr>
          <w:rFonts w:ascii="Arial" w:hAnsi="Arial" w:cs="Arial"/>
          <w:color w:val="000000"/>
          <w:sz w:val="22"/>
          <w:szCs w:val="22"/>
        </w:rPr>
        <w:t>seq</w:t>
      </w:r>
      <w:proofErr w:type="spellEnd"/>
      <w:r>
        <w:rPr>
          <w:rFonts w:ascii="Arial" w:hAnsi="Arial" w:cs="Arial"/>
          <w:color w:val="000000"/>
          <w:sz w:val="22"/>
          <w:szCs w:val="22"/>
        </w:rPr>
        <w:t xml:space="preserve"> data is probably the most interesting to focus on because it is application to a new type of data. We leave this as a suggestion for the discretion of the editor and the authors. </w:t>
      </w:r>
    </w:p>
    <w:p w14:paraId="3A8DA689" w14:textId="77777777" w:rsidR="00DF278B" w:rsidRPr="00E17490" w:rsidRDefault="00DF278B" w:rsidP="00DF278B">
      <w:pPr>
        <w:pStyle w:val="NormalWeb"/>
        <w:spacing w:before="136" w:beforeAutospacing="0" w:after="0" w:afterAutospacing="0"/>
        <w:ind w:right="11" w:firstLine="7"/>
        <w:jc w:val="both"/>
        <w:rPr>
          <w:color w:val="4472C4" w:themeColor="accent1"/>
        </w:rPr>
      </w:pPr>
      <w:r w:rsidRPr="00E17490">
        <w:rPr>
          <w:rFonts w:ascii="Arial" w:hAnsi="Arial" w:cs="Arial"/>
          <w:color w:val="4472C4" w:themeColor="accent1"/>
          <w:sz w:val="22"/>
          <w:szCs w:val="22"/>
        </w:rPr>
        <w:t xml:space="preserve">Our response. We compared the length of our paper to a small sampling of recent methods papers published in </w:t>
      </w:r>
      <w:r w:rsidRPr="00E17490">
        <w:rPr>
          <w:rFonts w:ascii="Arial" w:hAnsi="Arial" w:cs="Arial"/>
          <w:i/>
          <w:iCs/>
          <w:color w:val="4472C4" w:themeColor="accent1"/>
          <w:sz w:val="22"/>
          <w:szCs w:val="22"/>
        </w:rPr>
        <w:t xml:space="preserve">Genome Biology. </w:t>
      </w:r>
      <w:r w:rsidRPr="00E17490">
        <w:rPr>
          <w:rFonts w:ascii="Arial" w:hAnsi="Arial" w:cs="Arial"/>
          <w:color w:val="4472C4" w:themeColor="accent1"/>
          <w:sz w:val="22"/>
          <w:szCs w:val="22"/>
        </w:rPr>
        <w:t xml:space="preserve">Due to recent changes in formatting, we looked only at methods papers in the earlier two-column format (2019 and earlier). The lengths of these papers (not including Methods and text after that) ranged from 8 to 13 pages. By comparison, our paper is 12 pages (not including Methods and text after that). Following the </w:t>
      </w:r>
      <w:proofErr w:type="spellStart"/>
      <w:r w:rsidRPr="00E17490">
        <w:rPr>
          <w:rFonts w:ascii="Arial" w:hAnsi="Arial" w:cs="Arial"/>
          <w:color w:val="4472C4" w:themeColor="accent1"/>
          <w:sz w:val="22"/>
          <w:szCs w:val="22"/>
        </w:rPr>
        <w:t>the</w:t>
      </w:r>
      <w:proofErr w:type="spellEnd"/>
      <w:r w:rsidRPr="00E17490">
        <w:rPr>
          <w:rFonts w:ascii="Arial" w:hAnsi="Arial" w:cs="Arial"/>
          <w:color w:val="4472C4" w:themeColor="accent1"/>
          <w:sz w:val="22"/>
          <w:szCs w:val="22"/>
        </w:rPr>
        <w:t xml:space="preserve"> Editor’s advice, we decided not to move any more results to the supplement. </w:t>
      </w:r>
    </w:p>
    <w:p w14:paraId="673AB54D" w14:textId="77777777" w:rsidR="00DF278B" w:rsidRDefault="00DF278B" w:rsidP="00DF278B">
      <w:pPr>
        <w:pStyle w:val="NormalWeb"/>
        <w:spacing w:before="136" w:beforeAutospacing="0" w:after="0" w:afterAutospacing="0"/>
        <w:ind w:left="2" w:right="11"/>
      </w:pPr>
      <w:r>
        <w:rPr>
          <w:rFonts w:ascii="Arial" w:hAnsi="Arial" w:cs="Arial"/>
          <w:color w:val="000000"/>
          <w:sz w:val="22"/>
          <w:szCs w:val="22"/>
        </w:rPr>
        <w:t>Minor comment 1. Appears to be no benchmark for runtime. For instance, how long did it take to obtain the results for Figure 1? </w:t>
      </w:r>
    </w:p>
    <w:p w14:paraId="524A3B84" w14:textId="77777777" w:rsidR="00DF278B" w:rsidRPr="00E17490" w:rsidRDefault="00DF278B" w:rsidP="00DF278B">
      <w:pPr>
        <w:pStyle w:val="NormalWeb"/>
        <w:spacing w:before="136" w:beforeAutospacing="0" w:after="0" w:afterAutospacing="0"/>
        <w:ind w:right="21" w:firstLine="7"/>
        <w:rPr>
          <w:color w:val="4472C4" w:themeColor="accent1"/>
        </w:rPr>
      </w:pPr>
      <w:r w:rsidRPr="00E17490">
        <w:rPr>
          <w:rFonts w:ascii="Arial" w:hAnsi="Arial" w:cs="Arial"/>
          <w:color w:val="4472C4" w:themeColor="accent1"/>
          <w:sz w:val="22"/>
          <w:szCs w:val="22"/>
        </w:rPr>
        <w:t xml:space="preserve">Our response. Thank you for pointing out this omission. We have added a new table (Ta </w:t>
      </w:r>
      <w:proofErr w:type="spellStart"/>
      <w:r w:rsidRPr="00E17490">
        <w:rPr>
          <w:rFonts w:ascii="Arial" w:hAnsi="Arial" w:cs="Arial"/>
          <w:color w:val="4472C4" w:themeColor="accent1"/>
          <w:sz w:val="22"/>
          <w:szCs w:val="22"/>
        </w:rPr>
        <w:t>ble</w:t>
      </w:r>
      <w:proofErr w:type="spellEnd"/>
      <w:r w:rsidRPr="00E17490">
        <w:rPr>
          <w:rFonts w:ascii="Arial" w:hAnsi="Arial" w:cs="Arial"/>
          <w:color w:val="4472C4" w:themeColor="accent1"/>
          <w:sz w:val="22"/>
          <w:szCs w:val="22"/>
        </w:rPr>
        <w:t xml:space="preserve"> 1) giving the </w:t>
      </w:r>
      <w:proofErr w:type="spellStart"/>
      <w:r w:rsidRPr="00E17490">
        <w:rPr>
          <w:rFonts w:ascii="Arial" w:hAnsi="Arial" w:cs="Arial"/>
          <w:color w:val="4472C4" w:themeColor="accent1"/>
          <w:sz w:val="22"/>
          <w:szCs w:val="22"/>
        </w:rPr>
        <w:t>GoM</w:t>
      </w:r>
      <w:proofErr w:type="spellEnd"/>
      <w:r w:rsidRPr="00E17490">
        <w:rPr>
          <w:rFonts w:ascii="Arial" w:hAnsi="Arial" w:cs="Arial"/>
          <w:color w:val="4472C4" w:themeColor="accent1"/>
          <w:sz w:val="22"/>
          <w:szCs w:val="22"/>
        </w:rPr>
        <w:t xml:space="preserve"> DE analysis running times for all the single-cell data sets.</w:t>
      </w:r>
    </w:p>
    <w:p w14:paraId="3C0CAA66" w14:textId="77777777" w:rsidR="00DF278B" w:rsidRDefault="00DF278B" w:rsidP="00DF278B">
      <w:pPr>
        <w:pStyle w:val="NormalWeb"/>
        <w:spacing w:before="226" w:beforeAutospacing="0" w:after="0" w:afterAutospacing="0"/>
        <w:ind w:left="2" w:right="21" w:hanging="1"/>
      </w:pPr>
      <w:r>
        <w:rPr>
          <w:rFonts w:ascii="Arial" w:hAnsi="Arial" w:cs="Arial"/>
          <w:color w:val="000000"/>
          <w:sz w:val="22"/>
          <w:szCs w:val="22"/>
        </w:rPr>
        <w:t>Minor comment 2. Page 14 line 45, add definition of highest posterior density (HPD) inter val. </w:t>
      </w:r>
    </w:p>
    <w:p w14:paraId="4CF1EC89" w14:textId="77777777" w:rsidR="00DF278B" w:rsidRPr="00E17490" w:rsidRDefault="00DF278B" w:rsidP="00DF278B">
      <w:pPr>
        <w:pStyle w:val="NormalWeb"/>
        <w:spacing w:before="136" w:beforeAutospacing="0" w:after="0" w:afterAutospacing="0"/>
        <w:ind w:left="1" w:right="11" w:firstLine="6"/>
        <w:jc w:val="both"/>
        <w:rPr>
          <w:color w:val="4472C4" w:themeColor="accent1"/>
        </w:rPr>
      </w:pPr>
      <w:r w:rsidRPr="00E17490">
        <w:rPr>
          <w:rFonts w:ascii="Arial" w:hAnsi="Arial" w:cs="Arial"/>
          <w:color w:val="4472C4" w:themeColor="accent1"/>
          <w:sz w:val="22"/>
          <w:szCs w:val="22"/>
        </w:rPr>
        <w:t xml:space="preserve">Our response. Formally defining an HPD interval is quite technical, and would involve in </w:t>
      </w:r>
      <w:proofErr w:type="spellStart"/>
      <w:r w:rsidRPr="00E17490">
        <w:rPr>
          <w:rFonts w:ascii="Arial" w:hAnsi="Arial" w:cs="Arial"/>
          <w:color w:val="4472C4" w:themeColor="accent1"/>
          <w:sz w:val="22"/>
          <w:szCs w:val="22"/>
        </w:rPr>
        <w:t>troducing</w:t>
      </w:r>
      <w:proofErr w:type="spellEnd"/>
      <w:r w:rsidRPr="00E17490">
        <w:rPr>
          <w:rFonts w:ascii="Arial" w:hAnsi="Arial" w:cs="Arial"/>
          <w:color w:val="4472C4" w:themeColor="accent1"/>
          <w:sz w:val="22"/>
          <w:szCs w:val="22"/>
        </w:rPr>
        <w:t xml:space="preserve"> other notation, which is why we referred to Chen and Shao (1999); Box and Tiao (1992) for the definition. To provide some intuition for the HPD interval, we have added the following detail to the revised manuscript: “To provide a reasonable substitute summarizing uncertainty in the estimates, we computed Monte Carlo estimates of highest posterior density (HPD) intervals. A (1 </w:t>
      </w:r>
      <w:r w:rsidRPr="00E17490">
        <w:rPr>
          <w:rFonts w:ascii="Arial" w:hAnsi="Arial" w:cs="Arial"/>
          <w:i/>
          <w:iCs/>
          <w:color w:val="4472C4" w:themeColor="accent1"/>
          <w:sz w:val="22"/>
          <w:szCs w:val="22"/>
        </w:rPr>
        <w:t>− α</w:t>
      </w:r>
      <w:r w:rsidRPr="00E17490">
        <w:rPr>
          <w:rFonts w:ascii="Arial" w:hAnsi="Arial" w:cs="Arial"/>
          <w:color w:val="4472C4" w:themeColor="accent1"/>
          <w:sz w:val="22"/>
          <w:szCs w:val="22"/>
        </w:rPr>
        <w:t xml:space="preserve">) HPD interval is the smallest interval that contains 100(1 </w:t>
      </w:r>
      <w:r w:rsidRPr="00E17490">
        <w:rPr>
          <w:rFonts w:ascii="Arial" w:hAnsi="Arial" w:cs="Arial"/>
          <w:i/>
          <w:iCs/>
          <w:color w:val="4472C4" w:themeColor="accent1"/>
          <w:sz w:val="22"/>
          <w:szCs w:val="22"/>
        </w:rPr>
        <w:t xml:space="preserve">− </w:t>
      </w:r>
      <w:proofErr w:type="gramStart"/>
      <w:r w:rsidRPr="00E17490">
        <w:rPr>
          <w:rFonts w:ascii="Arial" w:hAnsi="Arial" w:cs="Arial"/>
          <w:i/>
          <w:iCs/>
          <w:color w:val="4472C4" w:themeColor="accent1"/>
          <w:sz w:val="22"/>
          <w:szCs w:val="22"/>
        </w:rPr>
        <w:t>α</w:t>
      </w:r>
      <w:r w:rsidRPr="00E17490">
        <w:rPr>
          <w:rFonts w:ascii="Arial" w:hAnsi="Arial" w:cs="Arial"/>
          <w:color w:val="4472C4" w:themeColor="accent1"/>
          <w:sz w:val="22"/>
          <w:szCs w:val="22"/>
        </w:rPr>
        <w:t>)%</w:t>
      </w:r>
      <w:proofErr w:type="gramEnd"/>
      <w:r w:rsidRPr="00E17490">
        <w:rPr>
          <w:rFonts w:ascii="Arial" w:hAnsi="Arial" w:cs="Arial"/>
          <w:color w:val="4472C4" w:themeColor="accent1"/>
          <w:sz w:val="22"/>
          <w:szCs w:val="22"/>
        </w:rPr>
        <w:t xml:space="preserve"> of the probability mass (Chen and Shao, 1999; Box and Tiao, 1992).” </w:t>
      </w:r>
    </w:p>
    <w:p w14:paraId="780C29AB" w14:textId="77777777" w:rsidR="00DF278B" w:rsidRDefault="00DF278B" w:rsidP="00DF278B">
      <w:pPr>
        <w:pStyle w:val="NormalWeb"/>
        <w:spacing w:before="136" w:beforeAutospacing="0" w:after="0" w:afterAutospacing="0"/>
        <w:ind w:left="2" w:right="11"/>
      </w:pPr>
      <w:r>
        <w:rPr>
          <w:rFonts w:ascii="Arial" w:hAnsi="Arial" w:cs="Arial"/>
          <w:color w:val="000000"/>
          <w:sz w:val="22"/>
          <w:szCs w:val="22"/>
        </w:rPr>
        <w:t>Minor comment 3. For the analysis on simulated data (page 4, line 38) the number of cells is only 200, which is significantly smaller than typical single-cell RNA-</w:t>
      </w:r>
      <w:proofErr w:type="spellStart"/>
      <w:r>
        <w:rPr>
          <w:rFonts w:ascii="Arial" w:hAnsi="Arial" w:cs="Arial"/>
          <w:color w:val="000000"/>
          <w:sz w:val="22"/>
          <w:szCs w:val="22"/>
        </w:rPr>
        <w:t>seq</w:t>
      </w:r>
      <w:proofErr w:type="spellEnd"/>
      <w:r>
        <w:rPr>
          <w:rFonts w:ascii="Arial" w:hAnsi="Arial" w:cs="Arial"/>
          <w:color w:val="000000"/>
          <w:sz w:val="22"/>
          <w:szCs w:val="22"/>
        </w:rPr>
        <w:t xml:space="preserve"> data. </w:t>
      </w:r>
    </w:p>
    <w:p w14:paraId="05A78687" w14:textId="77777777" w:rsidR="00DF278B" w:rsidRPr="00E17490" w:rsidRDefault="00DF278B" w:rsidP="00DF278B">
      <w:pPr>
        <w:pStyle w:val="NormalWeb"/>
        <w:spacing w:before="136" w:beforeAutospacing="0" w:after="0" w:afterAutospacing="0"/>
        <w:ind w:right="11" w:firstLine="7"/>
        <w:jc w:val="both"/>
        <w:rPr>
          <w:color w:val="4472C4" w:themeColor="accent1"/>
        </w:rPr>
      </w:pPr>
      <w:r w:rsidRPr="00E17490">
        <w:rPr>
          <w:rFonts w:ascii="Arial" w:hAnsi="Arial" w:cs="Arial"/>
          <w:color w:val="4472C4" w:themeColor="accent1"/>
          <w:sz w:val="22"/>
          <w:szCs w:val="22"/>
        </w:rPr>
        <w:t>Our response. We made a mistake in describing the simulations—for the simulations with 2 topics, we simulated 200 cells; for the simulations with 6 topics, we simulated 1,000 cells. We have corrected this mistake in the revised manuscript. </w:t>
      </w:r>
    </w:p>
    <w:p w14:paraId="06E090D5" w14:textId="77777777" w:rsidR="00DF278B" w:rsidRPr="00E17490" w:rsidRDefault="00DF278B" w:rsidP="00DF278B">
      <w:pPr>
        <w:pStyle w:val="NormalWeb"/>
        <w:spacing w:before="7" w:beforeAutospacing="0" w:after="0" w:afterAutospacing="0"/>
        <w:ind w:left="5" w:right="11" w:firstLine="235"/>
        <w:jc w:val="both"/>
        <w:rPr>
          <w:color w:val="4472C4" w:themeColor="accent1"/>
        </w:rPr>
      </w:pPr>
      <w:r w:rsidRPr="00E17490">
        <w:rPr>
          <w:rFonts w:ascii="Arial" w:hAnsi="Arial" w:cs="Arial"/>
          <w:color w:val="4472C4" w:themeColor="accent1"/>
          <w:sz w:val="22"/>
          <w:szCs w:val="22"/>
        </w:rPr>
        <w:t>While the number of cells in these simulations is smaller than a typical current single cell data set, our intention was to test the methods in a more challenging scenario where differentially expressed genes would be more difficult to identify accurately due to the small sample size, and where it would be important to correctly quantify uncertainty to correctly control for false discovery rates. </w:t>
      </w:r>
    </w:p>
    <w:p w14:paraId="70210029" w14:textId="77777777" w:rsidR="00DF278B" w:rsidRPr="00E17490" w:rsidRDefault="00DF278B" w:rsidP="00DF278B">
      <w:pPr>
        <w:pStyle w:val="NormalWeb"/>
        <w:spacing w:before="7" w:beforeAutospacing="0" w:after="0" w:afterAutospacing="0"/>
        <w:ind w:left="2" w:right="11" w:firstLine="240"/>
        <w:jc w:val="both"/>
        <w:rPr>
          <w:color w:val="4472C4" w:themeColor="accent1"/>
        </w:rPr>
      </w:pPr>
      <w:r w:rsidRPr="00E17490">
        <w:rPr>
          <w:rFonts w:ascii="Arial" w:hAnsi="Arial" w:cs="Arial"/>
          <w:color w:val="4472C4" w:themeColor="accent1"/>
          <w:sz w:val="22"/>
          <w:szCs w:val="22"/>
        </w:rPr>
        <w:t xml:space="preserve">Additionally, it is not unusual for a large single-cell data set to feature a rare cell type with a small number of cells, and therefore our simulations are reflective of this more challenging situation. For example, in the first set of simulations with 2 topics representing 2 discrete cell types, each cell type had 100 cells. Compare this to the </w:t>
      </w:r>
      <w:proofErr w:type="spellStart"/>
      <w:r w:rsidRPr="00E17490">
        <w:rPr>
          <w:rFonts w:ascii="Arial" w:hAnsi="Arial" w:cs="Arial"/>
          <w:color w:val="4472C4" w:themeColor="accent1"/>
          <w:sz w:val="22"/>
          <w:szCs w:val="22"/>
        </w:rPr>
        <w:t>scRNA-seq</w:t>
      </w:r>
      <w:proofErr w:type="spellEnd"/>
      <w:r w:rsidRPr="00E17490">
        <w:rPr>
          <w:rFonts w:ascii="Arial" w:hAnsi="Arial" w:cs="Arial"/>
          <w:color w:val="4472C4" w:themeColor="accent1"/>
          <w:sz w:val="22"/>
          <w:szCs w:val="22"/>
        </w:rPr>
        <w:t xml:space="preserve"> data set from Montoro et al. (2018) with 7,193 cells: two of the cell types (basal, club) were very abundant, with over 2,000 cells for each abundant cell type, whereas other cell types (e.g., goblet, </w:t>
      </w:r>
      <w:proofErr w:type="spellStart"/>
      <w:r w:rsidRPr="00E17490">
        <w:rPr>
          <w:rFonts w:ascii="Arial" w:hAnsi="Arial" w:cs="Arial"/>
          <w:color w:val="4472C4" w:themeColor="accent1"/>
          <w:sz w:val="22"/>
          <w:szCs w:val="22"/>
        </w:rPr>
        <w:t>ionocyte</w:t>
      </w:r>
      <w:proofErr w:type="spellEnd"/>
      <w:r w:rsidRPr="00E17490">
        <w:rPr>
          <w:rFonts w:ascii="Arial" w:hAnsi="Arial" w:cs="Arial"/>
          <w:color w:val="4472C4" w:themeColor="accent1"/>
          <w:sz w:val="22"/>
          <w:szCs w:val="22"/>
        </w:rPr>
        <w:t>) were very rare, with fewer than 100 cells. (Note these numbers are estimates.) </w:t>
      </w:r>
    </w:p>
    <w:p w14:paraId="3D101B5B" w14:textId="77777777" w:rsidR="00DF278B" w:rsidRPr="00E17490" w:rsidRDefault="00DF278B" w:rsidP="00DF278B">
      <w:pPr>
        <w:pStyle w:val="NormalWeb"/>
        <w:spacing w:before="7" w:beforeAutospacing="0" w:after="0" w:afterAutospacing="0"/>
        <w:ind w:left="1" w:right="11" w:firstLine="241"/>
        <w:jc w:val="both"/>
        <w:rPr>
          <w:color w:val="4472C4" w:themeColor="accent1"/>
        </w:rPr>
      </w:pPr>
      <w:r w:rsidRPr="00E17490">
        <w:rPr>
          <w:rFonts w:ascii="Arial" w:hAnsi="Arial" w:cs="Arial"/>
          <w:color w:val="4472C4" w:themeColor="accent1"/>
          <w:sz w:val="22"/>
          <w:szCs w:val="22"/>
        </w:rPr>
        <w:t>In the text, we added a brief explanation for our simulation choices: “Note that although half the simulated genes had different expression levels in the two topics, most of these expression differences were small, and therefore we did not expect the methods to be able to identify most expression differences. This mimics the typical situation in gene expression studies whereby most expression differences are small.” </w:t>
      </w:r>
    </w:p>
    <w:p w14:paraId="2DF652A5" w14:textId="77777777" w:rsidR="00DF278B" w:rsidRDefault="00DF278B" w:rsidP="00DF278B">
      <w:pPr>
        <w:pStyle w:val="NormalWeb"/>
        <w:spacing w:before="136" w:beforeAutospacing="0" w:after="0" w:afterAutospacing="0"/>
        <w:ind w:left="2" w:right="11"/>
        <w:jc w:val="both"/>
      </w:pPr>
      <w:r>
        <w:rPr>
          <w:rFonts w:ascii="Arial" w:hAnsi="Arial" w:cs="Arial"/>
          <w:color w:val="000000"/>
          <w:sz w:val="22"/>
          <w:szCs w:val="22"/>
        </w:rPr>
        <w:lastRenderedPageBreak/>
        <w:t>Minor comment 4. On Page 12, the section “Two group model” introduces new notation that could have been described using equation 9. Also, it appears that this model is never actually used in any other parts of the paper. </w:t>
      </w:r>
    </w:p>
    <w:p w14:paraId="5DCD3C96" w14:textId="77777777" w:rsidR="00DF278B" w:rsidRPr="00E17490" w:rsidRDefault="00DF278B" w:rsidP="00DF278B">
      <w:pPr>
        <w:pStyle w:val="NormalWeb"/>
        <w:spacing w:before="136" w:beforeAutospacing="0" w:after="0" w:afterAutospacing="0"/>
        <w:ind w:right="11" w:firstLine="7"/>
        <w:rPr>
          <w:color w:val="4472C4" w:themeColor="accent1"/>
        </w:rPr>
      </w:pPr>
      <w:r w:rsidRPr="00E17490">
        <w:rPr>
          <w:rFonts w:ascii="Arial" w:hAnsi="Arial" w:cs="Arial"/>
          <w:color w:val="4472C4" w:themeColor="accent1"/>
          <w:sz w:val="22"/>
          <w:szCs w:val="22"/>
        </w:rPr>
        <w:t>Our response. We agree that the two-group model is not essential to the paper, and might be confusing, and therefore we have removed it from the paper. </w:t>
      </w:r>
    </w:p>
    <w:p w14:paraId="259A2C9F" w14:textId="77777777" w:rsidR="00DF278B" w:rsidRDefault="00DF278B" w:rsidP="00DF278B">
      <w:pPr>
        <w:pStyle w:val="NormalWeb"/>
        <w:spacing w:before="136" w:beforeAutospacing="0" w:after="0" w:afterAutospacing="0"/>
        <w:ind w:right="11" w:firstLine="2"/>
      </w:pPr>
      <w:r>
        <w:rPr>
          <w:rFonts w:ascii="Arial" w:hAnsi="Arial" w:cs="Arial"/>
          <w:color w:val="000000"/>
          <w:sz w:val="22"/>
          <w:szCs w:val="22"/>
        </w:rPr>
        <w:t xml:space="preserve">Minor comment 5. For Figure 2, should include an equation (in Methods or Results) for the posterior </w:t>
      </w:r>
      <w:r>
        <w:rPr>
          <w:rFonts w:ascii="Arial" w:hAnsi="Arial" w:cs="Arial"/>
          <w:i/>
          <w:iCs/>
          <w:color w:val="000000"/>
          <w:sz w:val="22"/>
          <w:szCs w:val="22"/>
        </w:rPr>
        <w:t>z-</w:t>
      </w:r>
      <w:r>
        <w:rPr>
          <w:rFonts w:ascii="Arial" w:hAnsi="Arial" w:cs="Arial"/>
          <w:color w:val="000000"/>
          <w:sz w:val="22"/>
          <w:szCs w:val="22"/>
        </w:rPr>
        <w:t>score. </w:t>
      </w:r>
    </w:p>
    <w:p w14:paraId="26AE9958" w14:textId="77777777" w:rsidR="00DF278B" w:rsidRPr="00E17490" w:rsidRDefault="00DF278B" w:rsidP="00DF278B">
      <w:pPr>
        <w:pStyle w:val="NormalWeb"/>
        <w:spacing w:before="136" w:beforeAutospacing="0" w:after="0" w:afterAutospacing="0"/>
        <w:ind w:left="3" w:right="11" w:firstLine="4"/>
        <w:jc w:val="both"/>
        <w:rPr>
          <w:color w:val="4472C4" w:themeColor="accent1"/>
        </w:rPr>
      </w:pPr>
      <w:r w:rsidRPr="00E17490">
        <w:rPr>
          <w:rFonts w:ascii="Arial" w:hAnsi="Arial" w:cs="Arial"/>
          <w:color w:val="4472C4" w:themeColor="accent1"/>
          <w:sz w:val="22"/>
          <w:szCs w:val="22"/>
        </w:rPr>
        <w:t xml:space="preserve">Our response. The posterior </w:t>
      </w:r>
      <w:r w:rsidRPr="00E17490">
        <w:rPr>
          <w:rFonts w:ascii="Arial" w:hAnsi="Arial" w:cs="Arial"/>
          <w:i/>
          <w:iCs/>
          <w:color w:val="4472C4" w:themeColor="accent1"/>
          <w:sz w:val="22"/>
          <w:szCs w:val="22"/>
        </w:rPr>
        <w:t>z</w:t>
      </w:r>
      <w:r w:rsidRPr="00E17490">
        <w:rPr>
          <w:rFonts w:ascii="Arial" w:hAnsi="Arial" w:cs="Arial"/>
          <w:color w:val="4472C4" w:themeColor="accent1"/>
          <w:sz w:val="22"/>
          <w:szCs w:val="22"/>
        </w:rPr>
        <w:t>-score was defined in the Methods (“Quantifying uncertainty and stabilizing LFC estimates”) as the posterior mean divided by the posterior standard error. In the revised manuscript, we have included this definition for the Figure 2 caption </w:t>
      </w:r>
    </w:p>
    <w:p w14:paraId="133D86AF" w14:textId="77777777" w:rsidR="00DF278B" w:rsidRDefault="00DF278B" w:rsidP="00DF278B">
      <w:pPr>
        <w:pStyle w:val="NormalWeb"/>
        <w:spacing w:before="136" w:beforeAutospacing="0" w:after="0" w:afterAutospacing="0"/>
        <w:ind w:left="2" w:right="11"/>
        <w:jc w:val="both"/>
      </w:pPr>
      <w:r>
        <w:rPr>
          <w:rFonts w:ascii="Arial" w:hAnsi="Arial" w:cs="Arial"/>
          <w:color w:val="000000"/>
          <w:sz w:val="22"/>
          <w:szCs w:val="22"/>
        </w:rPr>
        <w:t>Minor comment 6. Is this paper looking for DE across topics, or looking for changes in topic-level expression across populations? Should make this distinction more clearly at the start. I believe that it only does DE across topics.</w:t>
      </w:r>
    </w:p>
    <w:p w14:paraId="70FB9FD0" w14:textId="77777777" w:rsidR="00DF278B" w:rsidRPr="00E17490" w:rsidRDefault="00DF278B" w:rsidP="00DF278B">
      <w:pPr>
        <w:pStyle w:val="NormalWeb"/>
        <w:spacing w:before="226" w:beforeAutospacing="0" w:after="0" w:afterAutospacing="0"/>
        <w:ind w:left="3" w:right="11" w:firstLine="4"/>
        <w:jc w:val="both"/>
        <w:rPr>
          <w:color w:val="4472C4" w:themeColor="accent1"/>
        </w:rPr>
      </w:pPr>
      <w:r w:rsidRPr="00E17490">
        <w:rPr>
          <w:rFonts w:ascii="Arial" w:hAnsi="Arial" w:cs="Arial"/>
          <w:color w:val="4472C4" w:themeColor="accent1"/>
          <w:sz w:val="22"/>
          <w:szCs w:val="22"/>
        </w:rPr>
        <w:t xml:space="preserve">Our response. A key idea underlying this work is that the topics </w:t>
      </w:r>
      <w:r w:rsidRPr="00E17490">
        <w:rPr>
          <w:rFonts w:ascii="Arial" w:hAnsi="Arial" w:cs="Arial"/>
          <w:i/>
          <w:iCs/>
          <w:color w:val="4472C4" w:themeColor="accent1"/>
          <w:sz w:val="22"/>
          <w:szCs w:val="22"/>
        </w:rPr>
        <w:t xml:space="preserve">are </w:t>
      </w:r>
      <w:r w:rsidRPr="00E17490">
        <w:rPr>
          <w:rFonts w:ascii="Arial" w:hAnsi="Arial" w:cs="Arial"/>
          <w:color w:val="4472C4" w:themeColor="accent1"/>
          <w:sz w:val="22"/>
          <w:szCs w:val="22"/>
        </w:rPr>
        <w:t xml:space="preserve">the populations, or at least the topics should identify subpopulations of cells when they are clearly distinguishable from the data. This idea was first mentioned in the introduction (“Background”), where we wrote, “Parts-based representations share some of the features of both a clustering and a di </w:t>
      </w:r>
      <w:proofErr w:type="spellStart"/>
      <w:r w:rsidRPr="00E17490">
        <w:rPr>
          <w:rFonts w:ascii="Arial" w:hAnsi="Arial" w:cs="Arial"/>
          <w:color w:val="4472C4" w:themeColor="accent1"/>
          <w:sz w:val="22"/>
          <w:szCs w:val="22"/>
        </w:rPr>
        <w:t>mensionality</w:t>
      </w:r>
      <w:proofErr w:type="spellEnd"/>
      <w:r w:rsidRPr="00E17490">
        <w:rPr>
          <w:rFonts w:ascii="Arial" w:hAnsi="Arial" w:cs="Arial"/>
          <w:color w:val="4472C4" w:themeColor="accent1"/>
          <w:sz w:val="22"/>
          <w:szCs w:val="22"/>
        </w:rPr>
        <w:t xml:space="preserve"> reduction: on the one hand, they learn a lower dimensional representation of the cells; on the other hand, the individual dimensions (the “parts”) of the reduced representation can identify discrete clusters or discrete subpopulations.” </w:t>
      </w:r>
    </w:p>
    <w:p w14:paraId="002EE960" w14:textId="77777777" w:rsidR="00DF278B" w:rsidRDefault="00DF278B" w:rsidP="00DF278B">
      <w:pPr>
        <w:pStyle w:val="NormalWeb"/>
        <w:spacing w:before="136" w:beforeAutospacing="0" w:after="0" w:afterAutospacing="0"/>
        <w:ind w:left="2" w:right="11" w:hanging="2"/>
        <w:jc w:val="both"/>
      </w:pPr>
      <w:r>
        <w:rPr>
          <w:rFonts w:ascii="Arial" w:hAnsi="Arial" w:cs="Arial"/>
          <w:color w:val="000000"/>
          <w:sz w:val="22"/>
          <w:szCs w:val="22"/>
        </w:rPr>
        <w:t xml:space="preserve">Minor comment 7. We recommend citing the paper “Cell type-specific inference of differ </w:t>
      </w:r>
      <w:proofErr w:type="spellStart"/>
      <w:r>
        <w:rPr>
          <w:rFonts w:ascii="Arial" w:hAnsi="Arial" w:cs="Arial"/>
          <w:color w:val="000000"/>
          <w:sz w:val="22"/>
          <w:szCs w:val="22"/>
        </w:rPr>
        <w:t>ential</w:t>
      </w:r>
      <w:proofErr w:type="spellEnd"/>
      <w:r>
        <w:rPr>
          <w:rFonts w:ascii="Arial" w:hAnsi="Arial" w:cs="Arial"/>
          <w:color w:val="000000"/>
          <w:sz w:val="22"/>
          <w:szCs w:val="22"/>
        </w:rPr>
        <w:t xml:space="preserve"> expression in spatial transcriptomics” (</w:t>
      </w:r>
      <w:r>
        <w:rPr>
          <w:rFonts w:ascii="Arial" w:hAnsi="Arial" w:cs="Arial"/>
          <w:i/>
          <w:iCs/>
          <w:color w:val="000000"/>
          <w:sz w:val="22"/>
          <w:szCs w:val="22"/>
        </w:rPr>
        <w:t>Nature Methods</w:t>
      </w:r>
      <w:r>
        <w:rPr>
          <w:rFonts w:ascii="Arial" w:hAnsi="Arial" w:cs="Arial"/>
          <w:color w:val="000000"/>
          <w:sz w:val="22"/>
          <w:szCs w:val="22"/>
        </w:rPr>
        <w:t>, 2022) as a similar model in a different context. </w:t>
      </w:r>
    </w:p>
    <w:p w14:paraId="22BBC731" w14:textId="77777777" w:rsidR="00DF278B" w:rsidRPr="00E17490" w:rsidRDefault="00DF278B" w:rsidP="00DF278B">
      <w:pPr>
        <w:pStyle w:val="NormalWeb"/>
        <w:spacing w:before="136" w:beforeAutospacing="0" w:after="0" w:afterAutospacing="0"/>
        <w:ind w:left="2" w:right="11" w:firstLine="5"/>
        <w:jc w:val="both"/>
        <w:rPr>
          <w:color w:val="4472C4" w:themeColor="accent1"/>
        </w:rPr>
      </w:pPr>
      <w:r w:rsidRPr="00E17490">
        <w:rPr>
          <w:rFonts w:ascii="Arial" w:hAnsi="Arial" w:cs="Arial"/>
          <w:color w:val="4472C4" w:themeColor="accent1"/>
          <w:sz w:val="22"/>
          <w:szCs w:val="22"/>
        </w:rPr>
        <w:t>Our response. Thank you for pointing us to this paper. Indeed, although the aims of C-SIDE are different from ours, their model is closely related, and we have now included a citation to this paper. </w:t>
      </w:r>
    </w:p>
    <w:p w14:paraId="18D568F0" w14:textId="77777777" w:rsidR="00DF278B" w:rsidRDefault="00DF278B" w:rsidP="00DF278B">
      <w:pPr>
        <w:pStyle w:val="NormalWeb"/>
        <w:spacing w:before="136" w:beforeAutospacing="0" w:after="0" w:afterAutospacing="0"/>
        <w:ind w:left="2" w:right="11" w:hanging="8"/>
      </w:pPr>
      <w:r>
        <w:rPr>
          <w:rFonts w:ascii="Arial" w:hAnsi="Arial" w:cs="Arial"/>
          <w:color w:val="000000"/>
          <w:sz w:val="22"/>
          <w:szCs w:val="22"/>
        </w:rPr>
        <w:t>Minor comment 8. Figure 1c: enrichment coefficients are less than 1. Are these in log space? If so, this could be more clearly clarified. </w:t>
      </w:r>
    </w:p>
    <w:p w14:paraId="4E2781A6" w14:textId="77777777" w:rsidR="00DF278B" w:rsidRDefault="00DF278B" w:rsidP="00DF278B">
      <w:pPr>
        <w:pStyle w:val="NormalWeb"/>
        <w:spacing w:before="136" w:beforeAutospacing="0" w:after="0" w:afterAutospacing="0"/>
        <w:ind w:right="11" w:firstLine="7"/>
        <w:jc w:val="both"/>
      </w:pPr>
      <w:r w:rsidRPr="00E17490">
        <w:rPr>
          <w:rFonts w:ascii="Arial" w:hAnsi="Arial" w:cs="Arial"/>
          <w:color w:val="4472C4" w:themeColor="accent1"/>
          <w:sz w:val="22"/>
          <w:szCs w:val="22"/>
        </w:rPr>
        <w:t xml:space="preserve">Our response. An explanation of the enrichment coefficients was provided in the Methods, but we agree that this explanation could have been made more accessible to the reader. We have now added an explanation to the caption for Figure 1: “An enrichment coefficient is an estimate of the expected increase in the LFC for genes that belong to the gene set relative to genes that do not belong to the gene set.” More detail about how these enrichment coefficients </w:t>
      </w:r>
      <w:proofErr w:type="gramStart"/>
      <w:r w:rsidRPr="00E17490">
        <w:rPr>
          <w:rFonts w:ascii="Arial" w:hAnsi="Arial" w:cs="Arial"/>
          <w:color w:val="4472C4" w:themeColor="accent1"/>
          <w:sz w:val="22"/>
          <w:szCs w:val="22"/>
        </w:rPr>
        <w:t>are</w:t>
      </w:r>
      <w:proofErr w:type="gramEnd"/>
      <w:r w:rsidRPr="00E17490">
        <w:rPr>
          <w:rFonts w:ascii="Arial" w:hAnsi="Arial" w:cs="Arial"/>
          <w:color w:val="4472C4" w:themeColor="accent1"/>
          <w:sz w:val="22"/>
          <w:szCs w:val="22"/>
        </w:rPr>
        <w:t xml:space="preserve"> obtained is provided in the Methods (“Gene set enrichment analysis”). </w:t>
      </w:r>
    </w:p>
    <w:p w14:paraId="5CA59B90" w14:textId="77777777" w:rsidR="00DF278B" w:rsidRDefault="00DF278B" w:rsidP="00DF278B">
      <w:pPr>
        <w:pStyle w:val="NormalWeb"/>
        <w:spacing w:before="136" w:beforeAutospacing="0" w:after="0" w:afterAutospacing="0"/>
        <w:ind w:left="2" w:right="1027" w:hanging="5"/>
      </w:pPr>
      <w:r>
        <w:rPr>
          <w:rFonts w:ascii="Arial" w:hAnsi="Arial" w:cs="Arial"/>
          <w:color w:val="000000"/>
          <w:sz w:val="22"/>
          <w:szCs w:val="22"/>
        </w:rPr>
        <w:t xml:space="preserve">Minor comment 9. Typo: “genes upregulated in CD34+ in </w:t>
      </w:r>
      <w:proofErr w:type="spellStart"/>
      <w:r>
        <w:rPr>
          <w:rFonts w:ascii="Arial" w:hAnsi="Arial" w:cs="Arial"/>
          <w:color w:val="000000"/>
          <w:sz w:val="22"/>
          <w:szCs w:val="22"/>
        </w:rPr>
        <w:t>hematopoetic</w:t>
      </w:r>
      <w:proofErr w:type="spellEnd"/>
      <w:r>
        <w:rPr>
          <w:rFonts w:ascii="Arial" w:hAnsi="Arial" w:cs="Arial"/>
          <w:color w:val="000000"/>
          <w:sz w:val="22"/>
          <w:szCs w:val="22"/>
        </w:rPr>
        <w:t xml:space="preserve"> cells”. Our response. Thank you for pointing out this typo. </w:t>
      </w:r>
    </w:p>
    <w:p w14:paraId="584DD07B" w14:textId="77777777" w:rsidR="00DF278B" w:rsidRDefault="00DF278B" w:rsidP="00DF278B">
      <w:pPr>
        <w:pStyle w:val="NormalWeb"/>
        <w:spacing w:before="28" w:beforeAutospacing="0" w:after="0" w:afterAutospacing="0"/>
        <w:ind w:left="2"/>
      </w:pPr>
      <w:r>
        <w:rPr>
          <w:rFonts w:ascii="Arial" w:hAnsi="Arial" w:cs="Arial"/>
          <w:color w:val="000000"/>
          <w:sz w:val="22"/>
          <w:szCs w:val="22"/>
        </w:rPr>
        <w:t xml:space="preserve">Minor comment 10. Figure 2: missing </w:t>
      </w:r>
      <w:proofErr w:type="spellStart"/>
      <w:r>
        <w:rPr>
          <w:rFonts w:ascii="Arial" w:hAnsi="Arial" w:cs="Arial"/>
          <w:color w:val="000000"/>
          <w:sz w:val="22"/>
          <w:szCs w:val="22"/>
        </w:rPr>
        <w:t>color</w:t>
      </w:r>
      <w:proofErr w:type="spellEnd"/>
      <w:r>
        <w:rPr>
          <w:rFonts w:ascii="Arial" w:hAnsi="Arial" w:cs="Arial"/>
          <w:color w:val="000000"/>
          <w:sz w:val="22"/>
          <w:szCs w:val="22"/>
        </w:rPr>
        <w:t xml:space="preserve"> scale? </w:t>
      </w:r>
    </w:p>
    <w:p w14:paraId="3C43F179" w14:textId="77777777" w:rsidR="00DF278B" w:rsidRPr="00E17490" w:rsidRDefault="00DF278B" w:rsidP="00DF278B">
      <w:pPr>
        <w:pStyle w:val="NormalWeb"/>
        <w:spacing w:before="133" w:beforeAutospacing="0" w:after="0" w:afterAutospacing="0"/>
        <w:ind w:right="11" w:firstLine="7"/>
        <w:rPr>
          <w:color w:val="4472C4" w:themeColor="accent1"/>
        </w:rPr>
      </w:pPr>
      <w:r w:rsidRPr="00E17490">
        <w:rPr>
          <w:rFonts w:ascii="Arial" w:hAnsi="Arial" w:cs="Arial"/>
          <w:color w:val="4472C4" w:themeColor="accent1"/>
          <w:sz w:val="22"/>
          <w:szCs w:val="22"/>
        </w:rPr>
        <w:t xml:space="preserve">Our response. The </w:t>
      </w:r>
      <w:proofErr w:type="spellStart"/>
      <w:r w:rsidRPr="00E17490">
        <w:rPr>
          <w:rFonts w:ascii="Arial" w:hAnsi="Arial" w:cs="Arial"/>
          <w:color w:val="4472C4" w:themeColor="accent1"/>
          <w:sz w:val="22"/>
          <w:szCs w:val="22"/>
        </w:rPr>
        <w:t>color</w:t>
      </w:r>
      <w:proofErr w:type="spellEnd"/>
      <w:r w:rsidRPr="00E17490">
        <w:rPr>
          <w:rFonts w:ascii="Arial" w:hAnsi="Arial" w:cs="Arial"/>
          <w:color w:val="4472C4" w:themeColor="accent1"/>
          <w:sz w:val="22"/>
          <w:szCs w:val="22"/>
        </w:rPr>
        <w:t xml:space="preserve"> scale is given in the top-right plot of Figure 2. It is the same for all plots in this figure. </w:t>
      </w:r>
    </w:p>
    <w:p w14:paraId="1593934A" w14:textId="77777777" w:rsidR="00DF278B" w:rsidRDefault="00DF278B" w:rsidP="00DF278B">
      <w:pPr>
        <w:pStyle w:val="NormalWeb"/>
        <w:spacing w:before="136" w:beforeAutospacing="0" w:after="0" w:afterAutospacing="0"/>
        <w:ind w:left="2" w:right="11" w:hanging="1"/>
      </w:pPr>
      <w:r>
        <w:rPr>
          <w:rFonts w:ascii="Arial" w:hAnsi="Arial" w:cs="Arial"/>
          <w:color w:val="000000"/>
          <w:sz w:val="22"/>
          <w:szCs w:val="22"/>
        </w:rPr>
        <w:t xml:space="preserve">Minor comment 11. Can the </w:t>
      </w:r>
      <w:proofErr w:type="spellStart"/>
      <w:r>
        <w:rPr>
          <w:rFonts w:ascii="Arial" w:hAnsi="Arial" w:cs="Arial"/>
          <w:color w:val="000000"/>
          <w:sz w:val="22"/>
          <w:szCs w:val="22"/>
        </w:rPr>
        <w:t>l.e.</w:t>
      </w:r>
      <w:proofErr w:type="spellEnd"/>
      <w:r>
        <w:rPr>
          <w:rFonts w:ascii="Arial" w:hAnsi="Arial" w:cs="Arial"/>
          <w:color w:val="000000"/>
          <w:sz w:val="22"/>
          <w:szCs w:val="22"/>
        </w:rPr>
        <w:t xml:space="preserve"> LFC metric also be applied to single-cell RNA-</w:t>
      </w:r>
      <w:proofErr w:type="spellStart"/>
      <w:r>
        <w:rPr>
          <w:rFonts w:ascii="Arial" w:hAnsi="Arial" w:cs="Arial"/>
          <w:color w:val="000000"/>
          <w:sz w:val="22"/>
          <w:szCs w:val="22"/>
        </w:rPr>
        <w:t>seq</w:t>
      </w:r>
      <w:proofErr w:type="spellEnd"/>
      <w:r>
        <w:rPr>
          <w:rFonts w:ascii="Arial" w:hAnsi="Arial" w:cs="Arial"/>
          <w:color w:val="000000"/>
          <w:sz w:val="22"/>
          <w:szCs w:val="22"/>
        </w:rPr>
        <w:t xml:space="preserve"> data? Has it been applied before? If so, how well does it work? </w:t>
      </w:r>
    </w:p>
    <w:p w14:paraId="598639AD" w14:textId="77777777" w:rsidR="00DF278B" w:rsidRPr="00E17490" w:rsidRDefault="00DF278B" w:rsidP="00DF278B">
      <w:pPr>
        <w:pStyle w:val="NormalWeb"/>
        <w:spacing w:before="136" w:beforeAutospacing="0" w:after="0" w:afterAutospacing="0"/>
        <w:ind w:left="2" w:right="10" w:firstLine="5"/>
        <w:jc w:val="both"/>
        <w:rPr>
          <w:color w:val="4472C4" w:themeColor="accent1"/>
        </w:rPr>
      </w:pPr>
      <w:r w:rsidRPr="00E17490">
        <w:rPr>
          <w:rFonts w:ascii="Arial" w:hAnsi="Arial" w:cs="Arial"/>
          <w:color w:val="4472C4" w:themeColor="accent1"/>
          <w:sz w:val="22"/>
          <w:szCs w:val="22"/>
        </w:rPr>
        <w:t xml:space="preserve">Our response. The </w:t>
      </w:r>
      <w:proofErr w:type="spellStart"/>
      <w:r w:rsidRPr="00E17490">
        <w:rPr>
          <w:rFonts w:ascii="Arial" w:hAnsi="Arial" w:cs="Arial"/>
          <w:color w:val="4472C4" w:themeColor="accent1"/>
          <w:sz w:val="22"/>
          <w:szCs w:val="22"/>
        </w:rPr>
        <w:t>l.e.</w:t>
      </w:r>
      <w:proofErr w:type="spellEnd"/>
      <w:r w:rsidRPr="00E17490">
        <w:rPr>
          <w:rFonts w:ascii="Arial" w:hAnsi="Arial" w:cs="Arial"/>
          <w:color w:val="4472C4" w:themeColor="accent1"/>
          <w:sz w:val="22"/>
          <w:szCs w:val="22"/>
        </w:rPr>
        <w:t xml:space="preserve"> LFC could potentially be used in other analyses of RNA-</w:t>
      </w:r>
      <w:proofErr w:type="spellStart"/>
      <w:r w:rsidRPr="00E17490">
        <w:rPr>
          <w:rFonts w:ascii="Arial" w:hAnsi="Arial" w:cs="Arial"/>
          <w:color w:val="4472C4" w:themeColor="accent1"/>
          <w:sz w:val="22"/>
          <w:szCs w:val="22"/>
        </w:rPr>
        <w:t>seq</w:t>
      </w:r>
      <w:proofErr w:type="spellEnd"/>
      <w:r w:rsidRPr="00E17490">
        <w:rPr>
          <w:rFonts w:ascii="Arial" w:hAnsi="Arial" w:cs="Arial"/>
          <w:color w:val="4472C4" w:themeColor="accent1"/>
          <w:sz w:val="22"/>
          <w:szCs w:val="22"/>
        </w:rPr>
        <w:t xml:space="preserve"> data, for example, in </w:t>
      </w:r>
      <w:proofErr w:type="spellStart"/>
      <w:r w:rsidRPr="00E17490">
        <w:rPr>
          <w:rFonts w:ascii="Arial" w:hAnsi="Arial" w:cs="Arial"/>
          <w:color w:val="4472C4" w:themeColor="accent1"/>
          <w:sz w:val="22"/>
          <w:szCs w:val="22"/>
        </w:rPr>
        <w:t>analyzing</w:t>
      </w:r>
      <w:proofErr w:type="spellEnd"/>
      <w:r w:rsidRPr="00E17490">
        <w:rPr>
          <w:rFonts w:ascii="Arial" w:hAnsi="Arial" w:cs="Arial"/>
          <w:color w:val="4472C4" w:themeColor="accent1"/>
          <w:sz w:val="22"/>
          <w:szCs w:val="22"/>
        </w:rPr>
        <w:t xml:space="preserve"> multi-condition single-cell RNA-</w:t>
      </w:r>
      <w:proofErr w:type="spellStart"/>
      <w:r w:rsidRPr="00E17490">
        <w:rPr>
          <w:rFonts w:ascii="Arial" w:hAnsi="Arial" w:cs="Arial"/>
          <w:color w:val="4472C4" w:themeColor="accent1"/>
          <w:sz w:val="22"/>
          <w:szCs w:val="22"/>
        </w:rPr>
        <w:t>seq</w:t>
      </w:r>
      <w:proofErr w:type="spellEnd"/>
      <w:r w:rsidRPr="00E17490">
        <w:rPr>
          <w:rFonts w:ascii="Arial" w:hAnsi="Arial" w:cs="Arial"/>
          <w:color w:val="4472C4" w:themeColor="accent1"/>
          <w:sz w:val="22"/>
          <w:szCs w:val="22"/>
        </w:rPr>
        <w:t xml:space="preserve"> data sets (Crowell et al., 2020; Liu et al., 2022). However, we are not aware of any studies where it has been used previously. One reason may be that it is more difficult to implement statistical inferences for the </w:t>
      </w:r>
      <w:proofErr w:type="spellStart"/>
      <w:r w:rsidRPr="00E17490">
        <w:rPr>
          <w:rFonts w:ascii="Arial" w:hAnsi="Arial" w:cs="Arial"/>
          <w:color w:val="4472C4" w:themeColor="accent1"/>
          <w:sz w:val="22"/>
          <w:szCs w:val="22"/>
        </w:rPr>
        <w:t>l.e.</w:t>
      </w:r>
      <w:proofErr w:type="spellEnd"/>
      <w:r w:rsidRPr="00E17490">
        <w:rPr>
          <w:rFonts w:ascii="Arial" w:hAnsi="Arial" w:cs="Arial"/>
          <w:color w:val="4472C4" w:themeColor="accent1"/>
          <w:sz w:val="22"/>
          <w:szCs w:val="22"/>
        </w:rPr>
        <w:t xml:space="preserve"> LFC (as we noted in our response to Comment 3 from Reviewer 1). </w:t>
      </w:r>
    </w:p>
    <w:p w14:paraId="0D5F79BE" w14:textId="77777777" w:rsidR="00DF278B" w:rsidRDefault="00DF278B" w:rsidP="00DF278B">
      <w:pPr>
        <w:pStyle w:val="NormalWeb"/>
        <w:spacing w:before="136" w:beforeAutospacing="0" w:after="0" w:afterAutospacing="0"/>
        <w:ind w:right="11" w:firstLine="2"/>
        <w:jc w:val="both"/>
      </w:pPr>
      <w:r>
        <w:rPr>
          <w:rFonts w:ascii="Arial" w:hAnsi="Arial" w:cs="Arial"/>
          <w:color w:val="000000"/>
          <w:sz w:val="22"/>
          <w:szCs w:val="22"/>
        </w:rPr>
        <w:lastRenderedPageBreak/>
        <w:t>Minor comment 12. The notation in the two groups model in the methods section does not match the earlier notation. Authors should stick to the l (’ell’) variable or at least define the new variables in terms of the l variable. Also, the authors should state explicitly that they are considering discrete topics/non-admixed for the two groups model because we found this to be confusing. </w:t>
      </w:r>
    </w:p>
    <w:p w14:paraId="3E34B75E" w14:textId="77777777" w:rsidR="00DF278B" w:rsidRPr="00E17490" w:rsidRDefault="00DF278B" w:rsidP="00DF278B">
      <w:pPr>
        <w:pStyle w:val="NormalWeb"/>
        <w:spacing w:before="136" w:beforeAutospacing="0" w:after="0" w:afterAutospacing="0"/>
        <w:ind w:left="2" w:right="11" w:firstLine="5"/>
        <w:jc w:val="both"/>
        <w:rPr>
          <w:color w:val="4472C4" w:themeColor="accent1"/>
        </w:rPr>
      </w:pPr>
      <w:r w:rsidRPr="00E17490">
        <w:rPr>
          <w:rFonts w:ascii="Arial" w:hAnsi="Arial" w:cs="Arial"/>
          <w:color w:val="4472C4" w:themeColor="accent1"/>
          <w:sz w:val="22"/>
          <w:szCs w:val="22"/>
        </w:rPr>
        <w:t>Our response. This comment is related to an earlier comment (Minor comment 4). Given that the two-group model is not essential to the paper, and could potentially cause confusion, we have removed the two-group model from the paper. </w:t>
      </w:r>
    </w:p>
    <w:p w14:paraId="076B7542" w14:textId="77777777" w:rsidR="00DF278B" w:rsidRDefault="00DF278B" w:rsidP="00DF278B">
      <w:pPr>
        <w:pStyle w:val="NormalWeb"/>
        <w:spacing w:before="136" w:beforeAutospacing="0" w:after="0" w:afterAutospacing="0"/>
        <w:ind w:left="2" w:right="21" w:hanging="2"/>
      </w:pPr>
      <w:r>
        <w:rPr>
          <w:rFonts w:ascii="Arial" w:hAnsi="Arial" w:cs="Arial"/>
          <w:color w:val="000000"/>
          <w:sz w:val="22"/>
          <w:szCs w:val="22"/>
        </w:rPr>
        <w:t xml:space="preserve">Minor comment 13. “Maximum a posteriori estimation”: how are the gamma prior param </w:t>
      </w:r>
      <w:proofErr w:type="spellStart"/>
      <w:r>
        <w:rPr>
          <w:rFonts w:ascii="Arial" w:hAnsi="Arial" w:cs="Arial"/>
          <w:color w:val="000000"/>
          <w:sz w:val="22"/>
          <w:szCs w:val="22"/>
        </w:rPr>
        <w:t>eter</w:t>
      </w:r>
      <w:proofErr w:type="spellEnd"/>
      <w:r>
        <w:rPr>
          <w:rFonts w:ascii="Arial" w:hAnsi="Arial" w:cs="Arial"/>
          <w:color w:val="000000"/>
          <w:sz w:val="22"/>
          <w:szCs w:val="22"/>
        </w:rPr>
        <w:t xml:space="preserve"> values determined / motivated?</w:t>
      </w:r>
    </w:p>
    <w:p w14:paraId="27548249" w14:textId="77777777" w:rsidR="00DF278B" w:rsidRPr="00E17490" w:rsidRDefault="00DF278B" w:rsidP="00DF278B">
      <w:pPr>
        <w:pStyle w:val="NormalWeb"/>
        <w:spacing w:before="226" w:beforeAutospacing="0" w:after="0" w:afterAutospacing="0"/>
        <w:ind w:left="2" w:right="11" w:firstLine="5"/>
        <w:jc w:val="both"/>
        <w:rPr>
          <w:color w:val="4472C4" w:themeColor="accent1"/>
        </w:rPr>
      </w:pPr>
      <w:r w:rsidRPr="00E17490">
        <w:rPr>
          <w:rFonts w:ascii="Arial" w:hAnsi="Arial" w:cs="Arial"/>
          <w:color w:val="4472C4" w:themeColor="accent1"/>
          <w:sz w:val="22"/>
          <w:szCs w:val="22"/>
        </w:rPr>
        <w:t xml:space="preserve">Our response. The gamma prior for </w:t>
      </w:r>
      <w:r w:rsidRPr="00E17490">
        <w:rPr>
          <w:rFonts w:ascii="Arial" w:hAnsi="Arial" w:cs="Arial"/>
          <w:i/>
          <w:iCs/>
          <w:color w:val="4472C4" w:themeColor="accent1"/>
          <w:sz w:val="22"/>
          <w:szCs w:val="22"/>
        </w:rPr>
        <w:t xml:space="preserve">maximum a posteriori </w:t>
      </w:r>
      <w:r w:rsidRPr="00E17490">
        <w:rPr>
          <w:rFonts w:ascii="Arial" w:hAnsi="Arial" w:cs="Arial"/>
          <w:color w:val="4472C4" w:themeColor="accent1"/>
          <w:sz w:val="22"/>
          <w:szCs w:val="22"/>
        </w:rPr>
        <w:t xml:space="preserve">(MAP) estimation was only in </w:t>
      </w:r>
      <w:proofErr w:type="spellStart"/>
      <w:r w:rsidRPr="00E17490">
        <w:rPr>
          <w:rFonts w:ascii="Arial" w:hAnsi="Arial" w:cs="Arial"/>
          <w:color w:val="4472C4" w:themeColor="accent1"/>
          <w:sz w:val="22"/>
          <w:szCs w:val="22"/>
        </w:rPr>
        <w:t>troduced</w:t>
      </w:r>
      <w:proofErr w:type="spellEnd"/>
      <w:r w:rsidRPr="00E17490">
        <w:rPr>
          <w:rFonts w:ascii="Arial" w:hAnsi="Arial" w:cs="Arial"/>
          <w:color w:val="4472C4" w:themeColor="accent1"/>
          <w:sz w:val="22"/>
          <w:szCs w:val="22"/>
        </w:rPr>
        <w:t xml:space="preserve"> to improve numerical stability of this estimation step, as we stated in the manuscript. The Gamma prior we used for all analyses in the paper was </w:t>
      </w:r>
      <w:proofErr w:type="gramStart"/>
      <w:r w:rsidRPr="00E17490">
        <w:rPr>
          <w:rFonts w:ascii="Arial" w:hAnsi="Arial" w:cs="Arial"/>
          <w:color w:val="4472C4" w:themeColor="accent1"/>
          <w:sz w:val="22"/>
          <w:szCs w:val="22"/>
        </w:rPr>
        <w:t>Gamma(</w:t>
      </w:r>
      <w:proofErr w:type="gramEnd"/>
      <w:r w:rsidRPr="00E17490">
        <w:rPr>
          <w:rFonts w:ascii="Arial" w:hAnsi="Arial" w:cs="Arial"/>
          <w:i/>
          <w:iCs/>
          <w:color w:val="4472C4" w:themeColor="accent1"/>
          <w:sz w:val="22"/>
          <w:szCs w:val="22"/>
        </w:rPr>
        <w:t>α, β</w:t>
      </w:r>
      <w:r w:rsidRPr="00E17490">
        <w:rPr>
          <w:rFonts w:ascii="Arial" w:hAnsi="Arial" w:cs="Arial"/>
          <w:color w:val="4472C4" w:themeColor="accent1"/>
          <w:sz w:val="22"/>
          <w:szCs w:val="22"/>
        </w:rPr>
        <w:t xml:space="preserve">), with </w:t>
      </w:r>
      <w:r w:rsidRPr="00E17490">
        <w:rPr>
          <w:rFonts w:ascii="Arial" w:hAnsi="Arial" w:cs="Arial"/>
          <w:i/>
          <w:iCs/>
          <w:color w:val="4472C4" w:themeColor="accent1"/>
          <w:sz w:val="22"/>
          <w:szCs w:val="22"/>
        </w:rPr>
        <w:t xml:space="preserve">α </w:t>
      </w:r>
      <w:r w:rsidRPr="00E17490">
        <w:rPr>
          <w:rFonts w:ascii="Arial" w:hAnsi="Arial" w:cs="Arial"/>
          <w:color w:val="4472C4" w:themeColor="accent1"/>
          <w:sz w:val="22"/>
          <w:szCs w:val="22"/>
        </w:rPr>
        <w:t xml:space="preserve">= 1 + </w:t>
      </w:r>
      <w:r w:rsidRPr="00E17490">
        <w:rPr>
          <w:rFonts w:ascii="Arial" w:hAnsi="Arial" w:cs="Arial"/>
          <w:i/>
          <w:iCs/>
          <w:color w:val="4472C4" w:themeColor="accent1"/>
          <w:sz w:val="22"/>
          <w:szCs w:val="22"/>
        </w:rPr>
        <w:t>ε</w:t>
      </w:r>
      <w:r w:rsidRPr="00E17490">
        <w:rPr>
          <w:rFonts w:ascii="Arial" w:hAnsi="Arial" w:cs="Arial"/>
          <w:color w:val="4472C4" w:themeColor="accent1"/>
          <w:sz w:val="22"/>
          <w:szCs w:val="22"/>
        </w:rPr>
        <w:t xml:space="preserve">, </w:t>
      </w:r>
      <w:r w:rsidRPr="00E17490">
        <w:rPr>
          <w:rFonts w:ascii="Arial" w:hAnsi="Arial" w:cs="Arial"/>
          <w:i/>
          <w:iCs/>
          <w:color w:val="4472C4" w:themeColor="accent1"/>
          <w:sz w:val="22"/>
          <w:szCs w:val="22"/>
        </w:rPr>
        <w:t xml:space="preserve">β </w:t>
      </w:r>
      <w:r w:rsidRPr="00E17490">
        <w:rPr>
          <w:rFonts w:ascii="Arial" w:hAnsi="Arial" w:cs="Arial"/>
          <w:color w:val="4472C4" w:themeColor="accent1"/>
          <w:sz w:val="22"/>
          <w:szCs w:val="22"/>
        </w:rPr>
        <w:t xml:space="preserve">= 1, </w:t>
      </w:r>
      <w:r w:rsidRPr="00E17490">
        <w:rPr>
          <w:rFonts w:ascii="Arial" w:hAnsi="Arial" w:cs="Arial"/>
          <w:i/>
          <w:iCs/>
          <w:color w:val="4472C4" w:themeColor="accent1"/>
          <w:sz w:val="22"/>
          <w:szCs w:val="22"/>
        </w:rPr>
        <w:t xml:space="preserve">ε </w:t>
      </w:r>
      <w:r w:rsidRPr="00E17490">
        <w:rPr>
          <w:rFonts w:ascii="Arial" w:hAnsi="Arial" w:cs="Arial"/>
          <w:color w:val="4472C4" w:themeColor="accent1"/>
          <w:sz w:val="22"/>
          <w:szCs w:val="22"/>
        </w:rPr>
        <w:t>= 0</w:t>
      </w:r>
      <w:r w:rsidRPr="00E17490">
        <w:rPr>
          <w:rFonts w:ascii="Arial" w:hAnsi="Arial" w:cs="Arial"/>
          <w:i/>
          <w:iCs/>
          <w:color w:val="4472C4" w:themeColor="accent1"/>
          <w:sz w:val="22"/>
          <w:szCs w:val="22"/>
        </w:rPr>
        <w:t>.</w:t>
      </w:r>
      <w:r w:rsidRPr="00E17490">
        <w:rPr>
          <w:rFonts w:ascii="Arial" w:hAnsi="Arial" w:cs="Arial"/>
          <w:color w:val="4472C4" w:themeColor="accent1"/>
          <w:sz w:val="22"/>
          <w:szCs w:val="22"/>
        </w:rPr>
        <w:t xml:space="preserve">1. In practice, because this prior is “flat”, this will yield </w:t>
      </w:r>
      <w:r w:rsidRPr="00E17490">
        <w:rPr>
          <w:rFonts w:ascii="Arial" w:hAnsi="Arial" w:cs="Arial"/>
          <w:i/>
          <w:iCs/>
          <w:color w:val="4472C4" w:themeColor="accent1"/>
          <w:sz w:val="22"/>
          <w:szCs w:val="22"/>
        </w:rPr>
        <w:t xml:space="preserve">maximum a posteriori </w:t>
      </w:r>
      <w:r w:rsidRPr="00E17490">
        <w:rPr>
          <w:rFonts w:ascii="Arial" w:hAnsi="Arial" w:cs="Arial"/>
          <w:color w:val="4472C4" w:themeColor="accent1"/>
          <w:sz w:val="22"/>
          <w:szCs w:val="22"/>
        </w:rPr>
        <w:t xml:space="preserve">(MAP) estimates that are very close to </w:t>
      </w:r>
      <w:proofErr w:type="gramStart"/>
      <w:r w:rsidRPr="00E17490">
        <w:rPr>
          <w:rFonts w:ascii="Arial" w:hAnsi="Arial" w:cs="Arial"/>
          <w:color w:val="4472C4" w:themeColor="accent1"/>
          <w:sz w:val="22"/>
          <w:szCs w:val="22"/>
        </w:rPr>
        <w:t>maximum-likelihood</w:t>
      </w:r>
      <w:proofErr w:type="gramEnd"/>
      <w:r w:rsidRPr="00E17490">
        <w:rPr>
          <w:rFonts w:ascii="Arial" w:hAnsi="Arial" w:cs="Arial"/>
          <w:color w:val="4472C4" w:themeColor="accent1"/>
          <w:sz w:val="22"/>
          <w:szCs w:val="22"/>
        </w:rPr>
        <w:t xml:space="preserve"> estimates except in edge cases (e.g., for genes with very low expression). </w:t>
      </w:r>
    </w:p>
    <w:p w14:paraId="7016EF60" w14:textId="77777777" w:rsidR="00DF278B" w:rsidRDefault="00DF278B" w:rsidP="00DF278B">
      <w:pPr>
        <w:pStyle w:val="NormalWeb"/>
        <w:spacing w:before="136" w:beforeAutospacing="0" w:after="0" w:afterAutospacing="0"/>
        <w:ind w:right="11" w:firstLine="2"/>
        <w:jc w:val="both"/>
      </w:pPr>
      <w:r>
        <w:rPr>
          <w:rFonts w:ascii="Arial" w:hAnsi="Arial" w:cs="Arial"/>
          <w:color w:val="000000"/>
          <w:sz w:val="22"/>
          <w:szCs w:val="22"/>
        </w:rPr>
        <w:t>Minor comment 14. Some of the estimated DE values are extremely large (13–15). It would be good to present some plots based on the raw data that can convince the reader that these are real effects present in the data, rather than an artifact of the topic learning procedure. </w:t>
      </w:r>
    </w:p>
    <w:p w14:paraId="3AEA334E" w14:textId="77777777" w:rsidR="00DF278B" w:rsidRPr="00E17490" w:rsidRDefault="00DF278B" w:rsidP="00DF278B">
      <w:pPr>
        <w:pStyle w:val="NormalWeb"/>
        <w:spacing w:before="136" w:beforeAutospacing="0" w:after="0" w:afterAutospacing="0"/>
        <w:ind w:left="1" w:right="11" w:firstLine="6"/>
        <w:jc w:val="both"/>
        <w:rPr>
          <w:color w:val="4472C4" w:themeColor="accent1"/>
        </w:rPr>
      </w:pPr>
      <w:r w:rsidRPr="00E17490">
        <w:rPr>
          <w:rFonts w:ascii="Arial" w:hAnsi="Arial" w:cs="Arial"/>
          <w:color w:val="4472C4" w:themeColor="accent1"/>
          <w:sz w:val="22"/>
          <w:szCs w:val="22"/>
        </w:rPr>
        <w:t xml:space="preserve">Our response. It is not unusual to obtain large LFC estimates; </w:t>
      </w:r>
      <w:proofErr w:type="gramStart"/>
      <w:r w:rsidRPr="00E17490">
        <w:rPr>
          <w:rFonts w:ascii="Arial" w:hAnsi="Arial" w:cs="Arial"/>
          <w:color w:val="4472C4" w:themeColor="accent1"/>
          <w:sz w:val="22"/>
          <w:szCs w:val="22"/>
        </w:rPr>
        <w:t>typically</w:t>
      </w:r>
      <w:proofErr w:type="gramEnd"/>
      <w:r w:rsidRPr="00E17490">
        <w:rPr>
          <w:rFonts w:ascii="Arial" w:hAnsi="Arial" w:cs="Arial"/>
          <w:color w:val="4472C4" w:themeColor="accent1"/>
          <w:sz w:val="22"/>
          <w:szCs w:val="22"/>
        </w:rPr>
        <w:t xml:space="preserve"> these are genes that uniquely or nearly uniquely expressed in the cell type. To take one recent example from the </w:t>
      </w:r>
      <w:r w:rsidRPr="00E17490">
        <w:rPr>
          <w:rFonts w:ascii="Arial" w:hAnsi="Arial" w:cs="Arial"/>
          <w:i/>
          <w:iCs/>
          <w:color w:val="4472C4" w:themeColor="accent1"/>
          <w:sz w:val="22"/>
          <w:szCs w:val="22"/>
        </w:rPr>
        <w:t xml:space="preserve">Tabula Sapiens </w:t>
      </w:r>
      <w:r w:rsidRPr="00E17490">
        <w:rPr>
          <w:rFonts w:ascii="Arial" w:hAnsi="Arial" w:cs="Arial"/>
          <w:color w:val="4472C4" w:themeColor="accent1"/>
          <w:sz w:val="22"/>
          <w:szCs w:val="22"/>
        </w:rPr>
        <w:t xml:space="preserve">paper (Jones et al., 2022), many LFC estimates for large intestine vs. small intestine (Figure 6E) were larger than 10. For example, the LFC estimate for gene </w:t>
      </w:r>
      <w:r w:rsidRPr="00E17490">
        <w:rPr>
          <w:rFonts w:ascii="Arial" w:hAnsi="Arial" w:cs="Arial"/>
          <w:i/>
          <w:iCs/>
          <w:color w:val="4472C4" w:themeColor="accent1"/>
          <w:sz w:val="22"/>
          <w:szCs w:val="22"/>
        </w:rPr>
        <w:t xml:space="preserve">RPS19 </w:t>
      </w:r>
      <w:r w:rsidRPr="00E17490">
        <w:rPr>
          <w:rFonts w:ascii="Arial" w:hAnsi="Arial" w:cs="Arial"/>
          <w:color w:val="4472C4" w:themeColor="accent1"/>
          <w:sz w:val="22"/>
          <w:szCs w:val="22"/>
        </w:rPr>
        <w:t>was 19.16. Note the figure in that paper is misleading because the x-axis was truncated to [</w:t>
      </w:r>
      <w:r w:rsidRPr="00E17490">
        <w:rPr>
          <w:rFonts w:ascii="Arial" w:hAnsi="Arial" w:cs="Arial"/>
          <w:i/>
          <w:iCs/>
          <w:color w:val="4472C4" w:themeColor="accent1"/>
          <w:sz w:val="22"/>
          <w:szCs w:val="22"/>
        </w:rPr>
        <w:t>−</w:t>
      </w:r>
      <w:r w:rsidRPr="00E17490">
        <w:rPr>
          <w:rFonts w:ascii="Arial" w:hAnsi="Arial" w:cs="Arial"/>
          <w:color w:val="4472C4" w:themeColor="accent1"/>
          <w:sz w:val="22"/>
          <w:szCs w:val="22"/>
        </w:rPr>
        <w:t>5</w:t>
      </w:r>
      <w:r w:rsidRPr="00E17490">
        <w:rPr>
          <w:rFonts w:ascii="Arial" w:hAnsi="Arial" w:cs="Arial"/>
          <w:i/>
          <w:iCs/>
          <w:color w:val="4472C4" w:themeColor="accent1"/>
          <w:sz w:val="22"/>
          <w:szCs w:val="22"/>
        </w:rPr>
        <w:t xml:space="preserve">, </w:t>
      </w:r>
      <w:r w:rsidRPr="00E17490">
        <w:rPr>
          <w:rFonts w:ascii="Arial" w:hAnsi="Arial" w:cs="Arial"/>
          <w:color w:val="4472C4" w:themeColor="accent1"/>
          <w:sz w:val="22"/>
          <w:szCs w:val="22"/>
        </w:rPr>
        <w:t>5]; the actual LFC estimates were given in Table S8. </w:t>
      </w:r>
    </w:p>
    <w:p w14:paraId="45BF13DF" w14:textId="77777777" w:rsidR="00DF278B" w:rsidRPr="00E17490" w:rsidRDefault="00DF278B" w:rsidP="00DF278B">
      <w:pPr>
        <w:pStyle w:val="NormalWeb"/>
        <w:spacing w:before="266" w:beforeAutospacing="0" w:after="0" w:afterAutospacing="0"/>
        <w:jc w:val="center"/>
        <w:rPr>
          <w:color w:val="4472C4" w:themeColor="accent1"/>
        </w:rPr>
      </w:pPr>
      <w:r w:rsidRPr="00E17490">
        <w:rPr>
          <w:rFonts w:ascii="Arial" w:hAnsi="Arial" w:cs="Arial"/>
          <w:color w:val="4472C4" w:themeColor="accent1"/>
          <w:sz w:val="22"/>
          <w:szCs w:val="22"/>
        </w:rPr>
        <w:t>REFERENCES </w:t>
      </w:r>
    </w:p>
    <w:p w14:paraId="4E6A385D" w14:textId="77777777" w:rsidR="00DF278B" w:rsidRPr="00E17490" w:rsidRDefault="00DF278B" w:rsidP="00DF278B">
      <w:pPr>
        <w:pStyle w:val="NormalWeb"/>
        <w:spacing w:before="133" w:beforeAutospacing="0" w:after="0" w:afterAutospacing="0"/>
        <w:ind w:left="7" w:right="2" w:hanging="215"/>
        <w:jc w:val="both"/>
        <w:rPr>
          <w:color w:val="4472C4" w:themeColor="accent1"/>
        </w:rPr>
      </w:pPr>
      <w:r w:rsidRPr="00E17490">
        <w:rPr>
          <w:rFonts w:ascii="Arial" w:hAnsi="Arial" w:cs="Arial"/>
          <w:color w:val="4472C4" w:themeColor="accent1"/>
          <w:sz w:val="18"/>
          <w:szCs w:val="18"/>
        </w:rPr>
        <w:t>A</w:t>
      </w:r>
      <w:r w:rsidRPr="00E17490">
        <w:rPr>
          <w:rFonts w:ascii="Arial" w:hAnsi="Arial" w:cs="Arial"/>
          <w:color w:val="4472C4" w:themeColor="accent1"/>
          <w:sz w:val="14"/>
          <w:szCs w:val="14"/>
        </w:rPr>
        <w:t>RGELAGUET</w:t>
      </w:r>
      <w:r w:rsidRPr="00E17490">
        <w:rPr>
          <w:rFonts w:ascii="Arial" w:hAnsi="Arial" w:cs="Arial"/>
          <w:color w:val="4472C4" w:themeColor="accent1"/>
          <w:sz w:val="18"/>
          <w:szCs w:val="18"/>
        </w:rPr>
        <w:t>, R., V</w:t>
      </w:r>
      <w:r w:rsidRPr="00E17490">
        <w:rPr>
          <w:rFonts w:ascii="Arial" w:hAnsi="Arial" w:cs="Arial"/>
          <w:color w:val="4472C4" w:themeColor="accent1"/>
          <w:sz w:val="14"/>
          <w:szCs w:val="14"/>
        </w:rPr>
        <w:t>ELTEN</w:t>
      </w:r>
      <w:r w:rsidRPr="00E17490">
        <w:rPr>
          <w:rFonts w:ascii="Arial" w:hAnsi="Arial" w:cs="Arial"/>
          <w:color w:val="4472C4" w:themeColor="accent1"/>
          <w:sz w:val="18"/>
          <w:szCs w:val="18"/>
        </w:rPr>
        <w:t>, B., A</w:t>
      </w:r>
      <w:r w:rsidRPr="00E17490">
        <w:rPr>
          <w:rFonts w:ascii="Arial" w:hAnsi="Arial" w:cs="Arial"/>
          <w:color w:val="4472C4" w:themeColor="accent1"/>
          <w:sz w:val="14"/>
          <w:szCs w:val="14"/>
        </w:rPr>
        <w:t>RNOL</w:t>
      </w:r>
      <w:r w:rsidRPr="00E17490">
        <w:rPr>
          <w:rFonts w:ascii="Arial" w:hAnsi="Arial" w:cs="Arial"/>
          <w:color w:val="4472C4" w:themeColor="accent1"/>
          <w:sz w:val="18"/>
          <w:szCs w:val="18"/>
        </w:rPr>
        <w:t>, D., D</w:t>
      </w:r>
      <w:r w:rsidRPr="00E17490">
        <w:rPr>
          <w:rFonts w:ascii="Arial" w:hAnsi="Arial" w:cs="Arial"/>
          <w:color w:val="4472C4" w:themeColor="accent1"/>
          <w:sz w:val="14"/>
          <w:szCs w:val="14"/>
        </w:rPr>
        <w:t>IETRICH</w:t>
      </w:r>
      <w:r w:rsidRPr="00E17490">
        <w:rPr>
          <w:rFonts w:ascii="Arial" w:hAnsi="Arial" w:cs="Arial"/>
          <w:color w:val="4472C4" w:themeColor="accent1"/>
          <w:sz w:val="18"/>
          <w:szCs w:val="18"/>
        </w:rPr>
        <w:t>, S., Z</w:t>
      </w:r>
      <w:r w:rsidRPr="00E17490">
        <w:rPr>
          <w:rFonts w:ascii="Arial" w:hAnsi="Arial" w:cs="Arial"/>
          <w:color w:val="4472C4" w:themeColor="accent1"/>
          <w:sz w:val="14"/>
          <w:szCs w:val="14"/>
        </w:rPr>
        <w:t>ENZ</w:t>
      </w:r>
      <w:r w:rsidRPr="00E17490">
        <w:rPr>
          <w:rFonts w:ascii="Arial" w:hAnsi="Arial" w:cs="Arial"/>
          <w:color w:val="4472C4" w:themeColor="accent1"/>
          <w:sz w:val="18"/>
          <w:szCs w:val="18"/>
        </w:rPr>
        <w:t>, T., M</w:t>
      </w:r>
      <w:r w:rsidRPr="00E17490">
        <w:rPr>
          <w:rFonts w:ascii="Arial" w:hAnsi="Arial" w:cs="Arial"/>
          <w:color w:val="4472C4" w:themeColor="accent1"/>
          <w:sz w:val="14"/>
          <w:szCs w:val="14"/>
        </w:rPr>
        <w:t>ARIONI</w:t>
      </w:r>
      <w:r w:rsidRPr="00E17490">
        <w:rPr>
          <w:rFonts w:ascii="Arial" w:hAnsi="Arial" w:cs="Arial"/>
          <w:color w:val="4472C4" w:themeColor="accent1"/>
          <w:sz w:val="18"/>
          <w:szCs w:val="18"/>
        </w:rPr>
        <w:t>, J. C., B</w:t>
      </w:r>
      <w:r w:rsidRPr="00E17490">
        <w:rPr>
          <w:rFonts w:ascii="Arial" w:hAnsi="Arial" w:cs="Arial"/>
          <w:color w:val="4472C4" w:themeColor="accent1"/>
          <w:sz w:val="14"/>
          <w:szCs w:val="14"/>
        </w:rPr>
        <w:t>UETTNER</w:t>
      </w:r>
      <w:r w:rsidRPr="00E17490">
        <w:rPr>
          <w:rFonts w:ascii="Arial" w:hAnsi="Arial" w:cs="Arial"/>
          <w:color w:val="4472C4" w:themeColor="accent1"/>
          <w:sz w:val="18"/>
          <w:szCs w:val="18"/>
        </w:rPr>
        <w:t>, F., H</w:t>
      </w:r>
      <w:r w:rsidRPr="00E17490">
        <w:rPr>
          <w:rFonts w:ascii="Arial" w:hAnsi="Arial" w:cs="Arial"/>
          <w:color w:val="4472C4" w:themeColor="accent1"/>
          <w:sz w:val="14"/>
          <w:szCs w:val="14"/>
        </w:rPr>
        <w:t>U</w:t>
      </w:r>
      <w:r w:rsidRPr="00E17490">
        <w:rPr>
          <w:rFonts w:ascii="Arial" w:hAnsi="Arial" w:cs="Arial"/>
          <w:color w:val="4472C4" w:themeColor="accent1"/>
          <w:sz w:val="18"/>
          <w:szCs w:val="18"/>
        </w:rPr>
        <w:t xml:space="preserve"> </w:t>
      </w:r>
      <w:r w:rsidRPr="00E17490">
        <w:rPr>
          <w:rFonts w:ascii="Arial" w:hAnsi="Arial" w:cs="Arial"/>
          <w:color w:val="4472C4" w:themeColor="accent1"/>
          <w:sz w:val="14"/>
          <w:szCs w:val="14"/>
        </w:rPr>
        <w:t>BER</w:t>
      </w:r>
      <w:r w:rsidRPr="00E17490">
        <w:rPr>
          <w:rFonts w:ascii="Arial" w:hAnsi="Arial" w:cs="Arial"/>
          <w:color w:val="4472C4" w:themeColor="accent1"/>
          <w:sz w:val="18"/>
          <w:szCs w:val="18"/>
        </w:rPr>
        <w:t>, W. and S</w:t>
      </w:r>
      <w:r w:rsidRPr="00E17490">
        <w:rPr>
          <w:rFonts w:ascii="Arial" w:hAnsi="Arial" w:cs="Arial"/>
          <w:color w:val="4472C4" w:themeColor="accent1"/>
          <w:sz w:val="14"/>
          <w:szCs w:val="14"/>
        </w:rPr>
        <w:t>TEGLE</w:t>
      </w:r>
      <w:r w:rsidRPr="00E17490">
        <w:rPr>
          <w:rFonts w:ascii="Arial" w:hAnsi="Arial" w:cs="Arial"/>
          <w:color w:val="4472C4" w:themeColor="accent1"/>
          <w:sz w:val="18"/>
          <w:szCs w:val="18"/>
        </w:rPr>
        <w:t xml:space="preserve">, O. (2018). Multi-omics factor analysis—a framework for unsupervised integration of multi-omics data sets. </w:t>
      </w:r>
      <w:r w:rsidRPr="00E17490">
        <w:rPr>
          <w:rFonts w:ascii="Arial" w:hAnsi="Arial" w:cs="Arial"/>
          <w:i/>
          <w:iCs/>
          <w:color w:val="4472C4" w:themeColor="accent1"/>
          <w:sz w:val="18"/>
          <w:szCs w:val="18"/>
        </w:rPr>
        <w:t xml:space="preserve">Molecular Systems Biology </w:t>
      </w:r>
      <w:r w:rsidRPr="00E17490">
        <w:rPr>
          <w:rFonts w:ascii="Arial" w:hAnsi="Arial" w:cs="Arial"/>
          <w:color w:val="4472C4" w:themeColor="accent1"/>
          <w:sz w:val="18"/>
          <w:szCs w:val="18"/>
        </w:rPr>
        <w:t>14. </w:t>
      </w:r>
    </w:p>
    <w:p w14:paraId="5C012645" w14:textId="77777777" w:rsidR="00DF278B" w:rsidRPr="00E17490" w:rsidRDefault="00DF278B" w:rsidP="00DF278B">
      <w:pPr>
        <w:pStyle w:val="NormalWeb"/>
        <w:spacing w:before="7" w:beforeAutospacing="0" w:after="0" w:afterAutospacing="0"/>
        <w:ind w:left="7" w:right="11" w:hanging="217"/>
        <w:jc w:val="both"/>
        <w:rPr>
          <w:color w:val="4472C4" w:themeColor="accent1"/>
        </w:rPr>
      </w:pPr>
      <w:r w:rsidRPr="00E17490">
        <w:rPr>
          <w:rFonts w:ascii="Arial" w:hAnsi="Arial" w:cs="Arial"/>
          <w:color w:val="4472C4" w:themeColor="accent1"/>
          <w:sz w:val="18"/>
          <w:szCs w:val="18"/>
        </w:rPr>
        <w:t>A</w:t>
      </w:r>
      <w:r w:rsidRPr="00E17490">
        <w:rPr>
          <w:rFonts w:ascii="Arial" w:hAnsi="Arial" w:cs="Arial"/>
          <w:color w:val="4472C4" w:themeColor="accent1"/>
          <w:sz w:val="14"/>
          <w:szCs w:val="14"/>
        </w:rPr>
        <w:t>RGELAGUET</w:t>
      </w:r>
      <w:r w:rsidRPr="00E17490">
        <w:rPr>
          <w:rFonts w:ascii="Arial" w:hAnsi="Arial" w:cs="Arial"/>
          <w:color w:val="4472C4" w:themeColor="accent1"/>
          <w:sz w:val="18"/>
          <w:szCs w:val="18"/>
        </w:rPr>
        <w:t>, R., A</w:t>
      </w:r>
      <w:r w:rsidRPr="00E17490">
        <w:rPr>
          <w:rFonts w:ascii="Arial" w:hAnsi="Arial" w:cs="Arial"/>
          <w:color w:val="4472C4" w:themeColor="accent1"/>
          <w:sz w:val="14"/>
          <w:szCs w:val="14"/>
        </w:rPr>
        <w:t>RNOL</w:t>
      </w:r>
      <w:r w:rsidRPr="00E17490">
        <w:rPr>
          <w:rFonts w:ascii="Arial" w:hAnsi="Arial" w:cs="Arial"/>
          <w:color w:val="4472C4" w:themeColor="accent1"/>
          <w:sz w:val="18"/>
          <w:szCs w:val="18"/>
        </w:rPr>
        <w:t>, D., B</w:t>
      </w:r>
      <w:r w:rsidRPr="00E17490">
        <w:rPr>
          <w:rFonts w:ascii="Arial" w:hAnsi="Arial" w:cs="Arial"/>
          <w:color w:val="4472C4" w:themeColor="accent1"/>
          <w:sz w:val="14"/>
          <w:szCs w:val="14"/>
        </w:rPr>
        <w:t>REDIKHIN</w:t>
      </w:r>
      <w:r w:rsidRPr="00E17490">
        <w:rPr>
          <w:rFonts w:ascii="Arial" w:hAnsi="Arial" w:cs="Arial"/>
          <w:color w:val="4472C4" w:themeColor="accent1"/>
          <w:sz w:val="18"/>
          <w:szCs w:val="18"/>
        </w:rPr>
        <w:t>, D., D</w:t>
      </w:r>
      <w:r w:rsidRPr="00E17490">
        <w:rPr>
          <w:rFonts w:ascii="Arial" w:hAnsi="Arial" w:cs="Arial"/>
          <w:color w:val="4472C4" w:themeColor="accent1"/>
          <w:sz w:val="14"/>
          <w:szCs w:val="14"/>
        </w:rPr>
        <w:t>ELORO</w:t>
      </w:r>
      <w:r w:rsidRPr="00E17490">
        <w:rPr>
          <w:rFonts w:ascii="Arial" w:hAnsi="Arial" w:cs="Arial"/>
          <w:color w:val="4472C4" w:themeColor="accent1"/>
          <w:sz w:val="18"/>
          <w:szCs w:val="18"/>
        </w:rPr>
        <w:t>, Y., V</w:t>
      </w:r>
      <w:r w:rsidRPr="00E17490">
        <w:rPr>
          <w:rFonts w:ascii="Arial" w:hAnsi="Arial" w:cs="Arial"/>
          <w:color w:val="4472C4" w:themeColor="accent1"/>
          <w:sz w:val="14"/>
          <w:szCs w:val="14"/>
        </w:rPr>
        <w:t>ELTEN</w:t>
      </w:r>
      <w:r w:rsidRPr="00E17490">
        <w:rPr>
          <w:rFonts w:ascii="Arial" w:hAnsi="Arial" w:cs="Arial"/>
          <w:color w:val="4472C4" w:themeColor="accent1"/>
          <w:sz w:val="18"/>
          <w:szCs w:val="18"/>
        </w:rPr>
        <w:t>, B., M</w:t>
      </w:r>
      <w:r w:rsidRPr="00E17490">
        <w:rPr>
          <w:rFonts w:ascii="Arial" w:hAnsi="Arial" w:cs="Arial"/>
          <w:color w:val="4472C4" w:themeColor="accent1"/>
          <w:sz w:val="14"/>
          <w:szCs w:val="14"/>
        </w:rPr>
        <w:t>ARIONI</w:t>
      </w:r>
      <w:r w:rsidRPr="00E17490">
        <w:rPr>
          <w:rFonts w:ascii="Arial" w:hAnsi="Arial" w:cs="Arial"/>
          <w:color w:val="4472C4" w:themeColor="accent1"/>
          <w:sz w:val="18"/>
          <w:szCs w:val="18"/>
        </w:rPr>
        <w:t>, J. C. and S</w:t>
      </w:r>
      <w:r w:rsidRPr="00E17490">
        <w:rPr>
          <w:rFonts w:ascii="Arial" w:hAnsi="Arial" w:cs="Arial"/>
          <w:color w:val="4472C4" w:themeColor="accent1"/>
          <w:sz w:val="14"/>
          <w:szCs w:val="14"/>
        </w:rPr>
        <w:t>TE</w:t>
      </w:r>
      <w:r w:rsidRPr="00E17490">
        <w:rPr>
          <w:rFonts w:ascii="Arial" w:hAnsi="Arial" w:cs="Arial"/>
          <w:color w:val="4472C4" w:themeColor="accent1"/>
          <w:sz w:val="18"/>
          <w:szCs w:val="18"/>
        </w:rPr>
        <w:t xml:space="preserve"> </w:t>
      </w:r>
      <w:r w:rsidRPr="00E17490">
        <w:rPr>
          <w:rFonts w:ascii="Arial" w:hAnsi="Arial" w:cs="Arial"/>
          <w:color w:val="4472C4" w:themeColor="accent1"/>
          <w:sz w:val="14"/>
          <w:szCs w:val="14"/>
        </w:rPr>
        <w:t>GLE</w:t>
      </w:r>
      <w:r w:rsidRPr="00E17490">
        <w:rPr>
          <w:rFonts w:ascii="Arial" w:hAnsi="Arial" w:cs="Arial"/>
          <w:color w:val="4472C4" w:themeColor="accent1"/>
          <w:sz w:val="18"/>
          <w:szCs w:val="18"/>
        </w:rPr>
        <w:t xml:space="preserve">, O. (2020). MOFA+: a statistical framework for comprehensive integration of multi-modal single-cell data. </w:t>
      </w:r>
      <w:r w:rsidRPr="00E17490">
        <w:rPr>
          <w:rFonts w:ascii="Arial" w:hAnsi="Arial" w:cs="Arial"/>
          <w:i/>
          <w:iCs/>
          <w:color w:val="4472C4" w:themeColor="accent1"/>
          <w:sz w:val="18"/>
          <w:szCs w:val="18"/>
        </w:rPr>
        <w:t xml:space="preserve">Genome Biology </w:t>
      </w:r>
      <w:r w:rsidRPr="00E17490">
        <w:rPr>
          <w:rFonts w:ascii="Arial" w:hAnsi="Arial" w:cs="Arial"/>
          <w:color w:val="4472C4" w:themeColor="accent1"/>
          <w:sz w:val="18"/>
          <w:szCs w:val="18"/>
        </w:rPr>
        <w:t>21 111. </w:t>
      </w:r>
    </w:p>
    <w:p w14:paraId="332600C8" w14:textId="77777777" w:rsidR="00DF278B" w:rsidRPr="00E17490" w:rsidRDefault="00DF278B" w:rsidP="00DF278B">
      <w:pPr>
        <w:pStyle w:val="NormalWeb"/>
        <w:spacing w:before="7" w:beforeAutospacing="0" w:after="0" w:afterAutospacing="0"/>
        <w:ind w:left="7" w:right="11" w:hanging="221"/>
        <w:rPr>
          <w:color w:val="4472C4" w:themeColor="accent1"/>
        </w:rPr>
      </w:pPr>
      <w:r w:rsidRPr="00E17490">
        <w:rPr>
          <w:rFonts w:ascii="Arial" w:hAnsi="Arial" w:cs="Arial"/>
          <w:color w:val="4472C4" w:themeColor="accent1"/>
          <w:sz w:val="18"/>
          <w:szCs w:val="18"/>
        </w:rPr>
        <w:t>A</w:t>
      </w:r>
      <w:r w:rsidRPr="00E17490">
        <w:rPr>
          <w:rFonts w:ascii="Arial" w:hAnsi="Arial" w:cs="Arial"/>
          <w:color w:val="4472C4" w:themeColor="accent1"/>
          <w:sz w:val="14"/>
          <w:szCs w:val="14"/>
        </w:rPr>
        <w:t>SHUACH</w:t>
      </w:r>
      <w:r w:rsidRPr="00E17490">
        <w:rPr>
          <w:rFonts w:ascii="Arial" w:hAnsi="Arial" w:cs="Arial"/>
          <w:color w:val="4472C4" w:themeColor="accent1"/>
          <w:sz w:val="18"/>
          <w:szCs w:val="18"/>
        </w:rPr>
        <w:t>, T., R</w:t>
      </w:r>
      <w:r w:rsidRPr="00E17490">
        <w:rPr>
          <w:rFonts w:ascii="Arial" w:hAnsi="Arial" w:cs="Arial"/>
          <w:color w:val="4472C4" w:themeColor="accent1"/>
          <w:sz w:val="14"/>
          <w:szCs w:val="14"/>
        </w:rPr>
        <w:t>EIDENBACH</w:t>
      </w:r>
      <w:r w:rsidRPr="00E17490">
        <w:rPr>
          <w:rFonts w:ascii="Arial" w:hAnsi="Arial" w:cs="Arial"/>
          <w:color w:val="4472C4" w:themeColor="accent1"/>
          <w:sz w:val="18"/>
          <w:szCs w:val="18"/>
        </w:rPr>
        <w:t>, D. A., G</w:t>
      </w:r>
      <w:r w:rsidRPr="00E17490">
        <w:rPr>
          <w:rFonts w:ascii="Arial" w:hAnsi="Arial" w:cs="Arial"/>
          <w:color w:val="4472C4" w:themeColor="accent1"/>
          <w:sz w:val="14"/>
          <w:szCs w:val="14"/>
        </w:rPr>
        <w:t>AYOSO</w:t>
      </w:r>
      <w:r w:rsidRPr="00E17490">
        <w:rPr>
          <w:rFonts w:ascii="Arial" w:hAnsi="Arial" w:cs="Arial"/>
          <w:color w:val="4472C4" w:themeColor="accent1"/>
          <w:sz w:val="18"/>
          <w:szCs w:val="18"/>
        </w:rPr>
        <w:t>, A. and Y</w:t>
      </w:r>
      <w:r w:rsidRPr="00E17490">
        <w:rPr>
          <w:rFonts w:ascii="Arial" w:hAnsi="Arial" w:cs="Arial"/>
          <w:color w:val="4472C4" w:themeColor="accent1"/>
          <w:sz w:val="14"/>
          <w:szCs w:val="14"/>
        </w:rPr>
        <w:t>OSEF</w:t>
      </w:r>
      <w:r w:rsidRPr="00E17490">
        <w:rPr>
          <w:rFonts w:ascii="Arial" w:hAnsi="Arial" w:cs="Arial"/>
          <w:color w:val="4472C4" w:themeColor="accent1"/>
          <w:sz w:val="18"/>
          <w:szCs w:val="18"/>
        </w:rPr>
        <w:t xml:space="preserve">, N. (2022). </w:t>
      </w:r>
      <w:proofErr w:type="spellStart"/>
      <w:r w:rsidRPr="00E17490">
        <w:rPr>
          <w:rFonts w:ascii="Arial" w:hAnsi="Arial" w:cs="Arial"/>
          <w:color w:val="4472C4" w:themeColor="accent1"/>
          <w:sz w:val="18"/>
          <w:szCs w:val="18"/>
        </w:rPr>
        <w:t>PeakVI</w:t>
      </w:r>
      <w:proofErr w:type="spellEnd"/>
      <w:r w:rsidRPr="00E17490">
        <w:rPr>
          <w:rFonts w:ascii="Arial" w:hAnsi="Arial" w:cs="Arial"/>
          <w:color w:val="4472C4" w:themeColor="accent1"/>
          <w:sz w:val="18"/>
          <w:szCs w:val="18"/>
        </w:rPr>
        <w:t>: a deep generative model for single-cell chromatin accessibility analysis. 2 100182. </w:t>
      </w:r>
    </w:p>
    <w:p w14:paraId="53F8B8B8" w14:textId="77777777" w:rsidR="00DF278B" w:rsidRPr="00E17490" w:rsidRDefault="00DF278B" w:rsidP="00DF278B">
      <w:pPr>
        <w:pStyle w:val="NormalWeb"/>
        <w:spacing w:before="7" w:beforeAutospacing="0" w:after="0" w:afterAutospacing="0"/>
        <w:ind w:left="7" w:right="11" w:hanging="214"/>
        <w:rPr>
          <w:color w:val="4472C4" w:themeColor="accent1"/>
        </w:rPr>
      </w:pPr>
      <w:r w:rsidRPr="00E17490">
        <w:rPr>
          <w:rFonts w:ascii="Arial" w:hAnsi="Arial" w:cs="Arial"/>
          <w:color w:val="4472C4" w:themeColor="accent1"/>
          <w:sz w:val="18"/>
          <w:szCs w:val="18"/>
        </w:rPr>
        <w:t>B</w:t>
      </w:r>
      <w:r w:rsidRPr="00E17490">
        <w:rPr>
          <w:rFonts w:ascii="Arial" w:hAnsi="Arial" w:cs="Arial"/>
          <w:color w:val="4472C4" w:themeColor="accent1"/>
          <w:sz w:val="14"/>
          <w:szCs w:val="14"/>
        </w:rPr>
        <w:t>OX</w:t>
      </w:r>
      <w:r w:rsidRPr="00E17490">
        <w:rPr>
          <w:rFonts w:ascii="Arial" w:hAnsi="Arial" w:cs="Arial"/>
          <w:color w:val="4472C4" w:themeColor="accent1"/>
          <w:sz w:val="18"/>
          <w:szCs w:val="18"/>
        </w:rPr>
        <w:t>, G. E. P. and T</w:t>
      </w:r>
      <w:r w:rsidRPr="00E17490">
        <w:rPr>
          <w:rFonts w:ascii="Arial" w:hAnsi="Arial" w:cs="Arial"/>
          <w:color w:val="4472C4" w:themeColor="accent1"/>
          <w:sz w:val="14"/>
          <w:szCs w:val="14"/>
        </w:rPr>
        <w:t>IAO</w:t>
      </w:r>
      <w:r w:rsidRPr="00E17490">
        <w:rPr>
          <w:rFonts w:ascii="Arial" w:hAnsi="Arial" w:cs="Arial"/>
          <w:color w:val="4472C4" w:themeColor="accent1"/>
          <w:sz w:val="18"/>
          <w:szCs w:val="18"/>
        </w:rPr>
        <w:t xml:space="preserve">, G. C. (1992). </w:t>
      </w:r>
      <w:r w:rsidRPr="00E17490">
        <w:rPr>
          <w:rFonts w:ascii="Arial" w:hAnsi="Arial" w:cs="Arial"/>
          <w:i/>
          <w:iCs/>
          <w:color w:val="4472C4" w:themeColor="accent1"/>
          <w:sz w:val="18"/>
          <w:szCs w:val="18"/>
        </w:rPr>
        <w:t>Bayesian inference in statistical analysis</w:t>
      </w:r>
      <w:r w:rsidRPr="00E17490">
        <w:rPr>
          <w:rFonts w:ascii="Arial" w:hAnsi="Arial" w:cs="Arial"/>
          <w:color w:val="4472C4" w:themeColor="accent1"/>
          <w:sz w:val="18"/>
          <w:szCs w:val="18"/>
        </w:rPr>
        <w:t>. Addison-Wesley, Reading, MA. </w:t>
      </w:r>
    </w:p>
    <w:p w14:paraId="07D3504D" w14:textId="77777777" w:rsidR="00DF278B" w:rsidRPr="00E17490" w:rsidRDefault="00DF278B" w:rsidP="00DF278B">
      <w:pPr>
        <w:pStyle w:val="NormalWeb"/>
        <w:spacing w:before="7" w:beforeAutospacing="0" w:after="0" w:afterAutospacing="0"/>
        <w:ind w:left="9" w:right="11" w:hanging="216"/>
        <w:jc w:val="both"/>
        <w:rPr>
          <w:color w:val="4472C4" w:themeColor="accent1"/>
        </w:rPr>
      </w:pPr>
      <w:r w:rsidRPr="00E17490">
        <w:rPr>
          <w:rFonts w:ascii="Arial" w:hAnsi="Arial" w:cs="Arial"/>
          <w:color w:val="4472C4" w:themeColor="accent1"/>
          <w:sz w:val="18"/>
          <w:szCs w:val="18"/>
        </w:rPr>
        <w:t>C</w:t>
      </w:r>
      <w:r w:rsidRPr="00E17490">
        <w:rPr>
          <w:rFonts w:ascii="Arial" w:hAnsi="Arial" w:cs="Arial"/>
          <w:color w:val="4472C4" w:themeColor="accent1"/>
          <w:sz w:val="14"/>
          <w:szCs w:val="14"/>
        </w:rPr>
        <w:t>AO</w:t>
      </w:r>
      <w:r w:rsidRPr="00E17490">
        <w:rPr>
          <w:rFonts w:ascii="Arial" w:hAnsi="Arial" w:cs="Arial"/>
          <w:color w:val="4472C4" w:themeColor="accent1"/>
          <w:sz w:val="18"/>
          <w:szCs w:val="18"/>
        </w:rPr>
        <w:t>, J., C</w:t>
      </w:r>
      <w:r w:rsidRPr="00E17490">
        <w:rPr>
          <w:rFonts w:ascii="Arial" w:hAnsi="Arial" w:cs="Arial"/>
          <w:color w:val="4472C4" w:themeColor="accent1"/>
          <w:sz w:val="14"/>
          <w:szCs w:val="14"/>
        </w:rPr>
        <w:t>USANOVICH</w:t>
      </w:r>
      <w:r w:rsidRPr="00E17490">
        <w:rPr>
          <w:rFonts w:ascii="Arial" w:hAnsi="Arial" w:cs="Arial"/>
          <w:color w:val="4472C4" w:themeColor="accent1"/>
          <w:sz w:val="18"/>
          <w:szCs w:val="18"/>
        </w:rPr>
        <w:t>, D. A., R</w:t>
      </w:r>
      <w:r w:rsidRPr="00E17490">
        <w:rPr>
          <w:rFonts w:ascii="Arial" w:hAnsi="Arial" w:cs="Arial"/>
          <w:color w:val="4472C4" w:themeColor="accent1"/>
          <w:sz w:val="14"/>
          <w:szCs w:val="14"/>
        </w:rPr>
        <w:t>AMANI</w:t>
      </w:r>
      <w:r w:rsidRPr="00E17490">
        <w:rPr>
          <w:rFonts w:ascii="Arial" w:hAnsi="Arial" w:cs="Arial"/>
          <w:color w:val="4472C4" w:themeColor="accent1"/>
          <w:sz w:val="18"/>
          <w:szCs w:val="18"/>
        </w:rPr>
        <w:t>, V., A</w:t>
      </w:r>
      <w:r w:rsidRPr="00E17490">
        <w:rPr>
          <w:rFonts w:ascii="Arial" w:hAnsi="Arial" w:cs="Arial"/>
          <w:color w:val="4472C4" w:themeColor="accent1"/>
          <w:sz w:val="14"/>
          <w:szCs w:val="14"/>
        </w:rPr>
        <w:t>GHAMIRZAIE</w:t>
      </w:r>
      <w:r w:rsidRPr="00E17490">
        <w:rPr>
          <w:rFonts w:ascii="Arial" w:hAnsi="Arial" w:cs="Arial"/>
          <w:color w:val="4472C4" w:themeColor="accent1"/>
          <w:sz w:val="18"/>
          <w:szCs w:val="18"/>
        </w:rPr>
        <w:t>, D., P</w:t>
      </w:r>
      <w:r w:rsidRPr="00E17490">
        <w:rPr>
          <w:rFonts w:ascii="Arial" w:hAnsi="Arial" w:cs="Arial"/>
          <w:color w:val="4472C4" w:themeColor="accent1"/>
          <w:sz w:val="14"/>
          <w:szCs w:val="14"/>
        </w:rPr>
        <w:t>LINER</w:t>
      </w:r>
      <w:r w:rsidRPr="00E17490">
        <w:rPr>
          <w:rFonts w:ascii="Arial" w:hAnsi="Arial" w:cs="Arial"/>
          <w:color w:val="4472C4" w:themeColor="accent1"/>
          <w:sz w:val="18"/>
          <w:szCs w:val="18"/>
        </w:rPr>
        <w:t>, H. A., H</w:t>
      </w:r>
      <w:r w:rsidRPr="00E17490">
        <w:rPr>
          <w:rFonts w:ascii="Arial" w:hAnsi="Arial" w:cs="Arial"/>
          <w:color w:val="4472C4" w:themeColor="accent1"/>
          <w:sz w:val="14"/>
          <w:szCs w:val="14"/>
        </w:rPr>
        <w:t>ILL</w:t>
      </w:r>
      <w:r w:rsidRPr="00E17490">
        <w:rPr>
          <w:rFonts w:ascii="Arial" w:hAnsi="Arial" w:cs="Arial"/>
          <w:color w:val="4472C4" w:themeColor="accent1"/>
          <w:sz w:val="18"/>
          <w:szCs w:val="18"/>
        </w:rPr>
        <w:t>, A. J., D</w:t>
      </w:r>
      <w:r w:rsidRPr="00E17490">
        <w:rPr>
          <w:rFonts w:ascii="Arial" w:hAnsi="Arial" w:cs="Arial"/>
          <w:color w:val="4472C4" w:themeColor="accent1"/>
          <w:sz w:val="14"/>
          <w:szCs w:val="14"/>
        </w:rPr>
        <w:t>AZA</w:t>
      </w:r>
      <w:r w:rsidRPr="00E17490">
        <w:rPr>
          <w:rFonts w:ascii="Arial" w:hAnsi="Arial" w:cs="Arial"/>
          <w:color w:val="4472C4" w:themeColor="accent1"/>
          <w:sz w:val="18"/>
          <w:szCs w:val="18"/>
        </w:rPr>
        <w:t>, R. M., M</w:t>
      </w:r>
      <w:r w:rsidRPr="00E17490">
        <w:rPr>
          <w:rFonts w:ascii="Arial" w:hAnsi="Arial" w:cs="Arial"/>
          <w:color w:val="4472C4" w:themeColor="accent1"/>
          <w:sz w:val="14"/>
          <w:szCs w:val="14"/>
        </w:rPr>
        <w:t>C</w:t>
      </w:r>
      <w:r w:rsidRPr="00E17490">
        <w:rPr>
          <w:rFonts w:ascii="Arial" w:hAnsi="Arial" w:cs="Arial"/>
          <w:color w:val="4472C4" w:themeColor="accent1"/>
          <w:sz w:val="18"/>
          <w:szCs w:val="18"/>
        </w:rPr>
        <w:t>F</w:t>
      </w:r>
      <w:r w:rsidRPr="00E17490">
        <w:rPr>
          <w:rFonts w:ascii="Arial" w:hAnsi="Arial" w:cs="Arial"/>
          <w:color w:val="4472C4" w:themeColor="accent1"/>
          <w:sz w:val="14"/>
          <w:szCs w:val="14"/>
        </w:rPr>
        <w:t>ALINE</w:t>
      </w:r>
      <w:r w:rsidRPr="00E17490">
        <w:rPr>
          <w:rFonts w:ascii="Arial" w:hAnsi="Arial" w:cs="Arial"/>
          <w:color w:val="4472C4" w:themeColor="accent1"/>
          <w:sz w:val="18"/>
          <w:szCs w:val="18"/>
        </w:rPr>
        <w:t>-F</w:t>
      </w:r>
      <w:r w:rsidRPr="00E17490">
        <w:rPr>
          <w:rFonts w:ascii="Arial" w:hAnsi="Arial" w:cs="Arial"/>
          <w:color w:val="4472C4" w:themeColor="accent1"/>
          <w:sz w:val="14"/>
          <w:szCs w:val="14"/>
        </w:rPr>
        <w:t>IGUEROA</w:t>
      </w:r>
      <w:r w:rsidRPr="00E17490">
        <w:rPr>
          <w:rFonts w:ascii="Arial" w:hAnsi="Arial" w:cs="Arial"/>
          <w:color w:val="4472C4" w:themeColor="accent1"/>
          <w:sz w:val="18"/>
          <w:szCs w:val="18"/>
        </w:rPr>
        <w:t>, J. L., P</w:t>
      </w:r>
      <w:r w:rsidRPr="00E17490">
        <w:rPr>
          <w:rFonts w:ascii="Arial" w:hAnsi="Arial" w:cs="Arial"/>
          <w:color w:val="4472C4" w:themeColor="accent1"/>
          <w:sz w:val="14"/>
          <w:szCs w:val="14"/>
        </w:rPr>
        <w:t>ACKER</w:t>
      </w:r>
      <w:r w:rsidRPr="00E17490">
        <w:rPr>
          <w:rFonts w:ascii="Arial" w:hAnsi="Arial" w:cs="Arial"/>
          <w:color w:val="4472C4" w:themeColor="accent1"/>
          <w:sz w:val="18"/>
          <w:szCs w:val="18"/>
        </w:rPr>
        <w:t>, J. S., C</w:t>
      </w:r>
      <w:r w:rsidRPr="00E17490">
        <w:rPr>
          <w:rFonts w:ascii="Arial" w:hAnsi="Arial" w:cs="Arial"/>
          <w:color w:val="4472C4" w:themeColor="accent1"/>
          <w:sz w:val="14"/>
          <w:szCs w:val="14"/>
        </w:rPr>
        <w:t>HRISTIANSEN</w:t>
      </w:r>
      <w:r w:rsidRPr="00E17490">
        <w:rPr>
          <w:rFonts w:ascii="Arial" w:hAnsi="Arial" w:cs="Arial"/>
          <w:color w:val="4472C4" w:themeColor="accent1"/>
          <w:sz w:val="18"/>
          <w:szCs w:val="18"/>
        </w:rPr>
        <w:t>, L., S</w:t>
      </w:r>
      <w:r w:rsidRPr="00E17490">
        <w:rPr>
          <w:rFonts w:ascii="Arial" w:hAnsi="Arial" w:cs="Arial"/>
          <w:color w:val="4472C4" w:themeColor="accent1"/>
          <w:sz w:val="14"/>
          <w:szCs w:val="14"/>
        </w:rPr>
        <w:t>TEEMERS</w:t>
      </w:r>
      <w:r w:rsidRPr="00E17490">
        <w:rPr>
          <w:rFonts w:ascii="Arial" w:hAnsi="Arial" w:cs="Arial"/>
          <w:color w:val="4472C4" w:themeColor="accent1"/>
          <w:sz w:val="18"/>
          <w:szCs w:val="18"/>
        </w:rPr>
        <w:t>, F. J., A</w:t>
      </w:r>
      <w:r w:rsidRPr="00E17490">
        <w:rPr>
          <w:rFonts w:ascii="Arial" w:hAnsi="Arial" w:cs="Arial"/>
          <w:color w:val="4472C4" w:themeColor="accent1"/>
          <w:sz w:val="14"/>
          <w:szCs w:val="14"/>
        </w:rPr>
        <w:t>DEY</w:t>
      </w:r>
      <w:r w:rsidRPr="00E17490">
        <w:rPr>
          <w:rFonts w:ascii="Arial" w:hAnsi="Arial" w:cs="Arial"/>
          <w:color w:val="4472C4" w:themeColor="accent1"/>
          <w:sz w:val="18"/>
          <w:szCs w:val="18"/>
        </w:rPr>
        <w:t>, A. C., T</w:t>
      </w:r>
      <w:r w:rsidRPr="00E17490">
        <w:rPr>
          <w:rFonts w:ascii="Arial" w:hAnsi="Arial" w:cs="Arial"/>
          <w:color w:val="4472C4" w:themeColor="accent1"/>
          <w:sz w:val="14"/>
          <w:szCs w:val="14"/>
        </w:rPr>
        <w:t>RAP</w:t>
      </w:r>
      <w:r w:rsidRPr="00E17490">
        <w:rPr>
          <w:rFonts w:ascii="Arial" w:hAnsi="Arial" w:cs="Arial"/>
          <w:color w:val="4472C4" w:themeColor="accent1"/>
          <w:sz w:val="18"/>
          <w:szCs w:val="18"/>
        </w:rPr>
        <w:t xml:space="preserve"> </w:t>
      </w:r>
      <w:r w:rsidRPr="00E17490">
        <w:rPr>
          <w:rFonts w:ascii="Arial" w:hAnsi="Arial" w:cs="Arial"/>
          <w:color w:val="4472C4" w:themeColor="accent1"/>
          <w:sz w:val="14"/>
          <w:szCs w:val="14"/>
        </w:rPr>
        <w:t>NELL</w:t>
      </w:r>
      <w:r w:rsidRPr="00E17490">
        <w:rPr>
          <w:rFonts w:ascii="Arial" w:hAnsi="Arial" w:cs="Arial"/>
          <w:color w:val="4472C4" w:themeColor="accent1"/>
          <w:sz w:val="18"/>
          <w:szCs w:val="18"/>
        </w:rPr>
        <w:t>, C. and S</w:t>
      </w:r>
      <w:r w:rsidRPr="00E17490">
        <w:rPr>
          <w:rFonts w:ascii="Arial" w:hAnsi="Arial" w:cs="Arial"/>
          <w:color w:val="4472C4" w:themeColor="accent1"/>
          <w:sz w:val="14"/>
          <w:szCs w:val="14"/>
        </w:rPr>
        <w:t>HENDURE</w:t>
      </w:r>
      <w:r w:rsidRPr="00E17490">
        <w:rPr>
          <w:rFonts w:ascii="Arial" w:hAnsi="Arial" w:cs="Arial"/>
          <w:color w:val="4472C4" w:themeColor="accent1"/>
          <w:sz w:val="18"/>
          <w:szCs w:val="18"/>
        </w:rPr>
        <w:t xml:space="preserve">, J. (2018). Joint profiling of chromatin accessibility and gene expression in </w:t>
      </w:r>
      <w:proofErr w:type="spellStart"/>
      <w:r w:rsidRPr="00E17490">
        <w:rPr>
          <w:rFonts w:ascii="Arial" w:hAnsi="Arial" w:cs="Arial"/>
          <w:color w:val="4472C4" w:themeColor="accent1"/>
          <w:sz w:val="18"/>
          <w:szCs w:val="18"/>
        </w:rPr>
        <w:t xml:space="preserve">thou </w:t>
      </w:r>
      <w:proofErr w:type="gramStart"/>
      <w:r w:rsidRPr="00E17490">
        <w:rPr>
          <w:rFonts w:ascii="Arial" w:hAnsi="Arial" w:cs="Arial"/>
          <w:color w:val="4472C4" w:themeColor="accent1"/>
          <w:sz w:val="18"/>
          <w:szCs w:val="18"/>
        </w:rPr>
        <w:t>sands</w:t>
      </w:r>
      <w:proofErr w:type="spellEnd"/>
      <w:proofErr w:type="gramEnd"/>
      <w:r w:rsidRPr="00E17490">
        <w:rPr>
          <w:rFonts w:ascii="Arial" w:hAnsi="Arial" w:cs="Arial"/>
          <w:color w:val="4472C4" w:themeColor="accent1"/>
          <w:sz w:val="18"/>
          <w:szCs w:val="18"/>
        </w:rPr>
        <w:t xml:space="preserve"> of single cells. </w:t>
      </w:r>
      <w:r w:rsidRPr="00E17490">
        <w:rPr>
          <w:rFonts w:ascii="Arial" w:hAnsi="Arial" w:cs="Arial"/>
          <w:i/>
          <w:iCs/>
          <w:color w:val="4472C4" w:themeColor="accent1"/>
          <w:sz w:val="18"/>
          <w:szCs w:val="18"/>
        </w:rPr>
        <w:t xml:space="preserve">Science </w:t>
      </w:r>
      <w:r w:rsidRPr="00E17490">
        <w:rPr>
          <w:rFonts w:ascii="Arial" w:hAnsi="Arial" w:cs="Arial"/>
          <w:color w:val="4472C4" w:themeColor="accent1"/>
          <w:sz w:val="18"/>
          <w:szCs w:val="18"/>
        </w:rPr>
        <w:t>361 1380–1385. </w:t>
      </w:r>
    </w:p>
    <w:p w14:paraId="50BC4B33" w14:textId="77777777" w:rsidR="00DF278B" w:rsidRPr="00E17490" w:rsidRDefault="00DF278B" w:rsidP="00DF278B">
      <w:pPr>
        <w:pStyle w:val="NormalWeb"/>
        <w:spacing w:before="7" w:beforeAutospacing="0" w:after="0" w:afterAutospacing="0"/>
        <w:ind w:left="9" w:right="11" w:hanging="215"/>
        <w:rPr>
          <w:color w:val="4472C4" w:themeColor="accent1"/>
        </w:rPr>
      </w:pPr>
      <w:r w:rsidRPr="00E17490">
        <w:rPr>
          <w:rFonts w:ascii="Arial" w:hAnsi="Arial" w:cs="Arial"/>
          <w:color w:val="4472C4" w:themeColor="accent1"/>
          <w:sz w:val="18"/>
          <w:szCs w:val="18"/>
        </w:rPr>
        <w:t>C</w:t>
      </w:r>
      <w:r w:rsidRPr="00E17490">
        <w:rPr>
          <w:rFonts w:ascii="Arial" w:hAnsi="Arial" w:cs="Arial"/>
          <w:color w:val="4472C4" w:themeColor="accent1"/>
          <w:sz w:val="14"/>
          <w:szCs w:val="14"/>
        </w:rPr>
        <w:t>HEN</w:t>
      </w:r>
      <w:r w:rsidRPr="00E17490">
        <w:rPr>
          <w:rFonts w:ascii="Arial" w:hAnsi="Arial" w:cs="Arial"/>
          <w:color w:val="4472C4" w:themeColor="accent1"/>
          <w:sz w:val="18"/>
          <w:szCs w:val="18"/>
        </w:rPr>
        <w:t>, M.-H. and S</w:t>
      </w:r>
      <w:r w:rsidRPr="00E17490">
        <w:rPr>
          <w:rFonts w:ascii="Arial" w:hAnsi="Arial" w:cs="Arial"/>
          <w:color w:val="4472C4" w:themeColor="accent1"/>
          <w:sz w:val="14"/>
          <w:szCs w:val="14"/>
        </w:rPr>
        <w:t>HAO</w:t>
      </w:r>
      <w:r w:rsidRPr="00E17490">
        <w:rPr>
          <w:rFonts w:ascii="Arial" w:hAnsi="Arial" w:cs="Arial"/>
          <w:color w:val="4472C4" w:themeColor="accent1"/>
          <w:sz w:val="18"/>
          <w:szCs w:val="18"/>
        </w:rPr>
        <w:t xml:space="preserve">, Q.-M. (1999). Monte Carlo estimation of Bayesian credible and HPD intervals. </w:t>
      </w:r>
      <w:r w:rsidRPr="00E17490">
        <w:rPr>
          <w:rFonts w:ascii="Arial" w:hAnsi="Arial" w:cs="Arial"/>
          <w:i/>
          <w:iCs/>
          <w:color w:val="4472C4" w:themeColor="accent1"/>
          <w:sz w:val="18"/>
          <w:szCs w:val="18"/>
        </w:rPr>
        <w:t xml:space="preserve">Journal of Computational and Graphical Statistics </w:t>
      </w:r>
      <w:r w:rsidRPr="00E17490">
        <w:rPr>
          <w:rFonts w:ascii="Arial" w:hAnsi="Arial" w:cs="Arial"/>
          <w:color w:val="4472C4" w:themeColor="accent1"/>
          <w:sz w:val="18"/>
          <w:szCs w:val="18"/>
        </w:rPr>
        <w:t>8 69–92. </w:t>
      </w:r>
    </w:p>
    <w:p w14:paraId="629DCA54" w14:textId="77777777" w:rsidR="00DF278B" w:rsidRPr="00E17490" w:rsidRDefault="00DF278B" w:rsidP="00DF278B">
      <w:pPr>
        <w:pStyle w:val="NormalWeb"/>
        <w:spacing w:before="7" w:beforeAutospacing="0" w:after="0" w:afterAutospacing="0"/>
        <w:ind w:left="9" w:right="11" w:hanging="214"/>
        <w:jc w:val="both"/>
        <w:rPr>
          <w:color w:val="4472C4" w:themeColor="accent1"/>
        </w:rPr>
      </w:pPr>
      <w:r w:rsidRPr="00E17490">
        <w:rPr>
          <w:rFonts w:ascii="Arial" w:hAnsi="Arial" w:cs="Arial"/>
          <w:color w:val="4472C4" w:themeColor="accent1"/>
          <w:sz w:val="18"/>
          <w:szCs w:val="18"/>
        </w:rPr>
        <w:t>C</w:t>
      </w:r>
      <w:r w:rsidRPr="00E17490">
        <w:rPr>
          <w:rFonts w:ascii="Arial" w:hAnsi="Arial" w:cs="Arial"/>
          <w:color w:val="4472C4" w:themeColor="accent1"/>
          <w:sz w:val="14"/>
          <w:szCs w:val="14"/>
        </w:rPr>
        <w:t>ROWELL</w:t>
      </w:r>
      <w:r w:rsidRPr="00E17490">
        <w:rPr>
          <w:rFonts w:ascii="Arial" w:hAnsi="Arial" w:cs="Arial"/>
          <w:color w:val="4472C4" w:themeColor="accent1"/>
          <w:sz w:val="18"/>
          <w:szCs w:val="18"/>
        </w:rPr>
        <w:t>, H. L., S</w:t>
      </w:r>
      <w:r w:rsidRPr="00E17490">
        <w:rPr>
          <w:rFonts w:ascii="Arial" w:hAnsi="Arial" w:cs="Arial"/>
          <w:color w:val="4472C4" w:themeColor="accent1"/>
          <w:sz w:val="14"/>
          <w:szCs w:val="14"/>
        </w:rPr>
        <w:t>ONESON</w:t>
      </w:r>
      <w:r w:rsidRPr="00E17490">
        <w:rPr>
          <w:rFonts w:ascii="Arial" w:hAnsi="Arial" w:cs="Arial"/>
          <w:color w:val="4472C4" w:themeColor="accent1"/>
          <w:sz w:val="18"/>
          <w:szCs w:val="18"/>
        </w:rPr>
        <w:t>, C., G</w:t>
      </w:r>
      <w:r w:rsidRPr="00E17490">
        <w:rPr>
          <w:rFonts w:ascii="Arial" w:hAnsi="Arial" w:cs="Arial"/>
          <w:color w:val="4472C4" w:themeColor="accent1"/>
          <w:sz w:val="14"/>
          <w:szCs w:val="14"/>
        </w:rPr>
        <w:t>ERMAIN</w:t>
      </w:r>
      <w:r w:rsidRPr="00E17490">
        <w:rPr>
          <w:rFonts w:ascii="Arial" w:hAnsi="Arial" w:cs="Arial"/>
          <w:color w:val="4472C4" w:themeColor="accent1"/>
          <w:sz w:val="18"/>
          <w:szCs w:val="18"/>
        </w:rPr>
        <w:t>, P.-L., C</w:t>
      </w:r>
      <w:r w:rsidRPr="00E17490">
        <w:rPr>
          <w:rFonts w:ascii="Arial" w:hAnsi="Arial" w:cs="Arial"/>
          <w:color w:val="4472C4" w:themeColor="accent1"/>
          <w:sz w:val="14"/>
          <w:szCs w:val="14"/>
        </w:rPr>
        <w:t>ALINI</w:t>
      </w:r>
      <w:r w:rsidRPr="00E17490">
        <w:rPr>
          <w:rFonts w:ascii="Arial" w:hAnsi="Arial" w:cs="Arial"/>
          <w:color w:val="4472C4" w:themeColor="accent1"/>
          <w:sz w:val="18"/>
          <w:szCs w:val="18"/>
        </w:rPr>
        <w:t>, D., C</w:t>
      </w:r>
      <w:r w:rsidRPr="00E17490">
        <w:rPr>
          <w:rFonts w:ascii="Arial" w:hAnsi="Arial" w:cs="Arial"/>
          <w:color w:val="4472C4" w:themeColor="accent1"/>
          <w:sz w:val="14"/>
          <w:szCs w:val="14"/>
        </w:rPr>
        <w:t>OLLIN</w:t>
      </w:r>
      <w:r w:rsidRPr="00E17490">
        <w:rPr>
          <w:rFonts w:ascii="Arial" w:hAnsi="Arial" w:cs="Arial"/>
          <w:color w:val="4472C4" w:themeColor="accent1"/>
          <w:sz w:val="18"/>
          <w:szCs w:val="18"/>
        </w:rPr>
        <w:t>, L., R</w:t>
      </w:r>
      <w:r w:rsidRPr="00E17490">
        <w:rPr>
          <w:rFonts w:ascii="Arial" w:hAnsi="Arial" w:cs="Arial"/>
          <w:color w:val="4472C4" w:themeColor="accent1"/>
          <w:sz w:val="14"/>
          <w:szCs w:val="14"/>
        </w:rPr>
        <w:t>APOSO</w:t>
      </w:r>
      <w:r w:rsidRPr="00E17490">
        <w:rPr>
          <w:rFonts w:ascii="Arial" w:hAnsi="Arial" w:cs="Arial"/>
          <w:color w:val="4472C4" w:themeColor="accent1"/>
          <w:sz w:val="18"/>
          <w:szCs w:val="18"/>
        </w:rPr>
        <w:t>, C., M</w:t>
      </w:r>
      <w:r w:rsidRPr="00E17490">
        <w:rPr>
          <w:rFonts w:ascii="Arial" w:hAnsi="Arial" w:cs="Arial"/>
          <w:color w:val="4472C4" w:themeColor="accent1"/>
          <w:sz w:val="14"/>
          <w:szCs w:val="14"/>
        </w:rPr>
        <w:t>ALHOTRA</w:t>
      </w:r>
      <w:r w:rsidRPr="00E17490">
        <w:rPr>
          <w:rFonts w:ascii="Arial" w:hAnsi="Arial" w:cs="Arial"/>
          <w:color w:val="4472C4" w:themeColor="accent1"/>
          <w:sz w:val="18"/>
          <w:szCs w:val="18"/>
        </w:rPr>
        <w:t>, D. and R</w:t>
      </w:r>
      <w:r w:rsidRPr="00E17490">
        <w:rPr>
          <w:rFonts w:ascii="Arial" w:hAnsi="Arial" w:cs="Arial"/>
          <w:color w:val="4472C4" w:themeColor="accent1"/>
          <w:sz w:val="14"/>
          <w:szCs w:val="14"/>
        </w:rPr>
        <w:t>OBINSON</w:t>
      </w:r>
      <w:r w:rsidRPr="00E17490">
        <w:rPr>
          <w:rFonts w:ascii="Arial" w:hAnsi="Arial" w:cs="Arial"/>
          <w:color w:val="4472C4" w:themeColor="accent1"/>
          <w:sz w:val="18"/>
          <w:szCs w:val="18"/>
        </w:rPr>
        <w:t xml:space="preserve">, M. D. (2020). muscat detects subpopulation-specific state transitions from multi-sample multi condition single-cell transcriptomics data. </w:t>
      </w:r>
      <w:r w:rsidRPr="00E17490">
        <w:rPr>
          <w:rFonts w:ascii="Arial" w:hAnsi="Arial" w:cs="Arial"/>
          <w:i/>
          <w:iCs/>
          <w:color w:val="4472C4" w:themeColor="accent1"/>
          <w:sz w:val="18"/>
          <w:szCs w:val="18"/>
        </w:rPr>
        <w:t xml:space="preserve">Nature Communications </w:t>
      </w:r>
      <w:r w:rsidRPr="00E17490">
        <w:rPr>
          <w:rFonts w:ascii="Arial" w:hAnsi="Arial" w:cs="Arial"/>
          <w:color w:val="4472C4" w:themeColor="accent1"/>
          <w:sz w:val="18"/>
          <w:szCs w:val="18"/>
        </w:rPr>
        <w:t>11 6077. </w:t>
      </w:r>
    </w:p>
    <w:p w14:paraId="5A67DA72" w14:textId="77777777" w:rsidR="00DF278B" w:rsidRPr="00E17490" w:rsidRDefault="00DF278B" w:rsidP="00DF278B">
      <w:pPr>
        <w:pStyle w:val="NormalWeb"/>
        <w:spacing w:before="7" w:beforeAutospacing="0" w:after="0" w:afterAutospacing="0"/>
        <w:ind w:left="7" w:right="11" w:hanging="213"/>
        <w:rPr>
          <w:color w:val="4472C4" w:themeColor="accent1"/>
        </w:rPr>
      </w:pPr>
      <w:r w:rsidRPr="00E17490">
        <w:rPr>
          <w:rFonts w:ascii="Arial" w:hAnsi="Arial" w:cs="Arial"/>
          <w:color w:val="4472C4" w:themeColor="accent1"/>
          <w:sz w:val="18"/>
          <w:szCs w:val="18"/>
        </w:rPr>
        <w:t>D</w:t>
      </w:r>
      <w:r w:rsidRPr="00E17490">
        <w:rPr>
          <w:rFonts w:ascii="Arial" w:hAnsi="Arial" w:cs="Arial"/>
          <w:color w:val="4472C4" w:themeColor="accent1"/>
          <w:sz w:val="14"/>
          <w:szCs w:val="14"/>
        </w:rPr>
        <w:t>EY</w:t>
      </w:r>
      <w:r w:rsidRPr="00E17490">
        <w:rPr>
          <w:rFonts w:ascii="Arial" w:hAnsi="Arial" w:cs="Arial"/>
          <w:color w:val="4472C4" w:themeColor="accent1"/>
          <w:sz w:val="18"/>
          <w:szCs w:val="18"/>
        </w:rPr>
        <w:t>, K. K., H</w:t>
      </w:r>
      <w:r w:rsidRPr="00E17490">
        <w:rPr>
          <w:rFonts w:ascii="Arial" w:hAnsi="Arial" w:cs="Arial"/>
          <w:color w:val="4472C4" w:themeColor="accent1"/>
          <w:sz w:val="14"/>
          <w:szCs w:val="14"/>
        </w:rPr>
        <w:t>SIAO</w:t>
      </w:r>
      <w:r w:rsidRPr="00E17490">
        <w:rPr>
          <w:rFonts w:ascii="Arial" w:hAnsi="Arial" w:cs="Arial"/>
          <w:color w:val="4472C4" w:themeColor="accent1"/>
          <w:sz w:val="18"/>
          <w:szCs w:val="18"/>
        </w:rPr>
        <w:t>, C. J. and S</w:t>
      </w:r>
      <w:r w:rsidRPr="00E17490">
        <w:rPr>
          <w:rFonts w:ascii="Arial" w:hAnsi="Arial" w:cs="Arial"/>
          <w:color w:val="4472C4" w:themeColor="accent1"/>
          <w:sz w:val="14"/>
          <w:szCs w:val="14"/>
        </w:rPr>
        <w:t>TEPHENS</w:t>
      </w:r>
      <w:r w:rsidRPr="00E17490">
        <w:rPr>
          <w:rFonts w:ascii="Arial" w:hAnsi="Arial" w:cs="Arial"/>
          <w:color w:val="4472C4" w:themeColor="accent1"/>
          <w:sz w:val="18"/>
          <w:szCs w:val="18"/>
        </w:rPr>
        <w:t>, M. (2017). Visualizing the structure of RNA-</w:t>
      </w:r>
      <w:proofErr w:type="spellStart"/>
      <w:r w:rsidRPr="00E17490">
        <w:rPr>
          <w:rFonts w:ascii="Arial" w:hAnsi="Arial" w:cs="Arial"/>
          <w:color w:val="4472C4" w:themeColor="accent1"/>
          <w:sz w:val="18"/>
          <w:szCs w:val="18"/>
        </w:rPr>
        <w:t>seq</w:t>
      </w:r>
      <w:proofErr w:type="spellEnd"/>
      <w:r w:rsidRPr="00E17490">
        <w:rPr>
          <w:rFonts w:ascii="Arial" w:hAnsi="Arial" w:cs="Arial"/>
          <w:color w:val="4472C4" w:themeColor="accent1"/>
          <w:sz w:val="18"/>
          <w:szCs w:val="18"/>
        </w:rPr>
        <w:t xml:space="preserve"> expression data using grade of membership models. </w:t>
      </w:r>
      <w:proofErr w:type="spellStart"/>
      <w:r w:rsidRPr="00E17490">
        <w:rPr>
          <w:rFonts w:ascii="Arial" w:hAnsi="Arial" w:cs="Arial"/>
          <w:i/>
          <w:iCs/>
          <w:color w:val="4472C4" w:themeColor="accent1"/>
          <w:sz w:val="18"/>
          <w:szCs w:val="18"/>
        </w:rPr>
        <w:t>PLoS</w:t>
      </w:r>
      <w:proofErr w:type="spellEnd"/>
      <w:r w:rsidRPr="00E17490">
        <w:rPr>
          <w:rFonts w:ascii="Arial" w:hAnsi="Arial" w:cs="Arial"/>
          <w:i/>
          <w:iCs/>
          <w:color w:val="4472C4" w:themeColor="accent1"/>
          <w:sz w:val="18"/>
          <w:szCs w:val="18"/>
        </w:rPr>
        <w:t xml:space="preserve"> Genetics </w:t>
      </w:r>
      <w:r w:rsidRPr="00E17490">
        <w:rPr>
          <w:rFonts w:ascii="Arial" w:hAnsi="Arial" w:cs="Arial"/>
          <w:color w:val="4472C4" w:themeColor="accent1"/>
          <w:sz w:val="18"/>
          <w:szCs w:val="18"/>
        </w:rPr>
        <w:t>13 e1006599. </w:t>
      </w:r>
    </w:p>
    <w:p w14:paraId="5D3430C3" w14:textId="77777777" w:rsidR="00DF278B" w:rsidRPr="00E17490" w:rsidRDefault="00DF278B" w:rsidP="00DF278B">
      <w:pPr>
        <w:pStyle w:val="NormalWeb"/>
        <w:spacing w:before="7" w:beforeAutospacing="0" w:after="0" w:afterAutospacing="0"/>
        <w:ind w:left="4" w:right="11" w:hanging="3"/>
        <w:rPr>
          <w:color w:val="4472C4" w:themeColor="accent1"/>
        </w:rPr>
      </w:pPr>
      <w:r w:rsidRPr="00E17490">
        <w:rPr>
          <w:rFonts w:ascii="Arial" w:hAnsi="Arial" w:cs="Arial"/>
          <w:color w:val="4472C4" w:themeColor="accent1"/>
          <w:sz w:val="18"/>
          <w:szCs w:val="18"/>
        </w:rPr>
        <w:t>D</w:t>
      </w:r>
      <w:r w:rsidRPr="00E17490">
        <w:rPr>
          <w:rFonts w:ascii="Arial" w:hAnsi="Arial" w:cs="Arial"/>
          <w:color w:val="4472C4" w:themeColor="accent1"/>
          <w:sz w:val="14"/>
          <w:szCs w:val="14"/>
        </w:rPr>
        <w:t>EY</w:t>
      </w:r>
      <w:r w:rsidRPr="00E17490">
        <w:rPr>
          <w:rFonts w:ascii="Arial" w:hAnsi="Arial" w:cs="Arial"/>
          <w:color w:val="4472C4" w:themeColor="accent1"/>
          <w:sz w:val="18"/>
          <w:szCs w:val="18"/>
        </w:rPr>
        <w:t>, R., S</w:t>
      </w:r>
      <w:r w:rsidRPr="00E17490">
        <w:rPr>
          <w:rFonts w:ascii="Arial" w:hAnsi="Arial" w:cs="Arial"/>
          <w:color w:val="4472C4" w:themeColor="accent1"/>
          <w:sz w:val="14"/>
          <w:szCs w:val="14"/>
        </w:rPr>
        <w:t>CHMIDT</w:t>
      </w:r>
      <w:r w:rsidRPr="00E17490">
        <w:rPr>
          <w:rFonts w:ascii="Arial" w:hAnsi="Arial" w:cs="Arial"/>
          <w:color w:val="4472C4" w:themeColor="accent1"/>
          <w:sz w:val="18"/>
          <w:szCs w:val="18"/>
        </w:rPr>
        <w:t>, E. M., A</w:t>
      </w:r>
      <w:r w:rsidRPr="00E17490">
        <w:rPr>
          <w:rFonts w:ascii="Arial" w:hAnsi="Arial" w:cs="Arial"/>
          <w:color w:val="4472C4" w:themeColor="accent1"/>
          <w:sz w:val="14"/>
          <w:szCs w:val="14"/>
        </w:rPr>
        <w:t>BECASIS</w:t>
      </w:r>
      <w:r w:rsidRPr="00E17490">
        <w:rPr>
          <w:rFonts w:ascii="Arial" w:hAnsi="Arial" w:cs="Arial"/>
          <w:color w:val="4472C4" w:themeColor="accent1"/>
          <w:sz w:val="18"/>
          <w:szCs w:val="18"/>
        </w:rPr>
        <w:t>, G. R. and L</w:t>
      </w:r>
      <w:r w:rsidRPr="00E17490">
        <w:rPr>
          <w:rFonts w:ascii="Arial" w:hAnsi="Arial" w:cs="Arial"/>
          <w:color w:val="4472C4" w:themeColor="accent1"/>
          <w:sz w:val="14"/>
          <w:szCs w:val="14"/>
        </w:rPr>
        <w:t>EE</w:t>
      </w:r>
      <w:r w:rsidRPr="00E17490">
        <w:rPr>
          <w:rFonts w:ascii="Arial" w:hAnsi="Arial" w:cs="Arial"/>
          <w:color w:val="4472C4" w:themeColor="accent1"/>
          <w:sz w:val="18"/>
          <w:szCs w:val="18"/>
        </w:rPr>
        <w:t xml:space="preserve">, S. (2017). A fast and accurate algorithm to test for binary phenotypes and its application to </w:t>
      </w:r>
      <w:proofErr w:type="spellStart"/>
      <w:r w:rsidRPr="00E17490">
        <w:rPr>
          <w:rFonts w:ascii="Arial" w:hAnsi="Arial" w:cs="Arial"/>
          <w:color w:val="4472C4" w:themeColor="accent1"/>
          <w:sz w:val="18"/>
          <w:szCs w:val="18"/>
        </w:rPr>
        <w:t>PheWAS</w:t>
      </w:r>
      <w:proofErr w:type="spellEnd"/>
      <w:r w:rsidRPr="00E17490">
        <w:rPr>
          <w:rFonts w:ascii="Arial" w:hAnsi="Arial" w:cs="Arial"/>
          <w:color w:val="4472C4" w:themeColor="accent1"/>
          <w:sz w:val="18"/>
          <w:szCs w:val="18"/>
        </w:rPr>
        <w:t xml:space="preserve">. </w:t>
      </w:r>
      <w:r w:rsidRPr="00E17490">
        <w:rPr>
          <w:rFonts w:ascii="Arial" w:hAnsi="Arial" w:cs="Arial"/>
          <w:i/>
          <w:iCs/>
          <w:color w:val="4472C4" w:themeColor="accent1"/>
          <w:sz w:val="18"/>
          <w:szCs w:val="18"/>
        </w:rPr>
        <w:t xml:space="preserve">American Journal of Human Genetics </w:t>
      </w:r>
      <w:r w:rsidRPr="00E17490">
        <w:rPr>
          <w:rFonts w:ascii="Arial" w:hAnsi="Arial" w:cs="Arial"/>
          <w:color w:val="4472C4" w:themeColor="accent1"/>
          <w:sz w:val="18"/>
          <w:szCs w:val="18"/>
        </w:rPr>
        <w:t>101 37–49. G</w:t>
      </w:r>
      <w:r w:rsidRPr="00E17490">
        <w:rPr>
          <w:rFonts w:ascii="Arial" w:hAnsi="Arial" w:cs="Arial"/>
          <w:color w:val="4472C4" w:themeColor="accent1"/>
          <w:sz w:val="14"/>
          <w:szCs w:val="14"/>
        </w:rPr>
        <w:t>ONZÁLEZ</w:t>
      </w:r>
      <w:r w:rsidRPr="00E17490">
        <w:rPr>
          <w:rFonts w:ascii="Arial" w:hAnsi="Arial" w:cs="Arial"/>
          <w:color w:val="4472C4" w:themeColor="accent1"/>
          <w:sz w:val="18"/>
          <w:szCs w:val="18"/>
        </w:rPr>
        <w:t>-B</w:t>
      </w:r>
      <w:r w:rsidRPr="00E17490">
        <w:rPr>
          <w:rFonts w:ascii="Arial" w:hAnsi="Arial" w:cs="Arial"/>
          <w:color w:val="4472C4" w:themeColor="accent1"/>
          <w:sz w:val="14"/>
          <w:szCs w:val="14"/>
        </w:rPr>
        <w:t>LAS</w:t>
      </w:r>
      <w:r w:rsidRPr="00E17490">
        <w:rPr>
          <w:rFonts w:ascii="Arial" w:hAnsi="Arial" w:cs="Arial"/>
          <w:color w:val="4472C4" w:themeColor="accent1"/>
          <w:sz w:val="18"/>
          <w:szCs w:val="18"/>
        </w:rPr>
        <w:t>, C., M</w:t>
      </w:r>
      <w:r w:rsidRPr="00E17490">
        <w:rPr>
          <w:rFonts w:ascii="Arial" w:hAnsi="Arial" w:cs="Arial"/>
          <w:color w:val="4472C4" w:themeColor="accent1"/>
          <w:sz w:val="14"/>
          <w:szCs w:val="14"/>
        </w:rPr>
        <w:t>INNOYE</w:t>
      </w:r>
      <w:r w:rsidRPr="00E17490">
        <w:rPr>
          <w:rFonts w:ascii="Arial" w:hAnsi="Arial" w:cs="Arial"/>
          <w:color w:val="4472C4" w:themeColor="accent1"/>
          <w:sz w:val="18"/>
          <w:szCs w:val="18"/>
        </w:rPr>
        <w:t>, L., P</w:t>
      </w:r>
      <w:r w:rsidRPr="00E17490">
        <w:rPr>
          <w:rFonts w:ascii="Arial" w:hAnsi="Arial" w:cs="Arial"/>
          <w:color w:val="4472C4" w:themeColor="accent1"/>
          <w:sz w:val="14"/>
          <w:szCs w:val="14"/>
        </w:rPr>
        <w:t>APASOKRATI</w:t>
      </w:r>
      <w:r w:rsidRPr="00E17490">
        <w:rPr>
          <w:rFonts w:ascii="Arial" w:hAnsi="Arial" w:cs="Arial"/>
          <w:color w:val="4472C4" w:themeColor="accent1"/>
          <w:sz w:val="18"/>
          <w:szCs w:val="18"/>
        </w:rPr>
        <w:t>, D., A</w:t>
      </w:r>
      <w:r w:rsidRPr="00E17490">
        <w:rPr>
          <w:rFonts w:ascii="Arial" w:hAnsi="Arial" w:cs="Arial"/>
          <w:color w:val="4472C4" w:themeColor="accent1"/>
          <w:sz w:val="14"/>
          <w:szCs w:val="14"/>
        </w:rPr>
        <w:t>IBAR</w:t>
      </w:r>
      <w:r w:rsidRPr="00E17490">
        <w:rPr>
          <w:rFonts w:ascii="Arial" w:hAnsi="Arial" w:cs="Arial"/>
          <w:color w:val="4472C4" w:themeColor="accent1"/>
          <w:sz w:val="18"/>
          <w:szCs w:val="18"/>
        </w:rPr>
        <w:t>, S., H</w:t>
      </w:r>
      <w:r w:rsidRPr="00E17490">
        <w:rPr>
          <w:rFonts w:ascii="Arial" w:hAnsi="Arial" w:cs="Arial"/>
          <w:color w:val="4472C4" w:themeColor="accent1"/>
          <w:sz w:val="14"/>
          <w:szCs w:val="14"/>
        </w:rPr>
        <w:t>ULSELMANS</w:t>
      </w:r>
      <w:r w:rsidRPr="00E17490">
        <w:rPr>
          <w:rFonts w:ascii="Arial" w:hAnsi="Arial" w:cs="Arial"/>
          <w:color w:val="4472C4" w:themeColor="accent1"/>
          <w:sz w:val="18"/>
          <w:szCs w:val="18"/>
        </w:rPr>
        <w:t>, G., C</w:t>
      </w:r>
      <w:r w:rsidRPr="00E17490">
        <w:rPr>
          <w:rFonts w:ascii="Arial" w:hAnsi="Arial" w:cs="Arial"/>
          <w:color w:val="4472C4" w:themeColor="accent1"/>
          <w:sz w:val="14"/>
          <w:szCs w:val="14"/>
        </w:rPr>
        <w:t>HRISTIAENS</w:t>
      </w:r>
      <w:r w:rsidRPr="00E17490">
        <w:rPr>
          <w:rFonts w:ascii="Arial" w:hAnsi="Arial" w:cs="Arial"/>
          <w:color w:val="4472C4" w:themeColor="accent1"/>
          <w:sz w:val="18"/>
          <w:szCs w:val="18"/>
        </w:rPr>
        <w:t>, V., D</w:t>
      </w:r>
      <w:r w:rsidRPr="00E17490">
        <w:rPr>
          <w:rFonts w:ascii="Arial" w:hAnsi="Arial" w:cs="Arial"/>
          <w:color w:val="4472C4" w:themeColor="accent1"/>
          <w:sz w:val="14"/>
          <w:szCs w:val="14"/>
        </w:rPr>
        <w:t>AVIE</w:t>
      </w:r>
      <w:r w:rsidRPr="00E17490">
        <w:rPr>
          <w:rFonts w:ascii="Arial" w:hAnsi="Arial" w:cs="Arial"/>
          <w:color w:val="4472C4" w:themeColor="accent1"/>
          <w:sz w:val="18"/>
          <w:szCs w:val="18"/>
        </w:rPr>
        <w:t>, K., W</w:t>
      </w:r>
      <w:r w:rsidRPr="00E17490">
        <w:rPr>
          <w:rFonts w:ascii="Arial" w:hAnsi="Arial" w:cs="Arial"/>
          <w:color w:val="4472C4" w:themeColor="accent1"/>
          <w:sz w:val="14"/>
          <w:szCs w:val="14"/>
        </w:rPr>
        <w:t>OUTERS</w:t>
      </w:r>
      <w:r w:rsidRPr="00E17490">
        <w:rPr>
          <w:rFonts w:ascii="Arial" w:hAnsi="Arial" w:cs="Arial"/>
          <w:color w:val="4472C4" w:themeColor="accent1"/>
          <w:sz w:val="18"/>
          <w:szCs w:val="18"/>
        </w:rPr>
        <w:t>, J. and A</w:t>
      </w:r>
      <w:r w:rsidRPr="00E17490">
        <w:rPr>
          <w:rFonts w:ascii="Arial" w:hAnsi="Arial" w:cs="Arial"/>
          <w:color w:val="4472C4" w:themeColor="accent1"/>
          <w:sz w:val="14"/>
          <w:szCs w:val="14"/>
        </w:rPr>
        <w:t>ERTS</w:t>
      </w:r>
      <w:r w:rsidRPr="00E17490">
        <w:rPr>
          <w:rFonts w:ascii="Arial" w:hAnsi="Arial" w:cs="Arial"/>
          <w:color w:val="4472C4" w:themeColor="accent1"/>
          <w:sz w:val="18"/>
          <w:szCs w:val="18"/>
        </w:rPr>
        <w:t xml:space="preserve">, S. (2019). </w:t>
      </w:r>
      <w:proofErr w:type="spellStart"/>
      <w:r w:rsidRPr="00E17490">
        <w:rPr>
          <w:rFonts w:ascii="Arial" w:hAnsi="Arial" w:cs="Arial"/>
          <w:color w:val="4472C4" w:themeColor="accent1"/>
          <w:sz w:val="18"/>
          <w:szCs w:val="18"/>
        </w:rPr>
        <w:t>cisTopic</w:t>
      </w:r>
      <w:proofErr w:type="spellEnd"/>
      <w:r w:rsidRPr="00E17490">
        <w:rPr>
          <w:rFonts w:ascii="Arial" w:hAnsi="Arial" w:cs="Arial"/>
          <w:color w:val="4472C4" w:themeColor="accent1"/>
          <w:sz w:val="18"/>
          <w:szCs w:val="18"/>
        </w:rPr>
        <w:t xml:space="preserve">: cis-regulatory topic </w:t>
      </w:r>
      <w:proofErr w:type="spellStart"/>
      <w:r w:rsidRPr="00E17490">
        <w:rPr>
          <w:rFonts w:ascii="Arial" w:hAnsi="Arial" w:cs="Arial"/>
          <w:color w:val="4472C4" w:themeColor="accent1"/>
          <w:sz w:val="18"/>
          <w:szCs w:val="18"/>
        </w:rPr>
        <w:t>modeling</w:t>
      </w:r>
      <w:proofErr w:type="spellEnd"/>
      <w:r w:rsidRPr="00E17490">
        <w:rPr>
          <w:rFonts w:ascii="Arial" w:hAnsi="Arial" w:cs="Arial"/>
          <w:color w:val="4472C4" w:themeColor="accent1"/>
          <w:sz w:val="18"/>
          <w:szCs w:val="18"/>
        </w:rPr>
        <w:t xml:space="preserve"> on single-cell ATAC </w:t>
      </w:r>
      <w:proofErr w:type="spellStart"/>
      <w:r w:rsidRPr="00E17490">
        <w:rPr>
          <w:rFonts w:ascii="Arial" w:hAnsi="Arial" w:cs="Arial"/>
          <w:color w:val="4472C4" w:themeColor="accent1"/>
          <w:sz w:val="18"/>
          <w:szCs w:val="18"/>
        </w:rPr>
        <w:t>seq</w:t>
      </w:r>
      <w:proofErr w:type="spellEnd"/>
      <w:r w:rsidRPr="00E17490">
        <w:rPr>
          <w:rFonts w:ascii="Arial" w:hAnsi="Arial" w:cs="Arial"/>
          <w:color w:val="4472C4" w:themeColor="accent1"/>
          <w:sz w:val="18"/>
          <w:szCs w:val="18"/>
        </w:rPr>
        <w:t xml:space="preserve"> data. </w:t>
      </w:r>
      <w:r w:rsidRPr="00E17490">
        <w:rPr>
          <w:rFonts w:ascii="Arial" w:hAnsi="Arial" w:cs="Arial"/>
          <w:i/>
          <w:iCs/>
          <w:color w:val="4472C4" w:themeColor="accent1"/>
          <w:sz w:val="18"/>
          <w:szCs w:val="18"/>
        </w:rPr>
        <w:t xml:space="preserve">Nature Methods </w:t>
      </w:r>
      <w:r w:rsidRPr="00E17490">
        <w:rPr>
          <w:rFonts w:ascii="Arial" w:hAnsi="Arial" w:cs="Arial"/>
          <w:color w:val="4472C4" w:themeColor="accent1"/>
          <w:sz w:val="18"/>
          <w:szCs w:val="18"/>
        </w:rPr>
        <w:t>16 397–400. </w:t>
      </w:r>
    </w:p>
    <w:p w14:paraId="363F9184" w14:textId="77777777" w:rsidR="00DF278B" w:rsidRPr="00E17490" w:rsidRDefault="00DF278B" w:rsidP="00DF278B">
      <w:pPr>
        <w:pStyle w:val="NormalWeb"/>
        <w:spacing w:before="7" w:beforeAutospacing="0" w:after="0" w:afterAutospacing="0"/>
        <w:ind w:left="7" w:right="11" w:hanging="216"/>
        <w:jc w:val="both"/>
        <w:rPr>
          <w:color w:val="4472C4" w:themeColor="accent1"/>
        </w:rPr>
      </w:pPr>
      <w:r w:rsidRPr="00E17490">
        <w:rPr>
          <w:rFonts w:ascii="Arial" w:hAnsi="Arial" w:cs="Arial"/>
          <w:color w:val="4472C4" w:themeColor="accent1"/>
          <w:sz w:val="18"/>
          <w:szCs w:val="18"/>
        </w:rPr>
        <w:t>H</w:t>
      </w:r>
      <w:r w:rsidRPr="00E17490">
        <w:rPr>
          <w:rFonts w:ascii="Arial" w:hAnsi="Arial" w:cs="Arial"/>
          <w:color w:val="4472C4" w:themeColor="accent1"/>
          <w:sz w:val="14"/>
          <w:szCs w:val="14"/>
        </w:rPr>
        <w:t>AO</w:t>
      </w:r>
      <w:r w:rsidRPr="00E17490">
        <w:rPr>
          <w:rFonts w:ascii="Arial" w:hAnsi="Arial" w:cs="Arial"/>
          <w:color w:val="4472C4" w:themeColor="accent1"/>
          <w:sz w:val="18"/>
          <w:szCs w:val="18"/>
        </w:rPr>
        <w:t>, Y., S</w:t>
      </w:r>
      <w:r w:rsidRPr="00E17490">
        <w:rPr>
          <w:rFonts w:ascii="Arial" w:hAnsi="Arial" w:cs="Arial"/>
          <w:color w:val="4472C4" w:themeColor="accent1"/>
          <w:sz w:val="14"/>
          <w:szCs w:val="14"/>
        </w:rPr>
        <w:t>TUART</w:t>
      </w:r>
      <w:r w:rsidRPr="00E17490">
        <w:rPr>
          <w:rFonts w:ascii="Arial" w:hAnsi="Arial" w:cs="Arial"/>
          <w:color w:val="4472C4" w:themeColor="accent1"/>
          <w:sz w:val="18"/>
          <w:szCs w:val="18"/>
        </w:rPr>
        <w:t>, T., K</w:t>
      </w:r>
      <w:r w:rsidRPr="00E17490">
        <w:rPr>
          <w:rFonts w:ascii="Arial" w:hAnsi="Arial" w:cs="Arial"/>
          <w:color w:val="4472C4" w:themeColor="accent1"/>
          <w:sz w:val="14"/>
          <w:szCs w:val="14"/>
        </w:rPr>
        <w:t>OWALSKI</w:t>
      </w:r>
      <w:r w:rsidRPr="00E17490">
        <w:rPr>
          <w:rFonts w:ascii="Arial" w:hAnsi="Arial" w:cs="Arial"/>
          <w:color w:val="4472C4" w:themeColor="accent1"/>
          <w:sz w:val="18"/>
          <w:szCs w:val="18"/>
        </w:rPr>
        <w:t>, M. H., C</w:t>
      </w:r>
      <w:r w:rsidRPr="00E17490">
        <w:rPr>
          <w:rFonts w:ascii="Arial" w:hAnsi="Arial" w:cs="Arial"/>
          <w:color w:val="4472C4" w:themeColor="accent1"/>
          <w:sz w:val="14"/>
          <w:szCs w:val="14"/>
        </w:rPr>
        <w:t>HOUDHARY</w:t>
      </w:r>
      <w:r w:rsidRPr="00E17490">
        <w:rPr>
          <w:rFonts w:ascii="Arial" w:hAnsi="Arial" w:cs="Arial"/>
          <w:color w:val="4472C4" w:themeColor="accent1"/>
          <w:sz w:val="18"/>
          <w:szCs w:val="18"/>
        </w:rPr>
        <w:t>, S., H</w:t>
      </w:r>
      <w:r w:rsidRPr="00E17490">
        <w:rPr>
          <w:rFonts w:ascii="Arial" w:hAnsi="Arial" w:cs="Arial"/>
          <w:color w:val="4472C4" w:themeColor="accent1"/>
          <w:sz w:val="14"/>
          <w:szCs w:val="14"/>
        </w:rPr>
        <w:t>OFFMAN</w:t>
      </w:r>
      <w:r w:rsidRPr="00E17490">
        <w:rPr>
          <w:rFonts w:ascii="Arial" w:hAnsi="Arial" w:cs="Arial"/>
          <w:color w:val="4472C4" w:themeColor="accent1"/>
          <w:sz w:val="18"/>
          <w:szCs w:val="18"/>
        </w:rPr>
        <w:t>, P., H</w:t>
      </w:r>
      <w:r w:rsidRPr="00E17490">
        <w:rPr>
          <w:rFonts w:ascii="Arial" w:hAnsi="Arial" w:cs="Arial"/>
          <w:color w:val="4472C4" w:themeColor="accent1"/>
          <w:sz w:val="14"/>
          <w:szCs w:val="14"/>
        </w:rPr>
        <w:t>ARTMAN</w:t>
      </w:r>
      <w:r w:rsidRPr="00E17490">
        <w:rPr>
          <w:rFonts w:ascii="Arial" w:hAnsi="Arial" w:cs="Arial"/>
          <w:color w:val="4472C4" w:themeColor="accent1"/>
          <w:sz w:val="18"/>
          <w:szCs w:val="18"/>
        </w:rPr>
        <w:t>, A., S</w:t>
      </w:r>
      <w:r w:rsidRPr="00E17490">
        <w:rPr>
          <w:rFonts w:ascii="Arial" w:hAnsi="Arial" w:cs="Arial"/>
          <w:color w:val="4472C4" w:themeColor="accent1"/>
          <w:sz w:val="14"/>
          <w:szCs w:val="14"/>
        </w:rPr>
        <w:t>RIVASTAVA</w:t>
      </w:r>
      <w:r w:rsidRPr="00E17490">
        <w:rPr>
          <w:rFonts w:ascii="Arial" w:hAnsi="Arial" w:cs="Arial"/>
          <w:color w:val="4472C4" w:themeColor="accent1"/>
          <w:sz w:val="18"/>
          <w:szCs w:val="18"/>
        </w:rPr>
        <w:t>, A., M</w:t>
      </w:r>
      <w:r w:rsidRPr="00E17490">
        <w:rPr>
          <w:rFonts w:ascii="Arial" w:hAnsi="Arial" w:cs="Arial"/>
          <w:color w:val="4472C4" w:themeColor="accent1"/>
          <w:sz w:val="14"/>
          <w:szCs w:val="14"/>
        </w:rPr>
        <w:t>OLLA</w:t>
      </w:r>
      <w:r w:rsidRPr="00E17490">
        <w:rPr>
          <w:rFonts w:ascii="Arial" w:hAnsi="Arial" w:cs="Arial"/>
          <w:color w:val="4472C4" w:themeColor="accent1"/>
          <w:sz w:val="18"/>
          <w:szCs w:val="18"/>
        </w:rPr>
        <w:t>, G., M</w:t>
      </w:r>
      <w:r w:rsidRPr="00E17490">
        <w:rPr>
          <w:rFonts w:ascii="Arial" w:hAnsi="Arial" w:cs="Arial"/>
          <w:color w:val="4472C4" w:themeColor="accent1"/>
          <w:sz w:val="14"/>
          <w:szCs w:val="14"/>
        </w:rPr>
        <w:t>ADAD</w:t>
      </w:r>
      <w:r w:rsidRPr="00E17490">
        <w:rPr>
          <w:rFonts w:ascii="Arial" w:hAnsi="Arial" w:cs="Arial"/>
          <w:color w:val="4472C4" w:themeColor="accent1"/>
          <w:sz w:val="18"/>
          <w:szCs w:val="18"/>
        </w:rPr>
        <w:t>, S., F</w:t>
      </w:r>
      <w:r w:rsidRPr="00E17490">
        <w:rPr>
          <w:rFonts w:ascii="Arial" w:hAnsi="Arial" w:cs="Arial"/>
          <w:color w:val="4472C4" w:themeColor="accent1"/>
          <w:sz w:val="14"/>
          <w:szCs w:val="14"/>
        </w:rPr>
        <w:t>ERNANDEZ</w:t>
      </w:r>
      <w:r w:rsidRPr="00E17490">
        <w:rPr>
          <w:rFonts w:ascii="Arial" w:hAnsi="Arial" w:cs="Arial"/>
          <w:color w:val="4472C4" w:themeColor="accent1"/>
          <w:sz w:val="18"/>
          <w:szCs w:val="18"/>
        </w:rPr>
        <w:t>-G</w:t>
      </w:r>
      <w:r w:rsidRPr="00E17490">
        <w:rPr>
          <w:rFonts w:ascii="Arial" w:hAnsi="Arial" w:cs="Arial"/>
          <w:color w:val="4472C4" w:themeColor="accent1"/>
          <w:sz w:val="14"/>
          <w:szCs w:val="14"/>
        </w:rPr>
        <w:t>RANDA</w:t>
      </w:r>
      <w:r w:rsidRPr="00E17490">
        <w:rPr>
          <w:rFonts w:ascii="Arial" w:hAnsi="Arial" w:cs="Arial"/>
          <w:color w:val="4472C4" w:themeColor="accent1"/>
          <w:sz w:val="18"/>
          <w:szCs w:val="18"/>
        </w:rPr>
        <w:t>, C. and S</w:t>
      </w:r>
      <w:r w:rsidRPr="00E17490">
        <w:rPr>
          <w:rFonts w:ascii="Arial" w:hAnsi="Arial" w:cs="Arial"/>
          <w:color w:val="4472C4" w:themeColor="accent1"/>
          <w:sz w:val="14"/>
          <w:szCs w:val="14"/>
        </w:rPr>
        <w:t>ATIJA</w:t>
      </w:r>
      <w:r w:rsidRPr="00E17490">
        <w:rPr>
          <w:rFonts w:ascii="Arial" w:hAnsi="Arial" w:cs="Arial"/>
          <w:color w:val="4472C4" w:themeColor="accent1"/>
          <w:sz w:val="18"/>
          <w:szCs w:val="18"/>
        </w:rPr>
        <w:t xml:space="preserve">, R. (2023). Dictionary learning for </w:t>
      </w:r>
      <w:proofErr w:type="spellStart"/>
      <w:r w:rsidRPr="00E17490">
        <w:rPr>
          <w:rFonts w:ascii="Arial" w:hAnsi="Arial" w:cs="Arial"/>
          <w:color w:val="4472C4" w:themeColor="accent1"/>
          <w:sz w:val="18"/>
          <w:szCs w:val="18"/>
        </w:rPr>
        <w:t>inte</w:t>
      </w:r>
      <w:proofErr w:type="spellEnd"/>
      <w:r w:rsidRPr="00E17490">
        <w:rPr>
          <w:rFonts w:ascii="Arial" w:hAnsi="Arial" w:cs="Arial"/>
          <w:color w:val="4472C4" w:themeColor="accent1"/>
          <w:sz w:val="18"/>
          <w:szCs w:val="18"/>
        </w:rPr>
        <w:t xml:space="preserve"> </w:t>
      </w:r>
      <w:proofErr w:type="spellStart"/>
      <w:r w:rsidRPr="00E17490">
        <w:rPr>
          <w:rFonts w:ascii="Arial" w:hAnsi="Arial" w:cs="Arial"/>
          <w:color w:val="4472C4" w:themeColor="accent1"/>
          <w:sz w:val="18"/>
          <w:szCs w:val="18"/>
        </w:rPr>
        <w:t>grative</w:t>
      </w:r>
      <w:proofErr w:type="spellEnd"/>
      <w:r w:rsidRPr="00E17490">
        <w:rPr>
          <w:rFonts w:ascii="Arial" w:hAnsi="Arial" w:cs="Arial"/>
          <w:color w:val="4472C4" w:themeColor="accent1"/>
          <w:sz w:val="18"/>
          <w:szCs w:val="18"/>
        </w:rPr>
        <w:t xml:space="preserve">, multimodal and scalable single-cell analysis. </w:t>
      </w:r>
      <w:r w:rsidRPr="00E17490">
        <w:rPr>
          <w:rFonts w:ascii="Arial" w:hAnsi="Arial" w:cs="Arial"/>
          <w:i/>
          <w:iCs/>
          <w:color w:val="4472C4" w:themeColor="accent1"/>
          <w:sz w:val="18"/>
          <w:szCs w:val="18"/>
        </w:rPr>
        <w:t>Nature Biotechnology</w:t>
      </w:r>
      <w:r w:rsidRPr="00E17490">
        <w:rPr>
          <w:rFonts w:ascii="Arial" w:hAnsi="Arial" w:cs="Arial"/>
          <w:color w:val="4472C4" w:themeColor="accent1"/>
          <w:sz w:val="18"/>
          <w:szCs w:val="18"/>
        </w:rPr>
        <w:t>. https://doi.org/10.1038/s41587- 023-01767-y </w:t>
      </w:r>
    </w:p>
    <w:p w14:paraId="3FBE4547" w14:textId="77777777" w:rsidR="00DF278B" w:rsidRPr="00E17490" w:rsidRDefault="00DF278B" w:rsidP="00DF278B">
      <w:pPr>
        <w:pStyle w:val="NormalWeb"/>
        <w:spacing w:before="7" w:beforeAutospacing="0" w:after="0" w:afterAutospacing="0"/>
        <w:ind w:left="6" w:right="11" w:hanging="222"/>
        <w:rPr>
          <w:color w:val="4472C4" w:themeColor="accent1"/>
        </w:rPr>
      </w:pPr>
      <w:r w:rsidRPr="00E17490">
        <w:rPr>
          <w:rFonts w:ascii="Arial" w:hAnsi="Arial" w:cs="Arial"/>
          <w:color w:val="4472C4" w:themeColor="accent1"/>
          <w:sz w:val="18"/>
          <w:szCs w:val="18"/>
        </w:rPr>
        <w:t>J</w:t>
      </w:r>
      <w:r w:rsidRPr="00E17490">
        <w:rPr>
          <w:rFonts w:ascii="Arial" w:hAnsi="Arial" w:cs="Arial"/>
          <w:color w:val="4472C4" w:themeColor="accent1"/>
          <w:sz w:val="14"/>
          <w:szCs w:val="14"/>
        </w:rPr>
        <w:t>IN</w:t>
      </w:r>
      <w:r w:rsidRPr="00E17490">
        <w:rPr>
          <w:rFonts w:ascii="Arial" w:hAnsi="Arial" w:cs="Arial"/>
          <w:color w:val="4472C4" w:themeColor="accent1"/>
          <w:sz w:val="18"/>
          <w:szCs w:val="18"/>
        </w:rPr>
        <w:t>, S., Z</w:t>
      </w:r>
      <w:r w:rsidRPr="00E17490">
        <w:rPr>
          <w:rFonts w:ascii="Arial" w:hAnsi="Arial" w:cs="Arial"/>
          <w:color w:val="4472C4" w:themeColor="accent1"/>
          <w:sz w:val="14"/>
          <w:szCs w:val="14"/>
        </w:rPr>
        <w:t>HANG</w:t>
      </w:r>
      <w:r w:rsidRPr="00E17490">
        <w:rPr>
          <w:rFonts w:ascii="Arial" w:hAnsi="Arial" w:cs="Arial"/>
          <w:color w:val="4472C4" w:themeColor="accent1"/>
          <w:sz w:val="18"/>
          <w:szCs w:val="18"/>
        </w:rPr>
        <w:t>, L. and N</w:t>
      </w:r>
      <w:r w:rsidRPr="00E17490">
        <w:rPr>
          <w:rFonts w:ascii="Arial" w:hAnsi="Arial" w:cs="Arial"/>
          <w:color w:val="4472C4" w:themeColor="accent1"/>
          <w:sz w:val="14"/>
          <w:szCs w:val="14"/>
        </w:rPr>
        <w:t>IE</w:t>
      </w:r>
      <w:r w:rsidRPr="00E17490">
        <w:rPr>
          <w:rFonts w:ascii="Arial" w:hAnsi="Arial" w:cs="Arial"/>
          <w:color w:val="4472C4" w:themeColor="accent1"/>
          <w:sz w:val="18"/>
          <w:szCs w:val="18"/>
        </w:rPr>
        <w:t xml:space="preserve">, Q. (2020). </w:t>
      </w:r>
      <w:proofErr w:type="spellStart"/>
      <w:r w:rsidRPr="00E17490">
        <w:rPr>
          <w:rFonts w:ascii="Arial" w:hAnsi="Arial" w:cs="Arial"/>
          <w:color w:val="4472C4" w:themeColor="accent1"/>
          <w:sz w:val="18"/>
          <w:szCs w:val="18"/>
        </w:rPr>
        <w:t>scAI</w:t>
      </w:r>
      <w:proofErr w:type="spellEnd"/>
      <w:r w:rsidRPr="00E17490">
        <w:rPr>
          <w:rFonts w:ascii="Arial" w:hAnsi="Arial" w:cs="Arial"/>
          <w:color w:val="4472C4" w:themeColor="accent1"/>
          <w:sz w:val="18"/>
          <w:szCs w:val="18"/>
        </w:rPr>
        <w:t xml:space="preserve">: an unsupervised approach for the integrative analysis of parallel single-cell transcriptomic and epigenomic profiles. </w:t>
      </w:r>
      <w:r w:rsidRPr="00E17490">
        <w:rPr>
          <w:rFonts w:ascii="Arial" w:hAnsi="Arial" w:cs="Arial"/>
          <w:i/>
          <w:iCs/>
          <w:color w:val="4472C4" w:themeColor="accent1"/>
          <w:sz w:val="18"/>
          <w:szCs w:val="18"/>
        </w:rPr>
        <w:t xml:space="preserve">Genome Biology </w:t>
      </w:r>
      <w:r w:rsidRPr="00E17490">
        <w:rPr>
          <w:rFonts w:ascii="Arial" w:hAnsi="Arial" w:cs="Arial"/>
          <w:color w:val="4472C4" w:themeColor="accent1"/>
          <w:sz w:val="18"/>
          <w:szCs w:val="18"/>
        </w:rPr>
        <w:t>21 25. </w:t>
      </w:r>
    </w:p>
    <w:p w14:paraId="017483D9" w14:textId="77777777" w:rsidR="00DF278B" w:rsidRPr="00E17490" w:rsidRDefault="00DF278B" w:rsidP="00DF278B">
      <w:pPr>
        <w:pStyle w:val="NormalWeb"/>
        <w:spacing w:before="7" w:beforeAutospacing="0" w:after="0" w:afterAutospacing="0"/>
        <w:ind w:left="5" w:right="11"/>
        <w:rPr>
          <w:color w:val="4472C4" w:themeColor="accent1"/>
        </w:rPr>
      </w:pPr>
      <w:r w:rsidRPr="00E17490">
        <w:rPr>
          <w:rFonts w:ascii="Arial" w:hAnsi="Arial" w:cs="Arial"/>
          <w:color w:val="4472C4" w:themeColor="accent1"/>
          <w:sz w:val="18"/>
          <w:szCs w:val="18"/>
        </w:rPr>
        <w:lastRenderedPageBreak/>
        <w:t>J</w:t>
      </w:r>
      <w:r w:rsidRPr="00E17490">
        <w:rPr>
          <w:rFonts w:ascii="Arial" w:hAnsi="Arial" w:cs="Arial"/>
          <w:color w:val="4472C4" w:themeColor="accent1"/>
          <w:sz w:val="14"/>
          <w:szCs w:val="14"/>
        </w:rPr>
        <w:t>ONES</w:t>
      </w:r>
      <w:r w:rsidRPr="00E17490">
        <w:rPr>
          <w:rFonts w:ascii="Arial" w:hAnsi="Arial" w:cs="Arial"/>
          <w:color w:val="4472C4" w:themeColor="accent1"/>
          <w:sz w:val="18"/>
          <w:szCs w:val="18"/>
        </w:rPr>
        <w:t>, R. C., K</w:t>
      </w:r>
      <w:r w:rsidRPr="00E17490">
        <w:rPr>
          <w:rFonts w:ascii="Arial" w:hAnsi="Arial" w:cs="Arial"/>
          <w:color w:val="4472C4" w:themeColor="accent1"/>
          <w:sz w:val="14"/>
          <w:szCs w:val="14"/>
        </w:rPr>
        <w:t>ARKANIAS</w:t>
      </w:r>
      <w:r w:rsidRPr="00E17490">
        <w:rPr>
          <w:rFonts w:ascii="Arial" w:hAnsi="Arial" w:cs="Arial"/>
          <w:color w:val="4472C4" w:themeColor="accent1"/>
          <w:sz w:val="18"/>
          <w:szCs w:val="18"/>
        </w:rPr>
        <w:t>, J., K</w:t>
      </w:r>
      <w:r w:rsidRPr="00E17490">
        <w:rPr>
          <w:rFonts w:ascii="Arial" w:hAnsi="Arial" w:cs="Arial"/>
          <w:color w:val="4472C4" w:themeColor="accent1"/>
          <w:sz w:val="14"/>
          <w:szCs w:val="14"/>
        </w:rPr>
        <w:t>RASNOW</w:t>
      </w:r>
      <w:r w:rsidRPr="00E17490">
        <w:rPr>
          <w:rFonts w:ascii="Arial" w:hAnsi="Arial" w:cs="Arial"/>
          <w:color w:val="4472C4" w:themeColor="accent1"/>
          <w:sz w:val="18"/>
          <w:szCs w:val="18"/>
        </w:rPr>
        <w:t>, M. A., P</w:t>
      </w:r>
      <w:r w:rsidRPr="00E17490">
        <w:rPr>
          <w:rFonts w:ascii="Arial" w:hAnsi="Arial" w:cs="Arial"/>
          <w:color w:val="4472C4" w:themeColor="accent1"/>
          <w:sz w:val="14"/>
          <w:szCs w:val="14"/>
        </w:rPr>
        <w:t>ISCO</w:t>
      </w:r>
      <w:r w:rsidRPr="00E17490">
        <w:rPr>
          <w:rFonts w:ascii="Arial" w:hAnsi="Arial" w:cs="Arial"/>
          <w:color w:val="4472C4" w:themeColor="accent1"/>
          <w:sz w:val="18"/>
          <w:szCs w:val="18"/>
        </w:rPr>
        <w:t>, A. O., Q</w:t>
      </w:r>
      <w:r w:rsidRPr="00E17490">
        <w:rPr>
          <w:rFonts w:ascii="Arial" w:hAnsi="Arial" w:cs="Arial"/>
          <w:color w:val="4472C4" w:themeColor="accent1"/>
          <w:sz w:val="14"/>
          <w:szCs w:val="14"/>
        </w:rPr>
        <w:t>UAKE</w:t>
      </w:r>
      <w:r w:rsidRPr="00E17490">
        <w:rPr>
          <w:rFonts w:ascii="Arial" w:hAnsi="Arial" w:cs="Arial"/>
          <w:color w:val="4472C4" w:themeColor="accent1"/>
          <w:sz w:val="18"/>
          <w:szCs w:val="18"/>
        </w:rPr>
        <w:t>, S. R., S</w:t>
      </w:r>
      <w:r w:rsidRPr="00E17490">
        <w:rPr>
          <w:rFonts w:ascii="Arial" w:hAnsi="Arial" w:cs="Arial"/>
          <w:color w:val="4472C4" w:themeColor="accent1"/>
          <w:sz w:val="14"/>
          <w:szCs w:val="14"/>
        </w:rPr>
        <w:t>ALZMAN</w:t>
      </w:r>
      <w:r w:rsidRPr="00E17490">
        <w:rPr>
          <w:rFonts w:ascii="Arial" w:hAnsi="Arial" w:cs="Arial"/>
          <w:color w:val="4472C4" w:themeColor="accent1"/>
          <w:sz w:val="18"/>
          <w:szCs w:val="18"/>
        </w:rPr>
        <w:t xml:space="preserve">, J. et al. (2022). The Tabula Sapiens: a multiple-organ, single-cell transcriptomic atlas of humans. </w:t>
      </w:r>
      <w:r w:rsidRPr="00E17490">
        <w:rPr>
          <w:rFonts w:ascii="Arial" w:hAnsi="Arial" w:cs="Arial"/>
          <w:i/>
          <w:iCs/>
          <w:color w:val="4472C4" w:themeColor="accent1"/>
          <w:sz w:val="18"/>
          <w:szCs w:val="18"/>
        </w:rPr>
        <w:t xml:space="preserve">Science </w:t>
      </w:r>
      <w:r w:rsidRPr="00E17490">
        <w:rPr>
          <w:rFonts w:ascii="Arial" w:hAnsi="Arial" w:cs="Arial"/>
          <w:color w:val="4472C4" w:themeColor="accent1"/>
          <w:sz w:val="18"/>
          <w:szCs w:val="18"/>
        </w:rPr>
        <w:t>376. L</w:t>
      </w:r>
      <w:r w:rsidRPr="00E17490">
        <w:rPr>
          <w:rFonts w:ascii="Arial" w:hAnsi="Arial" w:cs="Arial"/>
          <w:color w:val="4472C4" w:themeColor="accent1"/>
          <w:sz w:val="14"/>
          <w:szCs w:val="14"/>
        </w:rPr>
        <w:t>EVSKY</w:t>
      </w:r>
      <w:r w:rsidRPr="00E17490">
        <w:rPr>
          <w:rFonts w:ascii="Arial" w:hAnsi="Arial" w:cs="Arial"/>
          <w:color w:val="4472C4" w:themeColor="accent1"/>
          <w:sz w:val="18"/>
          <w:szCs w:val="18"/>
        </w:rPr>
        <w:t>, J. M. and S</w:t>
      </w:r>
      <w:r w:rsidRPr="00E17490">
        <w:rPr>
          <w:rFonts w:ascii="Arial" w:hAnsi="Arial" w:cs="Arial"/>
          <w:color w:val="4472C4" w:themeColor="accent1"/>
          <w:sz w:val="14"/>
          <w:szCs w:val="14"/>
        </w:rPr>
        <w:t>INGER</w:t>
      </w:r>
      <w:r w:rsidRPr="00E17490">
        <w:rPr>
          <w:rFonts w:ascii="Arial" w:hAnsi="Arial" w:cs="Arial"/>
          <w:color w:val="4472C4" w:themeColor="accent1"/>
          <w:sz w:val="18"/>
          <w:szCs w:val="18"/>
        </w:rPr>
        <w:t xml:space="preserve">, R. H. (2003). Gene expression and the myth of the average cell. </w:t>
      </w:r>
      <w:r w:rsidRPr="00E17490">
        <w:rPr>
          <w:rFonts w:ascii="Arial" w:hAnsi="Arial" w:cs="Arial"/>
          <w:i/>
          <w:iCs/>
          <w:color w:val="4472C4" w:themeColor="accent1"/>
          <w:sz w:val="18"/>
          <w:szCs w:val="18"/>
        </w:rPr>
        <w:t xml:space="preserve">Trends in Cell Biology </w:t>
      </w:r>
      <w:r w:rsidRPr="00E17490">
        <w:rPr>
          <w:rFonts w:ascii="Arial" w:hAnsi="Arial" w:cs="Arial"/>
          <w:color w:val="4472C4" w:themeColor="accent1"/>
          <w:sz w:val="18"/>
          <w:szCs w:val="18"/>
        </w:rPr>
        <w:t>13 4–6.</w:t>
      </w:r>
    </w:p>
    <w:p w14:paraId="6AEA7D3D" w14:textId="77777777" w:rsidR="00DF278B" w:rsidRPr="00E17490" w:rsidRDefault="00DF278B" w:rsidP="00DF278B">
      <w:pPr>
        <w:pStyle w:val="NormalWeb"/>
        <w:spacing w:before="266" w:beforeAutospacing="0" w:after="0" w:afterAutospacing="0"/>
        <w:ind w:left="6" w:right="11" w:hanging="215"/>
        <w:jc w:val="both"/>
        <w:rPr>
          <w:color w:val="4472C4" w:themeColor="accent1"/>
        </w:rPr>
      </w:pPr>
      <w:r w:rsidRPr="00E17490">
        <w:rPr>
          <w:rFonts w:ascii="Arial" w:hAnsi="Arial" w:cs="Arial"/>
          <w:color w:val="4472C4" w:themeColor="accent1"/>
          <w:sz w:val="18"/>
          <w:szCs w:val="18"/>
        </w:rPr>
        <w:t>L</w:t>
      </w:r>
      <w:r w:rsidRPr="00E17490">
        <w:rPr>
          <w:rFonts w:ascii="Arial" w:hAnsi="Arial" w:cs="Arial"/>
          <w:color w:val="4472C4" w:themeColor="accent1"/>
          <w:sz w:val="14"/>
          <w:szCs w:val="14"/>
        </w:rPr>
        <w:t>IU</w:t>
      </w:r>
      <w:r w:rsidRPr="00E17490">
        <w:rPr>
          <w:rFonts w:ascii="Arial" w:hAnsi="Arial" w:cs="Arial"/>
          <w:color w:val="4472C4" w:themeColor="accent1"/>
          <w:sz w:val="18"/>
          <w:szCs w:val="18"/>
        </w:rPr>
        <w:t>, Y., C</w:t>
      </w:r>
      <w:r w:rsidRPr="00E17490">
        <w:rPr>
          <w:rFonts w:ascii="Arial" w:hAnsi="Arial" w:cs="Arial"/>
          <w:color w:val="4472C4" w:themeColor="accent1"/>
          <w:sz w:val="14"/>
          <w:szCs w:val="14"/>
        </w:rPr>
        <w:t>ARBONETTO</w:t>
      </w:r>
      <w:r w:rsidRPr="00E17490">
        <w:rPr>
          <w:rFonts w:ascii="Arial" w:hAnsi="Arial" w:cs="Arial"/>
          <w:color w:val="4472C4" w:themeColor="accent1"/>
          <w:sz w:val="18"/>
          <w:szCs w:val="18"/>
        </w:rPr>
        <w:t>, P., T</w:t>
      </w:r>
      <w:r w:rsidRPr="00E17490">
        <w:rPr>
          <w:rFonts w:ascii="Arial" w:hAnsi="Arial" w:cs="Arial"/>
          <w:color w:val="4472C4" w:themeColor="accent1"/>
          <w:sz w:val="14"/>
          <w:szCs w:val="14"/>
        </w:rPr>
        <w:t>AKAHAMA</w:t>
      </w:r>
      <w:r w:rsidRPr="00E17490">
        <w:rPr>
          <w:rFonts w:ascii="Arial" w:hAnsi="Arial" w:cs="Arial"/>
          <w:color w:val="4472C4" w:themeColor="accent1"/>
          <w:sz w:val="18"/>
          <w:szCs w:val="18"/>
        </w:rPr>
        <w:t>, M., G</w:t>
      </w:r>
      <w:r w:rsidRPr="00E17490">
        <w:rPr>
          <w:rFonts w:ascii="Arial" w:hAnsi="Arial" w:cs="Arial"/>
          <w:color w:val="4472C4" w:themeColor="accent1"/>
          <w:sz w:val="14"/>
          <w:szCs w:val="14"/>
        </w:rPr>
        <w:t>RUENBAUM</w:t>
      </w:r>
      <w:r w:rsidRPr="00E17490">
        <w:rPr>
          <w:rFonts w:ascii="Arial" w:hAnsi="Arial" w:cs="Arial"/>
          <w:color w:val="4472C4" w:themeColor="accent1"/>
          <w:sz w:val="18"/>
          <w:szCs w:val="18"/>
        </w:rPr>
        <w:t>, A., X</w:t>
      </w:r>
      <w:r w:rsidRPr="00E17490">
        <w:rPr>
          <w:rFonts w:ascii="Arial" w:hAnsi="Arial" w:cs="Arial"/>
          <w:color w:val="4472C4" w:themeColor="accent1"/>
          <w:sz w:val="14"/>
          <w:szCs w:val="14"/>
        </w:rPr>
        <w:t>IE</w:t>
      </w:r>
      <w:r w:rsidRPr="00E17490">
        <w:rPr>
          <w:rFonts w:ascii="Arial" w:hAnsi="Arial" w:cs="Arial"/>
          <w:color w:val="4472C4" w:themeColor="accent1"/>
          <w:sz w:val="18"/>
          <w:szCs w:val="18"/>
        </w:rPr>
        <w:t>, D., C</w:t>
      </w:r>
      <w:r w:rsidRPr="00E17490">
        <w:rPr>
          <w:rFonts w:ascii="Arial" w:hAnsi="Arial" w:cs="Arial"/>
          <w:color w:val="4472C4" w:themeColor="accent1"/>
          <w:sz w:val="14"/>
          <w:szCs w:val="14"/>
        </w:rPr>
        <w:t>HEVRIER</w:t>
      </w:r>
      <w:r w:rsidRPr="00E17490">
        <w:rPr>
          <w:rFonts w:ascii="Arial" w:hAnsi="Arial" w:cs="Arial"/>
          <w:color w:val="4472C4" w:themeColor="accent1"/>
          <w:sz w:val="18"/>
          <w:szCs w:val="18"/>
        </w:rPr>
        <w:t>, N. and S</w:t>
      </w:r>
      <w:r w:rsidRPr="00E17490">
        <w:rPr>
          <w:rFonts w:ascii="Arial" w:hAnsi="Arial" w:cs="Arial"/>
          <w:color w:val="4472C4" w:themeColor="accent1"/>
          <w:sz w:val="14"/>
          <w:szCs w:val="14"/>
        </w:rPr>
        <w:t>TEPHENS</w:t>
      </w:r>
      <w:r w:rsidRPr="00E17490">
        <w:rPr>
          <w:rFonts w:ascii="Arial" w:hAnsi="Arial" w:cs="Arial"/>
          <w:color w:val="4472C4" w:themeColor="accent1"/>
          <w:sz w:val="18"/>
          <w:szCs w:val="18"/>
        </w:rPr>
        <w:t xml:space="preserve">, M. (2022). A flexible model for correlated count data, with application to analysis of gene expression differences in multi-condition experiments. </w:t>
      </w:r>
      <w:proofErr w:type="spellStart"/>
      <w:r w:rsidRPr="00E17490">
        <w:rPr>
          <w:rFonts w:ascii="Arial" w:hAnsi="Arial" w:cs="Arial"/>
          <w:i/>
          <w:iCs/>
          <w:color w:val="4472C4" w:themeColor="accent1"/>
          <w:sz w:val="18"/>
          <w:szCs w:val="18"/>
        </w:rPr>
        <w:t>arXiv</w:t>
      </w:r>
      <w:proofErr w:type="spellEnd"/>
      <w:r w:rsidRPr="00E17490">
        <w:rPr>
          <w:rFonts w:ascii="Arial" w:hAnsi="Arial" w:cs="Arial"/>
          <w:i/>
          <w:iCs/>
          <w:color w:val="4472C4" w:themeColor="accent1"/>
          <w:sz w:val="18"/>
          <w:szCs w:val="18"/>
        </w:rPr>
        <w:t xml:space="preserve"> </w:t>
      </w:r>
      <w:r w:rsidRPr="00E17490">
        <w:rPr>
          <w:rFonts w:ascii="Arial" w:hAnsi="Arial" w:cs="Arial"/>
          <w:color w:val="4472C4" w:themeColor="accent1"/>
          <w:sz w:val="18"/>
          <w:szCs w:val="18"/>
        </w:rPr>
        <w:t>2210.00697. </w:t>
      </w:r>
    </w:p>
    <w:p w14:paraId="40D375D6" w14:textId="77777777" w:rsidR="00DF278B" w:rsidRPr="00E17490" w:rsidRDefault="00DF278B" w:rsidP="00DF278B">
      <w:pPr>
        <w:pStyle w:val="NormalWeb"/>
        <w:spacing w:before="7" w:beforeAutospacing="0" w:after="0" w:afterAutospacing="0"/>
        <w:ind w:left="6" w:right="11" w:hanging="218"/>
        <w:jc w:val="both"/>
        <w:rPr>
          <w:color w:val="4472C4" w:themeColor="accent1"/>
        </w:rPr>
      </w:pPr>
      <w:r w:rsidRPr="00E17490">
        <w:rPr>
          <w:rFonts w:ascii="Arial" w:hAnsi="Arial" w:cs="Arial"/>
          <w:color w:val="4472C4" w:themeColor="accent1"/>
          <w:sz w:val="18"/>
          <w:szCs w:val="18"/>
        </w:rPr>
        <w:t>M</w:t>
      </w:r>
      <w:r w:rsidRPr="00E17490">
        <w:rPr>
          <w:rFonts w:ascii="Arial" w:hAnsi="Arial" w:cs="Arial"/>
          <w:color w:val="4472C4" w:themeColor="accent1"/>
          <w:sz w:val="14"/>
          <w:szCs w:val="14"/>
        </w:rPr>
        <w:t>A</w:t>
      </w:r>
      <w:r w:rsidRPr="00E17490">
        <w:rPr>
          <w:rFonts w:ascii="Arial" w:hAnsi="Arial" w:cs="Arial"/>
          <w:color w:val="4472C4" w:themeColor="accent1"/>
          <w:sz w:val="18"/>
          <w:szCs w:val="18"/>
        </w:rPr>
        <w:t>, S., Z</w:t>
      </w:r>
      <w:r w:rsidRPr="00E17490">
        <w:rPr>
          <w:rFonts w:ascii="Arial" w:hAnsi="Arial" w:cs="Arial"/>
          <w:color w:val="4472C4" w:themeColor="accent1"/>
          <w:sz w:val="14"/>
          <w:szCs w:val="14"/>
        </w:rPr>
        <w:t>HANG</w:t>
      </w:r>
      <w:r w:rsidRPr="00E17490">
        <w:rPr>
          <w:rFonts w:ascii="Arial" w:hAnsi="Arial" w:cs="Arial"/>
          <w:color w:val="4472C4" w:themeColor="accent1"/>
          <w:sz w:val="18"/>
          <w:szCs w:val="18"/>
        </w:rPr>
        <w:t>, B., L</w:t>
      </w:r>
      <w:r w:rsidRPr="00E17490">
        <w:rPr>
          <w:rFonts w:ascii="Arial" w:hAnsi="Arial" w:cs="Arial"/>
          <w:color w:val="4472C4" w:themeColor="accent1"/>
          <w:sz w:val="14"/>
          <w:szCs w:val="14"/>
        </w:rPr>
        <w:t>A</w:t>
      </w:r>
      <w:r w:rsidRPr="00E17490">
        <w:rPr>
          <w:rFonts w:ascii="Arial" w:hAnsi="Arial" w:cs="Arial"/>
          <w:color w:val="4472C4" w:themeColor="accent1"/>
          <w:sz w:val="18"/>
          <w:szCs w:val="18"/>
        </w:rPr>
        <w:t>F</w:t>
      </w:r>
      <w:r w:rsidRPr="00E17490">
        <w:rPr>
          <w:rFonts w:ascii="Arial" w:hAnsi="Arial" w:cs="Arial"/>
          <w:color w:val="4472C4" w:themeColor="accent1"/>
          <w:sz w:val="14"/>
          <w:szCs w:val="14"/>
        </w:rPr>
        <w:t>AVE</w:t>
      </w:r>
      <w:r w:rsidRPr="00E17490">
        <w:rPr>
          <w:rFonts w:ascii="Arial" w:hAnsi="Arial" w:cs="Arial"/>
          <w:color w:val="4472C4" w:themeColor="accent1"/>
          <w:sz w:val="18"/>
          <w:szCs w:val="18"/>
        </w:rPr>
        <w:t>, L. M., E</w:t>
      </w:r>
      <w:r w:rsidRPr="00E17490">
        <w:rPr>
          <w:rFonts w:ascii="Arial" w:hAnsi="Arial" w:cs="Arial"/>
          <w:color w:val="4472C4" w:themeColor="accent1"/>
          <w:sz w:val="14"/>
          <w:szCs w:val="14"/>
        </w:rPr>
        <w:t>ARL</w:t>
      </w:r>
      <w:r w:rsidRPr="00E17490">
        <w:rPr>
          <w:rFonts w:ascii="Arial" w:hAnsi="Arial" w:cs="Arial"/>
          <w:color w:val="4472C4" w:themeColor="accent1"/>
          <w:sz w:val="18"/>
          <w:szCs w:val="18"/>
        </w:rPr>
        <w:t>, A. S., C</w:t>
      </w:r>
      <w:r w:rsidRPr="00E17490">
        <w:rPr>
          <w:rFonts w:ascii="Arial" w:hAnsi="Arial" w:cs="Arial"/>
          <w:color w:val="4472C4" w:themeColor="accent1"/>
          <w:sz w:val="14"/>
          <w:szCs w:val="14"/>
        </w:rPr>
        <w:t>HIANG</w:t>
      </w:r>
      <w:r w:rsidRPr="00E17490">
        <w:rPr>
          <w:rFonts w:ascii="Arial" w:hAnsi="Arial" w:cs="Arial"/>
          <w:color w:val="4472C4" w:themeColor="accent1"/>
          <w:sz w:val="18"/>
          <w:szCs w:val="18"/>
        </w:rPr>
        <w:t>, Z., H</w:t>
      </w:r>
      <w:r w:rsidRPr="00E17490">
        <w:rPr>
          <w:rFonts w:ascii="Arial" w:hAnsi="Arial" w:cs="Arial"/>
          <w:color w:val="4472C4" w:themeColor="accent1"/>
          <w:sz w:val="14"/>
          <w:szCs w:val="14"/>
        </w:rPr>
        <w:t>U</w:t>
      </w:r>
      <w:r w:rsidRPr="00E17490">
        <w:rPr>
          <w:rFonts w:ascii="Arial" w:hAnsi="Arial" w:cs="Arial"/>
          <w:color w:val="4472C4" w:themeColor="accent1"/>
          <w:sz w:val="18"/>
          <w:szCs w:val="18"/>
        </w:rPr>
        <w:t>, Y., D</w:t>
      </w:r>
      <w:r w:rsidRPr="00E17490">
        <w:rPr>
          <w:rFonts w:ascii="Arial" w:hAnsi="Arial" w:cs="Arial"/>
          <w:color w:val="4472C4" w:themeColor="accent1"/>
          <w:sz w:val="14"/>
          <w:szCs w:val="14"/>
        </w:rPr>
        <w:t>ING</w:t>
      </w:r>
      <w:r w:rsidRPr="00E17490">
        <w:rPr>
          <w:rFonts w:ascii="Arial" w:hAnsi="Arial" w:cs="Arial"/>
          <w:color w:val="4472C4" w:themeColor="accent1"/>
          <w:sz w:val="18"/>
          <w:szCs w:val="18"/>
        </w:rPr>
        <w:t>, J., B</w:t>
      </w:r>
      <w:r w:rsidRPr="00E17490">
        <w:rPr>
          <w:rFonts w:ascii="Arial" w:hAnsi="Arial" w:cs="Arial"/>
          <w:color w:val="4472C4" w:themeColor="accent1"/>
          <w:sz w:val="14"/>
          <w:szCs w:val="14"/>
        </w:rPr>
        <w:t>RACK</w:t>
      </w:r>
      <w:r w:rsidRPr="00E17490">
        <w:rPr>
          <w:rFonts w:ascii="Arial" w:hAnsi="Arial" w:cs="Arial"/>
          <w:color w:val="4472C4" w:themeColor="accent1"/>
          <w:sz w:val="18"/>
          <w:szCs w:val="18"/>
        </w:rPr>
        <w:t>, A., K</w:t>
      </w:r>
      <w:r w:rsidRPr="00E17490">
        <w:rPr>
          <w:rFonts w:ascii="Arial" w:hAnsi="Arial" w:cs="Arial"/>
          <w:color w:val="4472C4" w:themeColor="accent1"/>
          <w:sz w:val="14"/>
          <w:szCs w:val="14"/>
        </w:rPr>
        <w:t>ARTHA</w:t>
      </w:r>
      <w:r w:rsidRPr="00E17490">
        <w:rPr>
          <w:rFonts w:ascii="Arial" w:hAnsi="Arial" w:cs="Arial"/>
          <w:color w:val="4472C4" w:themeColor="accent1"/>
          <w:sz w:val="18"/>
          <w:szCs w:val="18"/>
        </w:rPr>
        <w:t>, V. K., T</w:t>
      </w:r>
      <w:r w:rsidRPr="00E17490">
        <w:rPr>
          <w:rFonts w:ascii="Arial" w:hAnsi="Arial" w:cs="Arial"/>
          <w:color w:val="4472C4" w:themeColor="accent1"/>
          <w:sz w:val="14"/>
          <w:szCs w:val="14"/>
        </w:rPr>
        <w:t>AY</w:t>
      </w:r>
      <w:r w:rsidRPr="00E17490">
        <w:rPr>
          <w:rFonts w:ascii="Arial" w:hAnsi="Arial" w:cs="Arial"/>
          <w:color w:val="4472C4" w:themeColor="accent1"/>
          <w:sz w:val="18"/>
          <w:szCs w:val="18"/>
        </w:rPr>
        <w:t>, T., L</w:t>
      </w:r>
      <w:r w:rsidRPr="00E17490">
        <w:rPr>
          <w:rFonts w:ascii="Arial" w:hAnsi="Arial" w:cs="Arial"/>
          <w:color w:val="4472C4" w:themeColor="accent1"/>
          <w:sz w:val="14"/>
          <w:szCs w:val="14"/>
        </w:rPr>
        <w:t>AW</w:t>
      </w:r>
      <w:r w:rsidRPr="00E17490">
        <w:rPr>
          <w:rFonts w:ascii="Arial" w:hAnsi="Arial" w:cs="Arial"/>
          <w:color w:val="4472C4" w:themeColor="accent1"/>
          <w:sz w:val="18"/>
          <w:szCs w:val="18"/>
        </w:rPr>
        <w:t>, T., L</w:t>
      </w:r>
      <w:r w:rsidRPr="00E17490">
        <w:rPr>
          <w:rFonts w:ascii="Arial" w:hAnsi="Arial" w:cs="Arial"/>
          <w:color w:val="4472C4" w:themeColor="accent1"/>
          <w:sz w:val="14"/>
          <w:szCs w:val="14"/>
        </w:rPr>
        <w:t>AREAU</w:t>
      </w:r>
      <w:r w:rsidRPr="00E17490">
        <w:rPr>
          <w:rFonts w:ascii="Arial" w:hAnsi="Arial" w:cs="Arial"/>
          <w:color w:val="4472C4" w:themeColor="accent1"/>
          <w:sz w:val="18"/>
          <w:szCs w:val="18"/>
        </w:rPr>
        <w:t>, C., H</w:t>
      </w:r>
      <w:r w:rsidRPr="00E17490">
        <w:rPr>
          <w:rFonts w:ascii="Arial" w:hAnsi="Arial" w:cs="Arial"/>
          <w:color w:val="4472C4" w:themeColor="accent1"/>
          <w:sz w:val="14"/>
          <w:szCs w:val="14"/>
        </w:rPr>
        <w:t>SU</w:t>
      </w:r>
      <w:r w:rsidRPr="00E17490">
        <w:rPr>
          <w:rFonts w:ascii="Arial" w:hAnsi="Arial" w:cs="Arial"/>
          <w:color w:val="4472C4" w:themeColor="accent1"/>
          <w:sz w:val="18"/>
          <w:szCs w:val="18"/>
        </w:rPr>
        <w:t>, Y.-C., R</w:t>
      </w:r>
      <w:r w:rsidRPr="00E17490">
        <w:rPr>
          <w:rFonts w:ascii="Arial" w:hAnsi="Arial" w:cs="Arial"/>
          <w:color w:val="4472C4" w:themeColor="accent1"/>
          <w:sz w:val="14"/>
          <w:szCs w:val="14"/>
        </w:rPr>
        <w:t>EGEV</w:t>
      </w:r>
      <w:r w:rsidRPr="00E17490">
        <w:rPr>
          <w:rFonts w:ascii="Arial" w:hAnsi="Arial" w:cs="Arial"/>
          <w:color w:val="4472C4" w:themeColor="accent1"/>
          <w:sz w:val="18"/>
          <w:szCs w:val="18"/>
        </w:rPr>
        <w:t>, A. and B</w:t>
      </w:r>
      <w:r w:rsidRPr="00E17490">
        <w:rPr>
          <w:rFonts w:ascii="Arial" w:hAnsi="Arial" w:cs="Arial"/>
          <w:color w:val="4472C4" w:themeColor="accent1"/>
          <w:sz w:val="14"/>
          <w:szCs w:val="14"/>
        </w:rPr>
        <w:t>UENROSTRO</w:t>
      </w:r>
      <w:r w:rsidRPr="00E17490">
        <w:rPr>
          <w:rFonts w:ascii="Arial" w:hAnsi="Arial" w:cs="Arial"/>
          <w:color w:val="4472C4" w:themeColor="accent1"/>
          <w:sz w:val="18"/>
          <w:szCs w:val="18"/>
        </w:rPr>
        <w:t xml:space="preserve">, J. D. (2020). Chromatin potential identified by shared single-cell profiling of RNA and chromatin. </w:t>
      </w:r>
      <w:r w:rsidRPr="00E17490">
        <w:rPr>
          <w:rFonts w:ascii="Arial" w:hAnsi="Arial" w:cs="Arial"/>
          <w:i/>
          <w:iCs/>
          <w:color w:val="4472C4" w:themeColor="accent1"/>
          <w:sz w:val="18"/>
          <w:szCs w:val="18"/>
        </w:rPr>
        <w:t xml:space="preserve">Cell </w:t>
      </w:r>
      <w:r w:rsidRPr="00E17490">
        <w:rPr>
          <w:rFonts w:ascii="Arial" w:hAnsi="Arial" w:cs="Arial"/>
          <w:color w:val="4472C4" w:themeColor="accent1"/>
          <w:sz w:val="18"/>
          <w:szCs w:val="18"/>
        </w:rPr>
        <w:t>183 1103–1116.e20. </w:t>
      </w:r>
    </w:p>
    <w:p w14:paraId="0B5C6325" w14:textId="77777777" w:rsidR="00DF278B" w:rsidRPr="00E17490" w:rsidRDefault="00DF278B" w:rsidP="00DF278B">
      <w:pPr>
        <w:pStyle w:val="NormalWeb"/>
        <w:spacing w:before="7" w:beforeAutospacing="0" w:after="0" w:afterAutospacing="0"/>
        <w:ind w:left="6" w:right="11" w:hanging="218"/>
        <w:jc w:val="both"/>
        <w:rPr>
          <w:color w:val="4472C4" w:themeColor="accent1"/>
        </w:rPr>
      </w:pPr>
      <w:r w:rsidRPr="00E17490">
        <w:rPr>
          <w:rFonts w:ascii="Arial" w:hAnsi="Arial" w:cs="Arial"/>
          <w:color w:val="4472C4" w:themeColor="accent1"/>
          <w:sz w:val="18"/>
          <w:szCs w:val="18"/>
        </w:rPr>
        <w:t>M</w:t>
      </w:r>
      <w:r w:rsidRPr="00E17490">
        <w:rPr>
          <w:rFonts w:ascii="Arial" w:hAnsi="Arial" w:cs="Arial"/>
          <w:color w:val="4472C4" w:themeColor="accent1"/>
          <w:sz w:val="14"/>
          <w:szCs w:val="14"/>
        </w:rPr>
        <w:t>ONTORO</w:t>
      </w:r>
      <w:r w:rsidRPr="00E17490">
        <w:rPr>
          <w:rFonts w:ascii="Arial" w:hAnsi="Arial" w:cs="Arial"/>
          <w:color w:val="4472C4" w:themeColor="accent1"/>
          <w:sz w:val="18"/>
          <w:szCs w:val="18"/>
        </w:rPr>
        <w:t>, D. T., H</w:t>
      </w:r>
      <w:r w:rsidRPr="00E17490">
        <w:rPr>
          <w:rFonts w:ascii="Arial" w:hAnsi="Arial" w:cs="Arial"/>
          <w:color w:val="4472C4" w:themeColor="accent1"/>
          <w:sz w:val="14"/>
          <w:szCs w:val="14"/>
        </w:rPr>
        <w:t>ABER</w:t>
      </w:r>
      <w:r w:rsidRPr="00E17490">
        <w:rPr>
          <w:rFonts w:ascii="Arial" w:hAnsi="Arial" w:cs="Arial"/>
          <w:color w:val="4472C4" w:themeColor="accent1"/>
          <w:sz w:val="18"/>
          <w:szCs w:val="18"/>
        </w:rPr>
        <w:t>, A. L., B</w:t>
      </w:r>
      <w:r w:rsidRPr="00E17490">
        <w:rPr>
          <w:rFonts w:ascii="Arial" w:hAnsi="Arial" w:cs="Arial"/>
          <w:color w:val="4472C4" w:themeColor="accent1"/>
          <w:sz w:val="14"/>
          <w:szCs w:val="14"/>
        </w:rPr>
        <w:t>ITON</w:t>
      </w:r>
      <w:r w:rsidRPr="00E17490">
        <w:rPr>
          <w:rFonts w:ascii="Arial" w:hAnsi="Arial" w:cs="Arial"/>
          <w:color w:val="4472C4" w:themeColor="accent1"/>
          <w:sz w:val="18"/>
          <w:szCs w:val="18"/>
        </w:rPr>
        <w:t>, M., V</w:t>
      </w:r>
      <w:r w:rsidRPr="00E17490">
        <w:rPr>
          <w:rFonts w:ascii="Arial" w:hAnsi="Arial" w:cs="Arial"/>
          <w:color w:val="4472C4" w:themeColor="accent1"/>
          <w:sz w:val="14"/>
          <w:szCs w:val="14"/>
        </w:rPr>
        <w:t>INARSKY</w:t>
      </w:r>
      <w:r w:rsidRPr="00E17490">
        <w:rPr>
          <w:rFonts w:ascii="Arial" w:hAnsi="Arial" w:cs="Arial"/>
          <w:color w:val="4472C4" w:themeColor="accent1"/>
          <w:sz w:val="18"/>
          <w:szCs w:val="18"/>
        </w:rPr>
        <w:t>, V., L</w:t>
      </w:r>
      <w:r w:rsidRPr="00E17490">
        <w:rPr>
          <w:rFonts w:ascii="Arial" w:hAnsi="Arial" w:cs="Arial"/>
          <w:color w:val="4472C4" w:themeColor="accent1"/>
          <w:sz w:val="14"/>
          <w:szCs w:val="14"/>
        </w:rPr>
        <w:t>IN</w:t>
      </w:r>
      <w:r w:rsidRPr="00E17490">
        <w:rPr>
          <w:rFonts w:ascii="Arial" w:hAnsi="Arial" w:cs="Arial"/>
          <w:color w:val="4472C4" w:themeColor="accent1"/>
          <w:sz w:val="18"/>
          <w:szCs w:val="18"/>
        </w:rPr>
        <w:t>, B., B</w:t>
      </w:r>
      <w:r w:rsidRPr="00E17490">
        <w:rPr>
          <w:rFonts w:ascii="Arial" w:hAnsi="Arial" w:cs="Arial"/>
          <w:color w:val="4472C4" w:themeColor="accent1"/>
          <w:sz w:val="14"/>
          <w:szCs w:val="14"/>
        </w:rPr>
        <w:t>IRKET</w:t>
      </w:r>
      <w:r w:rsidRPr="00E17490">
        <w:rPr>
          <w:rFonts w:ascii="Arial" w:hAnsi="Arial" w:cs="Arial"/>
          <w:color w:val="4472C4" w:themeColor="accent1"/>
          <w:sz w:val="18"/>
          <w:szCs w:val="18"/>
        </w:rPr>
        <w:t>, S. E., Y</w:t>
      </w:r>
      <w:r w:rsidRPr="00E17490">
        <w:rPr>
          <w:rFonts w:ascii="Arial" w:hAnsi="Arial" w:cs="Arial"/>
          <w:color w:val="4472C4" w:themeColor="accent1"/>
          <w:sz w:val="14"/>
          <w:szCs w:val="14"/>
        </w:rPr>
        <w:t>UAN</w:t>
      </w:r>
      <w:r w:rsidRPr="00E17490">
        <w:rPr>
          <w:rFonts w:ascii="Arial" w:hAnsi="Arial" w:cs="Arial"/>
          <w:color w:val="4472C4" w:themeColor="accent1"/>
          <w:sz w:val="18"/>
          <w:szCs w:val="18"/>
        </w:rPr>
        <w:t>, F., C</w:t>
      </w:r>
      <w:r w:rsidRPr="00E17490">
        <w:rPr>
          <w:rFonts w:ascii="Arial" w:hAnsi="Arial" w:cs="Arial"/>
          <w:color w:val="4472C4" w:themeColor="accent1"/>
          <w:sz w:val="14"/>
          <w:szCs w:val="14"/>
        </w:rPr>
        <w:t>HEN</w:t>
      </w:r>
      <w:r w:rsidRPr="00E17490">
        <w:rPr>
          <w:rFonts w:ascii="Arial" w:hAnsi="Arial" w:cs="Arial"/>
          <w:color w:val="4472C4" w:themeColor="accent1"/>
          <w:sz w:val="18"/>
          <w:szCs w:val="18"/>
        </w:rPr>
        <w:t>, S., L</w:t>
      </w:r>
      <w:r w:rsidRPr="00E17490">
        <w:rPr>
          <w:rFonts w:ascii="Arial" w:hAnsi="Arial" w:cs="Arial"/>
          <w:color w:val="4472C4" w:themeColor="accent1"/>
          <w:sz w:val="14"/>
          <w:szCs w:val="14"/>
        </w:rPr>
        <w:t>EUNG</w:t>
      </w:r>
      <w:r w:rsidRPr="00E17490">
        <w:rPr>
          <w:rFonts w:ascii="Arial" w:hAnsi="Arial" w:cs="Arial"/>
          <w:color w:val="4472C4" w:themeColor="accent1"/>
          <w:sz w:val="18"/>
          <w:szCs w:val="18"/>
        </w:rPr>
        <w:t>, H. M., V</w:t>
      </w:r>
      <w:r w:rsidRPr="00E17490">
        <w:rPr>
          <w:rFonts w:ascii="Arial" w:hAnsi="Arial" w:cs="Arial"/>
          <w:color w:val="4472C4" w:themeColor="accent1"/>
          <w:sz w:val="14"/>
          <w:szCs w:val="14"/>
        </w:rPr>
        <w:t>ILLORIA</w:t>
      </w:r>
      <w:r w:rsidRPr="00E17490">
        <w:rPr>
          <w:rFonts w:ascii="Arial" w:hAnsi="Arial" w:cs="Arial"/>
          <w:color w:val="4472C4" w:themeColor="accent1"/>
          <w:sz w:val="18"/>
          <w:szCs w:val="18"/>
        </w:rPr>
        <w:t>, J., R</w:t>
      </w:r>
      <w:r w:rsidRPr="00E17490">
        <w:rPr>
          <w:rFonts w:ascii="Arial" w:hAnsi="Arial" w:cs="Arial"/>
          <w:color w:val="4472C4" w:themeColor="accent1"/>
          <w:sz w:val="14"/>
          <w:szCs w:val="14"/>
        </w:rPr>
        <w:t>OGEL</w:t>
      </w:r>
      <w:r w:rsidRPr="00E17490">
        <w:rPr>
          <w:rFonts w:ascii="Arial" w:hAnsi="Arial" w:cs="Arial"/>
          <w:color w:val="4472C4" w:themeColor="accent1"/>
          <w:sz w:val="18"/>
          <w:szCs w:val="18"/>
        </w:rPr>
        <w:t>, N., B</w:t>
      </w:r>
      <w:r w:rsidRPr="00E17490">
        <w:rPr>
          <w:rFonts w:ascii="Arial" w:hAnsi="Arial" w:cs="Arial"/>
          <w:color w:val="4472C4" w:themeColor="accent1"/>
          <w:sz w:val="14"/>
          <w:szCs w:val="14"/>
        </w:rPr>
        <w:t>URGIN</w:t>
      </w:r>
      <w:r w:rsidRPr="00E17490">
        <w:rPr>
          <w:rFonts w:ascii="Arial" w:hAnsi="Arial" w:cs="Arial"/>
          <w:color w:val="4472C4" w:themeColor="accent1"/>
          <w:sz w:val="18"/>
          <w:szCs w:val="18"/>
        </w:rPr>
        <w:t>, G., T</w:t>
      </w:r>
      <w:r w:rsidRPr="00E17490">
        <w:rPr>
          <w:rFonts w:ascii="Arial" w:hAnsi="Arial" w:cs="Arial"/>
          <w:color w:val="4472C4" w:themeColor="accent1"/>
          <w:sz w:val="14"/>
          <w:szCs w:val="14"/>
        </w:rPr>
        <w:t>SANKOV</w:t>
      </w:r>
      <w:r w:rsidRPr="00E17490">
        <w:rPr>
          <w:rFonts w:ascii="Arial" w:hAnsi="Arial" w:cs="Arial"/>
          <w:color w:val="4472C4" w:themeColor="accent1"/>
          <w:sz w:val="18"/>
          <w:szCs w:val="18"/>
        </w:rPr>
        <w:t>, A. M., W</w:t>
      </w:r>
      <w:r w:rsidRPr="00E17490">
        <w:rPr>
          <w:rFonts w:ascii="Arial" w:hAnsi="Arial" w:cs="Arial"/>
          <w:color w:val="4472C4" w:themeColor="accent1"/>
          <w:sz w:val="14"/>
          <w:szCs w:val="14"/>
        </w:rPr>
        <w:t>AGHRAY</w:t>
      </w:r>
      <w:r w:rsidRPr="00E17490">
        <w:rPr>
          <w:rFonts w:ascii="Arial" w:hAnsi="Arial" w:cs="Arial"/>
          <w:color w:val="4472C4" w:themeColor="accent1"/>
          <w:sz w:val="18"/>
          <w:szCs w:val="18"/>
        </w:rPr>
        <w:t>, A., S</w:t>
      </w:r>
      <w:r w:rsidRPr="00E17490">
        <w:rPr>
          <w:rFonts w:ascii="Arial" w:hAnsi="Arial" w:cs="Arial"/>
          <w:color w:val="4472C4" w:themeColor="accent1"/>
          <w:sz w:val="14"/>
          <w:szCs w:val="14"/>
        </w:rPr>
        <w:t>LYPER</w:t>
      </w:r>
      <w:r w:rsidRPr="00E17490">
        <w:rPr>
          <w:rFonts w:ascii="Arial" w:hAnsi="Arial" w:cs="Arial"/>
          <w:color w:val="4472C4" w:themeColor="accent1"/>
          <w:sz w:val="18"/>
          <w:szCs w:val="18"/>
        </w:rPr>
        <w:t>, M., W</w:t>
      </w:r>
      <w:r w:rsidRPr="00E17490">
        <w:rPr>
          <w:rFonts w:ascii="Arial" w:hAnsi="Arial" w:cs="Arial"/>
          <w:color w:val="4472C4" w:themeColor="accent1"/>
          <w:sz w:val="14"/>
          <w:szCs w:val="14"/>
        </w:rPr>
        <w:t>ALDMAN</w:t>
      </w:r>
      <w:r w:rsidRPr="00E17490">
        <w:rPr>
          <w:rFonts w:ascii="Arial" w:hAnsi="Arial" w:cs="Arial"/>
          <w:color w:val="4472C4" w:themeColor="accent1"/>
          <w:sz w:val="18"/>
          <w:szCs w:val="18"/>
        </w:rPr>
        <w:t>, J., N</w:t>
      </w:r>
      <w:r w:rsidRPr="00E17490">
        <w:rPr>
          <w:rFonts w:ascii="Arial" w:hAnsi="Arial" w:cs="Arial"/>
          <w:color w:val="4472C4" w:themeColor="accent1"/>
          <w:sz w:val="14"/>
          <w:szCs w:val="14"/>
        </w:rPr>
        <w:t>GUYEN</w:t>
      </w:r>
      <w:r w:rsidRPr="00E17490">
        <w:rPr>
          <w:rFonts w:ascii="Arial" w:hAnsi="Arial" w:cs="Arial"/>
          <w:color w:val="4472C4" w:themeColor="accent1"/>
          <w:sz w:val="18"/>
          <w:szCs w:val="18"/>
        </w:rPr>
        <w:t>, L., D</w:t>
      </w:r>
      <w:r w:rsidRPr="00E17490">
        <w:rPr>
          <w:rFonts w:ascii="Arial" w:hAnsi="Arial" w:cs="Arial"/>
          <w:color w:val="4472C4" w:themeColor="accent1"/>
          <w:sz w:val="14"/>
          <w:szCs w:val="14"/>
        </w:rPr>
        <w:t>IONNE</w:t>
      </w:r>
      <w:r w:rsidRPr="00E17490">
        <w:rPr>
          <w:rFonts w:ascii="Arial" w:hAnsi="Arial" w:cs="Arial"/>
          <w:color w:val="4472C4" w:themeColor="accent1"/>
          <w:sz w:val="18"/>
          <w:szCs w:val="18"/>
        </w:rPr>
        <w:t>, D., R</w:t>
      </w:r>
      <w:r w:rsidRPr="00E17490">
        <w:rPr>
          <w:rFonts w:ascii="Arial" w:hAnsi="Arial" w:cs="Arial"/>
          <w:color w:val="4472C4" w:themeColor="accent1"/>
          <w:sz w:val="14"/>
          <w:szCs w:val="14"/>
        </w:rPr>
        <w:t>OZENBLATT</w:t>
      </w:r>
      <w:r w:rsidRPr="00E17490">
        <w:rPr>
          <w:rFonts w:ascii="Arial" w:hAnsi="Arial" w:cs="Arial"/>
          <w:color w:val="4472C4" w:themeColor="accent1"/>
          <w:sz w:val="18"/>
          <w:szCs w:val="18"/>
        </w:rPr>
        <w:t>-R</w:t>
      </w:r>
      <w:r w:rsidRPr="00E17490">
        <w:rPr>
          <w:rFonts w:ascii="Arial" w:hAnsi="Arial" w:cs="Arial"/>
          <w:color w:val="4472C4" w:themeColor="accent1"/>
          <w:sz w:val="14"/>
          <w:szCs w:val="14"/>
        </w:rPr>
        <w:t>OSEN</w:t>
      </w:r>
      <w:r w:rsidRPr="00E17490">
        <w:rPr>
          <w:rFonts w:ascii="Arial" w:hAnsi="Arial" w:cs="Arial"/>
          <w:color w:val="4472C4" w:themeColor="accent1"/>
          <w:sz w:val="18"/>
          <w:szCs w:val="18"/>
        </w:rPr>
        <w:t>, O., T</w:t>
      </w:r>
      <w:r w:rsidRPr="00E17490">
        <w:rPr>
          <w:rFonts w:ascii="Arial" w:hAnsi="Arial" w:cs="Arial"/>
          <w:color w:val="4472C4" w:themeColor="accent1"/>
          <w:sz w:val="14"/>
          <w:szCs w:val="14"/>
        </w:rPr>
        <w:t>ATA</w:t>
      </w:r>
      <w:r w:rsidRPr="00E17490">
        <w:rPr>
          <w:rFonts w:ascii="Arial" w:hAnsi="Arial" w:cs="Arial"/>
          <w:color w:val="4472C4" w:themeColor="accent1"/>
          <w:sz w:val="18"/>
          <w:szCs w:val="18"/>
        </w:rPr>
        <w:t>, P. R., M</w:t>
      </w:r>
      <w:r w:rsidRPr="00E17490">
        <w:rPr>
          <w:rFonts w:ascii="Arial" w:hAnsi="Arial" w:cs="Arial"/>
          <w:color w:val="4472C4" w:themeColor="accent1"/>
          <w:sz w:val="14"/>
          <w:szCs w:val="14"/>
        </w:rPr>
        <w:t>OU</w:t>
      </w:r>
      <w:r w:rsidRPr="00E17490">
        <w:rPr>
          <w:rFonts w:ascii="Arial" w:hAnsi="Arial" w:cs="Arial"/>
          <w:color w:val="4472C4" w:themeColor="accent1"/>
          <w:sz w:val="18"/>
          <w:szCs w:val="18"/>
        </w:rPr>
        <w:t>, H., S</w:t>
      </w:r>
      <w:r w:rsidRPr="00E17490">
        <w:rPr>
          <w:rFonts w:ascii="Arial" w:hAnsi="Arial" w:cs="Arial"/>
          <w:color w:val="4472C4" w:themeColor="accent1"/>
          <w:sz w:val="14"/>
          <w:szCs w:val="14"/>
        </w:rPr>
        <w:t>HIV</w:t>
      </w:r>
      <w:r w:rsidRPr="00E17490">
        <w:rPr>
          <w:rFonts w:ascii="Arial" w:hAnsi="Arial" w:cs="Arial"/>
          <w:color w:val="4472C4" w:themeColor="accent1"/>
          <w:sz w:val="18"/>
          <w:szCs w:val="18"/>
        </w:rPr>
        <w:t xml:space="preserve"> </w:t>
      </w:r>
      <w:r w:rsidRPr="00E17490">
        <w:rPr>
          <w:rFonts w:ascii="Arial" w:hAnsi="Arial" w:cs="Arial"/>
          <w:color w:val="4472C4" w:themeColor="accent1"/>
          <w:sz w:val="14"/>
          <w:szCs w:val="14"/>
        </w:rPr>
        <w:t>ARAJU</w:t>
      </w:r>
      <w:r w:rsidRPr="00E17490">
        <w:rPr>
          <w:rFonts w:ascii="Arial" w:hAnsi="Arial" w:cs="Arial"/>
          <w:color w:val="4472C4" w:themeColor="accent1"/>
          <w:sz w:val="18"/>
          <w:szCs w:val="18"/>
        </w:rPr>
        <w:t>, M., B</w:t>
      </w:r>
      <w:r w:rsidRPr="00E17490">
        <w:rPr>
          <w:rFonts w:ascii="Arial" w:hAnsi="Arial" w:cs="Arial"/>
          <w:color w:val="4472C4" w:themeColor="accent1"/>
          <w:sz w:val="14"/>
          <w:szCs w:val="14"/>
        </w:rPr>
        <w:t>IHLER</w:t>
      </w:r>
      <w:r w:rsidRPr="00E17490">
        <w:rPr>
          <w:rFonts w:ascii="Arial" w:hAnsi="Arial" w:cs="Arial"/>
          <w:color w:val="4472C4" w:themeColor="accent1"/>
          <w:sz w:val="18"/>
          <w:szCs w:val="18"/>
        </w:rPr>
        <w:t>, H., M</w:t>
      </w:r>
      <w:r w:rsidRPr="00E17490">
        <w:rPr>
          <w:rFonts w:ascii="Arial" w:hAnsi="Arial" w:cs="Arial"/>
          <w:color w:val="4472C4" w:themeColor="accent1"/>
          <w:sz w:val="14"/>
          <w:szCs w:val="14"/>
        </w:rPr>
        <w:t>ENSE</w:t>
      </w:r>
      <w:r w:rsidRPr="00E17490">
        <w:rPr>
          <w:rFonts w:ascii="Arial" w:hAnsi="Arial" w:cs="Arial"/>
          <w:color w:val="4472C4" w:themeColor="accent1"/>
          <w:sz w:val="18"/>
          <w:szCs w:val="18"/>
        </w:rPr>
        <w:t>, M., T</w:t>
      </w:r>
      <w:r w:rsidRPr="00E17490">
        <w:rPr>
          <w:rFonts w:ascii="Arial" w:hAnsi="Arial" w:cs="Arial"/>
          <w:color w:val="4472C4" w:themeColor="accent1"/>
          <w:sz w:val="14"/>
          <w:szCs w:val="14"/>
        </w:rPr>
        <w:t>EARNEY</w:t>
      </w:r>
      <w:r w:rsidRPr="00E17490">
        <w:rPr>
          <w:rFonts w:ascii="Arial" w:hAnsi="Arial" w:cs="Arial"/>
          <w:color w:val="4472C4" w:themeColor="accent1"/>
          <w:sz w:val="18"/>
          <w:szCs w:val="18"/>
        </w:rPr>
        <w:t>, G. J., R</w:t>
      </w:r>
      <w:r w:rsidRPr="00E17490">
        <w:rPr>
          <w:rFonts w:ascii="Arial" w:hAnsi="Arial" w:cs="Arial"/>
          <w:color w:val="4472C4" w:themeColor="accent1"/>
          <w:sz w:val="14"/>
          <w:szCs w:val="14"/>
        </w:rPr>
        <w:t>OWE</w:t>
      </w:r>
      <w:r w:rsidRPr="00E17490">
        <w:rPr>
          <w:rFonts w:ascii="Arial" w:hAnsi="Arial" w:cs="Arial"/>
          <w:color w:val="4472C4" w:themeColor="accent1"/>
          <w:sz w:val="18"/>
          <w:szCs w:val="18"/>
        </w:rPr>
        <w:t>, S. M., E</w:t>
      </w:r>
      <w:r w:rsidRPr="00E17490">
        <w:rPr>
          <w:rFonts w:ascii="Arial" w:hAnsi="Arial" w:cs="Arial"/>
          <w:color w:val="4472C4" w:themeColor="accent1"/>
          <w:sz w:val="14"/>
          <w:szCs w:val="14"/>
        </w:rPr>
        <w:t>NGELHARDT</w:t>
      </w:r>
      <w:r w:rsidRPr="00E17490">
        <w:rPr>
          <w:rFonts w:ascii="Arial" w:hAnsi="Arial" w:cs="Arial"/>
          <w:color w:val="4472C4" w:themeColor="accent1"/>
          <w:sz w:val="18"/>
          <w:szCs w:val="18"/>
        </w:rPr>
        <w:t>, J. F., R</w:t>
      </w:r>
      <w:r w:rsidRPr="00E17490">
        <w:rPr>
          <w:rFonts w:ascii="Arial" w:hAnsi="Arial" w:cs="Arial"/>
          <w:color w:val="4472C4" w:themeColor="accent1"/>
          <w:sz w:val="14"/>
          <w:szCs w:val="14"/>
        </w:rPr>
        <w:t>EGEV</w:t>
      </w:r>
      <w:r w:rsidRPr="00E17490">
        <w:rPr>
          <w:rFonts w:ascii="Arial" w:hAnsi="Arial" w:cs="Arial"/>
          <w:color w:val="4472C4" w:themeColor="accent1"/>
          <w:sz w:val="18"/>
          <w:szCs w:val="18"/>
        </w:rPr>
        <w:t>, A. and R</w:t>
      </w:r>
      <w:r w:rsidRPr="00E17490">
        <w:rPr>
          <w:rFonts w:ascii="Arial" w:hAnsi="Arial" w:cs="Arial"/>
          <w:color w:val="4472C4" w:themeColor="accent1"/>
          <w:sz w:val="14"/>
          <w:szCs w:val="14"/>
        </w:rPr>
        <w:t>AJAGOPAL</w:t>
      </w:r>
      <w:r w:rsidRPr="00E17490">
        <w:rPr>
          <w:rFonts w:ascii="Arial" w:hAnsi="Arial" w:cs="Arial"/>
          <w:color w:val="4472C4" w:themeColor="accent1"/>
          <w:sz w:val="18"/>
          <w:szCs w:val="18"/>
        </w:rPr>
        <w:t xml:space="preserve">, J. (2018). A revised airway epithelial hierarchy includes CFTR-expressing </w:t>
      </w:r>
      <w:proofErr w:type="spellStart"/>
      <w:r w:rsidRPr="00E17490">
        <w:rPr>
          <w:rFonts w:ascii="Arial" w:hAnsi="Arial" w:cs="Arial"/>
          <w:color w:val="4472C4" w:themeColor="accent1"/>
          <w:sz w:val="18"/>
          <w:szCs w:val="18"/>
        </w:rPr>
        <w:t>ionocytes</w:t>
      </w:r>
      <w:proofErr w:type="spellEnd"/>
      <w:r w:rsidRPr="00E17490">
        <w:rPr>
          <w:rFonts w:ascii="Arial" w:hAnsi="Arial" w:cs="Arial"/>
          <w:color w:val="4472C4" w:themeColor="accent1"/>
          <w:sz w:val="18"/>
          <w:szCs w:val="18"/>
        </w:rPr>
        <w:t xml:space="preserve">. </w:t>
      </w:r>
      <w:r w:rsidRPr="00E17490">
        <w:rPr>
          <w:rFonts w:ascii="Arial" w:hAnsi="Arial" w:cs="Arial"/>
          <w:i/>
          <w:iCs/>
          <w:color w:val="4472C4" w:themeColor="accent1"/>
          <w:sz w:val="18"/>
          <w:szCs w:val="18"/>
        </w:rPr>
        <w:t xml:space="preserve">Na </w:t>
      </w:r>
      <w:proofErr w:type="spellStart"/>
      <w:r w:rsidRPr="00E17490">
        <w:rPr>
          <w:rFonts w:ascii="Arial" w:hAnsi="Arial" w:cs="Arial"/>
          <w:i/>
          <w:iCs/>
          <w:color w:val="4472C4" w:themeColor="accent1"/>
          <w:sz w:val="18"/>
          <w:szCs w:val="18"/>
        </w:rPr>
        <w:t>ture</w:t>
      </w:r>
      <w:proofErr w:type="spellEnd"/>
      <w:r w:rsidRPr="00E17490">
        <w:rPr>
          <w:rFonts w:ascii="Arial" w:hAnsi="Arial" w:cs="Arial"/>
          <w:i/>
          <w:iCs/>
          <w:color w:val="4472C4" w:themeColor="accent1"/>
          <w:sz w:val="18"/>
          <w:szCs w:val="18"/>
        </w:rPr>
        <w:t xml:space="preserve"> </w:t>
      </w:r>
      <w:r w:rsidRPr="00E17490">
        <w:rPr>
          <w:rFonts w:ascii="Arial" w:hAnsi="Arial" w:cs="Arial"/>
          <w:color w:val="4472C4" w:themeColor="accent1"/>
          <w:sz w:val="18"/>
          <w:szCs w:val="18"/>
        </w:rPr>
        <w:t>560 319–324. </w:t>
      </w:r>
    </w:p>
    <w:p w14:paraId="72543218" w14:textId="77777777" w:rsidR="00DF278B" w:rsidRPr="00E17490" w:rsidRDefault="00DF278B" w:rsidP="00DF278B">
      <w:pPr>
        <w:pStyle w:val="NormalWeb"/>
        <w:spacing w:before="7" w:beforeAutospacing="0" w:after="0" w:afterAutospacing="0"/>
        <w:ind w:left="4" w:right="11" w:hanging="2"/>
        <w:rPr>
          <w:color w:val="4472C4" w:themeColor="accent1"/>
        </w:rPr>
      </w:pPr>
      <w:r w:rsidRPr="00E17490">
        <w:rPr>
          <w:rFonts w:ascii="Arial" w:hAnsi="Arial" w:cs="Arial"/>
          <w:color w:val="4472C4" w:themeColor="accent1"/>
          <w:sz w:val="18"/>
          <w:szCs w:val="18"/>
        </w:rPr>
        <w:t>M</w:t>
      </w:r>
      <w:r w:rsidRPr="00E17490">
        <w:rPr>
          <w:rFonts w:ascii="Arial" w:hAnsi="Arial" w:cs="Arial"/>
          <w:color w:val="4472C4" w:themeColor="accent1"/>
          <w:sz w:val="14"/>
          <w:szCs w:val="14"/>
        </w:rPr>
        <w:t>ORRIS</w:t>
      </w:r>
      <w:r w:rsidRPr="00E17490">
        <w:rPr>
          <w:rFonts w:ascii="Arial" w:hAnsi="Arial" w:cs="Arial"/>
          <w:color w:val="4472C4" w:themeColor="accent1"/>
          <w:sz w:val="18"/>
          <w:szCs w:val="18"/>
        </w:rPr>
        <w:t xml:space="preserve">, S. A. (2019). The evolving concept of cell identity in the single cell era. </w:t>
      </w:r>
      <w:r w:rsidRPr="00E17490">
        <w:rPr>
          <w:rFonts w:ascii="Arial" w:hAnsi="Arial" w:cs="Arial"/>
          <w:i/>
          <w:iCs/>
          <w:color w:val="4472C4" w:themeColor="accent1"/>
          <w:sz w:val="18"/>
          <w:szCs w:val="18"/>
        </w:rPr>
        <w:t xml:space="preserve">Development </w:t>
      </w:r>
      <w:r w:rsidRPr="00E17490">
        <w:rPr>
          <w:rFonts w:ascii="Arial" w:hAnsi="Arial" w:cs="Arial"/>
          <w:color w:val="4472C4" w:themeColor="accent1"/>
          <w:sz w:val="18"/>
          <w:szCs w:val="18"/>
        </w:rPr>
        <w:t>146. S</w:t>
      </w:r>
      <w:r w:rsidRPr="00E17490">
        <w:rPr>
          <w:rFonts w:ascii="Arial" w:hAnsi="Arial" w:cs="Arial"/>
          <w:color w:val="4472C4" w:themeColor="accent1"/>
          <w:sz w:val="14"/>
          <w:szCs w:val="14"/>
        </w:rPr>
        <w:t>HIGA</w:t>
      </w:r>
      <w:r w:rsidRPr="00E17490">
        <w:rPr>
          <w:rFonts w:ascii="Arial" w:hAnsi="Arial" w:cs="Arial"/>
          <w:color w:val="4472C4" w:themeColor="accent1"/>
          <w:sz w:val="18"/>
          <w:szCs w:val="18"/>
        </w:rPr>
        <w:t>, M., S</w:t>
      </w:r>
      <w:r w:rsidRPr="00E17490">
        <w:rPr>
          <w:rFonts w:ascii="Arial" w:hAnsi="Arial" w:cs="Arial"/>
          <w:color w:val="4472C4" w:themeColor="accent1"/>
          <w:sz w:val="14"/>
          <w:szCs w:val="14"/>
        </w:rPr>
        <w:t>ENO</w:t>
      </w:r>
      <w:r w:rsidRPr="00E17490">
        <w:rPr>
          <w:rFonts w:ascii="Arial" w:hAnsi="Arial" w:cs="Arial"/>
          <w:color w:val="4472C4" w:themeColor="accent1"/>
          <w:sz w:val="18"/>
          <w:szCs w:val="18"/>
        </w:rPr>
        <w:t>, S., O</w:t>
      </w:r>
      <w:r w:rsidRPr="00E17490">
        <w:rPr>
          <w:rFonts w:ascii="Arial" w:hAnsi="Arial" w:cs="Arial"/>
          <w:color w:val="4472C4" w:themeColor="accent1"/>
          <w:sz w:val="14"/>
          <w:szCs w:val="14"/>
        </w:rPr>
        <w:t>NIZUKA</w:t>
      </w:r>
      <w:r w:rsidRPr="00E17490">
        <w:rPr>
          <w:rFonts w:ascii="Arial" w:hAnsi="Arial" w:cs="Arial"/>
          <w:color w:val="4472C4" w:themeColor="accent1"/>
          <w:sz w:val="18"/>
          <w:szCs w:val="18"/>
        </w:rPr>
        <w:t>, M. and M</w:t>
      </w:r>
      <w:r w:rsidRPr="00E17490">
        <w:rPr>
          <w:rFonts w:ascii="Arial" w:hAnsi="Arial" w:cs="Arial"/>
          <w:color w:val="4472C4" w:themeColor="accent1"/>
          <w:sz w:val="14"/>
          <w:szCs w:val="14"/>
        </w:rPr>
        <w:t>ATSUDA</w:t>
      </w:r>
      <w:r w:rsidRPr="00E17490">
        <w:rPr>
          <w:rFonts w:ascii="Arial" w:hAnsi="Arial" w:cs="Arial"/>
          <w:color w:val="4472C4" w:themeColor="accent1"/>
          <w:sz w:val="18"/>
          <w:szCs w:val="18"/>
        </w:rPr>
        <w:t xml:space="preserve">, H. (2021). SC-JNMF: single-cell clustering integrating multiple quantification methods based on joint non-negative matrix factorization. </w:t>
      </w:r>
      <w:proofErr w:type="spellStart"/>
      <w:r w:rsidRPr="00E17490">
        <w:rPr>
          <w:rFonts w:ascii="Arial" w:hAnsi="Arial" w:cs="Arial"/>
          <w:i/>
          <w:iCs/>
          <w:color w:val="4472C4" w:themeColor="accent1"/>
          <w:sz w:val="18"/>
          <w:szCs w:val="18"/>
        </w:rPr>
        <w:t>PeerJ</w:t>
      </w:r>
      <w:proofErr w:type="spellEnd"/>
      <w:r w:rsidRPr="00E17490">
        <w:rPr>
          <w:rFonts w:ascii="Arial" w:hAnsi="Arial" w:cs="Arial"/>
          <w:i/>
          <w:iCs/>
          <w:color w:val="4472C4" w:themeColor="accent1"/>
          <w:sz w:val="18"/>
          <w:szCs w:val="18"/>
        </w:rPr>
        <w:t xml:space="preserve"> </w:t>
      </w:r>
      <w:r w:rsidRPr="00E17490">
        <w:rPr>
          <w:rFonts w:ascii="Arial" w:hAnsi="Arial" w:cs="Arial"/>
          <w:color w:val="4472C4" w:themeColor="accent1"/>
          <w:sz w:val="18"/>
          <w:szCs w:val="18"/>
        </w:rPr>
        <w:t>9 e12087. S</w:t>
      </w:r>
      <w:r w:rsidRPr="00E17490">
        <w:rPr>
          <w:rFonts w:ascii="Arial" w:hAnsi="Arial" w:cs="Arial"/>
          <w:color w:val="4472C4" w:themeColor="accent1"/>
          <w:sz w:val="14"/>
          <w:szCs w:val="14"/>
        </w:rPr>
        <w:t>TUART</w:t>
      </w:r>
      <w:r w:rsidRPr="00E17490">
        <w:rPr>
          <w:rFonts w:ascii="Arial" w:hAnsi="Arial" w:cs="Arial"/>
          <w:color w:val="4472C4" w:themeColor="accent1"/>
          <w:sz w:val="18"/>
          <w:szCs w:val="18"/>
        </w:rPr>
        <w:t>, T. and S</w:t>
      </w:r>
      <w:r w:rsidRPr="00E17490">
        <w:rPr>
          <w:rFonts w:ascii="Arial" w:hAnsi="Arial" w:cs="Arial"/>
          <w:color w:val="4472C4" w:themeColor="accent1"/>
          <w:sz w:val="14"/>
          <w:szCs w:val="14"/>
        </w:rPr>
        <w:t>ATIJA</w:t>
      </w:r>
      <w:r w:rsidRPr="00E17490">
        <w:rPr>
          <w:rFonts w:ascii="Arial" w:hAnsi="Arial" w:cs="Arial"/>
          <w:color w:val="4472C4" w:themeColor="accent1"/>
          <w:sz w:val="18"/>
          <w:szCs w:val="18"/>
        </w:rPr>
        <w:t xml:space="preserve">, R. (2019). Integrative single-cell analysis. </w:t>
      </w:r>
      <w:r w:rsidRPr="00E17490">
        <w:rPr>
          <w:rFonts w:ascii="Arial" w:hAnsi="Arial" w:cs="Arial"/>
          <w:i/>
          <w:iCs/>
          <w:color w:val="4472C4" w:themeColor="accent1"/>
          <w:sz w:val="18"/>
          <w:szCs w:val="18"/>
        </w:rPr>
        <w:t xml:space="preserve">Nature Reviews Genetics </w:t>
      </w:r>
      <w:r w:rsidRPr="00E17490">
        <w:rPr>
          <w:rFonts w:ascii="Arial" w:hAnsi="Arial" w:cs="Arial"/>
          <w:color w:val="4472C4" w:themeColor="accent1"/>
          <w:sz w:val="18"/>
          <w:szCs w:val="18"/>
        </w:rPr>
        <w:t>20 257–272. Y</w:t>
      </w:r>
      <w:r w:rsidRPr="00E17490">
        <w:rPr>
          <w:rFonts w:ascii="Arial" w:hAnsi="Arial" w:cs="Arial"/>
          <w:color w:val="4472C4" w:themeColor="accent1"/>
          <w:sz w:val="14"/>
          <w:szCs w:val="14"/>
        </w:rPr>
        <w:t>ANG</w:t>
      </w:r>
      <w:r w:rsidRPr="00E17490">
        <w:rPr>
          <w:rFonts w:ascii="Arial" w:hAnsi="Arial" w:cs="Arial"/>
          <w:color w:val="4472C4" w:themeColor="accent1"/>
          <w:sz w:val="18"/>
          <w:szCs w:val="18"/>
        </w:rPr>
        <w:t>, Z. and M</w:t>
      </w:r>
      <w:r w:rsidRPr="00E17490">
        <w:rPr>
          <w:rFonts w:ascii="Arial" w:hAnsi="Arial" w:cs="Arial"/>
          <w:color w:val="4472C4" w:themeColor="accent1"/>
          <w:sz w:val="14"/>
          <w:szCs w:val="14"/>
        </w:rPr>
        <w:t>ICHAILIDIS</w:t>
      </w:r>
      <w:r w:rsidRPr="00E17490">
        <w:rPr>
          <w:rFonts w:ascii="Arial" w:hAnsi="Arial" w:cs="Arial"/>
          <w:color w:val="4472C4" w:themeColor="accent1"/>
          <w:sz w:val="18"/>
          <w:szCs w:val="18"/>
        </w:rPr>
        <w:t xml:space="preserve">, G. (2015). A non-negative matrix factorization method for detecting modules in heterogeneous omics multi-modal data. </w:t>
      </w:r>
      <w:r w:rsidRPr="00E17490">
        <w:rPr>
          <w:rFonts w:ascii="Arial" w:hAnsi="Arial" w:cs="Arial"/>
          <w:i/>
          <w:iCs/>
          <w:color w:val="4472C4" w:themeColor="accent1"/>
          <w:sz w:val="18"/>
          <w:szCs w:val="18"/>
        </w:rPr>
        <w:t xml:space="preserve">Bioinformatics </w:t>
      </w:r>
      <w:r w:rsidRPr="00E17490">
        <w:rPr>
          <w:rFonts w:ascii="Arial" w:hAnsi="Arial" w:cs="Arial"/>
          <w:color w:val="4472C4" w:themeColor="accent1"/>
          <w:sz w:val="18"/>
          <w:szCs w:val="18"/>
        </w:rPr>
        <w:t>32 1–8. </w:t>
      </w:r>
    </w:p>
    <w:p w14:paraId="2312B0A4" w14:textId="77777777" w:rsidR="00DF278B" w:rsidRPr="00E17490" w:rsidRDefault="00DF278B" w:rsidP="00DF278B">
      <w:pPr>
        <w:pStyle w:val="NormalWeb"/>
        <w:spacing w:before="7" w:beforeAutospacing="0" w:after="0" w:afterAutospacing="0"/>
        <w:ind w:left="5" w:right="11"/>
        <w:rPr>
          <w:color w:val="4472C4" w:themeColor="accent1"/>
        </w:rPr>
      </w:pPr>
      <w:r w:rsidRPr="00E17490">
        <w:rPr>
          <w:rFonts w:ascii="Arial" w:hAnsi="Arial" w:cs="Arial"/>
          <w:color w:val="4472C4" w:themeColor="accent1"/>
          <w:sz w:val="18"/>
          <w:szCs w:val="18"/>
        </w:rPr>
        <w:t>Z</w:t>
      </w:r>
      <w:r w:rsidRPr="00E17490">
        <w:rPr>
          <w:rFonts w:ascii="Arial" w:hAnsi="Arial" w:cs="Arial"/>
          <w:color w:val="4472C4" w:themeColor="accent1"/>
          <w:sz w:val="14"/>
          <w:szCs w:val="14"/>
        </w:rPr>
        <w:t>ENG</w:t>
      </w:r>
      <w:r w:rsidRPr="00E17490">
        <w:rPr>
          <w:rFonts w:ascii="Arial" w:hAnsi="Arial" w:cs="Arial"/>
          <w:color w:val="4472C4" w:themeColor="accent1"/>
          <w:sz w:val="18"/>
          <w:szCs w:val="18"/>
        </w:rPr>
        <w:t>, Y., W</w:t>
      </w:r>
      <w:r w:rsidRPr="00E17490">
        <w:rPr>
          <w:rFonts w:ascii="Arial" w:hAnsi="Arial" w:cs="Arial"/>
          <w:color w:val="4472C4" w:themeColor="accent1"/>
          <w:sz w:val="14"/>
          <w:szCs w:val="14"/>
        </w:rPr>
        <w:t>EI</w:t>
      </w:r>
      <w:r w:rsidRPr="00E17490">
        <w:rPr>
          <w:rFonts w:ascii="Arial" w:hAnsi="Arial" w:cs="Arial"/>
          <w:color w:val="4472C4" w:themeColor="accent1"/>
          <w:sz w:val="18"/>
          <w:szCs w:val="18"/>
        </w:rPr>
        <w:t>, Z., Z</w:t>
      </w:r>
      <w:r w:rsidRPr="00E17490">
        <w:rPr>
          <w:rFonts w:ascii="Arial" w:hAnsi="Arial" w:cs="Arial"/>
          <w:color w:val="4472C4" w:themeColor="accent1"/>
          <w:sz w:val="14"/>
          <w:szCs w:val="14"/>
        </w:rPr>
        <w:t>HONG</w:t>
      </w:r>
      <w:r w:rsidRPr="00E17490">
        <w:rPr>
          <w:rFonts w:ascii="Arial" w:hAnsi="Arial" w:cs="Arial"/>
          <w:color w:val="4472C4" w:themeColor="accent1"/>
          <w:sz w:val="18"/>
          <w:szCs w:val="18"/>
        </w:rPr>
        <w:t>, F., P</w:t>
      </w:r>
      <w:r w:rsidRPr="00E17490">
        <w:rPr>
          <w:rFonts w:ascii="Arial" w:hAnsi="Arial" w:cs="Arial"/>
          <w:color w:val="4472C4" w:themeColor="accent1"/>
          <w:sz w:val="14"/>
          <w:szCs w:val="14"/>
        </w:rPr>
        <w:t>AN</w:t>
      </w:r>
      <w:r w:rsidRPr="00E17490">
        <w:rPr>
          <w:rFonts w:ascii="Arial" w:hAnsi="Arial" w:cs="Arial"/>
          <w:color w:val="4472C4" w:themeColor="accent1"/>
          <w:sz w:val="18"/>
          <w:szCs w:val="18"/>
        </w:rPr>
        <w:t>, Z., L</w:t>
      </w:r>
      <w:r w:rsidRPr="00E17490">
        <w:rPr>
          <w:rFonts w:ascii="Arial" w:hAnsi="Arial" w:cs="Arial"/>
          <w:color w:val="4472C4" w:themeColor="accent1"/>
          <w:sz w:val="14"/>
          <w:szCs w:val="14"/>
        </w:rPr>
        <w:t>U</w:t>
      </w:r>
      <w:r w:rsidRPr="00E17490">
        <w:rPr>
          <w:rFonts w:ascii="Arial" w:hAnsi="Arial" w:cs="Arial"/>
          <w:color w:val="4472C4" w:themeColor="accent1"/>
          <w:sz w:val="18"/>
          <w:szCs w:val="18"/>
        </w:rPr>
        <w:t>, Y. and Y</w:t>
      </w:r>
      <w:r w:rsidRPr="00E17490">
        <w:rPr>
          <w:rFonts w:ascii="Arial" w:hAnsi="Arial" w:cs="Arial"/>
          <w:color w:val="4472C4" w:themeColor="accent1"/>
          <w:sz w:val="14"/>
          <w:szCs w:val="14"/>
        </w:rPr>
        <w:t>ANG</w:t>
      </w:r>
      <w:r w:rsidRPr="00E17490">
        <w:rPr>
          <w:rFonts w:ascii="Arial" w:hAnsi="Arial" w:cs="Arial"/>
          <w:color w:val="4472C4" w:themeColor="accent1"/>
          <w:sz w:val="18"/>
          <w:szCs w:val="18"/>
        </w:rPr>
        <w:t>, Y. (2022). A parameter-free deep embedded clustering method for single-cell RNA-</w:t>
      </w:r>
      <w:proofErr w:type="spellStart"/>
      <w:r w:rsidRPr="00E17490">
        <w:rPr>
          <w:rFonts w:ascii="Arial" w:hAnsi="Arial" w:cs="Arial"/>
          <w:color w:val="4472C4" w:themeColor="accent1"/>
          <w:sz w:val="18"/>
          <w:szCs w:val="18"/>
        </w:rPr>
        <w:t>seq</w:t>
      </w:r>
      <w:proofErr w:type="spellEnd"/>
      <w:r w:rsidRPr="00E17490">
        <w:rPr>
          <w:rFonts w:ascii="Arial" w:hAnsi="Arial" w:cs="Arial"/>
          <w:color w:val="4472C4" w:themeColor="accent1"/>
          <w:sz w:val="18"/>
          <w:szCs w:val="18"/>
        </w:rPr>
        <w:t xml:space="preserve"> data. </w:t>
      </w:r>
      <w:r w:rsidRPr="00E17490">
        <w:rPr>
          <w:rFonts w:ascii="Arial" w:hAnsi="Arial" w:cs="Arial"/>
          <w:i/>
          <w:iCs/>
          <w:color w:val="4472C4" w:themeColor="accent1"/>
          <w:sz w:val="18"/>
          <w:szCs w:val="18"/>
        </w:rPr>
        <w:t xml:space="preserve">Briefings in Bioinformatics </w:t>
      </w:r>
      <w:r w:rsidRPr="00E17490">
        <w:rPr>
          <w:rFonts w:ascii="Arial" w:hAnsi="Arial" w:cs="Arial"/>
          <w:color w:val="4472C4" w:themeColor="accent1"/>
          <w:sz w:val="18"/>
          <w:szCs w:val="18"/>
        </w:rPr>
        <w:t>23 bbac172. Z</w:t>
      </w:r>
      <w:r w:rsidRPr="00E17490">
        <w:rPr>
          <w:rFonts w:ascii="Arial" w:hAnsi="Arial" w:cs="Arial"/>
          <w:color w:val="4472C4" w:themeColor="accent1"/>
          <w:sz w:val="14"/>
          <w:szCs w:val="14"/>
        </w:rPr>
        <w:t>HANG</w:t>
      </w:r>
      <w:r w:rsidRPr="00E17490">
        <w:rPr>
          <w:rFonts w:ascii="Arial" w:hAnsi="Arial" w:cs="Arial"/>
          <w:color w:val="4472C4" w:themeColor="accent1"/>
          <w:sz w:val="18"/>
          <w:szCs w:val="18"/>
        </w:rPr>
        <w:t>, S., L</w:t>
      </w:r>
      <w:r w:rsidRPr="00E17490">
        <w:rPr>
          <w:rFonts w:ascii="Arial" w:hAnsi="Arial" w:cs="Arial"/>
          <w:color w:val="4472C4" w:themeColor="accent1"/>
          <w:sz w:val="14"/>
          <w:szCs w:val="14"/>
        </w:rPr>
        <w:t>IU</w:t>
      </w:r>
      <w:r w:rsidRPr="00E17490">
        <w:rPr>
          <w:rFonts w:ascii="Arial" w:hAnsi="Arial" w:cs="Arial"/>
          <w:color w:val="4472C4" w:themeColor="accent1"/>
          <w:sz w:val="18"/>
          <w:szCs w:val="18"/>
        </w:rPr>
        <w:t>, C.-C., L</w:t>
      </w:r>
      <w:r w:rsidRPr="00E17490">
        <w:rPr>
          <w:rFonts w:ascii="Arial" w:hAnsi="Arial" w:cs="Arial"/>
          <w:color w:val="4472C4" w:themeColor="accent1"/>
          <w:sz w:val="14"/>
          <w:szCs w:val="14"/>
        </w:rPr>
        <w:t>I</w:t>
      </w:r>
      <w:r w:rsidRPr="00E17490">
        <w:rPr>
          <w:rFonts w:ascii="Arial" w:hAnsi="Arial" w:cs="Arial"/>
          <w:color w:val="4472C4" w:themeColor="accent1"/>
          <w:sz w:val="18"/>
          <w:szCs w:val="18"/>
        </w:rPr>
        <w:t>, W., S</w:t>
      </w:r>
      <w:r w:rsidRPr="00E17490">
        <w:rPr>
          <w:rFonts w:ascii="Arial" w:hAnsi="Arial" w:cs="Arial"/>
          <w:color w:val="4472C4" w:themeColor="accent1"/>
          <w:sz w:val="14"/>
          <w:szCs w:val="14"/>
        </w:rPr>
        <w:t>HEN</w:t>
      </w:r>
      <w:r w:rsidRPr="00E17490">
        <w:rPr>
          <w:rFonts w:ascii="Arial" w:hAnsi="Arial" w:cs="Arial"/>
          <w:color w:val="4472C4" w:themeColor="accent1"/>
          <w:sz w:val="18"/>
          <w:szCs w:val="18"/>
        </w:rPr>
        <w:t>, H., L</w:t>
      </w:r>
      <w:r w:rsidRPr="00E17490">
        <w:rPr>
          <w:rFonts w:ascii="Arial" w:hAnsi="Arial" w:cs="Arial"/>
          <w:color w:val="4472C4" w:themeColor="accent1"/>
          <w:sz w:val="14"/>
          <w:szCs w:val="14"/>
        </w:rPr>
        <w:t>AIRD</w:t>
      </w:r>
      <w:r w:rsidRPr="00E17490">
        <w:rPr>
          <w:rFonts w:ascii="Arial" w:hAnsi="Arial" w:cs="Arial"/>
          <w:color w:val="4472C4" w:themeColor="accent1"/>
          <w:sz w:val="18"/>
          <w:szCs w:val="18"/>
        </w:rPr>
        <w:t>, P. W. and Z</w:t>
      </w:r>
      <w:r w:rsidRPr="00E17490">
        <w:rPr>
          <w:rFonts w:ascii="Arial" w:hAnsi="Arial" w:cs="Arial"/>
          <w:color w:val="4472C4" w:themeColor="accent1"/>
          <w:sz w:val="14"/>
          <w:szCs w:val="14"/>
        </w:rPr>
        <w:t>HOU</w:t>
      </w:r>
      <w:r w:rsidRPr="00E17490">
        <w:rPr>
          <w:rFonts w:ascii="Arial" w:hAnsi="Arial" w:cs="Arial"/>
          <w:color w:val="4472C4" w:themeColor="accent1"/>
          <w:sz w:val="18"/>
          <w:szCs w:val="18"/>
        </w:rPr>
        <w:t xml:space="preserve">, X. J. (2012). Discovery of </w:t>
      </w:r>
      <w:proofErr w:type="spellStart"/>
      <w:r w:rsidRPr="00E17490">
        <w:rPr>
          <w:rFonts w:ascii="Arial" w:hAnsi="Arial" w:cs="Arial"/>
          <w:color w:val="4472C4" w:themeColor="accent1"/>
          <w:sz w:val="18"/>
          <w:szCs w:val="18"/>
        </w:rPr>
        <w:t>multi dimensional</w:t>
      </w:r>
      <w:proofErr w:type="spellEnd"/>
      <w:r w:rsidRPr="00E17490">
        <w:rPr>
          <w:rFonts w:ascii="Arial" w:hAnsi="Arial" w:cs="Arial"/>
          <w:color w:val="4472C4" w:themeColor="accent1"/>
          <w:sz w:val="18"/>
          <w:szCs w:val="18"/>
        </w:rPr>
        <w:t xml:space="preserve"> modules by integrative analysis of cancer genomic data. </w:t>
      </w:r>
      <w:r w:rsidRPr="00E17490">
        <w:rPr>
          <w:rFonts w:ascii="Arial" w:hAnsi="Arial" w:cs="Arial"/>
          <w:i/>
          <w:iCs/>
          <w:color w:val="4472C4" w:themeColor="accent1"/>
          <w:sz w:val="18"/>
          <w:szCs w:val="18"/>
        </w:rPr>
        <w:t xml:space="preserve">Nucleic Acids Research </w:t>
      </w:r>
      <w:r w:rsidRPr="00E17490">
        <w:rPr>
          <w:rFonts w:ascii="Arial" w:hAnsi="Arial" w:cs="Arial"/>
          <w:color w:val="4472C4" w:themeColor="accent1"/>
          <w:sz w:val="18"/>
          <w:szCs w:val="18"/>
        </w:rPr>
        <w:t>40 9379–9391.</w:t>
      </w:r>
    </w:p>
    <w:p w14:paraId="0DC97AC5" w14:textId="77777777" w:rsidR="00504C06" w:rsidRDefault="00504C06" w:rsidP="00504C06">
      <w:pPr>
        <w:pStyle w:val="NormalWeb"/>
        <w:spacing w:before="0" w:beforeAutospacing="0" w:after="0" w:afterAutospacing="0"/>
        <w:ind w:left="2" w:right="11" w:firstLine="5"/>
        <w:jc w:val="both"/>
        <w:rPr>
          <w:rFonts w:asciiTheme="minorHAnsi" w:hAnsiTheme="minorHAnsi" w:cstheme="minorHAnsi"/>
          <w:b/>
          <w:bCs/>
          <w:sz w:val="22"/>
          <w:szCs w:val="22"/>
          <w:u w:val="single"/>
        </w:rPr>
      </w:pPr>
    </w:p>
    <w:p w14:paraId="78E84B2C" w14:textId="05777E75" w:rsidR="00504C06" w:rsidRDefault="00504C06" w:rsidP="00504C06">
      <w:pPr>
        <w:pStyle w:val="NormalWeb"/>
        <w:spacing w:before="0" w:beforeAutospacing="0" w:after="0" w:afterAutospacing="0"/>
        <w:ind w:left="2" w:right="11" w:firstLine="5"/>
        <w:jc w:val="both"/>
        <w:rPr>
          <w:rFonts w:asciiTheme="minorHAnsi" w:hAnsiTheme="minorHAnsi" w:cstheme="minorHAnsi"/>
          <w:b/>
          <w:bCs/>
          <w:sz w:val="22"/>
          <w:szCs w:val="22"/>
          <w:u w:val="single"/>
        </w:rPr>
      </w:pPr>
      <w:r>
        <w:rPr>
          <w:rFonts w:asciiTheme="minorHAnsi" w:hAnsiTheme="minorHAnsi" w:cstheme="minorHAnsi"/>
          <w:b/>
          <w:bCs/>
          <w:sz w:val="22"/>
          <w:szCs w:val="22"/>
          <w:u w:val="single"/>
        </w:rPr>
        <w:t>2</w:t>
      </w:r>
      <w:r w:rsidRPr="00504C06">
        <w:rPr>
          <w:rFonts w:asciiTheme="minorHAnsi" w:hAnsiTheme="minorHAnsi" w:cstheme="minorHAnsi"/>
          <w:b/>
          <w:bCs/>
          <w:sz w:val="22"/>
          <w:szCs w:val="22"/>
          <w:u w:val="single"/>
          <w:vertAlign w:val="superscript"/>
        </w:rPr>
        <w:t>nd</w:t>
      </w:r>
      <w:r>
        <w:rPr>
          <w:rFonts w:asciiTheme="minorHAnsi" w:hAnsiTheme="minorHAnsi" w:cstheme="minorHAnsi"/>
          <w:b/>
          <w:bCs/>
          <w:sz w:val="22"/>
          <w:szCs w:val="22"/>
          <w:u w:val="single"/>
        </w:rPr>
        <w:t xml:space="preserve"> round</w:t>
      </w:r>
    </w:p>
    <w:p w14:paraId="543B0C65" w14:textId="66F356F9" w:rsidR="00504C06" w:rsidRDefault="00504C06" w:rsidP="00504C06">
      <w:pPr>
        <w:pStyle w:val="NormalWeb"/>
        <w:spacing w:before="0" w:beforeAutospacing="0" w:after="0" w:afterAutospacing="0"/>
        <w:ind w:left="2" w:right="11" w:firstLine="5"/>
        <w:jc w:val="both"/>
        <w:rPr>
          <w:rFonts w:asciiTheme="minorHAnsi" w:hAnsiTheme="minorHAnsi" w:cstheme="minorHAnsi"/>
          <w:b/>
          <w:bCs/>
          <w:sz w:val="22"/>
          <w:szCs w:val="22"/>
        </w:rPr>
      </w:pPr>
      <w:r>
        <w:rPr>
          <w:rFonts w:asciiTheme="minorHAnsi" w:hAnsiTheme="minorHAnsi" w:cstheme="minorHAnsi"/>
          <w:b/>
          <w:bCs/>
          <w:sz w:val="22"/>
          <w:szCs w:val="22"/>
        </w:rPr>
        <w:t>Reviewer 1</w:t>
      </w:r>
    </w:p>
    <w:p w14:paraId="205C70D7" w14:textId="1A3B3A28" w:rsidR="00504C06" w:rsidRDefault="00504C06" w:rsidP="00504C06">
      <w:pPr>
        <w:pStyle w:val="NormalWeb"/>
        <w:spacing w:before="0" w:beforeAutospacing="0" w:after="0" w:afterAutospacing="0"/>
        <w:ind w:left="2" w:right="11" w:firstLine="5"/>
        <w:jc w:val="both"/>
        <w:rPr>
          <w:rFonts w:asciiTheme="minorHAnsi" w:hAnsiTheme="minorHAnsi" w:cstheme="minorHAnsi"/>
          <w:sz w:val="22"/>
          <w:szCs w:val="22"/>
        </w:rPr>
      </w:pPr>
      <w:r w:rsidRPr="00504C06">
        <w:rPr>
          <w:rFonts w:asciiTheme="minorHAnsi" w:hAnsiTheme="minorHAnsi" w:cstheme="minorHAnsi"/>
          <w:sz w:val="22"/>
          <w:szCs w:val="22"/>
        </w:rPr>
        <w:t>I have no further questions</w:t>
      </w:r>
    </w:p>
    <w:p w14:paraId="6D32BE4F" w14:textId="4EBBDC3A" w:rsidR="00504C06" w:rsidRDefault="00504C06" w:rsidP="00504C06">
      <w:pPr>
        <w:pStyle w:val="NormalWeb"/>
        <w:spacing w:before="0" w:beforeAutospacing="0" w:after="0" w:afterAutospacing="0"/>
        <w:ind w:left="2" w:right="11" w:firstLine="5"/>
        <w:jc w:val="both"/>
        <w:rPr>
          <w:rFonts w:asciiTheme="minorHAnsi" w:hAnsiTheme="minorHAnsi" w:cstheme="minorHAnsi"/>
          <w:sz w:val="22"/>
          <w:szCs w:val="22"/>
        </w:rPr>
      </w:pPr>
    </w:p>
    <w:p w14:paraId="17FC7CE8" w14:textId="6A869D9A" w:rsidR="00504C06" w:rsidRDefault="00504C06" w:rsidP="00504C06">
      <w:pPr>
        <w:pStyle w:val="NormalWeb"/>
        <w:spacing w:before="0" w:beforeAutospacing="0" w:after="0" w:afterAutospacing="0"/>
        <w:ind w:left="2" w:right="11" w:firstLine="5"/>
        <w:jc w:val="both"/>
        <w:rPr>
          <w:rFonts w:asciiTheme="minorHAnsi" w:hAnsiTheme="minorHAnsi" w:cstheme="minorHAnsi"/>
          <w:b/>
          <w:bCs/>
          <w:sz w:val="22"/>
          <w:szCs w:val="22"/>
        </w:rPr>
      </w:pPr>
      <w:r>
        <w:rPr>
          <w:rFonts w:asciiTheme="minorHAnsi" w:hAnsiTheme="minorHAnsi" w:cstheme="minorHAnsi"/>
          <w:b/>
          <w:bCs/>
          <w:sz w:val="22"/>
          <w:szCs w:val="22"/>
        </w:rPr>
        <w:t>Reviewer 2</w:t>
      </w:r>
    </w:p>
    <w:p w14:paraId="5CAA2534" w14:textId="77777777" w:rsidR="00504C06" w:rsidRPr="00504C06" w:rsidRDefault="00504C06" w:rsidP="00504C06">
      <w:pPr>
        <w:pStyle w:val="NormalWeb"/>
        <w:spacing w:after="0"/>
        <w:ind w:left="2" w:right="11" w:firstLine="5"/>
        <w:jc w:val="both"/>
        <w:rPr>
          <w:rFonts w:asciiTheme="minorHAnsi" w:hAnsiTheme="minorHAnsi" w:cstheme="minorHAnsi"/>
          <w:sz w:val="22"/>
          <w:szCs w:val="22"/>
        </w:rPr>
      </w:pPr>
      <w:r w:rsidRPr="00504C06">
        <w:rPr>
          <w:rFonts w:asciiTheme="minorHAnsi" w:hAnsiTheme="minorHAnsi" w:cstheme="minorHAnsi"/>
          <w:sz w:val="22"/>
          <w:szCs w:val="22"/>
        </w:rPr>
        <w:t xml:space="preserve">The authors have thoroughly addressed our comments and concerns. The authors have adequately addressed the most significant questions that we had about the manuscript. Below are some additional </w:t>
      </w:r>
      <w:proofErr w:type="spellStart"/>
      <w:r w:rsidRPr="00504C06">
        <w:rPr>
          <w:rFonts w:asciiTheme="minorHAnsi" w:hAnsiTheme="minorHAnsi" w:cstheme="minorHAnsi"/>
          <w:sz w:val="22"/>
          <w:szCs w:val="22"/>
        </w:rPr>
        <w:t>minore</w:t>
      </w:r>
      <w:proofErr w:type="spellEnd"/>
      <w:r w:rsidRPr="00504C06">
        <w:rPr>
          <w:rFonts w:asciiTheme="minorHAnsi" w:hAnsiTheme="minorHAnsi" w:cstheme="minorHAnsi"/>
          <w:sz w:val="22"/>
          <w:szCs w:val="22"/>
        </w:rPr>
        <w:t xml:space="preserve"> comments that will improve the manuscript further.</w:t>
      </w:r>
    </w:p>
    <w:p w14:paraId="7F1BB3BE" w14:textId="77777777" w:rsidR="00504C06" w:rsidRPr="00504C06" w:rsidRDefault="00504C06" w:rsidP="00504C06">
      <w:pPr>
        <w:pStyle w:val="NormalWeb"/>
        <w:spacing w:after="0"/>
        <w:ind w:left="2" w:right="11" w:firstLine="5"/>
        <w:jc w:val="both"/>
        <w:rPr>
          <w:rFonts w:asciiTheme="minorHAnsi" w:hAnsiTheme="minorHAnsi" w:cstheme="minorHAnsi"/>
          <w:sz w:val="22"/>
          <w:szCs w:val="22"/>
        </w:rPr>
      </w:pPr>
      <w:r w:rsidRPr="00504C06">
        <w:rPr>
          <w:rFonts w:asciiTheme="minorHAnsi" w:hAnsiTheme="minorHAnsi" w:cstheme="minorHAnsi"/>
          <w:sz w:val="22"/>
          <w:szCs w:val="22"/>
        </w:rPr>
        <w:t>1. The definition of least extreme LFC should be motivated through a simple example, graphic, or table. I.e., a real (or hypothetical) gene with pairwise log fold changes and the corresponding least extreme LFC. This would benefit readers with less quantitative background to better understand the metric.</w:t>
      </w:r>
    </w:p>
    <w:p w14:paraId="49590758" w14:textId="64CB8E89" w:rsidR="00504C06" w:rsidRPr="00504C06" w:rsidRDefault="00504C06" w:rsidP="00504C06">
      <w:pPr>
        <w:pStyle w:val="NormalWeb"/>
        <w:spacing w:before="0" w:beforeAutospacing="0" w:after="0" w:afterAutospacing="0"/>
        <w:ind w:left="2" w:right="11" w:firstLine="5"/>
        <w:jc w:val="both"/>
        <w:rPr>
          <w:rFonts w:asciiTheme="minorHAnsi" w:hAnsiTheme="minorHAnsi" w:cstheme="minorHAnsi"/>
          <w:sz w:val="22"/>
          <w:szCs w:val="22"/>
        </w:rPr>
      </w:pPr>
      <w:r w:rsidRPr="00504C06">
        <w:rPr>
          <w:rFonts w:asciiTheme="minorHAnsi" w:hAnsiTheme="minorHAnsi" w:cstheme="minorHAnsi"/>
          <w:sz w:val="22"/>
          <w:szCs w:val="22"/>
        </w:rPr>
        <w:t xml:space="preserve">2. In pg.5 of the response, the authors agree that our hypothetical example with topics </w:t>
      </w:r>
      <w:proofErr w:type="gramStart"/>
      <w:r w:rsidRPr="00504C06">
        <w:rPr>
          <w:rFonts w:asciiTheme="minorHAnsi" w:hAnsiTheme="minorHAnsi" w:cstheme="minorHAnsi"/>
          <w:sz w:val="22"/>
          <w:szCs w:val="22"/>
        </w:rPr>
        <w:t>A,B</w:t>
      </w:r>
      <w:proofErr w:type="gramEnd"/>
      <w:r w:rsidRPr="00504C06">
        <w:rPr>
          <w:rFonts w:asciiTheme="minorHAnsi" w:hAnsiTheme="minorHAnsi" w:cstheme="minorHAnsi"/>
          <w:sz w:val="22"/>
          <w:szCs w:val="22"/>
        </w:rPr>
        <w:t xml:space="preserve">, and C are an example where the proposed </w:t>
      </w:r>
      <w:proofErr w:type="spellStart"/>
      <w:r w:rsidRPr="00504C06">
        <w:rPr>
          <w:rFonts w:asciiTheme="minorHAnsi" w:hAnsiTheme="minorHAnsi" w:cstheme="minorHAnsi"/>
          <w:sz w:val="22"/>
          <w:szCs w:val="22"/>
        </w:rPr>
        <w:t>leLFC</w:t>
      </w:r>
      <w:proofErr w:type="spellEnd"/>
      <w:r w:rsidRPr="00504C06">
        <w:rPr>
          <w:rFonts w:asciiTheme="minorHAnsi" w:hAnsiTheme="minorHAnsi" w:cstheme="minorHAnsi"/>
          <w:sz w:val="22"/>
          <w:szCs w:val="22"/>
        </w:rPr>
        <w:t xml:space="preserve"> metric does not perform well. Although we agree that “distinctive genes” are of interest, how would the proposed approach be able to filter out a problematic gene like this one? Similarly, how would a user know if another metric (those provided by </w:t>
      </w:r>
      <w:proofErr w:type="spellStart"/>
      <w:r w:rsidRPr="00504C06">
        <w:rPr>
          <w:rFonts w:asciiTheme="minorHAnsi" w:hAnsiTheme="minorHAnsi" w:cstheme="minorHAnsi"/>
          <w:sz w:val="22"/>
          <w:szCs w:val="22"/>
        </w:rPr>
        <w:t>fastTopics</w:t>
      </w:r>
      <w:proofErr w:type="spellEnd"/>
      <w:r w:rsidRPr="00504C06">
        <w:rPr>
          <w:rFonts w:asciiTheme="minorHAnsi" w:hAnsiTheme="minorHAnsi" w:cstheme="minorHAnsi"/>
          <w:sz w:val="22"/>
          <w:szCs w:val="22"/>
        </w:rPr>
        <w:t xml:space="preserve">) should be used instead of </w:t>
      </w:r>
      <w:proofErr w:type="spellStart"/>
      <w:r w:rsidRPr="00504C06">
        <w:rPr>
          <w:rFonts w:asciiTheme="minorHAnsi" w:hAnsiTheme="minorHAnsi" w:cstheme="minorHAnsi"/>
          <w:sz w:val="22"/>
          <w:szCs w:val="22"/>
        </w:rPr>
        <w:t>leLFC</w:t>
      </w:r>
      <w:proofErr w:type="spellEnd"/>
      <w:r w:rsidRPr="00504C06">
        <w:rPr>
          <w:rFonts w:asciiTheme="minorHAnsi" w:hAnsiTheme="minorHAnsi" w:cstheme="minorHAnsi"/>
          <w:sz w:val="22"/>
          <w:szCs w:val="22"/>
        </w:rPr>
        <w:t>?</w:t>
      </w:r>
    </w:p>
    <w:p w14:paraId="47086231" w14:textId="70280A30" w:rsidR="00DF278B" w:rsidRDefault="00DF278B" w:rsidP="00DF278B">
      <w:pPr>
        <w:pStyle w:val="NormalWeb"/>
        <w:spacing w:before="0" w:beforeAutospacing="0" w:after="0" w:afterAutospacing="0"/>
        <w:ind w:left="3" w:right="11" w:firstLine="5"/>
        <w:jc w:val="both"/>
        <w:rPr>
          <w:rFonts w:ascii="Arial" w:hAnsi="Arial" w:cs="Arial"/>
          <w:color w:val="000000"/>
          <w:sz w:val="22"/>
          <w:szCs w:val="22"/>
        </w:rPr>
      </w:pPr>
    </w:p>
    <w:p w14:paraId="4B1BCD45" w14:textId="5CAEE373" w:rsidR="00504C06" w:rsidRPr="00504C06" w:rsidRDefault="00504C06" w:rsidP="00504C06">
      <w:pPr>
        <w:pStyle w:val="NormalWeb"/>
        <w:spacing w:before="0" w:beforeAutospacing="0" w:after="0" w:afterAutospacing="0"/>
        <w:ind w:left="3" w:right="11" w:firstLine="5"/>
        <w:jc w:val="both"/>
        <w:rPr>
          <w:rFonts w:asciiTheme="minorHAnsi" w:hAnsiTheme="minorHAnsi" w:cstheme="minorHAnsi"/>
          <w:b/>
          <w:bCs/>
          <w:color w:val="000000"/>
          <w:sz w:val="22"/>
          <w:szCs w:val="22"/>
        </w:rPr>
      </w:pPr>
      <w:r w:rsidRPr="00504C06">
        <w:rPr>
          <w:rFonts w:asciiTheme="minorHAnsi" w:hAnsiTheme="minorHAnsi" w:cstheme="minorHAnsi"/>
          <w:b/>
          <w:bCs/>
          <w:color w:val="000000"/>
          <w:sz w:val="22"/>
          <w:szCs w:val="22"/>
        </w:rPr>
        <w:t>Authors’ response</w:t>
      </w:r>
    </w:p>
    <w:p w14:paraId="3C58ACD6" w14:textId="0031D46D" w:rsidR="00504C06" w:rsidRPr="00504C06" w:rsidRDefault="00504C06" w:rsidP="00504C06">
      <w:pPr>
        <w:pStyle w:val="NormalWeb"/>
        <w:spacing w:after="0"/>
        <w:ind w:left="3" w:right="11" w:firstLine="5"/>
        <w:jc w:val="both"/>
        <w:rPr>
          <w:rFonts w:asciiTheme="minorHAnsi" w:hAnsiTheme="minorHAnsi" w:cstheme="minorHAnsi"/>
          <w:color w:val="000000"/>
          <w:sz w:val="22"/>
          <w:szCs w:val="22"/>
        </w:rPr>
      </w:pPr>
      <w:r w:rsidRPr="00504C06">
        <w:rPr>
          <w:rFonts w:asciiTheme="minorHAnsi" w:hAnsiTheme="minorHAnsi" w:cstheme="minorHAnsi"/>
          <w:color w:val="000000"/>
          <w:sz w:val="22"/>
          <w:szCs w:val="22"/>
        </w:rPr>
        <w:t>Reviewer #2 requested (a) a simple example to illustrate the use of the "least extreme"</w:t>
      </w:r>
      <w:r>
        <w:rPr>
          <w:rFonts w:asciiTheme="minorHAnsi" w:hAnsiTheme="minorHAnsi" w:cstheme="minorHAnsi"/>
          <w:color w:val="000000"/>
          <w:sz w:val="22"/>
          <w:szCs w:val="22"/>
        </w:rPr>
        <w:t xml:space="preserve"> </w:t>
      </w:r>
      <w:r w:rsidRPr="00504C06">
        <w:rPr>
          <w:rFonts w:asciiTheme="minorHAnsi" w:hAnsiTheme="minorHAnsi" w:cstheme="minorHAnsi"/>
          <w:color w:val="000000"/>
          <w:sz w:val="22"/>
          <w:szCs w:val="22"/>
        </w:rPr>
        <w:t>LFC, and (b) a more detailed discussion on the use of the least extreme LFC. We have</w:t>
      </w:r>
      <w:r>
        <w:rPr>
          <w:rFonts w:asciiTheme="minorHAnsi" w:hAnsiTheme="minorHAnsi" w:cstheme="minorHAnsi"/>
          <w:color w:val="000000"/>
          <w:sz w:val="22"/>
          <w:szCs w:val="22"/>
        </w:rPr>
        <w:t xml:space="preserve"> </w:t>
      </w:r>
      <w:r w:rsidRPr="00504C06">
        <w:rPr>
          <w:rFonts w:asciiTheme="minorHAnsi" w:hAnsiTheme="minorHAnsi" w:cstheme="minorHAnsi"/>
          <w:color w:val="000000"/>
          <w:sz w:val="22"/>
          <w:szCs w:val="22"/>
        </w:rPr>
        <w:t>addressed both (a) and (b) in the revised manuscript.</w:t>
      </w:r>
    </w:p>
    <w:p w14:paraId="7C81D144" w14:textId="046E0BB1" w:rsidR="00DF278B" w:rsidRDefault="00DF278B" w:rsidP="00DF278B">
      <w:pPr>
        <w:pStyle w:val="NormalWeb"/>
        <w:spacing w:before="136" w:beforeAutospacing="0" w:after="0" w:afterAutospacing="0"/>
        <w:ind w:left="2" w:right="11" w:firstLine="8"/>
      </w:pPr>
    </w:p>
    <w:p w14:paraId="0CCB9C9C" w14:textId="77777777" w:rsidR="00DF278B" w:rsidRPr="00104C3F" w:rsidRDefault="00DF278B" w:rsidP="00DF278B">
      <w:pPr>
        <w:spacing w:after="0" w:line="240" w:lineRule="auto"/>
        <w:rPr>
          <w:b/>
          <w:bCs/>
        </w:rPr>
      </w:pPr>
    </w:p>
    <w:sectPr w:rsidR="00DF278B" w:rsidRPr="00104C3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3F"/>
    <w:rsid w:val="00104C3F"/>
    <w:rsid w:val="00122D85"/>
    <w:rsid w:val="003B71F1"/>
    <w:rsid w:val="00504C06"/>
    <w:rsid w:val="00CF672B"/>
    <w:rsid w:val="00DF278B"/>
    <w:rsid w:val="00E174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43E31"/>
  <w15:chartTrackingRefBased/>
  <w15:docId w15:val="{688AC616-C8F0-4D0E-8772-1739FBD60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F278B"/>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57907">
      <w:bodyDiv w:val="1"/>
      <w:marLeft w:val="0"/>
      <w:marRight w:val="0"/>
      <w:marTop w:val="0"/>
      <w:marBottom w:val="0"/>
      <w:divBdr>
        <w:top w:val="none" w:sz="0" w:space="0" w:color="auto"/>
        <w:left w:val="none" w:sz="0" w:space="0" w:color="auto"/>
        <w:bottom w:val="none" w:sz="0" w:space="0" w:color="auto"/>
        <w:right w:val="none" w:sz="0" w:space="0" w:color="auto"/>
      </w:divBdr>
    </w:div>
    <w:div w:id="155537935">
      <w:bodyDiv w:val="1"/>
      <w:marLeft w:val="0"/>
      <w:marRight w:val="0"/>
      <w:marTop w:val="0"/>
      <w:marBottom w:val="0"/>
      <w:divBdr>
        <w:top w:val="none" w:sz="0" w:space="0" w:color="auto"/>
        <w:left w:val="none" w:sz="0" w:space="0" w:color="auto"/>
        <w:bottom w:val="none" w:sz="0" w:space="0" w:color="auto"/>
        <w:right w:val="none" w:sz="0" w:space="0" w:color="auto"/>
      </w:divBdr>
    </w:div>
    <w:div w:id="270749863">
      <w:bodyDiv w:val="1"/>
      <w:marLeft w:val="0"/>
      <w:marRight w:val="0"/>
      <w:marTop w:val="0"/>
      <w:marBottom w:val="0"/>
      <w:divBdr>
        <w:top w:val="none" w:sz="0" w:space="0" w:color="auto"/>
        <w:left w:val="none" w:sz="0" w:space="0" w:color="auto"/>
        <w:bottom w:val="none" w:sz="0" w:space="0" w:color="auto"/>
        <w:right w:val="none" w:sz="0" w:space="0" w:color="auto"/>
      </w:divBdr>
    </w:div>
    <w:div w:id="397821140">
      <w:bodyDiv w:val="1"/>
      <w:marLeft w:val="0"/>
      <w:marRight w:val="0"/>
      <w:marTop w:val="0"/>
      <w:marBottom w:val="0"/>
      <w:divBdr>
        <w:top w:val="none" w:sz="0" w:space="0" w:color="auto"/>
        <w:left w:val="none" w:sz="0" w:space="0" w:color="auto"/>
        <w:bottom w:val="none" w:sz="0" w:space="0" w:color="auto"/>
        <w:right w:val="none" w:sz="0" w:space="0" w:color="auto"/>
      </w:divBdr>
    </w:div>
    <w:div w:id="793526819">
      <w:bodyDiv w:val="1"/>
      <w:marLeft w:val="0"/>
      <w:marRight w:val="0"/>
      <w:marTop w:val="0"/>
      <w:marBottom w:val="0"/>
      <w:divBdr>
        <w:top w:val="none" w:sz="0" w:space="0" w:color="auto"/>
        <w:left w:val="none" w:sz="0" w:space="0" w:color="auto"/>
        <w:bottom w:val="none" w:sz="0" w:space="0" w:color="auto"/>
        <w:right w:val="none" w:sz="0" w:space="0" w:color="auto"/>
      </w:divBdr>
    </w:div>
    <w:div w:id="964383332">
      <w:bodyDiv w:val="1"/>
      <w:marLeft w:val="0"/>
      <w:marRight w:val="0"/>
      <w:marTop w:val="0"/>
      <w:marBottom w:val="0"/>
      <w:divBdr>
        <w:top w:val="none" w:sz="0" w:space="0" w:color="auto"/>
        <w:left w:val="none" w:sz="0" w:space="0" w:color="auto"/>
        <w:bottom w:val="none" w:sz="0" w:space="0" w:color="auto"/>
        <w:right w:val="none" w:sz="0" w:space="0" w:color="auto"/>
      </w:divBdr>
    </w:div>
    <w:div w:id="1124537867">
      <w:bodyDiv w:val="1"/>
      <w:marLeft w:val="0"/>
      <w:marRight w:val="0"/>
      <w:marTop w:val="0"/>
      <w:marBottom w:val="0"/>
      <w:divBdr>
        <w:top w:val="none" w:sz="0" w:space="0" w:color="auto"/>
        <w:left w:val="none" w:sz="0" w:space="0" w:color="auto"/>
        <w:bottom w:val="none" w:sz="0" w:space="0" w:color="auto"/>
        <w:right w:val="none" w:sz="0" w:space="0" w:color="auto"/>
      </w:divBdr>
    </w:div>
    <w:div w:id="1147013099">
      <w:bodyDiv w:val="1"/>
      <w:marLeft w:val="0"/>
      <w:marRight w:val="0"/>
      <w:marTop w:val="0"/>
      <w:marBottom w:val="0"/>
      <w:divBdr>
        <w:top w:val="none" w:sz="0" w:space="0" w:color="auto"/>
        <w:left w:val="none" w:sz="0" w:space="0" w:color="auto"/>
        <w:bottom w:val="none" w:sz="0" w:space="0" w:color="auto"/>
        <w:right w:val="none" w:sz="0" w:space="0" w:color="auto"/>
      </w:divBdr>
    </w:div>
    <w:div w:id="1293054873">
      <w:bodyDiv w:val="1"/>
      <w:marLeft w:val="0"/>
      <w:marRight w:val="0"/>
      <w:marTop w:val="0"/>
      <w:marBottom w:val="0"/>
      <w:divBdr>
        <w:top w:val="none" w:sz="0" w:space="0" w:color="auto"/>
        <w:left w:val="none" w:sz="0" w:space="0" w:color="auto"/>
        <w:bottom w:val="none" w:sz="0" w:space="0" w:color="auto"/>
        <w:right w:val="none" w:sz="0" w:space="0" w:color="auto"/>
      </w:divBdr>
    </w:div>
    <w:div w:id="1455099136">
      <w:bodyDiv w:val="1"/>
      <w:marLeft w:val="0"/>
      <w:marRight w:val="0"/>
      <w:marTop w:val="0"/>
      <w:marBottom w:val="0"/>
      <w:divBdr>
        <w:top w:val="none" w:sz="0" w:space="0" w:color="auto"/>
        <w:left w:val="none" w:sz="0" w:space="0" w:color="auto"/>
        <w:bottom w:val="none" w:sz="0" w:space="0" w:color="auto"/>
        <w:right w:val="none" w:sz="0" w:space="0" w:color="auto"/>
      </w:divBdr>
    </w:div>
    <w:div w:id="1562672650">
      <w:bodyDiv w:val="1"/>
      <w:marLeft w:val="0"/>
      <w:marRight w:val="0"/>
      <w:marTop w:val="0"/>
      <w:marBottom w:val="0"/>
      <w:divBdr>
        <w:top w:val="none" w:sz="0" w:space="0" w:color="auto"/>
        <w:left w:val="none" w:sz="0" w:space="0" w:color="auto"/>
        <w:bottom w:val="none" w:sz="0" w:space="0" w:color="auto"/>
        <w:right w:val="none" w:sz="0" w:space="0" w:color="auto"/>
      </w:divBdr>
    </w:div>
    <w:div w:id="1711804087">
      <w:bodyDiv w:val="1"/>
      <w:marLeft w:val="0"/>
      <w:marRight w:val="0"/>
      <w:marTop w:val="0"/>
      <w:marBottom w:val="0"/>
      <w:divBdr>
        <w:top w:val="none" w:sz="0" w:space="0" w:color="auto"/>
        <w:left w:val="none" w:sz="0" w:space="0" w:color="auto"/>
        <w:bottom w:val="none" w:sz="0" w:space="0" w:color="auto"/>
        <w:right w:val="none" w:sz="0" w:space="0" w:color="auto"/>
      </w:divBdr>
    </w:div>
    <w:div w:id="1892495758">
      <w:bodyDiv w:val="1"/>
      <w:marLeft w:val="0"/>
      <w:marRight w:val="0"/>
      <w:marTop w:val="0"/>
      <w:marBottom w:val="0"/>
      <w:divBdr>
        <w:top w:val="none" w:sz="0" w:space="0" w:color="auto"/>
        <w:left w:val="none" w:sz="0" w:space="0" w:color="auto"/>
        <w:bottom w:val="none" w:sz="0" w:space="0" w:color="auto"/>
        <w:right w:val="none" w:sz="0" w:space="0" w:color="auto"/>
      </w:divBdr>
    </w:div>
    <w:div w:id="209466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11</Pages>
  <Words>6004</Words>
  <Characters>34227</Characters>
  <Application>Microsoft Office Word</Application>
  <DocSecurity>0</DocSecurity>
  <Lines>285</Lines>
  <Paragraphs>80</Paragraphs>
  <ScaleCrop>false</ScaleCrop>
  <Company>Springer Nature</Company>
  <LinksUpToDate>false</LinksUpToDate>
  <CharactersWithSpaces>40151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Cosgrove</dc:creator>
  <cp:keywords/>
  <dc:description/>
  <cp:lastModifiedBy>Andrew Cosgrove</cp:lastModifiedBy>
  <cp:revision>4</cp:revision>
  <dcterms:created xsi:type="dcterms:W3CDTF">2023-09-20T15:57:00Z</dcterms:created>
  <dcterms:modified xsi:type="dcterms:W3CDTF">2023-09-20T16:22:00Z</dcterms:modified>
</cp:coreProperties>
</file>