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9977F" w14:textId="62B24313" w:rsidR="00F06568" w:rsidRPr="00D55ABD" w:rsidRDefault="00B77089" w:rsidP="00D55ABD">
      <w:pPr>
        <w:spacing w:after="120" w:line="360" w:lineRule="auto"/>
        <w:jc w:val="center"/>
        <w:outlineLvl w:val="0"/>
        <w:rPr>
          <w:b/>
          <w:bCs/>
          <w:color w:val="000000" w:themeColor="text1"/>
          <w:sz w:val="36"/>
          <w:szCs w:val="36"/>
        </w:rPr>
      </w:pPr>
      <w:r w:rsidRPr="00D55ABD">
        <w:rPr>
          <w:b/>
          <w:bCs/>
          <w:color w:val="000000" w:themeColor="text1"/>
          <w:sz w:val="36"/>
          <w:szCs w:val="36"/>
        </w:rPr>
        <w:t>S</w:t>
      </w:r>
      <w:r w:rsidR="00D55ABD">
        <w:rPr>
          <w:b/>
          <w:bCs/>
          <w:color w:val="000000" w:themeColor="text1"/>
          <w:sz w:val="36"/>
          <w:szCs w:val="36"/>
        </w:rPr>
        <w:t>upporting I</w:t>
      </w:r>
      <w:r w:rsidRPr="00D55ABD">
        <w:rPr>
          <w:b/>
          <w:bCs/>
          <w:color w:val="000000" w:themeColor="text1"/>
          <w:sz w:val="36"/>
          <w:szCs w:val="36"/>
        </w:rPr>
        <w:t>nformation</w:t>
      </w:r>
    </w:p>
    <w:p w14:paraId="7E9F46B7" w14:textId="77777777" w:rsidR="00AB1DB5" w:rsidRPr="00AB1DB5" w:rsidRDefault="00AB1DB5" w:rsidP="001876D8">
      <w:pPr>
        <w:spacing w:after="320" w:line="360" w:lineRule="auto"/>
        <w:jc w:val="center"/>
        <w:rPr>
          <w:b/>
          <w:szCs w:val="26"/>
        </w:rPr>
      </w:pPr>
      <w:r w:rsidRPr="00AB1DB5">
        <w:rPr>
          <w:b/>
          <w:szCs w:val="26"/>
        </w:rPr>
        <w:t xml:space="preserve">Cholera forecast for Dhaka, Bangladesh, with the 2015-2016 El Niño: lessons learned </w:t>
      </w:r>
    </w:p>
    <w:p w14:paraId="6994CCE3" w14:textId="501BC865" w:rsidR="00511842" w:rsidRDefault="00511842" w:rsidP="004411BB">
      <w:pPr>
        <w:spacing w:after="240" w:line="360" w:lineRule="auto"/>
        <w:jc w:val="center"/>
        <w:rPr>
          <w:sz w:val="22"/>
          <w:szCs w:val="22"/>
        </w:rPr>
      </w:pPr>
      <w:r w:rsidRPr="00FD2C9D">
        <w:t>Pamela P. Martinez, Robert C. Reiner Jr</w:t>
      </w:r>
      <w:r w:rsidRPr="002B1F84">
        <w:t>.</w:t>
      </w:r>
      <w:r w:rsidRPr="00FD2C9D">
        <w:t>, Benjamin A. Cash</w:t>
      </w:r>
      <w:r w:rsidRPr="002B1F84">
        <w:t xml:space="preserve">, </w:t>
      </w:r>
      <w:r w:rsidRPr="00440658">
        <w:t xml:space="preserve">Xavier </w:t>
      </w:r>
      <w:proofErr w:type="spellStart"/>
      <w:r w:rsidRPr="00440658">
        <w:t>Rodó</w:t>
      </w:r>
      <w:proofErr w:type="spellEnd"/>
      <w:r>
        <w:t xml:space="preserve">, Mohammad </w:t>
      </w:r>
      <w:proofErr w:type="spellStart"/>
      <w:r w:rsidRPr="00440658">
        <w:t>Shahjahan</w:t>
      </w:r>
      <w:proofErr w:type="spellEnd"/>
      <w:r w:rsidRPr="00440658">
        <w:t xml:space="preserve"> </w:t>
      </w:r>
      <w:proofErr w:type="spellStart"/>
      <w:r w:rsidRPr="00440658">
        <w:t>Mondal</w:t>
      </w:r>
      <w:proofErr w:type="spellEnd"/>
      <w:r w:rsidRPr="00440658">
        <w:t xml:space="preserve">, </w:t>
      </w:r>
      <w:proofErr w:type="spellStart"/>
      <w:r w:rsidRPr="00440658">
        <w:t>Manojit</w:t>
      </w:r>
      <w:proofErr w:type="spellEnd"/>
      <w:r w:rsidRPr="00440658">
        <w:t xml:space="preserve"> Roy</w:t>
      </w:r>
      <w:r w:rsidRPr="00FD2C9D">
        <w:t xml:space="preserve">, Mohammad Yunus, A.S.G. Faruque, </w:t>
      </w:r>
      <w:proofErr w:type="spellStart"/>
      <w:r w:rsidRPr="00FD2C9D">
        <w:t>Sayeeda</w:t>
      </w:r>
      <w:proofErr w:type="spellEnd"/>
      <w:r w:rsidRPr="00FD2C9D">
        <w:t xml:space="preserve"> </w:t>
      </w:r>
      <w:proofErr w:type="spellStart"/>
      <w:r w:rsidRPr="00FD2C9D">
        <w:t>Huq</w:t>
      </w:r>
      <w:proofErr w:type="spellEnd"/>
      <w:r w:rsidRPr="00FD2C9D">
        <w:t>, Aaron A. King, and Mercedes Pascual</w:t>
      </w:r>
      <w:r w:rsidR="00D63EF6" w:rsidRPr="00511842">
        <w:rPr>
          <w:sz w:val="22"/>
          <w:szCs w:val="22"/>
        </w:rPr>
        <w:t>.</w:t>
      </w:r>
    </w:p>
    <w:p w14:paraId="54E3B46A" w14:textId="77777777" w:rsidR="004411BB" w:rsidRPr="004411BB" w:rsidRDefault="004411BB" w:rsidP="004411BB">
      <w:pPr>
        <w:spacing w:after="240" w:line="360" w:lineRule="auto"/>
        <w:jc w:val="center"/>
        <w:rPr>
          <w:sz w:val="22"/>
          <w:szCs w:val="22"/>
        </w:rPr>
      </w:pPr>
    </w:p>
    <w:p w14:paraId="7B471BBE" w14:textId="158DA18F" w:rsidR="001B1DD2" w:rsidRPr="00511842" w:rsidRDefault="005F40E1" w:rsidP="00571B74">
      <w:pPr>
        <w:spacing w:after="80" w:line="360" w:lineRule="auto"/>
        <w:jc w:val="both"/>
        <w:outlineLvl w:val="0"/>
        <w:rPr>
          <w:b/>
          <w:bCs/>
          <w:color w:val="000000" w:themeColor="text1"/>
          <w:sz w:val="28"/>
          <w:szCs w:val="28"/>
        </w:rPr>
      </w:pPr>
      <w:r w:rsidRPr="00511842">
        <w:rPr>
          <w:b/>
          <w:bCs/>
          <w:color w:val="000000" w:themeColor="text1"/>
          <w:sz w:val="28"/>
          <w:szCs w:val="28"/>
        </w:rPr>
        <w:t>Mechanistic</w:t>
      </w:r>
      <w:r w:rsidR="00507FD8" w:rsidRPr="00511842">
        <w:rPr>
          <w:b/>
          <w:bCs/>
          <w:color w:val="000000" w:themeColor="text1"/>
          <w:sz w:val="28"/>
          <w:szCs w:val="28"/>
        </w:rPr>
        <w:t xml:space="preserve"> model</w:t>
      </w:r>
    </w:p>
    <w:p w14:paraId="72003F02" w14:textId="758B376E" w:rsidR="001B1DD2" w:rsidRPr="00D55ABD" w:rsidRDefault="00507FD8" w:rsidP="004E306D">
      <w:pPr>
        <w:spacing w:after="80" w:line="360" w:lineRule="auto"/>
        <w:jc w:val="both"/>
        <w:rPr>
          <w:color w:val="000000" w:themeColor="text1"/>
        </w:rPr>
      </w:pPr>
      <w:r w:rsidRPr="00D55ABD">
        <w:rPr>
          <w:color w:val="000000" w:themeColor="text1"/>
        </w:rPr>
        <w:t xml:space="preserve">The population dynamics of cholera are represented by an SIRS (Susceptible-Infected-Recovered-Susceptible) model (equation 1) in which the population in subdivided into the following classes: </w:t>
      </w:r>
      <m:oMath>
        <m:r>
          <w:rPr>
            <w:rFonts w:ascii="Cambria Math" w:hAnsi="Cambria Math"/>
          </w:rPr>
          <m:t>S</m:t>
        </m:r>
      </m:oMath>
      <w:r w:rsidRPr="00D55ABD">
        <w:rPr>
          <w:color w:val="000000" w:themeColor="text1"/>
        </w:rPr>
        <w:t xml:space="preserve"> for naïve individuals who are susceptible to disease, </w:t>
      </w:r>
      <m:oMath>
        <m:r>
          <w:rPr>
            <w:rFonts w:ascii="Cambria Math" w:hAnsi="Cambria Math"/>
          </w:rPr>
          <m:t>I</m:t>
        </m:r>
      </m:oMath>
      <w:r w:rsidRPr="00D55ABD">
        <w:rPr>
          <w:color w:val="000000" w:themeColor="text1"/>
        </w:rPr>
        <w:t xml:space="preserve"> for infected and infectious individuals, and </w:t>
      </w:r>
      <m:oMath>
        <m:r>
          <w:rPr>
            <w:rFonts w:ascii="Cambria Math" w:hAnsi="Cambria Math"/>
          </w:rPr>
          <m:t>R</m:t>
        </m:r>
      </m:oMath>
      <w:r w:rsidRPr="00D55ABD">
        <w:rPr>
          <w:color w:val="000000" w:themeColor="text1"/>
        </w:rPr>
        <w:t xml:space="preserve"> for those who have recovered and have acquired immunity to the disease. This representation allows for temporary immunity with individuals in </w:t>
      </w:r>
      <w:r w:rsidRPr="00D55ABD">
        <w:rPr>
          <w:i/>
          <w:color w:val="000000" w:themeColor="text1"/>
        </w:rPr>
        <w:t xml:space="preserve">R </w:t>
      </w:r>
      <w:r w:rsidRPr="00D55ABD">
        <w:rPr>
          <w:color w:val="000000" w:themeColor="text1"/>
        </w:rPr>
        <w:t xml:space="preserve">eventually returning to S at a given rate </w:t>
      </w:r>
      <m:oMath>
        <m:r>
          <w:rPr>
            <w:rFonts w:ascii="Cambria Math" w:hAnsi="Cambria Math"/>
          </w:rPr>
          <m:t>ϕ</m:t>
        </m:r>
      </m:oMath>
      <w:r w:rsidRPr="00D55ABD">
        <w:rPr>
          <w:color w:val="000000" w:themeColor="text1"/>
        </w:rPr>
        <w:t>. The set of equations is given by:</w:t>
      </w:r>
    </w:p>
    <w:p w14:paraId="0E7E1AA7" w14:textId="61B9295E" w:rsidR="001B1DD2" w:rsidRPr="00D55ABD" w:rsidRDefault="00CF2EF1" w:rsidP="004E306D">
      <w:pPr>
        <w:spacing w:after="80" w:line="360" w:lineRule="auto"/>
        <w:jc w:val="both"/>
        <w:rPr>
          <w:color w:val="000000" w:themeColor="text1"/>
        </w:rPr>
      </w:pPr>
      <m:oMathPara>
        <m:oMathParaPr>
          <m:jc m:val="left"/>
        </m:oMathParaPr>
        <m:oMath>
          <m:f>
            <m:fPr>
              <m:ctrlPr>
                <w:rPr>
                  <w:rFonts w:ascii="Cambria Math" w:hAnsi="Cambria Math"/>
                  <w:i/>
                </w:rPr>
              </m:ctrlPr>
            </m:fPr>
            <m:num>
              <m:r>
                <w:rPr>
                  <w:rFonts w:ascii="Cambria Math" w:hAnsi="Cambria Math"/>
                </w:rPr>
                <m:t>dS</m:t>
              </m:r>
            </m:num>
            <m:den>
              <m:r>
                <w:rPr>
                  <w:rFonts w:ascii="Cambria Math" w:hAnsi="Cambria Math"/>
                </w:rPr>
                <m:t>dt</m:t>
              </m:r>
            </m:den>
          </m:f>
          <m:r>
            <w:rPr>
              <w:rFonts w:ascii="Cambria Math" w:hAnsi="Cambria Math"/>
            </w:rPr>
            <m:t xml:space="preserve"> =</m:t>
          </m:r>
          <m:d>
            <m:dPr>
              <m:ctrlPr>
                <w:rPr>
                  <w:rFonts w:ascii="Cambria Math" w:hAnsi="Cambria Math"/>
                </w:rPr>
              </m:ctrlPr>
            </m:dPr>
            <m:e>
              <m:r>
                <w:rPr>
                  <w:rFonts w:ascii="Cambria Math" w:hAnsi="Cambria Math"/>
                </w:rPr>
                <m:t xml:space="preserve">μP+ </m:t>
              </m:r>
              <m:f>
                <m:fPr>
                  <m:ctrlPr>
                    <w:rPr>
                      <w:rFonts w:ascii="Cambria Math" w:hAnsi="Cambria Math"/>
                      <w:i/>
                    </w:rPr>
                  </m:ctrlPr>
                </m:fPr>
                <m:num>
                  <m:r>
                    <w:rPr>
                      <w:rFonts w:ascii="Cambria Math" w:hAnsi="Cambria Math"/>
                    </w:rPr>
                    <m:t>dP</m:t>
                  </m:r>
                </m:num>
                <m:den>
                  <m:r>
                    <w:rPr>
                      <w:rFonts w:ascii="Cambria Math" w:hAnsi="Cambria Math"/>
                    </w:rPr>
                    <m:t>dt</m:t>
                  </m:r>
                </m:den>
              </m:f>
              <m:r>
                <w:rPr>
                  <w:rFonts w:ascii="Cambria Math" w:hAnsi="Cambria Math"/>
                </w:rPr>
                <m:t xml:space="preserve"> </m:t>
              </m:r>
            </m:e>
          </m:d>
          <m:r>
            <w:rPr>
              <w:rFonts w:ascii="Cambria Math" w:hAnsi="Cambria Math"/>
            </w:rPr>
            <m:t>+ϕR-λ(t)S-μS,</m:t>
          </m:r>
        </m:oMath>
      </m:oMathPara>
    </w:p>
    <w:p w14:paraId="711DBB4C" w14:textId="7BDF2E61" w:rsidR="00D73FBC" w:rsidRPr="00D55ABD" w:rsidRDefault="00CF2EF1" w:rsidP="004E306D">
      <w:pPr>
        <w:spacing w:after="80" w:line="360" w:lineRule="auto"/>
        <w:jc w:val="both"/>
        <w:rPr>
          <w:color w:val="000000" w:themeColor="text1"/>
        </w:rPr>
      </w:pPr>
      <m:oMathPara>
        <m:oMathParaPr>
          <m:jc m:val="left"/>
        </m:oMathParaPr>
        <m:oMath>
          <m:f>
            <m:fPr>
              <m:ctrlPr>
                <w:rPr>
                  <w:rFonts w:ascii="Cambria Math" w:hAnsi="Cambria Math"/>
                  <w:i/>
                </w:rPr>
              </m:ctrlPr>
            </m:fPr>
            <m:num>
              <m:r>
                <w:rPr>
                  <w:rFonts w:ascii="Cambria Math" w:hAnsi="Cambria Math"/>
                </w:rPr>
                <m:t>dI</m:t>
              </m:r>
            </m:num>
            <m:den>
              <m:r>
                <w:rPr>
                  <w:rFonts w:ascii="Cambria Math" w:hAnsi="Cambria Math"/>
                </w:rPr>
                <m:t>dt</m:t>
              </m:r>
            </m:den>
          </m:f>
          <m:r>
            <w:rPr>
              <w:rFonts w:ascii="Cambria Math" w:hAnsi="Cambria Math"/>
            </w:rPr>
            <m:t xml:space="preserve"> =λ</m:t>
          </m:r>
          <m:d>
            <m:dPr>
              <m:ctrlPr>
                <w:rPr>
                  <w:rFonts w:ascii="Cambria Math" w:hAnsi="Cambria Math"/>
                  <w:i/>
                </w:rPr>
              </m:ctrlPr>
            </m:dPr>
            <m:e>
              <m:r>
                <w:rPr>
                  <w:rFonts w:ascii="Cambria Math" w:hAnsi="Cambria Math"/>
                </w:rPr>
                <m:t>t</m:t>
              </m:r>
            </m:e>
          </m:d>
          <m:r>
            <w:rPr>
              <w:rFonts w:ascii="Cambria Math" w:hAnsi="Cambria Math"/>
            </w:rPr>
            <m:t>S-γI-μI,                                                                                              (1)</m:t>
          </m:r>
        </m:oMath>
      </m:oMathPara>
    </w:p>
    <w:p w14:paraId="72C24BA9" w14:textId="1CA74254" w:rsidR="001B1DD2" w:rsidRPr="00D55ABD" w:rsidRDefault="00CF2EF1" w:rsidP="004E306D">
      <w:pPr>
        <w:spacing w:after="80" w:line="360" w:lineRule="auto"/>
        <w:jc w:val="both"/>
        <w:rPr>
          <w:rFonts w:eastAsiaTheme="minorEastAsia"/>
        </w:rPr>
      </w:pPr>
      <m:oMathPara>
        <m:oMathParaPr>
          <m:jc m:val="left"/>
        </m:oMathParaPr>
        <m:oMath>
          <m:f>
            <m:fPr>
              <m:ctrlPr>
                <w:rPr>
                  <w:rFonts w:ascii="Cambria Math" w:hAnsi="Cambria Math"/>
                  <w:i/>
                </w:rPr>
              </m:ctrlPr>
            </m:fPr>
            <m:num>
              <m:r>
                <w:rPr>
                  <w:rFonts w:ascii="Cambria Math" w:hAnsi="Cambria Math"/>
                </w:rPr>
                <m:t>dR</m:t>
              </m:r>
            </m:num>
            <m:den>
              <m:r>
                <w:rPr>
                  <w:rFonts w:ascii="Cambria Math" w:hAnsi="Cambria Math"/>
                </w:rPr>
                <m:t>dt</m:t>
              </m:r>
            </m:den>
          </m:f>
          <m:r>
            <w:rPr>
              <w:rFonts w:ascii="Cambria Math" w:hAnsi="Cambria Math"/>
            </w:rPr>
            <m:t>=γI-ϕR-μR,</m:t>
          </m:r>
        </m:oMath>
      </m:oMathPara>
    </w:p>
    <w:p w14:paraId="22DD8B8E" w14:textId="3F970669" w:rsidR="001B1DD2" w:rsidRPr="00D55ABD" w:rsidRDefault="00507FD8" w:rsidP="004E306D">
      <w:pPr>
        <w:spacing w:after="80" w:line="360" w:lineRule="auto"/>
        <w:jc w:val="both"/>
        <w:rPr>
          <w:color w:val="000000" w:themeColor="text1"/>
        </w:rPr>
      </w:pPr>
      <w:r w:rsidRPr="00D55ABD">
        <w:rPr>
          <w:color w:val="000000" w:themeColor="text1"/>
        </w:rPr>
        <w:t xml:space="preserve">where </w:t>
      </w:r>
      <w:r w:rsidRPr="00D55ABD">
        <w:rPr>
          <w:i/>
          <w:color w:val="000000" w:themeColor="text1"/>
        </w:rPr>
        <w:t>P</w:t>
      </w:r>
      <w:r w:rsidRPr="00D55ABD">
        <w:rPr>
          <w:color w:val="000000" w:themeColor="text1"/>
        </w:rPr>
        <w:t xml:space="preserve"> represents the population size, and </w:t>
      </w:r>
      <w:r w:rsidRPr="00D55ABD">
        <w:rPr>
          <w:i/>
          <w:color w:val="000000" w:themeColor="text1"/>
        </w:rPr>
        <w:t>S</w:t>
      </w:r>
      <w:r w:rsidRPr="00D55ABD">
        <w:rPr>
          <w:color w:val="000000" w:themeColor="text1"/>
        </w:rPr>
        <w:t xml:space="preserve">, </w:t>
      </w:r>
      <w:r w:rsidRPr="00D55ABD">
        <w:rPr>
          <w:i/>
          <w:color w:val="000000" w:themeColor="text1"/>
        </w:rPr>
        <w:t>I</w:t>
      </w:r>
      <w:r w:rsidRPr="00D55ABD">
        <w:rPr>
          <w:color w:val="000000" w:themeColor="text1"/>
        </w:rPr>
        <w:t xml:space="preserve"> and </w:t>
      </w:r>
      <w:r w:rsidRPr="00D55ABD">
        <w:rPr>
          <w:i/>
          <w:color w:val="000000" w:themeColor="text1"/>
        </w:rPr>
        <w:t>R</w:t>
      </w:r>
      <w:r w:rsidRPr="00D55ABD">
        <w:rPr>
          <w:color w:val="000000" w:themeColor="text1"/>
        </w:rPr>
        <w:t xml:space="preserve">, the number of individuals in those respective classes. The force of infection </w:t>
      </w:r>
      <m:oMath>
        <m:r>
          <w:rPr>
            <w:rFonts w:ascii="Cambria Math" w:hAnsi="Cambria Math"/>
          </w:rPr>
          <m:t>λ</m:t>
        </m:r>
      </m:oMath>
      <w:r w:rsidRPr="00D55ABD">
        <w:rPr>
          <w:color w:val="000000" w:themeColor="text1"/>
        </w:rPr>
        <w:t xml:space="preserve"> denotes the rate of infection per individual susceptible in the population, which is given by: </w:t>
      </w:r>
    </w:p>
    <w:p w14:paraId="283F957D" w14:textId="5D75D2FF" w:rsidR="001B1DD2" w:rsidRPr="00D55ABD" w:rsidRDefault="00F72D38" w:rsidP="004E306D">
      <w:pPr>
        <w:spacing w:after="80" w:line="360" w:lineRule="auto"/>
        <w:jc w:val="both"/>
        <w:rPr>
          <w:rFonts w:eastAsiaTheme="minorEastAsia"/>
          <w:color w:val="000000" w:themeColor="text1"/>
        </w:rPr>
      </w:pPr>
      <m:oMathPara>
        <m:oMathParaPr>
          <m:jc m:val="left"/>
        </m:oMathParaPr>
        <m:oMath>
          <m:r>
            <w:rPr>
              <w:rFonts w:ascii="Cambria Math" w:hAnsi="Cambria Math"/>
            </w:rPr>
            <m:t>λ</m:t>
          </m:r>
          <m:d>
            <m:dPr>
              <m:ctrlPr>
                <w:rPr>
                  <w:rFonts w:ascii="Cambria Math" w:hAnsi="Cambria Math"/>
                  <w:i/>
                </w:rPr>
              </m:ctrlPr>
            </m:dPr>
            <m:e>
              <m:r>
                <w:rPr>
                  <w:rFonts w:ascii="Cambria Math" w:hAnsi="Cambria Math"/>
                </w:rPr>
                <m:t>t</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-ν</m:t>
              </m:r>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t</m:t>
                      </m:r>
                    </m:e>
                    <m:sub>
                      <m:r>
                        <w:rPr>
                          <w:rFonts w:ascii="Cambria Math" w:hAnsi="Cambria Math"/>
                        </w:rPr>
                        <m:t>0</m:t>
                      </m:r>
                    </m:sub>
                  </m:sSub>
                </m:e>
              </m:d>
            </m:sup>
          </m:sSup>
          <m:d>
            <m:dPr>
              <m:begChr m:val="["/>
              <m:endChr m:val="]"/>
              <m:ctrlPr>
                <w:rPr>
                  <w:rFonts w:ascii="Cambria Math" w:hAnsi="Cambria Math"/>
                </w:rPr>
              </m:ctrlPr>
            </m:dPr>
            <m:e>
              <m:r>
                <w:rPr>
                  <w:rFonts w:ascii="Cambria Math" w:hAnsi="Cambria Math"/>
                </w:rPr>
                <m:t>β</m:t>
              </m:r>
              <m:d>
                <m:dPr>
                  <m:ctrlPr>
                    <w:rPr>
                      <w:rFonts w:ascii="Cambria Math" w:hAnsi="Cambria Math"/>
                      <w:i/>
                    </w:rPr>
                  </m:ctrlPr>
                </m:dPr>
                <m:e>
                  <m:r>
                    <w:rPr>
                      <w:rFonts w:ascii="Cambria Math" w:hAnsi="Cambria Math"/>
                    </w:rPr>
                    <m:t>t</m:t>
                  </m:r>
                </m:e>
              </m:d>
              <m:f>
                <m:fPr>
                  <m:ctrlPr>
                    <w:rPr>
                      <w:rFonts w:ascii="Cambria Math" w:hAnsi="Cambria Math"/>
                      <w:i/>
                    </w:rPr>
                  </m:ctrlPr>
                </m:fPr>
                <m:num>
                  <m:r>
                    <w:rPr>
                      <w:rFonts w:ascii="Cambria Math" w:hAnsi="Cambria Math"/>
                    </w:rPr>
                    <m:t>I</m:t>
                  </m:r>
                </m:num>
                <m:den>
                  <m:r>
                    <w:rPr>
                      <w:rFonts w:ascii="Cambria Math" w:hAnsi="Cambria Math"/>
                    </w:rPr>
                    <m:t>N</m:t>
                  </m:r>
                </m:den>
              </m:f>
              <m:r>
                <w:rPr>
                  <w:rFonts w:ascii="Cambria Math" w:hAnsi="Cambria Math"/>
                </w:rPr>
                <m:t>+ω</m:t>
              </m:r>
            </m:e>
          </m:d>
          <m:r>
            <w:rPr>
              <w:rFonts w:ascii="Cambria Math" w:hAnsi="Cambria Math"/>
            </w:rPr>
            <m:t xml:space="preserve">                                                                                (2)</m:t>
          </m:r>
        </m:oMath>
      </m:oMathPara>
    </w:p>
    <w:p w14:paraId="2A569A27" w14:textId="12D20794" w:rsidR="001B1DD2" w:rsidRPr="00D55ABD" w:rsidRDefault="00507FD8" w:rsidP="004E306D">
      <w:pPr>
        <w:spacing w:after="80" w:line="360" w:lineRule="auto"/>
        <w:jc w:val="both"/>
        <w:rPr>
          <w:color w:val="000000" w:themeColor="text1"/>
        </w:rPr>
      </w:pPr>
      <w:r w:rsidRPr="00D55ABD">
        <w:rPr>
          <w:rFonts w:eastAsiaTheme="minorEastAsia"/>
          <w:color w:val="000000" w:themeColor="text1"/>
        </w:rPr>
        <w:t xml:space="preserve">where the first term implements a long-term trend starting at the initial time to, and in the second term, </w:t>
      </w:r>
      <m:oMath>
        <m:r>
          <w:rPr>
            <w:rFonts w:ascii="Cambria Math" w:hAnsi="Cambria Math"/>
          </w:rPr>
          <m:t>ω</m:t>
        </m:r>
      </m:oMath>
      <w:r w:rsidRPr="00D55ABD">
        <w:rPr>
          <w:rFonts w:eastAsia="DejaVu Sans"/>
          <w:color w:val="000000" w:themeColor="text1"/>
        </w:rPr>
        <w:t xml:space="preserve"> represents a fixed background infection due to an environmental reservoir and </w:t>
      </w:r>
      <m:oMath>
        <m:r>
          <w:rPr>
            <w:rFonts w:ascii="Cambria Math" w:hAnsi="Cambria Math"/>
          </w:rPr>
          <m:t>β</m:t>
        </m:r>
      </m:oMath>
      <w:r w:rsidRPr="00D55ABD">
        <w:rPr>
          <w:color w:val="000000" w:themeColor="text1"/>
        </w:rPr>
        <w:t xml:space="preserve"> refers to the transmission rate per infection: </w:t>
      </w:r>
    </w:p>
    <w:p w14:paraId="5764976B" w14:textId="59CA2B4B" w:rsidR="001B1DD2" w:rsidRPr="00D55ABD" w:rsidRDefault="00DE503D" w:rsidP="004E306D">
      <w:pPr>
        <w:spacing w:after="80" w:line="360" w:lineRule="auto"/>
        <w:jc w:val="both"/>
        <w:rPr>
          <w:color w:val="000000" w:themeColor="text1"/>
        </w:rPr>
      </w:pPr>
      <m:oMathPara>
        <m:oMathParaPr>
          <m:jc m:val="left"/>
        </m:oMathParaPr>
        <m:oMath>
          <m:r>
            <w:rPr>
              <w:rFonts w:ascii="Cambria Math" w:hAnsi="Cambria Math"/>
            </w:rPr>
            <w:lastRenderedPageBreak/>
            <m:t>β</m:t>
          </m:r>
          <m:d>
            <m:dPr>
              <m:ctrlPr>
                <w:rPr>
                  <w:rFonts w:ascii="Cambria Math" w:hAnsi="Cambria Math"/>
                  <w:i/>
                </w:rPr>
              </m:ctrlPr>
            </m:dPr>
            <m:e>
              <m:r>
                <w:rPr>
                  <w:rFonts w:ascii="Cambria Math" w:hAnsi="Cambria Math"/>
                </w:rPr>
                <m:t>t</m:t>
              </m:r>
            </m:e>
          </m:d>
          <m:r>
            <w:rPr>
              <w:rFonts w:ascii="Cambria Math" w:hAnsi="Cambria Math"/>
            </w:rPr>
            <m:t>=exp</m:t>
          </m:r>
          <m:d>
            <m:dPr>
              <m:begChr m:val="["/>
              <m:endChr m:val="]"/>
              <m:ctrlPr>
                <w:rPr>
                  <w:rFonts w:ascii="Cambria Math" w:hAnsi="Cambria Math"/>
                </w:rPr>
              </m:ctrlPr>
            </m:dPr>
            <m:e>
              <m:nary>
                <m:naryPr>
                  <m:chr m:val="∑"/>
                  <m:ctrlPr>
                    <w:rPr>
                      <w:rFonts w:ascii="Cambria Math" w:hAnsi="Cambria Math"/>
                    </w:rPr>
                  </m:ctrlPr>
                </m:naryPr>
                <m:sub>
                  <m:r>
                    <w:rPr>
                      <w:rFonts w:ascii="Cambria Math" w:hAnsi="Cambria Math"/>
                    </w:rPr>
                    <m:t>k=1</m:t>
                  </m:r>
                </m:sub>
                <m:sup>
                  <m:r>
                    <w:rPr>
                      <w:rFonts w:ascii="Cambria Math" w:hAnsi="Cambria Math"/>
                    </w:rPr>
                    <m:t>6</m:t>
                  </m:r>
                </m:sup>
                <m:e>
                  <m:sSub>
                    <m:sSubPr>
                      <m:ctrlPr>
                        <w:rPr>
                          <w:rFonts w:ascii="Cambria Math" w:hAnsi="Cambria Math"/>
                        </w:rPr>
                      </m:ctrlPr>
                    </m:sSubPr>
                    <m:e>
                      <m:r>
                        <w:rPr>
                          <w:rFonts w:ascii="Cambria Math" w:hAnsi="Cambria Math"/>
                        </w:rPr>
                        <m:t>b</m:t>
                      </m:r>
                    </m:e>
                    <m:sub>
                      <m:r>
                        <w:rPr>
                          <w:rFonts w:ascii="Cambria Math" w:hAnsi="Cambria Math"/>
                        </w:rPr>
                        <m:t>j</m:t>
                      </m:r>
                    </m:sub>
                  </m:sSub>
                  <m:sSub>
                    <m:sSubPr>
                      <m:ctrlPr>
                        <w:rPr>
                          <w:rFonts w:ascii="Cambria Math" w:hAnsi="Cambria Math"/>
                        </w:rPr>
                      </m:ctrlPr>
                    </m:sSubPr>
                    <m:e>
                      <m:r>
                        <w:rPr>
                          <w:rFonts w:ascii="Cambria Math" w:hAnsi="Cambria Math"/>
                        </w:rPr>
                        <m:t>s</m:t>
                      </m:r>
                    </m:e>
                    <m:sub>
                      <m:r>
                        <w:rPr>
                          <w:rFonts w:ascii="Cambria Math" w:hAnsi="Cambria Math"/>
                        </w:rPr>
                        <m:t>j</m:t>
                      </m:r>
                    </m:sub>
                  </m:sSub>
                  <m:d>
                    <m:dPr>
                      <m:ctrlPr>
                        <w:rPr>
                          <w:rFonts w:ascii="Cambria Math" w:hAnsi="Cambria Math"/>
                          <w:i/>
                        </w:rPr>
                      </m:ctrlPr>
                    </m:dPr>
                    <m:e>
                      <m:r>
                        <w:rPr>
                          <w:rFonts w:ascii="Cambria Math" w:hAnsi="Cambria Math"/>
                        </w:rPr>
                        <m:t>t</m:t>
                      </m:r>
                    </m:e>
                  </m:d>
                </m:e>
              </m:nary>
              <m:r>
                <w:rPr>
                  <w:rFonts w:ascii="Cambria Math" w:hAnsi="Cambria Math"/>
                </w:rPr>
                <m:t xml:space="preserve">+ </m:t>
              </m:r>
              <m:nary>
                <m:naryPr>
                  <m:chr m:val="∑"/>
                  <m:ctrlPr>
                    <w:rPr>
                      <w:rFonts w:ascii="Cambria Math" w:hAnsi="Cambria Math"/>
                    </w:rPr>
                  </m:ctrlPr>
                </m:naryPr>
                <m:sub>
                  <m:r>
                    <w:rPr>
                      <w:rFonts w:ascii="Cambria Math" w:hAnsi="Cambria Math"/>
                    </w:rPr>
                    <m:t>m=4</m:t>
                  </m:r>
                </m:sub>
                <m:sup>
                  <m:r>
                    <w:rPr>
                      <w:rFonts w:ascii="Cambria Math" w:hAnsi="Cambria Math"/>
                    </w:rPr>
                    <m:t>5</m:t>
                  </m:r>
                </m:sup>
                <m:e>
                  <m:sSub>
                    <m:sSubPr>
                      <m:ctrlPr>
                        <w:rPr>
                          <w:rFonts w:ascii="Cambria Math" w:hAnsi="Cambria Math"/>
                        </w:rPr>
                      </m:ctrlPr>
                    </m:sSubPr>
                    <m:e>
                      <m:r>
                        <w:rPr>
                          <w:rFonts w:ascii="Cambria Math" w:hAnsi="Cambria Math"/>
                        </w:rPr>
                        <m:t xml:space="preserve"> b</m:t>
                      </m:r>
                    </m:e>
                    <m:sub>
                      <m:r>
                        <w:rPr>
                          <w:rFonts w:ascii="Cambria Math" w:hAnsi="Cambria Math"/>
                        </w:rPr>
                        <m:t>Em</m:t>
                      </m:r>
                    </m:sub>
                  </m:sSub>
                  <m:sSub>
                    <m:sSubPr>
                      <m:ctrlPr>
                        <w:rPr>
                          <w:rFonts w:ascii="Cambria Math" w:hAnsi="Cambria Math"/>
                        </w:rPr>
                      </m:ctrlPr>
                    </m:sSubPr>
                    <m:e>
                      <m:r>
                        <w:rPr>
                          <w:rFonts w:ascii="Cambria Math" w:hAnsi="Cambria Math"/>
                        </w:rPr>
                        <m:t>s</m:t>
                      </m:r>
                    </m:e>
                    <m:sub>
                      <m:r>
                        <w:rPr>
                          <w:rFonts w:ascii="Cambria Math" w:hAnsi="Cambria Math"/>
                        </w:rPr>
                        <m:t>m</m:t>
                      </m:r>
                    </m:sub>
                  </m:sSub>
                  <m:d>
                    <m:dPr>
                      <m:ctrlPr>
                        <w:rPr>
                          <w:rFonts w:ascii="Cambria Math" w:hAnsi="Cambria Math"/>
                          <w:i/>
                        </w:rPr>
                      </m:ctrlPr>
                    </m:dPr>
                    <m:e>
                      <m:r>
                        <w:rPr>
                          <w:rFonts w:ascii="Cambria Math" w:hAnsi="Cambria Math"/>
                        </w:rPr>
                        <m:t>t</m:t>
                      </m:r>
                    </m:e>
                  </m:d>
                  <m:r>
                    <w:rPr>
                      <w:rFonts w:ascii="Cambria Math" w:hAnsi="Cambria Math"/>
                    </w:rPr>
                    <m:t xml:space="preserve"> </m:t>
                  </m:r>
                </m:e>
              </m:nary>
              <m:r>
                <w:rPr>
                  <w:rFonts w:ascii="Cambria Math" w:hAnsi="Cambria Math"/>
                </w:rPr>
                <m:t>f</m:t>
              </m:r>
              <m:d>
                <m:dPr>
                  <m:ctrlPr>
                    <w:rPr>
                      <w:rFonts w:ascii="Cambria Math" w:hAnsi="Cambria Math"/>
                    </w:rPr>
                  </m:ctrlPr>
                </m:dPr>
                <m:e>
                  <m:r>
                    <w:rPr>
                      <w:rFonts w:ascii="Cambria Math" w:hAnsi="Cambria Math"/>
                    </w:rPr>
                    <m:t>ENSO</m:t>
                  </m:r>
                </m:e>
              </m:d>
            </m:e>
          </m:d>
          <m:d>
            <m:dPr>
              <m:begChr m:val="["/>
              <m:endChr m:val="]"/>
              <m:ctrlPr>
                <w:rPr>
                  <w:rFonts w:ascii="Cambria Math" w:hAnsi="Cambria Math"/>
                  <w:i/>
                </w:rPr>
              </m:ctrlPr>
            </m:dPr>
            <m:e>
              <m:f>
                <m:fPr>
                  <m:ctrlPr>
                    <w:rPr>
                      <w:rFonts w:ascii="Cambria Math" w:hAnsi="Cambria Math"/>
                      <w:i/>
                    </w:rPr>
                  </m:ctrlPr>
                </m:fPr>
                <m:num>
                  <m:r>
                    <w:rPr>
                      <w:rFonts w:ascii="Cambria Math" w:hAnsi="Cambria Math"/>
                    </w:rPr>
                    <m:t>dΓ</m:t>
                  </m:r>
                </m:num>
                <m:den>
                  <m:r>
                    <w:rPr>
                      <w:rFonts w:ascii="Cambria Math" w:hAnsi="Cambria Math"/>
                    </w:rPr>
                    <m:t>dt</m:t>
                  </m:r>
                </m:den>
              </m:f>
              <m:r>
                <w:rPr>
                  <w:rFonts w:ascii="Cambria Math" w:hAnsi="Cambria Math"/>
                </w:rPr>
                <m:t xml:space="preserve"> </m:t>
              </m:r>
            </m:e>
          </m:d>
          <m:r>
            <w:rPr>
              <w:rFonts w:ascii="Cambria Math" w:hAnsi="Cambria Math"/>
            </w:rPr>
            <m:t xml:space="preserve">                         (3)</m:t>
          </m:r>
        </m:oMath>
      </m:oMathPara>
    </w:p>
    <w:p w14:paraId="4911C820" w14:textId="1C138EE8" w:rsidR="001B1DD2" w:rsidRPr="00D55ABD" w:rsidRDefault="00507FD8" w:rsidP="004E306D">
      <w:pPr>
        <w:spacing w:after="80" w:line="360" w:lineRule="auto"/>
        <w:jc w:val="both"/>
        <w:rPr>
          <w:rFonts w:eastAsia="DejaVu Sans"/>
          <w:color w:val="000000" w:themeColor="text1"/>
        </w:rPr>
      </w:pPr>
      <w:r w:rsidRPr="00D55ABD">
        <w:rPr>
          <w:rFonts w:eastAsiaTheme="minorEastAsia"/>
          <w:color w:val="000000" w:themeColor="text1"/>
        </w:rPr>
        <w:t xml:space="preserve">The expression for the transmission rate </w:t>
      </w:r>
      <m:oMath>
        <m:r>
          <w:rPr>
            <w:rFonts w:ascii="Cambria Math" w:hAnsi="Cambria Math"/>
          </w:rPr>
          <m:t>β</m:t>
        </m:r>
      </m:oMath>
      <w:r w:rsidRPr="00D55ABD">
        <w:rPr>
          <w:rFonts w:eastAsia="DejaVu Sans"/>
          <w:color w:val="000000" w:themeColor="text1"/>
        </w:rPr>
        <w:t xml:space="preserve"> includes a seasonal component implemented through six splines </w:t>
      </w:r>
      <m:oMath>
        <m:sSub>
          <m:sSubPr>
            <m:ctrlPr>
              <w:rPr>
                <w:rFonts w:ascii="Cambria Math" w:hAnsi="Cambria Math"/>
              </w:rPr>
            </m:ctrlPr>
          </m:sSubPr>
          <m:e>
            <m:r>
              <w:rPr>
                <w:rFonts w:ascii="Cambria Math" w:hAnsi="Cambria Math"/>
              </w:rPr>
              <m:t>s</m:t>
            </m:r>
          </m:e>
          <m:sub>
            <m:r>
              <w:rPr>
                <w:rFonts w:ascii="Cambria Math" w:hAnsi="Cambria Math"/>
              </w:rPr>
              <m:t>j</m:t>
            </m:r>
          </m:sub>
        </m:sSub>
      </m:oMath>
      <w:r w:rsidRPr="00D55ABD">
        <w:rPr>
          <w:rFonts w:eastAsia="DejaVu Sans"/>
          <w:color w:val="000000" w:themeColor="text1"/>
        </w:rPr>
        <w:t xml:space="preserve"> with six coefficients </w:t>
      </w:r>
      <m:oMath>
        <m:sSub>
          <m:sSubPr>
            <m:ctrlPr>
              <w:rPr>
                <w:rFonts w:ascii="Cambria Math" w:hAnsi="Cambria Math"/>
              </w:rPr>
            </m:ctrlPr>
          </m:sSubPr>
          <m:e>
            <m:r>
              <w:rPr>
                <w:rFonts w:ascii="Cambria Math" w:hAnsi="Cambria Math"/>
              </w:rPr>
              <m:t>b</m:t>
            </m:r>
          </m:e>
          <m:sub>
            <m:r>
              <w:rPr>
                <w:rFonts w:ascii="Cambria Math" w:hAnsi="Cambria Math"/>
              </w:rPr>
              <m:t>j</m:t>
            </m:r>
          </m:sub>
        </m:sSub>
      </m:oMath>
      <w:r w:rsidRPr="00D55ABD">
        <w:rPr>
          <w:rFonts w:eastAsia="DejaVu Sans"/>
          <w:color w:val="000000" w:themeColor="text1"/>
        </w:rPr>
        <w:t xml:space="preserve"> determining the weight of each component, allowing </w:t>
      </w:r>
      <w:r w:rsidRPr="00D55ABD">
        <w:rPr>
          <w:color w:val="000000" w:themeColor="text1"/>
        </w:rPr>
        <w:t>for a flexible representa</w:t>
      </w:r>
      <w:r w:rsidR="00924DDD">
        <w:rPr>
          <w:color w:val="000000" w:themeColor="text1"/>
        </w:rPr>
        <w:t>tion of the seasonality (</w:t>
      </w:r>
      <w:r w:rsidRPr="00D55ABD">
        <w:rPr>
          <w:color w:val="000000" w:themeColor="text1"/>
        </w:rPr>
        <w:t>S</w:t>
      </w:r>
      <w:r w:rsidR="00A87C40" w:rsidRPr="00D55ABD">
        <w:rPr>
          <w:color w:val="000000" w:themeColor="text1"/>
        </w:rPr>
        <w:t>6</w:t>
      </w:r>
      <w:r w:rsidR="00840E32">
        <w:rPr>
          <w:color w:val="000000" w:themeColor="text1"/>
        </w:rPr>
        <w:t>A</w:t>
      </w:r>
      <w:r w:rsidR="00924DDD">
        <w:rPr>
          <w:color w:val="000000" w:themeColor="text1"/>
        </w:rPr>
        <w:t xml:space="preserve"> Fig</w:t>
      </w:r>
      <w:r w:rsidRPr="00D55ABD">
        <w:rPr>
          <w:color w:val="000000" w:themeColor="text1"/>
        </w:rPr>
        <w:t>)</w:t>
      </w:r>
      <w:r w:rsidRPr="00D55ABD">
        <w:rPr>
          <w:rFonts w:eastAsia="DejaVu Sans"/>
          <w:color w:val="000000" w:themeColor="text1"/>
        </w:rPr>
        <w:t xml:space="preserve">. </w:t>
      </w:r>
      <w:r w:rsidRPr="00D55ABD">
        <w:rPr>
          <w:color w:val="000000" w:themeColor="text1"/>
        </w:rPr>
        <w:t>Climate forcing by ENSO is incorporated by considering the SST anomalies in the Nino3.4 region of the subtropical Pacific for the month of January (http://www.cpc.ncep.noaa.gov/data/indices/sstoi.indices). Specifically, this covariate is included in the terms relevant to the fall months (fourth and fifth splines), based on previous studies of the observed correlations between ENSO and cholera c</w:t>
      </w:r>
      <w:r w:rsidR="00B622BE">
        <w:rPr>
          <w:color w:val="000000" w:themeColor="text1"/>
        </w:rPr>
        <w:t>ases in this region [</w:t>
      </w:r>
      <w:r w:rsidR="00996BCB" w:rsidRPr="00B622BE">
        <w:rPr>
          <w:color w:val="000000" w:themeColor="text1"/>
        </w:rPr>
        <w:t>1,2</w:t>
      </w:r>
      <w:r w:rsidR="00B622BE">
        <w:rPr>
          <w:color w:val="000000" w:themeColor="text1"/>
        </w:rPr>
        <w:t>]</w:t>
      </w:r>
      <w:r w:rsidRPr="00D55ABD">
        <w:rPr>
          <w:color w:val="000000" w:themeColor="text1"/>
        </w:rPr>
        <w:t xml:space="preserve">. </w:t>
      </w:r>
      <w:r w:rsidRPr="00D55ABD">
        <w:rPr>
          <w:rFonts w:eastAsiaTheme="minorEastAsia"/>
          <w:color w:val="000000" w:themeColor="text1"/>
        </w:rPr>
        <w:t xml:space="preserve">The transmission </w:t>
      </w:r>
      <w:r w:rsidR="00080B32" w:rsidRPr="00D55ABD">
        <w:rPr>
          <w:rFonts w:eastAsiaTheme="minorEastAsia"/>
          <w:color w:val="000000" w:themeColor="text1"/>
        </w:rPr>
        <w:t xml:space="preserve">rate </w:t>
      </w:r>
      <w:r w:rsidRPr="00D55ABD">
        <w:rPr>
          <w:rFonts w:eastAsiaTheme="minorEastAsia"/>
          <w:color w:val="000000" w:themeColor="text1"/>
        </w:rPr>
        <w:t xml:space="preserve">also includes a </w:t>
      </w:r>
      <w:r w:rsidRPr="00D55ABD">
        <w:rPr>
          <w:rFonts w:eastAsia="DejaVu Sans"/>
          <w:color w:val="000000" w:themeColor="text1"/>
        </w:rPr>
        <w:t xml:space="preserve">stochastic component (through a Gamma distribution Γ) to represent environmental or other sources of variation not accounted for by seasonality or ENSO. </w:t>
      </w:r>
    </w:p>
    <w:p w14:paraId="4A374ED0" w14:textId="78E57385" w:rsidR="001B1DD2" w:rsidRPr="00D55ABD" w:rsidRDefault="00507FD8" w:rsidP="004E306D">
      <w:pPr>
        <w:spacing w:after="80" w:line="360" w:lineRule="auto"/>
        <w:jc w:val="both"/>
        <w:rPr>
          <w:color w:val="000000" w:themeColor="text1"/>
        </w:rPr>
      </w:pPr>
      <w:r w:rsidRPr="00D55ABD">
        <w:rPr>
          <w:rFonts w:eastAsia="DejaVu Sans"/>
          <w:color w:val="000000" w:themeColor="text1"/>
        </w:rPr>
        <w:t>Following Reiner et al. (2012</w:t>
      </w:r>
      <w:r w:rsidR="00B622BE">
        <w:rPr>
          <w:rFonts w:eastAsia="DejaVu Sans"/>
          <w:color w:val="000000" w:themeColor="text1"/>
        </w:rPr>
        <w:t>) [3]</w:t>
      </w:r>
      <w:r w:rsidRPr="00D55ABD">
        <w:rPr>
          <w:rFonts w:eastAsia="DejaVu Sans"/>
          <w:color w:val="000000" w:themeColor="text1"/>
        </w:rPr>
        <w:t xml:space="preserve">, the El Niño index is integrated into a sigmoidal function, </w:t>
      </w:r>
      <w:r w:rsidRPr="00D55ABD">
        <w:rPr>
          <w:color w:val="000000" w:themeColor="text1"/>
        </w:rPr>
        <w:t xml:space="preserve">where </w:t>
      </w:r>
      <m:oMath>
        <m:sSub>
          <m:sSubPr>
            <m:ctrlPr>
              <w:rPr>
                <w:rFonts w:ascii="Cambria Math" w:hAnsi="Cambria Math"/>
              </w:rPr>
            </m:ctrlPr>
          </m:sSubPr>
          <m:e>
            <m:r>
              <w:rPr>
                <w:rFonts w:ascii="Cambria Math" w:hAnsi="Cambria Math"/>
              </w:rPr>
              <m:t>ENSO</m:t>
            </m:r>
          </m:e>
          <m:sub>
            <m:r>
              <w:rPr>
                <w:rFonts w:ascii="Cambria Math" w:hAnsi="Cambria Math"/>
              </w:rPr>
              <m:t>Jan</m:t>
            </m:r>
          </m:sub>
        </m:sSub>
      </m:oMath>
      <w:r w:rsidRPr="00D55ABD">
        <w:rPr>
          <w:color w:val="000000" w:themeColor="text1"/>
        </w:rPr>
        <w:t xml:space="preserve"> refers to the anomaly of the ENSO reported for January at time </w:t>
      </w:r>
      <m:oMath>
        <m:r>
          <w:rPr>
            <w:rFonts w:ascii="Cambria Math" w:hAnsi="Cambria Math"/>
          </w:rPr>
          <m:t>t</m:t>
        </m:r>
      </m:oMath>
      <w:r w:rsidRPr="00D55ABD">
        <w:rPr>
          <w:rFonts w:eastAsiaTheme="minorEastAsia"/>
          <w:color w:val="000000" w:themeColor="text1"/>
        </w:rPr>
        <w:t xml:space="preserve">, normalized </w:t>
      </w:r>
      <w:r w:rsidR="00E175EC">
        <w:rPr>
          <w:rFonts w:eastAsiaTheme="minorEastAsia"/>
          <w:color w:val="000000" w:themeColor="text1"/>
        </w:rPr>
        <w:t>between -1 and 1 (</w:t>
      </w:r>
      <w:r w:rsidR="00E175EC" w:rsidRPr="00D55ABD">
        <w:rPr>
          <w:rFonts w:eastAsiaTheme="minorEastAsia"/>
          <w:color w:val="000000" w:themeColor="text1"/>
        </w:rPr>
        <w:t>S6</w:t>
      </w:r>
      <w:r w:rsidR="00840E32">
        <w:rPr>
          <w:rFonts w:eastAsiaTheme="minorEastAsia"/>
          <w:color w:val="000000" w:themeColor="text1"/>
        </w:rPr>
        <w:t>B</w:t>
      </w:r>
      <w:r w:rsidR="00E82617">
        <w:rPr>
          <w:rFonts w:eastAsiaTheme="minorEastAsia"/>
          <w:color w:val="000000" w:themeColor="text1"/>
        </w:rPr>
        <w:t xml:space="preserve"> Fig</w:t>
      </w:r>
      <w:r w:rsidRPr="00D55ABD">
        <w:rPr>
          <w:rFonts w:eastAsiaTheme="minorEastAsia"/>
          <w:color w:val="000000" w:themeColor="text1"/>
        </w:rPr>
        <w:t>)</w:t>
      </w:r>
      <w:r w:rsidRPr="00D55ABD">
        <w:rPr>
          <w:color w:val="000000" w:themeColor="text1"/>
        </w:rPr>
        <w:t xml:space="preserve">. This functional form allows for nonlinear responses to ENSO and is given by the following expression: </w:t>
      </w:r>
    </w:p>
    <w:p w14:paraId="46D75D93" w14:textId="27C427D2" w:rsidR="001B1DD2" w:rsidRPr="00D55ABD" w:rsidRDefault="00507FD8" w:rsidP="004E306D">
      <w:pPr>
        <w:spacing w:after="80" w:line="360" w:lineRule="auto"/>
        <w:jc w:val="both"/>
      </w:pPr>
      <m:oMathPara>
        <m:oMathParaPr>
          <m:jc m:val="left"/>
        </m:oMathParaPr>
        <m:oMath>
          <m:r>
            <w:rPr>
              <w:rFonts w:ascii="Cambria Math" w:hAnsi="Cambria Math"/>
            </w:rPr>
            <m:t>f</m:t>
          </m:r>
          <m:d>
            <m:dPr>
              <m:ctrlPr>
                <w:rPr>
                  <w:rFonts w:ascii="Cambria Math" w:hAnsi="Cambria Math"/>
                </w:rPr>
              </m:ctrlPr>
            </m:dPr>
            <m:e>
              <m:r>
                <w:rPr>
                  <w:rFonts w:ascii="Cambria Math" w:hAnsi="Cambria Math"/>
                </w:rPr>
                <m:t>ENSO</m:t>
              </m:r>
            </m:e>
          </m:d>
          <m:r>
            <w:rPr>
              <w:rFonts w:ascii="Cambria Math" w:hAnsi="Cambria Math"/>
            </w:rPr>
            <m:t>=A</m:t>
          </m:r>
          <m:f>
            <m:fPr>
              <m:ctrlPr>
                <w:rPr>
                  <w:rFonts w:ascii="Cambria Math" w:hAnsi="Cambria Math"/>
                </w:rPr>
              </m:ctrlPr>
            </m:fPr>
            <m:num>
              <m:r>
                <m:rPr>
                  <m:lit/>
                  <m:nor/>
                </m:rPr>
                <m:t>tan</m:t>
              </m:r>
              <m:r>
                <m:rPr>
                  <m:nor/>
                </m:rPr>
                <m:t xml:space="preserve"> </m:t>
              </m:r>
              <m:d>
                <m:dPr>
                  <m:ctrlPr>
                    <w:rPr>
                      <w:rFonts w:ascii="Cambria Math" w:hAnsi="Cambria Math"/>
                    </w:rPr>
                  </m:ctrlPr>
                </m:dPr>
                <m:e>
                  <m:r>
                    <w:rPr>
                      <w:rFonts w:ascii="Cambria Math" w:hAnsi="Cambria Math"/>
                    </w:rPr>
                    <m:t>h</m:t>
                  </m:r>
                  <m:sSub>
                    <m:sSubPr>
                      <m:ctrlPr>
                        <w:rPr>
                          <w:rFonts w:ascii="Cambria Math" w:hAnsi="Cambria Math"/>
                        </w:rPr>
                      </m:ctrlPr>
                    </m:sSubPr>
                    <m:e>
                      <m:r>
                        <w:rPr>
                          <w:rFonts w:ascii="Cambria Math" w:hAnsi="Cambria Math"/>
                        </w:rPr>
                        <m:t xml:space="preserve"> ENSO</m:t>
                      </m:r>
                    </m:e>
                    <m:sub>
                      <m:r>
                        <w:rPr>
                          <w:rFonts w:ascii="Cambria Math" w:hAnsi="Cambria Math"/>
                        </w:rPr>
                        <m:t>Jan</m:t>
                      </m:r>
                    </m:sub>
                  </m:sSub>
                  <m:r>
                    <w:rPr>
                      <w:rFonts w:ascii="Cambria Math" w:hAnsi="Cambria Math"/>
                    </w:rPr>
                    <m:t>(t)</m:t>
                  </m:r>
                </m:e>
              </m:d>
            </m:num>
            <m:den>
              <m:r>
                <m:rPr>
                  <m:lit/>
                  <m:nor/>
                </m:rPr>
                <m:t>tan</m:t>
              </m:r>
              <m:r>
                <m:rPr>
                  <m:nor/>
                </m:rPr>
                <m:t xml:space="preserve"> </m:t>
              </m:r>
              <m:d>
                <m:dPr>
                  <m:ctrlPr>
                    <w:rPr>
                      <w:rFonts w:ascii="Cambria Math" w:hAnsi="Cambria Math"/>
                    </w:rPr>
                  </m:ctrlPr>
                </m:dPr>
                <m:e>
                  <m:r>
                    <w:rPr>
                      <w:rFonts w:ascii="Cambria Math" w:hAnsi="Cambria Math"/>
                    </w:rPr>
                    <m:t>h</m:t>
                  </m:r>
                </m:e>
              </m:d>
            </m:den>
          </m:f>
          <m:r>
            <w:rPr>
              <w:rFonts w:ascii="Cambria Math" w:eastAsiaTheme="minorEastAsia" w:hAnsi="Cambria Math"/>
            </w:rPr>
            <m:t xml:space="preserve">                                                                       (4) </m:t>
          </m:r>
        </m:oMath>
      </m:oMathPara>
    </w:p>
    <w:p w14:paraId="4F2DAC57" w14:textId="48D0F19E" w:rsidR="001B1DD2" w:rsidRDefault="00507FD8" w:rsidP="004E306D">
      <w:pPr>
        <w:spacing w:after="80" w:line="360" w:lineRule="auto"/>
        <w:jc w:val="both"/>
        <w:rPr>
          <w:color w:val="000000" w:themeColor="text1"/>
        </w:rPr>
      </w:pPr>
      <w:r w:rsidRPr="00D55ABD">
        <w:rPr>
          <w:color w:val="000000" w:themeColor="text1"/>
        </w:rPr>
        <w:t xml:space="preserve">We formally relate the model to data by </w:t>
      </w:r>
      <w:proofErr w:type="gramStart"/>
      <w:r w:rsidRPr="00D55ABD">
        <w:rPr>
          <w:color w:val="000000" w:themeColor="text1"/>
        </w:rPr>
        <w:t>assuming that</w:t>
      </w:r>
      <w:proofErr w:type="gramEnd"/>
      <w:r w:rsidRPr="00D55ABD">
        <w:rPr>
          <w:color w:val="000000" w:themeColor="text1"/>
        </w:rPr>
        <w:t xml:space="preserve"> only a fraction </w:t>
      </w:r>
      <w:r w:rsidRPr="00D55ABD">
        <w:rPr>
          <w:i/>
          <w:color w:val="000000" w:themeColor="text1"/>
        </w:rPr>
        <w:t>ρ</w:t>
      </w:r>
      <w:r w:rsidRPr="00D55ABD">
        <w:rPr>
          <w:color w:val="000000" w:themeColor="text1"/>
        </w:rPr>
        <w:t xml:space="preserve"> of new infections are detected by the surveillance methods (</w:t>
      </w:r>
      <w:r w:rsidRPr="00D55ABD">
        <w:rPr>
          <w:i/>
          <w:color w:val="000000" w:themeColor="text1"/>
        </w:rPr>
        <w:t>ρ</w:t>
      </w:r>
      <w:r w:rsidRPr="00D55ABD">
        <w:rPr>
          <w:color w:val="000000" w:themeColor="text1"/>
        </w:rPr>
        <w:t xml:space="preserve"> is estimated from data along with other model parameters, see below), and model the data as negative binomially distributed around these new infections, as follows. From equation 1, the rate of new infections is </w:t>
      </w:r>
      <m:oMath>
        <m:r>
          <w:rPr>
            <w:rFonts w:ascii="Cambria Math" w:hAnsi="Cambria Math"/>
          </w:rPr>
          <m:t>λS</m:t>
        </m:r>
      </m:oMath>
      <w:r w:rsidRPr="00D55ABD">
        <w:rPr>
          <w:color w:val="000000" w:themeColor="text1"/>
        </w:rPr>
        <w:t xml:space="preserve">, which gives the total new infections </w:t>
      </w:r>
      <m:oMath>
        <m:r>
          <w:rPr>
            <w:rFonts w:ascii="Cambria Math" w:hAnsi="Cambria Math"/>
          </w:rPr>
          <m:t>∆</m:t>
        </m:r>
        <m:sSub>
          <m:sSubPr>
            <m:ctrlPr>
              <w:rPr>
                <w:rFonts w:ascii="Cambria Math" w:hAnsi="Cambria Math"/>
              </w:rPr>
            </m:ctrlPr>
          </m:sSubPr>
          <m:e>
            <m:r>
              <w:rPr>
                <w:rFonts w:ascii="Cambria Math" w:hAnsi="Cambria Math"/>
              </w:rPr>
              <m:t>I</m:t>
            </m:r>
          </m:e>
          <m:sub>
            <m:r>
              <w:rPr>
                <w:rFonts w:ascii="Cambria Math" w:hAnsi="Cambria Math"/>
              </w:rPr>
              <m:t>k</m:t>
            </m:r>
          </m:sub>
        </m:sSub>
      </m:oMath>
      <w:r w:rsidRPr="00D55ABD">
        <w:rPr>
          <w:color w:val="000000" w:themeColor="text1"/>
        </w:rPr>
        <w:t xml:space="preserve"> over a time interval </w:t>
      </w:r>
      <m:oMath>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k-1</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k</m:t>
                </m:r>
              </m:sub>
            </m:sSub>
          </m:e>
        </m:d>
      </m:oMath>
      <w:r w:rsidRPr="00D55ABD">
        <w:rPr>
          <w:color w:val="000000" w:themeColor="text1"/>
        </w:rPr>
        <w:t xml:space="preserve"> as </w:t>
      </w:r>
      <m:oMath>
        <m:r>
          <w:rPr>
            <w:rFonts w:ascii="Cambria Math" w:hAnsi="Cambria Math"/>
          </w:rPr>
          <m:t>∆</m:t>
        </m:r>
        <m:sSub>
          <m:sSubPr>
            <m:ctrlPr>
              <w:rPr>
                <w:rFonts w:ascii="Cambria Math" w:hAnsi="Cambria Math"/>
              </w:rPr>
            </m:ctrlPr>
          </m:sSubPr>
          <m:e>
            <m:r>
              <w:rPr>
                <w:rFonts w:ascii="Cambria Math" w:hAnsi="Cambria Math"/>
              </w:rPr>
              <m:t>I</m:t>
            </m:r>
          </m:e>
          <m:sub>
            <m:r>
              <w:rPr>
                <w:rFonts w:ascii="Cambria Math" w:hAnsi="Cambria Math"/>
              </w:rPr>
              <m:t>k</m:t>
            </m:r>
          </m:sub>
        </m:sSub>
        <m:r>
          <w:rPr>
            <w:rFonts w:ascii="Cambria Math" w:hAnsi="Cambria Math"/>
          </w:rPr>
          <m:t>=ρ</m:t>
        </m:r>
        <m:nary>
          <m:naryPr>
            <m:ctrlPr>
              <w:rPr>
                <w:rFonts w:ascii="Cambria Math" w:hAnsi="Cambria Math"/>
              </w:rPr>
            </m:ctrlPr>
          </m:naryPr>
          <m:sub>
            <m:sSub>
              <m:sSubPr>
                <m:ctrlPr>
                  <w:rPr>
                    <w:rFonts w:ascii="Cambria Math" w:hAnsi="Cambria Math"/>
                  </w:rPr>
                </m:ctrlPr>
              </m:sSubPr>
              <m:e>
                <m:r>
                  <w:rPr>
                    <w:rFonts w:ascii="Cambria Math" w:hAnsi="Cambria Math"/>
                  </w:rPr>
                  <m:t>t</m:t>
                </m:r>
              </m:e>
              <m:sub>
                <m:r>
                  <w:rPr>
                    <w:rFonts w:ascii="Cambria Math" w:hAnsi="Cambria Math"/>
                  </w:rPr>
                  <m:t>k-1</m:t>
                </m:r>
              </m:sub>
            </m:sSub>
          </m:sub>
          <m:sup>
            <m:sSub>
              <m:sSubPr>
                <m:ctrlPr>
                  <w:rPr>
                    <w:rFonts w:ascii="Cambria Math" w:hAnsi="Cambria Math"/>
                  </w:rPr>
                </m:ctrlPr>
              </m:sSubPr>
              <m:e>
                <m:r>
                  <w:rPr>
                    <w:rFonts w:ascii="Cambria Math" w:hAnsi="Cambria Math"/>
                  </w:rPr>
                  <m:t>t</m:t>
                </m:r>
              </m:e>
              <m:sub>
                <m:r>
                  <w:rPr>
                    <w:rFonts w:ascii="Cambria Math" w:hAnsi="Cambria Math"/>
                  </w:rPr>
                  <m:t>k</m:t>
                </m:r>
              </m:sub>
            </m:sSub>
          </m:sup>
          <m:e>
            <m:r>
              <w:rPr>
                <w:rFonts w:ascii="Cambria Math" w:hAnsi="Cambria Math"/>
              </w:rPr>
              <m:t>λS</m:t>
            </m:r>
            <m:d>
              <m:dPr>
                <m:ctrlPr>
                  <w:rPr>
                    <w:rFonts w:ascii="Cambria Math" w:hAnsi="Cambria Math"/>
                  </w:rPr>
                </m:ctrlPr>
              </m:dPr>
              <m:e>
                <m:r>
                  <w:rPr>
                    <w:rFonts w:ascii="Cambria Math" w:hAnsi="Cambria Math"/>
                  </w:rPr>
                  <m:t>t</m:t>
                </m:r>
              </m:e>
            </m:d>
            <m:r>
              <w:rPr>
                <w:rFonts w:ascii="Cambria Math" w:hAnsi="Cambria Math"/>
              </w:rPr>
              <m:t>dt</m:t>
            </m:r>
          </m:e>
        </m:nary>
      </m:oMath>
      <w:r w:rsidRPr="00D55ABD">
        <w:rPr>
          <w:color w:val="000000" w:themeColor="text1"/>
        </w:rPr>
        <w:t xml:space="preserve">, and the measurement model that couples </w:t>
      </w:r>
      <m:oMath>
        <m:r>
          <w:rPr>
            <w:rFonts w:ascii="Cambria Math" w:hAnsi="Cambria Math"/>
          </w:rPr>
          <m:t>∆</m:t>
        </m:r>
        <m:sSub>
          <m:sSubPr>
            <m:ctrlPr>
              <w:rPr>
                <w:rFonts w:ascii="Cambria Math" w:hAnsi="Cambria Math"/>
              </w:rPr>
            </m:ctrlPr>
          </m:sSubPr>
          <m:e>
            <m:r>
              <w:rPr>
                <w:rFonts w:ascii="Cambria Math" w:hAnsi="Cambria Math"/>
              </w:rPr>
              <m:t>I</m:t>
            </m:r>
          </m:e>
          <m:sub>
            <m:r>
              <w:rPr>
                <w:rFonts w:ascii="Cambria Math" w:hAnsi="Cambria Math"/>
              </w:rPr>
              <m:t>k</m:t>
            </m:r>
          </m:sub>
        </m:sSub>
      </m:oMath>
      <w:r w:rsidRPr="00D55ABD">
        <w:rPr>
          <w:color w:val="000000" w:themeColor="text1"/>
        </w:rPr>
        <w:t xml:space="preserve"> to the observed data </w:t>
      </w:r>
      <m:oMath>
        <m:sSub>
          <m:sSubPr>
            <m:ctrlPr>
              <w:rPr>
                <w:rFonts w:ascii="Cambria Math" w:hAnsi="Cambria Math"/>
              </w:rPr>
            </m:ctrlPr>
          </m:sSubPr>
          <m:e>
            <m:r>
              <w:rPr>
                <w:rFonts w:ascii="Cambria Math" w:hAnsi="Cambria Math"/>
              </w:rPr>
              <m:t>y</m:t>
            </m:r>
          </m:e>
          <m:sub>
            <m:r>
              <w:rPr>
                <w:rFonts w:ascii="Cambria Math" w:hAnsi="Cambria Math"/>
              </w:rPr>
              <m:t>k</m:t>
            </m:r>
          </m:sub>
        </m:sSub>
      </m:oMath>
      <w:r w:rsidRPr="00D55ABD">
        <w:rPr>
          <w:color w:val="000000" w:themeColor="text1"/>
        </w:rPr>
        <w:t xml:space="preserve"> at time </w:t>
      </w:r>
      <m:oMath>
        <m:sSub>
          <m:sSubPr>
            <m:ctrlPr>
              <w:rPr>
                <w:rFonts w:ascii="Cambria Math" w:hAnsi="Cambria Math"/>
              </w:rPr>
            </m:ctrlPr>
          </m:sSubPr>
          <m:e>
            <m:r>
              <w:rPr>
                <w:rFonts w:ascii="Cambria Math" w:hAnsi="Cambria Math"/>
              </w:rPr>
              <m:t>t</m:t>
            </m:r>
          </m:e>
          <m:sub>
            <m:r>
              <w:rPr>
                <w:rFonts w:ascii="Cambria Math" w:hAnsi="Cambria Math"/>
              </w:rPr>
              <m:t>k</m:t>
            </m:r>
          </m:sub>
        </m:sSub>
      </m:oMath>
      <w:r w:rsidRPr="00D55ABD">
        <w:rPr>
          <w:color w:val="000000" w:themeColor="text1"/>
        </w:rPr>
        <w:t xml:space="preserve"> is given as </w:t>
      </w:r>
      <m:oMath>
        <m:sSub>
          <m:sSubPr>
            <m:ctrlPr>
              <w:rPr>
                <w:rFonts w:ascii="Cambria Math" w:hAnsi="Cambria Math"/>
              </w:rPr>
            </m:ctrlPr>
          </m:sSubPr>
          <m:e>
            <m:r>
              <w:rPr>
                <w:rFonts w:ascii="Cambria Math" w:hAnsi="Cambria Math"/>
              </w:rPr>
              <m:t>y</m:t>
            </m:r>
          </m:e>
          <m:sub>
            <m:r>
              <w:rPr>
                <w:rFonts w:ascii="Cambria Math" w:hAnsi="Cambria Math"/>
              </w:rPr>
              <m:t>k</m:t>
            </m:r>
          </m:sub>
        </m:sSub>
        <m:r>
          <w:rPr>
            <w:rFonts w:ascii="Cambria Math" w:hAnsi="Cambria Math"/>
          </w:rPr>
          <m:t xml:space="preserve">~ </m:t>
        </m:r>
        <m:r>
          <m:rPr>
            <m:lit/>
            <m:nor/>
          </m:rPr>
          <m:t>NegBin</m:t>
        </m:r>
        <m:d>
          <m:dPr>
            <m:ctrlPr>
              <w:rPr>
                <w:rFonts w:ascii="Cambria Math" w:hAnsi="Cambria Math"/>
              </w:rPr>
            </m:ctrlPr>
          </m:dPr>
          <m:e>
            <m:r>
              <w:rPr>
                <w:rFonts w:ascii="Cambria Math" w:hAnsi="Cambria Math"/>
              </w:rPr>
              <m:t>∆</m:t>
            </m:r>
            <m:sSub>
              <m:sSubPr>
                <m:ctrlPr>
                  <w:rPr>
                    <w:rFonts w:ascii="Cambria Math" w:hAnsi="Cambria Math"/>
                  </w:rPr>
                </m:ctrlPr>
              </m:sSubPr>
              <m:e>
                <m:r>
                  <w:rPr>
                    <w:rFonts w:ascii="Cambria Math" w:hAnsi="Cambria Math"/>
                  </w:rPr>
                  <m:t>I</m:t>
                </m:r>
              </m:e>
              <m:sub>
                <m:r>
                  <w:rPr>
                    <w:rFonts w:ascii="Cambria Math" w:hAnsi="Cambria Math"/>
                  </w:rPr>
                  <m:t>k</m:t>
                </m:r>
              </m:sub>
            </m:sSub>
            <m:r>
              <w:rPr>
                <w:rFonts w:ascii="Cambria Math" w:hAnsi="Cambria Math"/>
              </w:rPr>
              <m:t>,</m:t>
            </m:r>
            <m:sSubSup>
              <m:sSubSupPr>
                <m:ctrlPr>
                  <w:rPr>
                    <w:rFonts w:ascii="Cambria Math" w:hAnsi="Cambria Math"/>
                  </w:rPr>
                </m:ctrlPr>
              </m:sSubSupPr>
              <m:e>
                <m:r>
                  <w:rPr>
                    <w:rFonts w:ascii="Cambria Math" w:hAnsi="Cambria Math"/>
                  </w:rPr>
                  <m:t>σ</m:t>
                </m:r>
              </m:e>
              <m:sub>
                <m:r>
                  <m:rPr>
                    <m:lit/>
                    <m:nor/>
                  </m:rPr>
                  <m:t>obs</m:t>
                </m:r>
              </m:sub>
              <m:sup>
                <m:r>
                  <w:rPr>
                    <w:rFonts w:ascii="Cambria Math" w:hAnsi="Cambria Math"/>
                  </w:rPr>
                  <m:t>2</m:t>
                </m:r>
              </m:sup>
            </m:sSubSup>
          </m:e>
        </m:d>
      </m:oMath>
      <w:r w:rsidR="00E1122A" w:rsidRPr="00D55ABD">
        <w:rPr>
          <w:color w:val="000000" w:themeColor="text1"/>
        </w:rPr>
        <w:t xml:space="preserve">, where </w:t>
      </w:r>
      <w:proofErr w:type="spellStart"/>
      <w:r w:rsidRPr="00D55ABD">
        <w:rPr>
          <w:color w:val="000000" w:themeColor="text1"/>
        </w:rPr>
        <w:t>NegBin</w:t>
      </w:r>
      <w:proofErr w:type="spellEnd"/>
      <w:r w:rsidRPr="00D55ABD">
        <w:rPr>
          <w:color w:val="000000" w:themeColor="text1"/>
        </w:rPr>
        <w:t>(</w:t>
      </w:r>
      <w:proofErr w:type="spellStart"/>
      <w:r w:rsidRPr="00D55ABD">
        <w:rPr>
          <w:i/>
          <w:color w:val="000000" w:themeColor="text1"/>
        </w:rPr>
        <w:t>a</w:t>
      </w:r>
      <w:r w:rsidRPr="00D55ABD">
        <w:rPr>
          <w:color w:val="000000" w:themeColor="text1"/>
        </w:rPr>
        <w:t>,</w:t>
      </w:r>
      <w:r w:rsidRPr="00D55ABD">
        <w:rPr>
          <w:i/>
          <w:color w:val="000000" w:themeColor="text1"/>
        </w:rPr>
        <w:t>b</w:t>
      </w:r>
      <w:proofErr w:type="spellEnd"/>
      <w:r w:rsidR="00E1122A" w:rsidRPr="00D55ABD">
        <w:rPr>
          <w:color w:val="000000" w:themeColor="text1"/>
        </w:rPr>
        <w:t>)</w:t>
      </w:r>
      <w:r w:rsidRPr="00D55ABD">
        <w:rPr>
          <w:color w:val="000000" w:themeColor="text1"/>
        </w:rPr>
        <w:t xml:space="preserve"> is the negative binomial distribution with mean </w:t>
      </w:r>
      <w:r w:rsidRPr="00D55ABD">
        <w:rPr>
          <w:i/>
          <w:color w:val="000000" w:themeColor="text1"/>
        </w:rPr>
        <w:t>a</w:t>
      </w:r>
      <w:r w:rsidRPr="00D55ABD">
        <w:rPr>
          <w:color w:val="000000" w:themeColor="text1"/>
        </w:rPr>
        <w:t xml:space="preserve"> and variance </w:t>
      </w:r>
      <w:r w:rsidRPr="00D55ABD">
        <w:rPr>
          <w:i/>
          <w:color w:val="000000" w:themeColor="text1"/>
        </w:rPr>
        <w:t>a</w:t>
      </w:r>
      <w:r w:rsidRPr="00D55ABD">
        <w:rPr>
          <w:color w:val="000000" w:themeColor="text1"/>
        </w:rPr>
        <w:t xml:space="preserve"> + </w:t>
      </w:r>
      <w:r w:rsidRPr="00D55ABD">
        <w:rPr>
          <w:i/>
          <w:color w:val="000000" w:themeColor="text1"/>
        </w:rPr>
        <w:t>a</w:t>
      </w:r>
      <w:r w:rsidRPr="00D55ABD">
        <w:rPr>
          <w:color w:val="000000" w:themeColor="text1"/>
          <w:vertAlign w:val="superscript"/>
        </w:rPr>
        <w:t>2</w:t>
      </w:r>
      <w:r w:rsidRPr="00D55ABD">
        <w:rPr>
          <w:i/>
          <w:color w:val="000000" w:themeColor="text1"/>
        </w:rPr>
        <w:t>b</w:t>
      </w:r>
      <w:r w:rsidRPr="00D55ABD">
        <w:rPr>
          <w:color w:val="000000" w:themeColor="text1"/>
        </w:rPr>
        <w:t xml:space="preserve">, and </w:t>
      </w:r>
      <m:oMath>
        <m:sSubSup>
          <m:sSubSupPr>
            <m:ctrlPr>
              <w:rPr>
                <w:rFonts w:ascii="Cambria Math" w:hAnsi="Cambria Math"/>
              </w:rPr>
            </m:ctrlPr>
          </m:sSubSupPr>
          <m:e>
            <m:r>
              <w:rPr>
                <w:rFonts w:ascii="Cambria Math" w:hAnsi="Cambria Math"/>
              </w:rPr>
              <m:t>σ</m:t>
            </m:r>
          </m:e>
          <m:sub>
            <m:r>
              <m:rPr>
                <m:lit/>
                <m:nor/>
              </m:rPr>
              <m:t>obs</m:t>
            </m:r>
          </m:sub>
          <m:sup>
            <m:r>
              <w:rPr>
                <w:rFonts w:ascii="Cambria Math" w:hAnsi="Cambria Math"/>
              </w:rPr>
              <m:t>2</m:t>
            </m:r>
          </m:sup>
        </m:sSubSup>
      </m:oMath>
      <w:r w:rsidRPr="00D55ABD">
        <w:rPr>
          <w:color w:val="000000" w:themeColor="text1"/>
        </w:rPr>
        <w:t xml:space="preserve"> denotes the variance parameter associated with detection uncertainty.</w:t>
      </w:r>
    </w:p>
    <w:p w14:paraId="779FFF8D" w14:textId="77777777" w:rsidR="004411BB" w:rsidRDefault="004411BB" w:rsidP="004E306D">
      <w:pPr>
        <w:spacing w:after="80" w:line="360" w:lineRule="auto"/>
        <w:jc w:val="both"/>
        <w:rPr>
          <w:color w:val="000000" w:themeColor="text1"/>
        </w:rPr>
      </w:pPr>
    </w:p>
    <w:p w14:paraId="7B1AC4D3" w14:textId="5BC38A5D" w:rsidR="004411BB" w:rsidRPr="00D55ABD" w:rsidRDefault="004411BB" w:rsidP="004E306D">
      <w:pPr>
        <w:spacing w:after="80" w:line="360" w:lineRule="auto"/>
        <w:jc w:val="both"/>
        <w:rPr>
          <w:color w:val="000000" w:themeColor="text1"/>
        </w:rPr>
      </w:pPr>
      <w:r>
        <w:rPr>
          <w:b/>
          <w:bCs/>
          <w:color w:val="000000" w:themeColor="text1"/>
          <w:sz w:val="28"/>
          <w:szCs w:val="28"/>
        </w:rPr>
        <w:t>P</w:t>
      </w:r>
      <w:r w:rsidRPr="00511842">
        <w:rPr>
          <w:b/>
          <w:bCs/>
          <w:color w:val="000000" w:themeColor="text1"/>
          <w:sz w:val="28"/>
          <w:szCs w:val="28"/>
        </w:rPr>
        <w:t>arameter estimation</w:t>
      </w:r>
    </w:p>
    <w:p w14:paraId="26395A93" w14:textId="56B3F3BE" w:rsidR="001B1DD2" w:rsidRDefault="00507FD8" w:rsidP="004E306D">
      <w:pPr>
        <w:spacing w:after="80" w:line="360" w:lineRule="auto"/>
        <w:jc w:val="both"/>
        <w:rPr>
          <w:color w:val="000000" w:themeColor="text1"/>
        </w:rPr>
      </w:pPr>
      <w:r w:rsidRPr="00D55ABD">
        <w:rPr>
          <w:color w:val="000000" w:themeColor="text1"/>
        </w:rPr>
        <w:t xml:space="preserve">To evaluate the forecasting abilities of the model, we first fitted the model to the data between 1995-2010. Specifically, we carried out a likelihood-based inference via an iterated particle </w:t>
      </w:r>
      <w:r w:rsidRPr="00D55ABD">
        <w:rPr>
          <w:color w:val="000000" w:themeColor="text1"/>
        </w:rPr>
        <w:lastRenderedPageBreak/>
        <w:t xml:space="preserve">filtering method to estimate the parameters and initial conditions, to obtain the MLE (Maximum Likelihood Estimates) </w:t>
      </w:r>
      <w:r w:rsidR="00B622BE" w:rsidRPr="00B622BE">
        <w:rPr>
          <w:color w:val="000000" w:themeColor="text1"/>
        </w:rPr>
        <w:t>[</w:t>
      </w:r>
      <w:r w:rsidR="00937E99" w:rsidRPr="00B622BE">
        <w:rPr>
          <w:color w:val="000000" w:themeColor="text1"/>
        </w:rPr>
        <w:t>4-6</w:t>
      </w:r>
      <w:r w:rsidR="00B622BE" w:rsidRPr="00B622BE">
        <w:rPr>
          <w:color w:val="000000" w:themeColor="text1"/>
        </w:rPr>
        <w:t>]</w:t>
      </w:r>
      <w:r w:rsidRPr="00D55ABD">
        <w:rPr>
          <w:color w:val="000000" w:themeColor="text1"/>
        </w:rPr>
        <w:t xml:space="preserve">. Because we wish to reproduce as close as possible the conditions under which one would be generating the forecasts, we then updated the estimated parameters by extending the fit of the model to the ‘new’ data that would have become available each year. This resulted in refining the fit of the model over a moving window of 12 months, starting from January 2011. The updated parameters and initial values of the state variables each January were used to simulate forward for the next year. </w:t>
      </w:r>
    </w:p>
    <w:p w14:paraId="6F8CF7C7" w14:textId="77777777" w:rsidR="0094047A" w:rsidRDefault="0094047A" w:rsidP="004E306D">
      <w:pPr>
        <w:spacing w:after="80" w:line="360" w:lineRule="auto"/>
        <w:jc w:val="both"/>
        <w:rPr>
          <w:color w:val="000000" w:themeColor="text1"/>
        </w:rPr>
      </w:pPr>
      <w:bookmarkStart w:id="0" w:name="_GoBack"/>
      <w:bookmarkEnd w:id="0"/>
    </w:p>
    <w:p w14:paraId="2388216C" w14:textId="623D9513" w:rsidR="0094047A" w:rsidRPr="0094047A" w:rsidRDefault="0094047A" w:rsidP="004E306D">
      <w:pPr>
        <w:spacing w:after="80" w:line="360" w:lineRule="auto"/>
        <w:jc w:val="both"/>
        <w:rPr>
          <w:b/>
          <w:color w:val="000000" w:themeColor="text1"/>
          <w:sz w:val="28"/>
          <w:szCs w:val="28"/>
        </w:rPr>
      </w:pPr>
      <w:r w:rsidRPr="0094047A">
        <w:rPr>
          <w:b/>
          <w:color w:val="000000" w:themeColor="text1"/>
          <w:sz w:val="28"/>
          <w:szCs w:val="28"/>
        </w:rPr>
        <w:t>Prediction evaluation</w:t>
      </w:r>
    </w:p>
    <w:p w14:paraId="2D94D947" w14:textId="77777777" w:rsidR="004B42FB" w:rsidRPr="00D55ABD" w:rsidRDefault="00507FD8" w:rsidP="004B42FB">
      <w:pPr>
        <w:spacing w:after="80" w:line="360" w:lineRule="auto"/>
        <w:jc w:val="both"/>
        <w:rPr>
          <w:color w:val="000000" w:themeColor="text1"/>
        </w:rPr>
      </w:pPr>
      <w:r w:rsidRPr="00D55ABD">
        <w:rPr>
          <w:color w:val="000000" w:themeColor="text1"/>
        </w:rPr>
        <w:t xml:space="preserve">To compare the predictions to the data for the years between 2011 and 2015, we first defined an outbreak as a season in which the total number of cases exceeds a given threshold. The threshold itself was determined based on the empirical distribution of the average number of cases between August and December for the period 1995-2010. Based on the predictions generated by 1000 simulations, we computed the predicted probability of surpassing the given threshold (top 50%, 25% and 5% of </w:t>
      </w:r>
      <w:proofErr w:type="gramStart"/>
      <w:r w:rsidRPr="00D55ABD">
        <w:rPr>
          <w:color w:val="000000" w:themeColor="text1"/>
        </w:rPr>
        <w:t>all of</w:t>
      </w:r>
      <w:proofErr w:type="gramEnd"/>
      <w:r w:rsidRPr="00D55ABD">
        <w:rPr>
          <w:color w:val="000000" w:themeColor="text1"/>
        </w:rPr>
        <w:t xml:space="preserve"> the data). These respective probabilities can be interpreted as an outbreak, large outbreak and</w:t>
      </w:r>
      <w:r w:rsidR="004B42FB" w:rsidRPr="00D55ABD">
        <w:rPr>
          <w:color w:val="000000" w:themeColor="text1"/>
        </w:rPr>
        <w:t xml:space="preserve"> extreme outbreak respectively.</w:t>
      </w:r>
    </w:p>
    <w:p w14:paraId="57190F0B" w14:textId="77777777" w:rsidR="00BE2AE6" w:rsidRPr="00D55ABD" w:rsidRDefault="00BE2AE6" w:rsidP="004B42FB">
      <w:pPr>
        <w:spacing w:after="80" w:line="360" w:lineRule="auto"/>
        <w:jc w:val="both"/>
        <w:rPr>
          <w:color w:val="000000" w:themeColor="text1"/>
        </w:rPr>
      </w:pPr>
    </w:p>
    <w:p w14:paraId="11929DA2" w14:textId="661A1FA3" w:rsidR="001B1DD2" w:rsidRPr="00511842" w:rsidRDefault="00507FD8" w:rsidP="000D4363">
      <w:pPr>
        <w:spacing w:after="120" w:line="360" w:lineRule="auto"/>
        <w:jc w:val="both"/>
        <w:outlineLvl w:val="0"/>
        <w:rPr>
          <w:color w:val="000000" w:themeColor="text1"/>
          <w:sz w:val="28"/>
          <w:szCs w:val="28"/>
        </w:rPr>
      </w:pPr>
      <w:r w:rsidRPr="00511842">
        <w:rPr>
          <w:b/>
          <w:color w:val="000000" w:themeColor="text1"/>
          <w:sz w:val="28"/>
          <w:szCs w:val="28"/>
        </w:rPr>
        <w:t>References</w:t>
      </w:r>
    </w:p>
    <w:p w14:paraId="2268B610" w14:textId="69D207B9" w:rsidR="000028C4" w:rsidRPr="00D55ABD" w:rsidRDefault="000028C4" w:rsidP="000D6B81">
      <w:pPr>
        <w:spacing w:after="140"/>
        <w:ind w:left="360" w:hanging="360"/>
        <w:jc w:val="both"/>
      </w:pPr>
      <w:r w:rsidRPr="00D55ABD">
        <w:t xml:space="preserve">1. </w:t>
      </w:r>
      <w:r w:rsidRPr="00D55ABD">
        <w:tab/>
        <w:t xml:space="preserve">Pascual M, </w:t>
      </w:r>
      <w:proofErr w:type="spellStart"/>
      <w:r w:rsidRPr="00D55ABD">
        <w:t>Rodó</w:t>
      </w:r>
      <w:proofErr w:type="spellEnd"/>
      <w:r w:rsidRPr="00D55ABD">
        <w:t xml:space="preserve"> X, </w:t>
      </w:r>
      <w:proofErr w:type="spellStart"/>
      <w:r w:rsidRPr="00D55ABD">
        <w:t>Ellner</w:t>
      </w:r>
      <w:proofErr w:type="spellEnd"/>
      <w:r w:rsidRPr="00D55ABD">
        <w:t xml:space="preserve"> SP, Colwell R, </w:t>
      </w:r>
      <w:proofErr w:type="spellStart"/>
      <w:r w:rsidRPr="00D55ABD">
        <w:t>Bouma</w:t>
      </w:r>
      <w:proofErr w:type="spellEnd"/>
      <w:r w:rsidRPr="00D55ABD">
        <w:t xml:space="preserve"> MJ. Cholera dynamics and El Niño-southern oscillation. Science. 2000;</w:t>
      </w:r>
      <w:r w:rsidR="00141498">
        <w:t xml:space="preserve"> </w:t>
      </w:r>
      <w:r w:rsidRPr="00D55ABD">
        <w:t>289(5485):</w:t>
      </w:r>
      <w:r w:rsidR="00141498">
        <w:t xml:space="preserve"> </w:t>
      </w:r>
      <w:r w:rsidRPr="00D55ABD">
        <w:t xml:space="preserve">1766–9. </w:t>
      </w:r>
    </w:p>
    <w:p w14:paraId="5A4121E4" w14:textId="4D9CCBD3" w:rsidR="008E261F" w:rsidRPr="00D55ABD" w:rsidRDefault="000028C4" w:rsidP="000D6B81">
      <w:pPr>
        <w:spacing w:after="140"/>
        <w:ind w:left="360" w:hanging="360"/>
        <w:jc w:val="both"/>
      </w:pPr>
      <w:r w:rsidRPr="00D55ABD">
        <w:t xml:space="preserve">2. </w:t>
      </w:r>
      <w:r w:rsidRPr="00D55ABD">
        <w:tab/>
      </w:r>
      <w:proofErr w:type="spellStart"/>
      <w:r w:rsidRPr="00D55ABD">
        <w:t>Bouma</w:t>
      </w:r>
      <w:proofErr w:type="spellEnd"/>
      <w:r w:rsidRPr="00D55ABD">
        <w:t xml:space="preserve"> MJ, Pascual M. Seasonal and interannual cycles of endemic cholera in Bengal 1891--1940 in relation to climate and geography. The Ecology and Etiology of Newly Eme</w:t>
      </w:r>
      <w:r w:rsidR="00141498">
        <w:t xml:space="preserve">rging Marine Diseases. Springer; 2001. pp. </w:t>
      </w:r>
      <w:r w:rsidRPr="00D55ABD">
        <w:t xml:space="preserve">147–56.  </w:t>
      </w:r>
    </w:p>
    <w:p w14:paraId="62FE72AB" w14:textId="3900C63E" w:rsidR="008E261F" w:rsidRPr="00D55ABD" w:rsidRDefault="008E261F" w:rsidP="000D6B81">
      <w:pPr>
        <w:spacing w:after="140"/>
        <w:ind w:left="360" w:hanging="360"/>
        <w:jc w:val="both"/>
      </w:pPr>
      <w:r w:rsidRPr="00D55ABD">
        <w:t xml:space="preserve">3. </w:t>
      </w:r>
      <w:r w:rsidRPr="00D55ABD">
        <w:tab/>
        <w:t xml:space="preserve">Reiner RC, King AA, </w:t>
      </w:r>
      <w:proofErr w:type="spellStart"/>
      <w:r w:rsidRPr="00D55ABD">
        <w:t>Emch</w:t>
      </w:r>
      <w:proofErr w:type="spellEnd"/>
      <w:r w:rsidRPr="00D55ABD">
        <w:t xml:space="preserve"> M, Yunus M, Faruque ASG, Pascual M. Highly localized sensitivity to climate forcing drives endemic cholera in a megacity. Proc Natl </w:t>
      </w:r>
      <w:proofErr w:type="spellStart"/>
      <w:r w:rsidRPr="00D55ABD">
        <w:t>Acad</w:t>
      </w:r>
      <w:proofErr w:type="spellEnd"/>
      <w:r w:rsidRPr="00D55ABD">
        <w:t xml:space="preserve"> Sci. 2012;</w:t>
      </w:r>
      <w:r w:rsidR="00141498">
        <w:t xml:space="preserve"> </w:t>
      </w:r>
      <w:r w:rsidRPr="00D55ABD">
        <w:t>109(6):</w:t>
      </w:r>
      <w:r w:rsidR="00141498">
        <w:t xml:space="preserve"> </w:t>
      </w:r>
      <w:r w:rsidRPr="00D55ABD">
        <w:t>2033–6.</w:t>
      </w:r>
    </w:p>
    <w:p w14:paraId="18C7C3DF" w14:textId="47DD1BC0" w:rsidR="000028C4" w:rsidRPr="00D55ABD" w:rsidRDefault="008E261F" w:rsidP="000D6B81">
      <w:pPr>
        <w:spacing w:after="140"/>
        <w:ind w:left="360" w:hanging="360"/>
        <w:jc w:val="both"/>
      </w:pPr>
      <w:r w:rsidRPr="00D55ABD">
        <w:t>4</w:t>
      </w:r>
      <w:r w:rsidR="000028C4" w:rsidRPr="00D55ABD">
        <w:t xml:space="preserve">. </w:t>
      </w:r>
      <w:r w:rsidR="000028C4" w:rsidRPr="00D55ABD">
        <w:tab/>
      </w:r>
      <w:proofErr w:type="spellStart"/>
      <w:r w:rsidR="000028C4" w:rsidRPr="00D55ABD">
        <w:t>Ionides</w:t>
      </w:r>
      <w:proofErr w:type="spellEnd"/>
      <w:r w:rsidR="000028C4" w:rsidRPr="00D55ABD">
        <w:t xml:space="preserve"> EL, </w:t>
      </w:r>
      <w:proofErr w:type="spellStart"/>
      <w:r w:rsidR="000028C4" w:rsidRPr="00D55ABD">
        <w:t>Bretó</w:t>
      </w:r>
      <w:proofErr w:type="spellEnd"/>
      <w:r w:rsidR="000028C4" w:rsidRPr="00D55ABD">
        <w:t xml:space="preserve"> C, King AA. Inference for nonlinear dynamical systems. Proc Natl </w:t>
      </w:r>
      <w:proofErr w:type="spellStart"/>
      <w:r w:rsidR="000028C4" w:rsidRPr="00D55ABD">
        <w:t>Acad</w:t>
      </w:r>
      <w:proofErr w:type="spellEnd"/>
      <w:r w:rsidR="000028C4" w:rsidRPr="00D55ABD">
        <w:t xml:space="preserve"> Sci. 2006;</w:t>
      </w:r>
      <w:r w:rsidR="00141498">
        <w:t xml:space="preserve"> </w:t>
      </w:r>
      <w:r w:rsidR="000028C4" w:rsidRPr="00D55ABD">
        <w:t>103(49):</w:t>
      </w:r>
      <w:r w:rsidR="00141498">
        <w:t xml:space="preserve"> </w:t>
      </w:r>
      <w:r w:rsidR="000028C4" w:rsidRPr="00D55ABD">
        <w:t xml:space="preserve">18438–43. </w:t>
      </w:r>
    </w:p>
    <w:p w14:paraId="1E39C7E6" w14:textId="7867C5DD" w:rsidR="00B637FE" w:rsidRPr="00D55ABD" w:rsidRDefault="008E261F" w:rsidP="000D6B81">
      <w:pPr>
        <w:spacing w:after="140"/>
        <w:ind w:left="360" w:hanging="360"/>
        <w:jc w:val="both"/>
      </w:pPr>
      <w:r w:rsidRPr="00D55ABD">
        <w:t>5</w:t>
      </w:r>
      <w:r w:rsidR="000028C4" w:rsidRPr="00D55ABD">
        <w:t xml:space="preserve">. </w:t>
      </w:r>
      <w:r w:rsidR="000028C4" w:rsidRPr="00D55ABD">
        <w:tab/>
        <w:t xml:space="preserve">King AA, D N, </w:t>
      </w:r>
      <w:proofErr w:type="spellStart"/>
      <w:r w:rsidR="000028C4" w:rsidRPr="00D55ABD">
        <w:t>Ionides</w:t>
      </w:r>
      <w:proofErr w:type="spellEnd"/>
      <w:r w:rsidR="000028C4" w:rsidRPr="00D55ABD">
        <w:t xml:space="preserve"> EL. Statistical Inference for Partially Observed Markov Processes via the R Package pomp. J Stat </w:t>
      </w:r>
      <w:proofErr w:type="spellStart"/>
      <w:r w:rsidR="000028C4" w:rsidRPr="00D55ABD">
        <w:t>Softw</w:t>
      </w:r>
      <w:proofErr w:type="spellEnd"/>
      <w:r w:rsidR="000028C4" w:rsidRPr="00D55ABD">
        <w:t>. 2016;</w:t>
      </w:r>
      <w:r w:rsidR="00141498">
        <w:t xml:space="preserve"> </w:t>
      </w:r>
      <w:r w:rsidR="000028C4" w:rsidRPr="00D55ABD">
        <w:t>69(1):</w:t>
      </w:r>
      <w:r w:rsidR="00141498">
        <w:t xml:space="preserve"> </w:t>
      </w:r>
      <w:r w:rsidR="000028C4" w:rsidRPr="00D55ABD">
        <w:t xml:space="preserve">1–43. </w:t>
      </w:r>
    </w:p>
    <w:p w14:paraId="3AE75243" w14:textId="616D4D0F" w:rsidR="00DF5358" w:rsidRPr="00D55ABD" w:rsidRDefault="00B637FE" w:rsidP="000D6B81">
      <w:pPr>
        <w:spacing w:after="140"/>
        <w:ind w:left="360" w:hanging="360"/>
        <w:jc w:val="both"/>
      </w:pPr>
      <w:r w:rsidRPr="00D55ABD">
        <w:t xml:space="preserve">6. </w:t>
      </w:r>
      <w:r w:rsidRPr="00D55ABD">
        <w:tab/>
      </w:r>
      <w:r w:rsidR="00CD681E" w:rsidRPr="00D55ABD">
        <w:rPr>
          <w:color w:val="000000" w:themeColor="text1"/>
        </w:rPr>
        <w:t xml:space="preserve">King AA, </w:t>
      </w:r>
      <w:proofErr w:type="spellStart"/>
      <w:r w:rsidR="007F5856" w:rsidRPr="00D55ABD">
        <w:rPr>
          <w:color w:val="000000" w:themeColor="text1"/>
        </w:rPr>
        <w:t>Ionides</w:t>
      </w:r>
      <w:proofErr w:type="spellEnd"/>
      <w:r w:rsidR="00CD681E" w:rsidRPr="00D55ABD">
        <w:rPr>
          <w:color w:val="000000" w:themeColor="text1"/>
        </w:rPr>
        <w:t xml:space="preserve"> EL</w:t>
      </w:r>
      <w:r w:rsidR="007F5856" w:rsidRPr="00D55ABD">
        <w:rPr>
          <w:color w:val="000000" w:themeColor="text1"/>
        </w:rPr>
        <w:t xml:space="preserve">, </w:t>
      </w:r>
      <w:proofErr w:type="spellStart"/>
      <w:r w:rsidR="007F5856" w:rsidRPr="00D55ABD">
        <w:rPr>
          <w:color w:val="000000" w:themeColor="text1"/>
        </w:rPr>
        <w:t>Breto</w:t>
      </w:r>
      <w:proofErr w:type="spellEnd"/>
      <w:r w:rsidR="00CD681E" w:rsidRPr="00D55ABD">
        <w:rPr>
          <w:color w:val="000000" w:themeColor="text1"/>
        </w:rPr>
        <w:t xml:space="preserve"> CM</w:t>
      </w:r>
      <w:r w:rsidR="007F5856" w:rsidRPr="00D55ABD">
        <w:rPr>
          <w:color w:val="000000" w:themeColor="text1"/>
        </w:rPr>
        <w:t xml:space="preserve">, </w:t>
      </w:r>
      <w:proofErr w:type="spellStart"/>
      <w:r w:rsidR="007F5856" w:rsidRPr="00D55ABD">
        <w:rPr>
          <w:color w:val="000000" w:themeColor="text1"/>
        </w:rPr>
        <w:t>Ellner</w:t>
      </w:r>
      <w:proofErr w:type="spellEnd"/>
      <w:r w:rsidR="00CD681E" w:rsidRPr="00D55ABD">
        <w:rPr>
          <w:color w:val="000000" w:themeColor="text1"/>
        </w:rPr>
        <w:t xml:space="preserve"> SP,</w:t>
      </w:r>
      <w:r w:rsidR="007F5856" w:rsidRPr="00D55ABD">
        <w:rPr>
          <w:color w:val="000000" w:themeColor="text1"/>
        </w:rPr>
        <w:t xml:space="preserve"> Ferrari</w:t>
      </w:r>
      <w:r w:rsidR="00CD681E" w:rsidRPr="00D55ABD">
        <w:rPr>
          <w:color w:val="000000" w:themeColor="text1"/>
        </w:rPr>
        <w:t xml:space="preserve"> MJ, </w:t>
      </w:r>
      <w:r w:rsidR="007F5856" w:rsidRPr="00D55ABD">
        <w:rPr>
          <w:color w:val="000000" w:themeColor="text1"/>
        </w:rPr>
        <w:t>Kendall</w:t>
      </w:r>
      <w:r w:rsidR="00CD681E" w:rsidRPr="00D55ABD">
        <w:rPr>
          <w:color w:val="000000" w:themeColor="text1"/>
        </w:rPr>
        <w:t xml:space="preserve"> BE, </w:t>
      </w:r>
      <w:proofErr w:type="spellStart"/>
      <w:r w:rsidR="007F5856" w:rsidRPr="00D55ABD">
        <w:rPr>
          <w:color w:val="000000" w:themeColor="text1"/>
        </w:rPr>
        <w:t>Lavine</w:t>
      </w:r>
      <w:proofErr w:type="spellEnd"/>
      <w:r w:rsidR="00CD681E" w:rsidRPr="00D55ABD">
        <w:rPr>
          <w:color w:val="000000" w:themeColor="text1"/>
        </w:rPr>
        <w:t xml:space="preserve"> M, </w:t>
      </w:r>
      <w:r w:rsidR="007F5856" w:rsidRPr="00D55ABD">
        <w:rPr>
          <w:color w:val="000000" w:themeColor="text1"/>
        </w:rPr>
        <w:t>Nguyen</w:t>
      </w:r>
      <w:r w:rsidR="00CD681E" w:rsidRPr="00D55ABD">
        <w:rPr>
          <w:color w:val="000000" w:themeColor="text1"/>
        </w:rPr>
        <w:t xml:space="preserve"> D</w:t>
      </w:r>
      <w:r w:rsidR="007F5856" w:rsidRPr="00D55ABD">
        <w:rPr>
          <w:color w:val="000000" w:themeColor="text1"/>
        </w:rPr>
        <w:t xml:space="preserve">, </w:t>
      </w:r>
      <w:proofErr w:type="spellStart"/>
      <w:r w:rsidR="007F5856" w:rsidRPr="00D55ABD">
        <w:rPr>
          <w:color w:val="000000" w:themeColor="text1"/>
        </w:rPr>
        <w:t>Reuman</w:t>
      </w:r>
      <w:proofErr w:type="spellEnd"/>
      <w:r w:rsidR="00CD681E" w:rsidRPr="00D55ABD">
        <w:rPr>
          <w:color w:val="000000" w:themeColor="text1"/>
        </w:rPr>
        <w:t xml:space="preserve"> DC</w:t>
      </w:r>
      <w:r w:rsidR="007F5856" w:rsidRPr="00D55ABD">
        <w:rPr>
          <w:color w:val="000000" w:themeColor="text1"/>
        </w:rPr>
        <w:t>, Wearing</w:t>
      </w:r>
      <w:r w:rsidR="00CD681E" w:rsidRPr="00D55ABD">
        <w:rPr>
          <w:color w:val="000000" w:themeColor="text1"/>
        </w:rPr>
        <w:t xml:space="preserve"> H</w:t>
      </w:r>
      <w:r w:rsidR="007F5856" w:rsidRPr="00D55ABD">
        <w:rPr>
          <w:color w:val="000000" w:themeColor="text1"/>
        </w:rPr>
        <w:t>, Wood</w:t>
      </w:r>
      <w:r w:rsidR="00CD681E" w:rsidRPr="00D55ABD">
        <w:rPr>
          <w:color w:val="000000" w:themeColor="text1"/>
        </w:rPr>
        <w:t xml:space="preserve"> SN. </w:t>
      </w:r>
      <w:r w:rsidR="007F5856" w:rsidRPr="00D55ABD">
        <w:rPr>
          <w:color w:val="000000" w:themeColor="text1"/>
        </w:rPr>
        <w:t>pomp: Statistical Inference for Partially Observed Markov Processes (R package, version 1.5</w:t>
      </w:r>
      <w:r w:rsidR="00316C39" w:rsidRPr="00D55ABD">
        <w:rPr>
          <w:color w:val="000000" w:themeColor="text1"/>
        </w:rPr>
        <w:t xml:space="preserve">). </w:t>
      </w:r>
      <w:r w:rsidR="00CD681E" w:rsidRPr="00D55ABD">
        <w:rPr>
          <w:color w:val="000000" w:themeColor="text1"/>
        </w:rPr>
        <w:t xml:space="preserve">2016. </w:t>
      </w:r>
      <w:r w:rsidR="00316C39" w:rsidRPr="00D55ABD">
        <w:rPr>
          <w:color w:val="000000" w:themeColor="text1"/>
        </w:rPr>
        <w:t>http://kingaa.github.io/pomp</w:t>
      </w:r>
      <w:r w:rsidR="00FA722C" w:rsidRPr="00D55ABD">
        <w:rPr>
          <w:color w:val="000000" w:themeColor="text1"/>
        </w:rPr>
        <w:t>.</w:t>
      </w:r>
    </w:p>
    <w:sectPr w:rsidR="00DF5358" w:rsidRPr="00D55ABD">
      <w:pgSz w:w="12240" w:h="15840"/>
      <w:pgMar w:top="1440" w:right="1440" w:bottom="1440" w:left="1440" w:header="0" w:footer="0" w:gutter="0"/>
      <w:cols w:space="720"/>
      <w:formProt w:val="0"/>
      <w:docGrid w:linePitch="360" w:charSpace="-6145"/>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967DE4" w14:textId="77777777" w:rsidR="00CF2EF1" w:rsidRDefault="00CF2EF1" w:rsidP="005C726C">
      <w:r>
        <w:separator/>
      </w:r>
    </w:p>
  </w:endnote>
  <w:endnote w:type="continuationSeparator" w:id="0">
    <w:p w14:paraId="77ED20A1" w14:textId="77777777" w:rsidR="00CF2EF1" w:rsidRDefault="00CF2EF1" w:rsidP="005C7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Segoe UI">
    <w:altName w:val="Calibri"/>
    <w:charset w:val="00"/>
    <w:family w:val="swiss"/>
    <w:pitch w:val="variable"/>
    <w:sig w:usb0="E4002EFF" w:usb1="C000E47F" w:usb2="00000009" w:usb3="00000000" w:csb0="000001FF" w:csb1="00000000"/>
  </w:font>
  <w:font w:name="Liberation Sans">
    <w:altName w:val="Arial"/>
    <w:charset w:val="01"/>
    <w:family w:val="swiss"/>
    <w:pitch w:val="variable"/>
  </w:font>
  <w:font w:name="Noto Sans CJK SC Regular">
    <w:panose1 w:val="00000000000000000000"/>
    <w:charset w:val="00"/>
    <w:family w:val="roman"/>
    <w:notTrueType/>
    <w:pitch w:val="default"/>
  </w:font>
  <w:font w:name="FreeSans">
    <w:altName w:val="Times New Roman"/>
    <w:charset w:val="01"/>
    <w:family w:val="auto"/>
    <w:pitch w:val="variable"/>
  </w:font>
  <w:font w:name="Cambria Math">
    <w:panose1 w:val="02040503050406030204"/>
    <w:charset w:val="00"/>
    <w:family w:val="auto"/>
    <w:pitch w:val="variable"/>
    <w:sig w:usb0="E00002FF" w:usb1="420024FF" w:usb2="00000000" w:usb3="00000000" w:csb0="0000019F" w:csb1="00000000"/>
  </w:font>
  <w:font w:name="Yu Mincho">
    <w:panose1 w:val="02020400000000000000"/>
    <w:charset w:val="80"/>
    <w:family w:val="auto"/>
    <w:pitch w:val="variable"/>
    <w:sig w:usb0="800002E7" w:usb1="2AC7FCFF" w:usb2="00000012" w:usb3="00000000" w:csb0="0002009F" w:csb1="00000000"/>
  </w:font>
  <w:font w:name="DejaVu Sans">
    <w:panose1 w:val="00000000000000000000"/>
    <w:charset w:val="00"/>
    <w:family w:val="roman"/>
    <w:notTrueType/>
    <w:pitch w:val="default"/>
  </w:font>
  <w:font w:name="Arial">
    <w:panose1 w:val="020B0604020202020204"/>
    <w:charset w:val="00"/>
    <w:family w:val="auto"/>
    <w:pitch w:val="variable"/>
    <w:sig w:usb0="E0002AFF" w:usb1="C0007843" w:usb2="00000009" w:usb3="00000000" w:csb0="000001FF" w:csb1="00000000"/>
  </w:font>
  <w:font w:name="Yu Gothic Light">
    <w:panose1 w:val="020B0300000000000000"/>
    <w:charset w:val="80"/>
    <w:family w:val="auto"/>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AF58EA" w14:textId="77777777" w:rsidR="00CF2EF1" w:rsidRDefault="00CF2EF1" w:rsidP="005C726C">
      <w:r>
        <w:separator/>
      </w:r>
    </w:p>
  </w:footnote>
  <w:footnote w:type="continuationSeparator" w:id="0">
    <w:p w14:paraId="244F660C" w14:textId="77777777" w:rsidR="00CF2EF1" w:rsidRDefault="00CF2EF1" w:rsidP="005C726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7240C6"/>
    <w:multiLevelType w:val="multilevel"/>
    <w:tmpl w:val="671E43A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321B0418"/>
    <w:multiLevelType w:val="multilevel"/>
    <w:tmpl w:val="E350FF34"/>
    <w:lvl w:ilvl="0">
      <w:start w:val="1"/>
      <w:numFmt w:val="decimal"/>
      <w:lvlText w:val="%1."/>
      <w:lvlJc w:val="left"/>
      <w:pPr>
        <w:ind w:left="720" w:hanging="360"/>
      </w:pPr>
      <w:rPr>
        <w:rFonts w:ascii="Times New Roman" w:hAnsi="Times New Roman"/>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4A77002E"/>
    <w:multiLevelType w:val="hybridMultilevel"/>
    <w:tmpl w:val="22AEB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C8B3FEC"/>
    <w:multiLevelType w:val="multilevel"/>
    <w:tmpl w:val="E350FF34"/>
    <w:lvl w:ilvl="0">
      <w:start w:val="1"/>
      <w:numFmt w:val="decimal"/>
      <w:lvlText w:val="%1."/>
      <w:lvlJc w:val="left"/>
      <w:pPr>
        <w:ind w:left="720" w:hanging="360"/>
      </w:pPr>
      <w:rPr>
        <w:rFonts w:ascii="Times New Roman" w:hAnsi="Times New Roman"/>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6B0E4EBE"/>
    <w:multiLevelType w:val="hybridMultilevel"/>
    <w:tmpl w:val="39D4D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DD2"/>
    <w:rsid w:val="00002298"/>
    <w:rsid w:val="000028C4"/>
    <w:rsid w:val="00010F67"/>
    <w:rsid w:val="00013005"/>
    <w:rsid w:val="00013345"/>
    <w:rsid w:val="00026F83"/>
    <w:rsid w:val="00027E0E"/>
    <w:rsid w:val="00030F4A"/>
    <w:rsid w:val="00041A34"/>
    <w:rsid w:val="00041DC6"/>
    <w:rsid w:val="00042C21"/>
    <w:rsid w:val="0007085A"/>
    <w:rsid w:val="00071CFA"/>
    <w:rsid w:val="000765B5"/>
    <w:rsid w:val="00080B32"/>
    <w:rsid w:val="0009529F"/>
    <w:rsid w:val="000A5494"/>
    <w:rsid w:val="000D4363"/>
    <w:rsid w:val="000D5027"/>
    <w:rsid w:val="000D52E5"/>
    <w:rsid w:val="000D5CE4"/>
    <w:rsid w:val="000D6B81"/>
    <w:rsid w:val="000E274C"/>
    <w:rsid w:val="000E5478"/>
    <w:rsid w:val="000E6774"/>
    <w:rsid w:val="0010087E"/>
    <w:rsid w:val="00101632"/>
    <w:rsid w:val="0010405E"/>
    <w:rsid w:val="0011004D"/>
    <w:rsid w:val="00117E48"/>
    <w:rsid w:val="00117ED6"/>
    <w:rsid w:val="00137116"/>
    <w:rsid w:val="00141498"/>
    <w:rsid w:val="00163844"/>
    <w:rsid w:val="001876D8"/>
    <w:rsid w:val="0019025E"/>
    <w:rsid w:val="00192265"/>
    <w:rsid w:val="0019488B"/>
    <w:rsid w:val="0019663A"/>
    <w:rsid w:val="00196CF0"/>
    <w:rsid w:val="00197D60"/>
    <w:rsid w:val="001A3F5F"/>
    <w:rsid w:val="001A4155"/>
    <w:rsid w:val="001B1DD2"/>
    <w:rsid w:val="001B248E"/>
    <w:rsid w:val="001D1A1F"/>
    <w:rsid w:val="001E0042"/>
    <w:rsid w:val="001F57E6"/>
    <w:rsid w:val="001F5C38"/>
    <w:rsid w:val="001F778F"/>
    <w:rsid w:val="00200F31"/>
    <w:rsid w:val="002348E3"/>
    <w:rsid w:val="00241D8D"/>
    <w:rsid w:val="002562FE"/>
    <w:rsid w:val="00287B17"/>
    <w:rsid w:val="00292385"/>
    <w:rsid w:val="002933BB"/>
    <w:rsid w:val="00294295"/>
    <w:rsid w:val="002A6FBC"/>
    <w:rsid w:val="002A7BB5"/>
    <w:rsid w:val="002B2929"/>
    <w:rsid w:val="002C23CC"/>
    <w:rsid w:val="002E0731"/>
    <w:rsid w:val="002E350D"/>
    <w:rsid w:val="002E3777"/>
    <w:rsid w:val="002F7D5C"/>
    <w:rsid w:val="00302BC9"/>
    <w:rsid w:val="003108FC"/>
    <w:rsid w:val="00310987"/>
    <w:rsid w:val="003153D2"/>
    <w:rsid w:val="00316C39"/>
    <w:rsid w:val="0032280A"/>
    <w:rsid w:val="00324412"/>
    <w:rsid w:val="0032511B"/>
    <w:rsid w:val="003465C3"/>
    <w:rsid w:val="00353EDB"/>
    <w:rsid w:val="00363F5A"/>
    <w:rsid w:val="00391986"/>
    <w:rsid w:val="003A625D"/>
    <w:rsid w:val="003B6811"/>
    <w:rsid w:val="003D1BB7"/>
    <w:rsid w:val="003E205B"/>
    <w:rsid w:val="003E3B65"/>
    <w:rsid w:val="003E4568"/>
    <w:rsid w:val="003E6120"/>
    <w:rsid w:val="003E79B6"/>
    <w:rsid w:val="00400FDE"/>
    <w:rsid w:val="00407227"/>
    <w:rsid w:val="00412AE8"/>
    <w:rsid w:val="00417B07"/>
    <w:rsid w:val="004220D8"/>
    <w:rsid w:val="004239D9"/>
    <w:rsid w:val="0043099F"/>
    <w:rsid w:val="00440C63"/>
    <w:rsid w:val="004411BB"/>
    <w:rsid w:val="00445CF0"/>
    <w:rsid w:val="00464C30"/>
    <w:rsid w:val="00475AF7"/>
    <w:rsid w:val="004831DA"/>
    <w:rsid w:val="00485B5E"/>
    <w:rsid w:val="00491263"/>
    <w:rsid w:val="004A0A95"/>
    <w:rsid w:val="004A19FB"/>
    <w:rsid w:val="004A2300"/>
    <w:rsid w:val="004A7DFB"/>
    <w:rsid w:val="004B42FB"/>
    <w:rsid w:val="004C37FB"/>
    <w:rsid w:val="004D3574"/>
    <w:rsid w:val="004E306D"/>
    <w:rsid w:val="004E4AAF"/>
    <w:rsid w:val="004E644B"/>
    <w:rsid w:val="004F28E4"/>
    <w:rsid w:val="004F42FA"/>
    <w:rsid w:val="004F75B8"/>
    <w:rsid w:val="00507FD8"/>
    <w:rsid w:val="00511303"/>
    <w:rsid w:val="00511842"/>
    <w:rsid w:val="00511F19"/>
    <w:rsid w:val="00513D21"/>
    <w:rsid w:val="00513F16"/>
    <w:rsid w:val="00532979"/>
    <w:rsid w:val="00534174"/>
    <w:rsid w:val="00563A1B"/>
    <w:rsid w:val="00563AED"/>
    <w:rsid w:val="005666D9"/>
    <w:rsid w:val="00571B74"/>
    <w:rsid w:val="0057426C"/>
    <w:rsid w:val="005743DE"/>
    <w:rsid w:val="005763DD"/>
    <w:rsid w:val="005A4A40"/>
    <w:rsid w:val="005A673D"/>
    <w:rsid w:val="005B34CA"/>
    <w:rsid w:val="005C726C"/>
    <w:rsid w:val="005D61DB"/>
    <w:rsid w:val="005E3716"/>
    <w:rsid w:val="005F40E1"/>
    <w:rsid w:val="005F613D"/>
    <w:rsid w:val="006075A6"/>
    <w:rsid w:val="006214BB"/>
    <w:rsid w:val="006255F5"/>
    <w:rsid w:val="00632BA5"/>
    <w:rsid w:val="00636581"/>
    <w:rsid w:val="00643C71"/>
    <w:rsid w:val="006464AE"/>
    <w:rsid w:val="006474B0"/>
    <w:rsid w:val="00665349"/>
    <w:rsid w:val="00665936"/>
    <w:rsid w:val="006779CB"/>
    <w:rsid w:val="00685EB4"/>
    <w:rsid w:val="00694ECC"/>
    <w:rsid w:val="0069763C"/>
    <w:rsid w:val="00697FCB"/>
    <w:rsid w:val="006A1AA2"/>
    <w:rsid w:val="006A6798"/>
    <w:rsid w:val="006A7466"/>
    <w:rsid w:val="006B6351"/>
    <w:rsid w:val="006C1FCB"/>
    <w:rsid w:val="006C304E"/>
    <w:rsid w:val="006D034F"/>
    <w:rsid w:val="006D46F9"/>
    <w:rsid w:val="006E15CB"/>
    <w:rsid w:val="006E3835"/>
    <w:rsid w:val="006E5D5F"/>
    <w:rsid w:val="00706FE0"/>
    <w:rsid w:val="00720BDB"/>
    <w:rsid w:val="00724F08"/>
    <w:rsid w:val="00726A8F"/>
    <w:rsid w:val="00733940"/>
    <w:rsid w:val="00740E1C"/>
    <w:rsid w:val="00744532"/>
    <w:rsid w:val="00757CA8"/>
    <w:rsid w:val="00761629"/>
    <w:rsid w:val="007715E0"/>
    <w:rsid w:val="00774C04"/>
    <w:rsid w:val="007775C4"/>
    <w:rsid w:val="007832E7"/>
    <w:rsid w:val="00792AE4"/>
    <w:rsid w:val="00792C8C"/>
    <w:rsid w:val="007B0485"/>
    <w:rsid w:val="007C33B0"/>
    <w:rsid w:val="007D7CE7"/>
    <w:rsid w:val="007E25F9"/>
    <w:rsid w:val="007E2D29"/>
    <w:rsid w:val="007E5C8A"/>
    <w:rsid w:val="007F5856"/>
    <w:rsid w:val="007F5C14"/>
    <w:rsid w:val="00811754"/>
    <w:rsid w:val="008262AE"/>
    <w:rsid w:val="00831F7E"/>
    <w:rsid w:val="0083226E"/>
    <w:rsid w:val="008364F1"/>
    <w:rsid w:val="00837219"/>
    <w:rsid w:val="00840E32"/>
    <w:rsid w:val="008433CA"/>
    <w:rsid w:val="00852691"/>
    <w:rsid w:val="008574A3"/>
    <w:rsid w:val="00863564"/>
    <w:rsid w:val="008654AF"/>
    <w:rsid w:val="0086698F"/>
    <w:rsid w:val="00876417"/>
    <w:rsid w:val="00883A1A"/>
    <w:rsid w:val="008861E6"/>
    <w:rsid w:val="00893361"/>
    <w:rsid w:val="008943DD"/>
    <w:rsid w:val="008A4BDA"/>
    <w:rsid w:val="008A6D0A"/>
    <w:rsid w:val="008B6ED5"/>
    <w:rsid w:val="008C1CC6"/>
    <w:rsid w:val="008E261F"/>
    <w:rsid w:val="008F2936"/>
    <w:rsid w:val="00905C06"/>
    <w:rsid w:val="00912A83"/>
    <w:rsid w:val="00924DDD"/>
    <w:rsid w:val="00925FC5"/>
    <w:rsid w:val="00937E99"/>
    <w:rsid w:val="0094047A"/>
    <w:rsid w:val="009505E9"/>
    <w:rsid w:val="0095182B"/>
    <w:rsid w:val="00955A74"/>
    <w:rsid w:val="0095705D"/>
    <w:rsid w:val="00975B8A"/>
    <w:rsid w:val="00984FA2"/>
    <w:rsid w:val="009865FC"/>
    <w:rsid w:val="00987685"/>
    <w:rsid w:val="0099477B"/>
    <w:rsid w:val="00996BCB"/>
    <w:rsid w:val="009A3D81"/>
    <w:rsid w:val="009D5F5B"/>
    <w:rsid w:val="009E261E"/>
    <w:rsid w:val="00A1676A"/>
    <w:rsid w:val="00A2411C"/>
    <w:rsid w:val="00A3729F"/>
    <w:rsid w:val="00A44621"/>
    <w:rsid w:val="00A54A23"/>
    <w:rsid w:val="00A75155"/>
    <w:rsid w:val="00A84933"/>
    <w:rsid w:val="00A84F1C"/>
    <w:rsid w:val="00A868E6"/>
    <w:rsid w:val="00A87C40"/>
    <w:rsid w:val="00A87E66"/>
    <w:rsid w:val="00A93F2F"/>
    <w:rsid w:val="00AA0DB6"/>
    <w:rsid w:val="00AA1C2E"/>
    <w:rsid w:val="00AB1DB5"/>
    <w:rsid w:val="00AE324B"/>
    <w:rsid w:val="00B014B3"/>
    <w:rsid w:val="00B036B7"/>
    <w:rsid w:val="00B07AA5"/>
    <w:rsid w:val="00B105B5"/>
    <w:rsid w:val="00B22B74"/>
    <w:rsid w:val="00B24D40"/>
    <w:rsid w:val="00B31D59"/>
    <w:rsid w:val="00B33CF8"/>
    <w:rsid w:val="00B4243C"/>
    <w:rsid w:val="00B622BE"/>
    <w:rsid w:val="00B637FE"/>
    <w:rsid w:val="00B71F36"/>
    <w:rsid w:val="00B77089"/>
    <w:rsid w:val="00B82774"/>
    <w:rsid w:val="00B84160"/>
    <w:rsid w:val="00B950D7"/>
    <w:rsid w:val="00BB3C26"/>
    <w:rsid w:val="00BB6B8A"/>
    <w:rsid w:val="00BB75A4"/>
    <w:rsid w:val="00BC124C"/>
    <w:rsid w:val="00BC1709"/>
    <w:rsid w:val="00BC2192"/>
    <w:rsid w:val="00BD615E"/>
    <w:rsid w:val="00BD6517"/>
    <w:rsid w:val="00BD7442"/>
    <w:rsid w:val="00BE1C29"/>
    <w:rsid w:val="00BE2AE6"/>
    <w:rsid w:val="00BF17EA"/>
    <w:rsid w:val="00BF6486"/>
    <w:rsid w:val="00C076FF"/>
    <w:rsid w:val="00C13D30"/>
    <w:rsid w:val="00C20CEB"/>
    <w:rsid w:val="00C33442"/>
    <w:rsid w:val="00C362B9"/>
    <w:rsid w:val="00C4573F"/>
    <w:rsid w:val="00C61B55"/>
    <w:rsid w:val="00C72564"/>
    <w:rsid w:val="00C7421F"/>
    <w:rsid w:val="00C75166"/>
    <w:rsid w:val="00C77A6A"/>
    <w:rsid w:val="00C93E1B"/>
    <w:rsid w:val="00CA1455"/>
    <w:rsid w:val="00CA4AFB"/>
    <w:rsid w:val="00CB23B6"/>
    <w:rsid w:val="00CB30DF"/>
    <w:rsid w:val="00CB464C"/>
    <w:rsid w:val="00CD681E"/>
    <w:rsid w:val="00CE2E9F"/>
    <w:rsid w:val="00CF2EF1"/>
    <w:rsid w:val="00D03C6B"/>
    <w:rsid w:val="00D04C90"/>
    <w:rsid w:val="00D10405"/>
    <w:rsid w:val="00D12188"/>
    <w:rsid w:val="00D17254"/>
    <w:rsid w:val="00D31891"/>
    <w:rsid w:val="00D33A4E"/>
    <w:rsid w:val="00D37248"/>
    <w:rsid w:val="00D44BF8"/>
    <w:rsid w:val="00D55ABD"/>
    <w:rsid w:val="00D572A6"/>
    <w:rsid w:val="00D62A92"/>
    <w:rsid w:val="00D63EF6"/>
    <w:rsid w:val="00D65BFD"/>
    <w:rsid w:val="00D71D90"/>
    <w:rsid w:val="00D73BEE"/>
    <w:rsid w:val="00D73FBC"/>
    <w:rsid w:val="00D96918"/>
    <w:rsid w:val="00DA4243"/>
    <w:rsid w:val="00DC4D75"/>
    <w:rsid w:val="00DE503D"/>
    <w:rsid w:val="00DF5358"/>
    <w:rsid w:val="00E01CD6"/>
    <w:rsid w:val="00E1122A"/>
    <w:rsid w:val="00E12C93"/>
    <w:rsid w:val="00E175EC"/>
    <w:rsid w:val="00E2020D"/>
    <w:rsid w:val="00E250AA"/>
    <w:rsid w:val="00E26DBF"/>
    <w:rsid w:val="00E47806"/>
    <w:rsid w:val="00E616D0"/>
    <w:rsid w:val="00E666D3"/>
    <w:rsid w:val="00E722B9"/>
    <w:rsid w:val="00E819CC"/>
    <w:rsid w:val="00E82617"/>
    <w:rsid w:val="00E86F4B"/>
    <w:rsid w:val="00E87847"/>
    <w:rsid w:val="00EA3849"/>
    <w:rsid w:val="00EB223A"/>
    <w:rsid w:val="00EB2C69"/>
    <w:rsid w:val="00EB5935"/>
    <w:rsid w:val="00EB5BF3"/>
    <w:rsid w:val="00EE6D5F"/>
    <w:rsid w:val="00EF1532"/>
    <w:rsid w:val="00EF4221"/>
    <w:rsid w:val="00EF5E6E"/>
    <w:rsid w:val="00F04345"/>
    <w:rsid w:val="00F06568"/>
    <w:rsid w:val="00F229B8"/>
    <w:rsid w:val="00F2366E"/>
    <w:rsid w:val="00F2551F"/>
    <w:rsid w:val="00F26E1D"/>
    <w:rsid w:val="00F33369"/>
    <w:rsid w:val="00F36E1A"/>
    <w:rsid w:val="00F456AB"/>
    <w:rsid w:val="00F53D10"/>
    <w:rsid w:val="00F615CF"/>
    <w:rsid w:val="00F67614"/>
    <w:rsid w:val="00F72D38"/>
    <w:rsid w:val="00F74CE0"/>
    <w:rsid w:val="00F7681D"/>
    <w:rsid w:val="00F7683D"/>
    <w:rsid w:val="00FA165E"/>
    <w:rsid w:val="00FA1E3B"/>
    <w:rsid w:val="00FA3E34"/>
    <w:rsid w:val="00FA722C"/>
    <w:rsid w:val="00FB4857"/>
    <w:rsid w:val="00FC6DDD"/>
    <w:rsid w:val="00FC7116"/>
    <w:rsid w:val="00FE396C"/>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BFDB6D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F5358"/>
    <w:rPr>
      <w:rFonts w:ascii="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AC5EA7"/>
  </w:style>
  <w:style w:type="character" w:customStyle="1" w:styleId="FooterChar">
    <w:name w:val="Footer Char"/>
    <w:basedOn w:val="DefaultParagraphFont"/>
    <w:link w:val="Footer"/>
    <w:uiPriority w:val="99"/>
    <w:qFormat/>
    <w:rsid w:val="00AC5EA7"/>
  </w:style>
  <w:style w:type="character" w:customStyle="1" w:styleId="DocumentMapChar">
    <w:name w:val="Document Map Char"/>
    <w:basedOn w:val="DefaultParagraphFont"/>
    <w:link w:val="DocumentMap"/>
    <w:uiPriority w:val="99"/>
    <w:semiHidden/>
    <w:qFormat/>
    <w:rsid w:val="00F94BEC"/>
    <w:rPr>
      <w:rFonts w:ascii="Times New Roman" w:hAnsi="Times New Roman" w:cs="Times New Roman"/>
    </w:rPr>
  </w:style>
  <w:style w:type="character" w:styleId="PlaceholderText">
    <w:name w:val="Placeholder Text"/>
    <w:basedOn w:val="DefaultParagraphFont"/>
    <w:uiPriority w:val="99"/>
    <w:semiHidden/>
    <w:qFormat/>
    <w:rsid w:val="00E30EB5"/>
    <w:rPr>
      <w:color w:val="808080"/>
    </w:rPr>
  </w:style>
  <w:style w:type="character" w:styleId="CommentReference">
    <w:name w:val="annotation reference"/>
    <w:basedOn w:val="DefaultParagraphFont"/>
    <w:uiPriority w:val="99"/>
    <w:semiHidden/>
    <w:unhideWhenUsed/>
    <w:qFormat/>
    <w:rsid w:val="00730FDD"/>
    <w:rPr>
      <w:sz w:val="16"/>
      <w:szCs w:val="16"/>
    </w:rPr>
  </w:style>
  <w:style w:type="character" w:customStyle="1" w:styleId="CommentTextChar">
    <w:name w:val="Comment Text Char"/>
    <w:basedOn w:val="DefaultParagraphFont"/>
    <w:link w:val="CommentText"/>
    <w:uiPriority w:val="99"/>
    <w:qFormat/>
    <w:rsid w:val="00730FDD"/>
    <w:rPr>
      <w:sz w:val="20"/>
      <w:szCs w:val="20"/>
    </w:rPr>
  </w:style>
  <w:style w:type="character" w:customStyle="1" w:styleId="CommentSubjectChar">
    <w:name w:val="Comment Subject Char"/>
    <w:basedOn w:val="CommentTextChar"/>
    <w:link w:val="CommentSubject"/>
    <w:uiPriority w:val="99"/>
    <w:semiHidden/>
    <w:qFormat/>
    <w:rsid w:val="00730FDD"/>
    <w:rPr>
      <w:b/>
      <w:bCs/>
      <w:sz w:val="20"/>
      <w:szCs w:val="20"/>
    </w:rPr>
  </w:style>
  <w:style w:type="character" w:customStyle="1" w:styleId="BalloonTextChar">
    <w:name w:val="Balloon Text Char"/>
    <w:basedOn w:val="DefaultParagraphFont"/>
    <w:link w:val="BalloonText"/>
    <w:uiPriority w:val="99"/>
    <w:semiHidden/>
    <w:qFormat/>
    <w:rsid w:val="00730FDD"/>
    <w:rPr>
      <w:rFonts w:ascii="Segoe UI" w:hAnsi="Segoe UI" w:cs="Segoe UI"/>
      <w:sz w:val="18"/>
      <w:szCs w:val="18"/>
    </w:rPr>
  </w:style>
  <w:style w:type="character" w:customStyle="1" w:styleId="ListLabel1">
    <w:name w:val="ListLabel 1"/>
    <w:qFormat/>
    <w:rPr>
      <w:rFonts w:eastAsia="Calibri" w:cs="Times New Roman"/>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ascii="Times New Roman" w:hAnsi="Times New Roman"/>
      <w:sz w:val="20"/>
      <w:szCs w:val="20"/>
    </w:rPr>
  </w:style>
  <w:style w:type="character" w:customStyle="1" w:styleId="ListLabel6">
    <w:name w:val="ListLabel 6"/>
    <w:qFormat/>
    <w:rPr>
      <w:rFonts w:eastAsia="Calibri"/>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paragraph" w:customStyle="1" w:styleId="Heading">
    <w:name w:val="Heading"/>
    <w:basedOn w:val="Normal"/>
    <w:next w:val="BodyText"/>
    <w:qFormat/>
    <w:pPr>
      <w:keepNext/>
      <w:spacing w:before="240" w:after="120"/>
    </w:pPr>
    <w:rPr>
      <w:rFonts w:ascii="Liberation Sans" w:eastAsia="Noto Sans CJK SC Regular" w:hAnsi="Liberation Sans" w:cs="FreeSans"/>
      <w:sz w:val="28"/>
      <w:szCs w:val="28"/>
    </w:rPr>
  </w:style>
  <w:style w:type="paragraph" w:styleId="BodyText">
    <w:name w:val="Body Text"/>
    <w:basedOn w:val="Normal"/>
    <w:pPr>
      <w:spacing w:after="140" w:line="288" w:lineRule="auto"/>
    </w:pPr>
    <w:rPr>
      <w:rFonts w:asciiTheme="minorHAnsi" w:hAnsiTheme="minorHAnsi" w:cstheme="minorBidi"/>
    </w:rPr>
  </w:style>
  <w:style w:type="paragraph" w:styleId="List">
    <w:name w:val="List"/>
    <w:basedOn w:val="BodyText"/>
    <w:rPr>
      <w:rFonts w:cs="FreeSans"/>
    </w:rPr>
  </w:style>
  <w:style w:type="paragraph" w:styleId="Caption">
    <w:name w:val="caption"/>
    <w:basedOn w:val="Normal"/>
    <w:qFormat/>
    <w:pPr>
      <w:suppressLineNumbers/>
      <w:spacing w:before="120" w:after="120"/>
    </w:pPr>
    <w:rPr>
      <w:rFonts w:asciiTheme="minorHAnsi" w:hAnsiTheme="minorHAnsi" w:cs="FreeSans"/>
      <w:i/>
      <w:iCs/>
    </w:rPr>
  </w:style>
  <w:style w:type="paragraph" w:customStyle="1" w:styleId="Index">
    <w:name w:val="Index"/>
    <w:basedOn w:val="Normal"/>
    <w:qFormat/>
    <w:pPr>
      <w:suppressLineNumbers/>
    </w:pPr>
    <w:rPr>
      <w:rFonts w:asciiTheme="minorHAnsi" w:hAnsiTheme="minorHAnsi" w:cs="FreeSans"/>
    </w:rPr>
  </w:style>
  <w:style w:type="paragraph" w:styleId="Header">
    <w:name w:val="header"/>
    <w:basedOn w:val="Normal"/>
    <w:link w:val="HeaderChar"/>
    <w:uiPriority w:val="99"/>
    <w:unhideWhenUsed/>
    <w:rsid w:val="00AC5EA7"/>
    <w:pPr>
      <w:tabs>
        <w:tab w:val="center" w:pos="4680"/>
        <w:tab w:val="right" w:pos="9360"/>
      </w:tabs>
    </w:pPr>
    <w:rPr>
      <w:rFonts w:asciiTheme="minorHAnsi" w:hAnsiTheme="minorHAnsi" w:cstheme="minorBidi"/>
    </w:rPr>
  </w:style>
  <w:style w:type="paragraph" w:styleId="Footer">
    <w:name w:val="footer"/>
    <w:basedOn w:val="Normal"/>
    <w:link w:val="FooterChar"/>
    <w:uiPriority w:val="99"/>
    <w:unhideWhenUsed/>
    <w:rsid w:val="00AC5EA7"/>
    <w:pPr>
      <w:tabs>
        <w:tab w:val="center" w:pos="4680"/>
        <w:tab w:val="right" w:pos="9360"/>
      </w:tabs>
    </w:pPr>
    <w:rPr>
      <w:rFonts w:asciiTheme="minorHAnsi" w:hAnsiTheme="minorHAnsi" w:cstheme="minorBidi"/>
    </w:rPr>
  </w:style>
  <w:style w:type="paragraph" w:styleId="DocumentMap">
    <w:name w:val="Document Map"/>
    <w:basedOn w:val="Normal"/>
    <w:link w:val="DocumentMapChar"/>
    <w:uiPriority w:val="99"/>
    <w:semiHidden/>
    <w:unhideWhenUsed/>
    <w:qFormat/>
    <w:rsid w:val="00F94BEC"/>
  </w:style>
  <w:style w:type="paragraph" w:styleId="ListParagraph">
    <w:name w:val="List Paragraph"/>
    <w:basedOn w:val="Normal"/>
    <w:uiPriority w:val="34"/>
    <w:qFormat/>
    <w:rsid w:val="00A36780"/>
    <w:pPr>
      <w:ind w:left="720"/>
      <w:contextualSpacing/>
    </w:pPr>
    <w:rPr>
      <w:rFonts w:asciiTheme="minorHAnsi" w:hAnsiTheme="minorHAnsi" w:cstheme="minorBidi"/>
    </w:rPr>
  </w:style>
  <w:style w:type="paragraph" w:styleId="CommentText">
    <w:name w:val="annotation text"/>
    <w:basedOn w:val="Normal"/>
    <w:link w:val="CommentTextChar"/>
    <w:uiPriority w:val="99"/>
    <w:unhideWhenUsed/>
    <w:qFormat/>
    <w:rsid w:val="00730FDD"/>
    <w:rPr>
      <w:rFonts w:asciiTheme="minorHAnsi" w:hAnsiTheme="minorHAnsi" w:cstheme="minorBidi"/>
      <w:sz w:val="20"/>
      <w:szCs w:val="20"/>
    </w:rPr>
  </w:style>
  <w:style w:type="paragraph" w:styleId="CommentSubject">
    <w:name w:val="annotation subject"/>
    <w:basedOn w:val="CommentText"/>
    <w:link w:val="CommentSubjectChar"/>
    <w:uiPriority w:val="99"/>
    <w:semiHidden/>
    <w:unhideWhenUsed/>
    <w:qFormat/>
    <w:rsid w:val="00730FDD"/>
    <w:rPr>
      <w:b/>
      <w:bCs/>
    </w:rPr>
  </w:style>
  <w:style w:type="paragraph" w:styleId="BalloonText">
    <w:name w:val="Balloon Text"/>
    <w:basedOn w:val="Normal"/>
    <w:link w:val="BalloonTextChar"/>
    <w:uiPriority w:val="99"/>
    <w:semiHidden/>
    <w:unhideWhenUsed/>
    <w:qFormat/>
    <w:rsid w:val="00730FDD"/>
    <w:rPr>
      <w:rFonts w:ascii="Segoe UI" w:hAnsi="Segoe UI" w:cs="Segoe UI"/>
      <w:sz w:val="18"/>
      <w:szCs w:val="18"/>
    </w:rPr>
  </w:style>
  <w:style w:type="table" w:styleId="TableGrid">
    <w:name w:val="Table Grid"/>
    <w:basedOn w:val="TableNormal"/>
    <w:uiPriority w:val="39"/>
    <w:rsid w:val="008620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TableNormal"/>
    <w:uiPriority w:val="40"/>
    <w:rsid w:val="00BC1BE5"/>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style>
  <w:style w:type="character" w:styleId="Hyperlink">
    <w:name w:val="Hyperlink"/>
    <w:basedOn w:val="DefaultParagraphFont"/>
    <w:uiPriority w:val="99"/>
    <w:unhideWhenUsed/>
    <w:rsid w:val="00DF5358"/>
    <w:rPr>
      <w:color w:val="0563C1" w:themeColor="hyperlink"/>
      <w:u w:val="single"/>
    </w:rPr>
  </w:style>
  <w:style w:type="paragraph" w:styleId="NormalWeb">
    <w:name w:val="Normal (Web)"/>
    <w:basedOn w:val="Normal"/>
    <w:uiPriority w:val="99"/>
    <w:semiHidden/>
    <w:unhideWhenUsed/>
    <w:rsid w:val="00DF5358"/>
    <w:pPr>
      <w:spacing w:before="100" w:beforeAutospacing="1" w:after="100" w:afterAutospacing="1"/>
    </w:pPr>
  </w:style>
  <w:style w:type="paragraph" w:styleId="FootnoteText">
    <w:name w:val="footnote text"/>
    <w:basedOn w:val="Normal"/>
    <w:link w:val="FootnoteTextChar"/>
    <w:uiPriority w:val="99"/>
    <w:unhideWhenUsed/>
    <w:rsid w:val="00B07AA5"/>
  </w:style>
  <w:style w:type="character" w:customStyle="1" w:styleId="FootnoteTextChar">
    <w:name w:val="Footnote Text Char"/>
    <w:basedOn w:val="DefaultParagraphFont"/>
    <w:link w:val="FootnoteText"/>
    <w:uiPriority w:val="99"/>
    <w:rsid w:val="00B07AA5"/>
    <w:rPr>
      <w:rFonts w:ascii="Times New Roman" w:hAnsi="Times New Roman" w:cs="Times New Roman"/>
    </w:rPr>
  </w:style>
  <w:style w:type="character" w:styleId="FootnoteReference">
    <w:name w:val="footnote reference"/>
    <w:basedOn w:val="DefaultParagraphFont"/>
    <w:uiPriority w:val="99"/>
    <w:unhideWhenUsed/>
    <w:rsid w:val="00B07AA5"/>
    <w:rPr>
      <w:vertAlign w:val="superscript"/>
    </w:rPr>
  </w:style>
  <w:style w:type="character" w:styleId="FollowedHyperlink">
    <w:name w:val="FollowedHyperlink"/>
    <w:basedOn w:val="DefaultParagraphFont"/>
    <w:uiPriority w:val="99"/>
    <w:semiHidden/>
    <w:unhideWhenUsed/>
    <w:rsid w:val="00316C39"/>
    <w:rPr>
      <w:color w:val="954F72" w:themeColor="followedHyperlink"/>
      <w:u w:val="single"/>
    </w:rPr>
  </w:style>
  <w:style w:type="paragraph" w:styleId="Revision">
    <w:name w:val="Revision"/>
    <w:hidden/>
    <w:uiPriority w:val="99"/>
    <w:semiHidden/>
    <w:rsid w:val="00571B74"/>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07792">
      <w:bodyDiv w:val="1"/>
      <w:marLeft w:val="0"/>
      <w:marRight w:val="0"/>
      <w:marTop w:val="0"/>
      <w:marBottom w:val="0"/>
      <w:divBdr>
        <w:top w:val="none" w:sz="0" w:space="0" w:color="auto"/>
        <w:left w:val="none" w:sz="0" w:space="0" w:color="auto"/>
        <w:bottom w:val="none" w:sz="0" w:space="0" w:color="auto"/>
        <w:right w:val="none" w:sz="0" w:space="0" w:color="auto"/>
      </w:divBdr>
    </w:div>
    <w:div w:id="295260579">
      <w:bodyDiv w:val="1"/>
      <w:marLeft w:val="0"/>
      <w:marRight w:val="0"/>
      <w:marTop w:val="0"/>
      <w:marBottom w:val="0"/>
      <w:divBdr>
        <w:top w:val="none" w:sz="0" w:space="0" w:color="auto"/>
        <w:left w:val="none" w:sz="0" w:space="0" w:color="auto"/>
        <w:bottom w:val="none" w:sz="0" w:space="0" w:color="auto"/>
        <w:right w:val="none" w:sz="0" w:space="0" w:color="auto"/>
      </w:divBdr>
    </w:div>
    <w:div w:id="362629969">
      <w:bodyDiv w:val="1"/>
      <w:marLeft w:val="0"/>
      <w:marRight w:val="0"/>
      <w:marTop w:val="0"/>
      <w:marBottom w:val="0"/>
      <w:divBdr>
        <w:top w:val="none" w:sz="0" w:space="0" w:color="auto"/>
        <w:left w:val="none" w:sz="0" w:space="0" w:color="auto"/>
        <w:bottom w:val="none" w:sz="0" w:space="0" w:color="auto"/>
        <w:right w:val="none" w:sz="0" w:space="0" w:color="auto"/>
      </w:divBdr>
    </w:div>
    <w:div w:id="466052112">
      <w:bodyDiv w:val="1"/>
      <w:marLeft w:val="0"/>
      <w:marRight w:val="0"/>
      <w:marTop w:val="0"/>
      <w:marBottom w:val="0"/>
      <w:divBdr>
        <w:top w:val="none" w:sz="0" w:space="0" w:color="auto"/>
        <w:left w:val="none" w:sz="0" w:space="0" w:color="auto"/>
        <w:bottom w:val="none" w:sz="0" w:space="0" w:color="auto"/>
        <w:right w:val="none" w:sz="0" w:space="0" w:color="auto"/>
      </w:divBdr>
    </w:div>
    <w:div w:id="1180244467">
      <w:bodyDiv w:val="1"/>
      <w:marLeft w:val="0"/>
      <w:marRight w:val="0"/>
      <w:marTop w:val="0"/>
      <w:marBottom w:val="0"/>
      <w:divBdr>
        <w:top w:val="none" w:sz="0" w:space="0" w:color="auto"/>
        <w:left w:val="none" w:sz="0" w:space="0" w:color="auto"/>
        <w:bottom w:val="none" w:sz="0" w:space="0" w:color="auto"/>
        <w:right w:val="none" w:sz="0" w:space="0" w:color="auto"/>
      </w:divBdr>
    </w:div>
    <w:div w:id="1740715815">
      <w:bodyDiv w:val="1"/>
      <w:marLeft w:val="0"/>
      <w:marRight w:val="0"/>
      <w:marTop w:val="0"/>
      <w:marBottom w:val="0"/>
      <w:divBdr>
        <w:top w:val="none" w:sz="0" w:space="0" w:color="auto"/>
        <w:left w:val="none" w:sz="0" w:space="0" w:color="auto"/>
        <w:bottom w:val="none" w:sz="0" w:space="0" w:color="auto"/>
        <w:right w:val="none" w:sz="0" w:space="0" w:color="auto"/>
      </w:divBdr>
    </w:div>
    <w:div w:id="2086686659">
      <w:bodyDiv w:val="1"/>
      <w:marLeft w:val="0"/>
      <w:marRight w:val="0"/>
      <w:marTop w:val="0"/>
      <w:marBottom w:val="0"/>
      <w:divBdr>
        <w:top w:val="none" w:sz="0" w:space="0" w:color="auto"/>
        <w:left w:val="none" w:sz="0" w:space="0" w:color="auto"/>
        <w:bottom w:val="none" w:sz="0" w:space="0" w:color="auto"/>
        <w:right w:val="none" w:sz="0" w:space="0" w:color="auto"/>
      </w:divBdr>
    </w:div>
    <w:div w:id="2107843241">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324512-95C1-1246-829E-8551BBBB2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968</Words>
  <Characters>5523</Characters>
  <Application>Microsoft Macintosh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University of Michigan</Company>
  <LinksUpToDate>false</LinksUpToDate>
  <CharactersWithSpaces>6479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Pamela Martinez</dc:creator>
  <dc:description/>
  <cp:lastModifiedBy>Pamela Martinez</cp:lastModifiedBy>
  <cp:revision>13</cp:revision>
  <cp:lastPrinted>2016-06-29T18:54:00Z</cp:lastPrinted>
  <dcterms:created xsi:type="dcterms:W3CDTF">2017-02-08T23:17:00Z</dcterms:created>
  <dcterms:modified xsi:type="dcterms:W3CDTF">2017-02-11T16:48:00Z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University of Michigan</vt:lpwstr>
  </property>
  <property fmtid="{D5CDD505-2E9C-101B-9397-08002B2CF9AE}" pid="4" name="DocSecurity">
    <vt:i4>0</vt:i4>
  </property>
  <property fmtid="{D5CDD505-2E9C-101B-9397-08002B2CF9AE}" pid="5" name="HyperlinksChanged">
    <vt:bool>true</vt:bool>
  </property>
  <property fmtid="{D5CDD505-2E9C-101B-9397-08002B2CF9AE}" pid="6" name="LinksUpToDate">
    <vt:bool>true</vt:bool>
  </property>
  <property fmtid="{D5CDD505-2E9C-101B-9397-08002B2CF9AE}" pid="7" name="ScaleCrop">
    <vt:bool>true</vt:bool>
  </property>
  <property fmtid="{D5CDD505-2E9C-101B-9397-08002B2CF9AE}" pid="8" name="ShareDoc">
    <vt:bool>true</vt:bool>
  </property>
</Properties>
</file>