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6D242" w14:textId="77777777" w:rsidR="00A525F9" w:rsidRDefault="00A525F9" w:rsidP="00A525F9">
      <w:pPr>
        <w:rPr>
          <w:rFonts w:ascii="Verdana" w:hAnsi="Verdana"/>
          <w:b/>
          <w:bCs/>
          <w:color w:val="000000"/>
          <w:sz w:val="17"/>
          <w:szCs w:val="17"/>
          <w:shd w:val="clear" w:color="auto" w:fill="FFFFFF"/>
        </w:rPr>
      </w:pPr>
      <w:r w:rsidRPr="006D7BD5">
        <w:rPr>
          <w:rFonts w:ascii="Verdana" w:hAnsi="Verdana"/>
          <w:b/>
          <w:bCs/>
          <w:color w:val="000000"/>
          <w:sz w:val="17"/>
          <w:szCs w:val="17"/>
          <w:shd w:val="clear" w:color="auto" w:fill="FFFFFF"/>
        </w:rPr>
        <w:t>Appendix A.  Analysis of Ding Measure</w:t>
      </w:r>
    </w:p>
    <w:p w14:paraId="061D1FB9" w14:textId="77777777" w:rsidR="00A525F9" w:rsidRDefault="00A525F9" w:rsidP="00A525F9">
      <w:pPr>
        <w:rPr>
          <w:rFonts w:ascii="Verdana" w:hAnsi="Verdana"/>
          <w:b/>
          <w:bCs/>
          <w:color w:val="000000"/>
          <w:sz w:val="17"/>
          <w:szCs w:val="17"/>
          <w:shd w:val="clear" w:color="auto" w:fill="FFFFFF"/>
        </w:rPr>
      </w:pPr>
    </w:p>
    <w:p w14:paraId="2656A558" w14:textId="77777777" w:rsidR="00A525F9" w:rsidRDefault="00A525F9" w:rsidP="00A525F9">
      <w:pPr>
        <w:rPr>
          <w:rFonts w:ascii="Verdana" w:hAnsi="Verdana"/>
          <w:sz w:val="17"/>
          <w:szCs w:val="17"/>
        </w:rPr>
      </w:pPr>
      <w:r w:rsidRPr="00E769D0">
        <w:rPr>
          <w:rFonts w:ascii="Verdana" w:hAnsi="Verdana"/>
          <w:sz w:val="17"/>
          <w:szCs w:val="17"/>
        </w:rPr>
        <w:t xml:space="preserve">We tested the robustness of our findings using the Ding et al. (2016) measure. </w:t>
      </w:r>
      <w:r>
        <w:rPr>
          <w:rFonts w:ascii="Verdana" w:hAnsi="Verdana"/>
          <w:sz w:val="17"/>
          <w:szCs w:val="17"/>
        </w:rPr>
        <w:t xml:space="preserve">The results were not statistically significant </w:t>
      </w:r>
      <w:r w:rsidRPr="006D7BD5">
        <w:rPr>
          <w:rFonts w:ascii="Verdana" w:hAnsi="Verdana"/>
          <w:sz w:val="17"/>
          <w:szCs w:val="17"/>
        </w:rPr>
        <w:t xml:space="preserve">(OR:1.002; CI:0.806-1.246.) </w:t>
      </w:r>
    </w:p>
    <w:p w14:paraId="6511F017" w14:textId="77777777" w:rsidR="00A525F9" w:rsidRDefault="00A525F9" w:rsidP="00A525F9">
      <w:pPr>
        <w:rPr>
          <w:rFonts w:ascii="Verdana" w:hAnsi="Verdana"/>
          <w:sz w:val="17"/>
          <w:szCs w:val="17"/>
        </w:rPr>
      </w:pPr>
    </w:p>
    <w:p w14:paraId="7C349B5C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Mixed-effects logistic regression               Number of obs     =      7,626</w:t>
      </w:r>
    </w:p>
    <w:p w14:paraId="0939260A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Group variable: hospital                        Number of groups  =         68</w:t>
      </w:r>
    </w:p>
    <w:p w14:paraId="70750CA5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</w:p>
    <w:p w14:paraId="55730CED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                                      Obs per group:</w:t>
      </w:r>
    </w:p>
    <w:p w14:paraId="39C3CB05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                                                    min =          1</w:t>
      </w:r>
    </w:p>
    <w:p w14:paraId="27506060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                                                    avg =      112.1</w:t>
      </w:r>
    </w:p>
    <w:p w14:paraId="518E0962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                                                    max =      1,718</w:t>
      </w:r>
    </w:p>
    <w:p w14:paraId="510ACB85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</w:p>
    <w:p w14:paraId="262E7BC5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Integration points =   7                        Wald chi2(10)     =      57.43</w:t>
      </w:r>
    </w:p>
    <w:p w14:paraId="604EEEDC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Log likelihood = -2147.0303                     Prob &gt; chi2       =     0.0000</w:t>
      </w:r>
    </w:p>
    <w:p w14:paraId="4F2E53E6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</w:p>
    <w:p w14:paraId="3F558090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-------------------------------------------------------------------------------</w:t>
      </w:r>
    </w:p>
    <w:p w14:paraId="4E31DE44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preterm | Odds ratio   Std. err.      z    P&gt;|z|     [95% conf. interval]</w:t>
      </w:r>
    </w:p>
    <w:p w14:paraId="6A28BB41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--------------+----------------------------------------------------------------</w:t>
      </w:r>
    </w:p>
    <w:p w14:paraId="37A4A3AD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gent_2010 |</w:t>
      </w:r>
    </w:p>
    <w:p w14:paraId="4227EF60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</w:t>
      </w:r>
      <w:r w:rsidRPr="006D7BD5">
        <w:rPr>
          <w:rFonts w:ascii="Courier New" w:hAnsi="Courier New" w:cs="Courier New"/>
          <w:sz w:val="17"/>
          <w:szCs w:val="17"/>
          <w:highlight w:val="yellow"/>
        </w:rPr>
        <w:t>gentrified  |   1.002409   .1113805     0.02   0.983     .8062424    1.246305</w:t>
      </w:r>
    </w:p>
    <w:p w14:paraId="11171350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not eligible  |   .8967302   .1005012    -0.97   0.331     .7198852    1.117018</w:t>
      </w:r>
    </w:p>
    <w:p w14:paraId="3D4CAAF2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    |</w:t>
      </w:r>
    </w:p>
    <w:p w14:paraId="4146D94F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coll |   .9446187   .0910342    -0.59   0.554      .782033    1.141006</w:t>
      </w:r>
    </w:p>
    <w:p w14:paraId="560B8BE8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private |   .8355368   .0991409    -1.51   0.130     .6621647    1.054302</w:t>
      </w:r>
    </w:p>
    <w:p w14:paraId="140325D1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smoking |   1.723227   .2685306     3.49   0.000     1.269696    2.338758</w:t>
      </w:r>
    </w:p>
    <w:p w14:paraId="57CE70EE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usa |   1.345312   .1815697     2.20   0.028      1.03262     1.75269</w:t>
      </w:r>
    </w:p>
    <w:p w14:paraId="25CF4888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sex |   .8609011   .0721912    -1.79   0.074     .7304246    1.014685</w:t>
      </w:r>
    </w:p>
    <w:p w14:paraId="1C1E5CBB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age34 |   1.481482   .1834701     3.17   0.002     1.162203    1.888475</w:t>
      </w:r>
    </w:p>
    <w:p w14:paraId="53D824CF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wic |   .6081674   .0624318    -4.84   0.000     .4973275    .7437101</w:t>
      </w:r>
    </w:p>
    <w:p w14:paraId="2608FFDA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healthsp_100 |   .9281106    .036875    -1.88   0.060     .8585792    1.003273</w:t>
      </w:r>
    </w:p>
    <w:p w14:paraId="424C2231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_cons |   .1414561   .0384466    -7.20   0.000     .0830371    .2409744</w:t>
      </w:r>
    </w:p>
    <w:p w14:paraId="7DC87D06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-------------------------------------------------------------------------------</w:t>
      </w:r>
    </w:p>
    <w:p w14:paraId="0F715D79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Note: _cons estimates baseline odds (conditional on zero random effects).</w:t>
      </w:r>
    </w:p>
    <w:p w14:paraId="0B1B9C0A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</w:p>
    <w:p w14:paraId="3D3DDE23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------------------------------------------------------------------------------</w:t>
      </w:r>
    </w:p>
    <w:p w14:paraId="097FA887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Random-effects parameters  |   Estimate   Std. err.     [95% conf. interval]</w:t>
      </w:r>
    </w:p>
    <w:p w14:paraId="01710549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-----------------------------+------------------------------------------------</w:t>
      </w:r>
    </w:p>
    <w:p w14:paraId="67E46482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hospital: Identity           |</w:t>
      </w:r>
    </w:p>
    <w:p w14:paraId="3FF0C8C3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        var(_cons) |   .1852588    .088299      .0727905    .4715015</w:t>
      </w:r>
    </w:p>
    <w:p w14:paraId="1352B79C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------------------------------------------------------------------------------</w:t>
      </w:r>
    </w:p>
    <w:p w14:paraId="675A9C2F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LR test vs. logistic model: chibar2(01) = 26.88       Prob &gt;= chibar2 = 0.0000</w:t>
      </w:r>
    </w:p>
    <w:p w14:paraId="1A269FFA" w14:textId="77777777" w:rsidR="00A525F9" w:rsidRPr="00E769D0" w:rsidRDefault="00A525F9" w:rsidP="00A525F9">
      <w:pPr>
        <w:rPr>
          <w:rFonts w:ascii="Verdana" w:hAnsi="Verdana"/>
          <w:sz w:val="17"/>
          <w:szCs w:val="17"/>
        </w:rPr>
      </w:pPr>
    </w:p>
    <w:p w14:paraId="56D3F8AF" w14:textId="77777777" w:rsidR="00A525F9" w:rsidRDefault="00A525F9" w:rsidP="00A525F9">
      <w:pPr>
        <w:rPr>
          <w:rFonts w:ascii="Verdana" w:hAnsi="Verdana"/>
          <w:sz w:val="17"/>
          <w:szCs w:val="17"/>
        </w:rPr>
      </w:pPr>
      <w:r w:rsidRPr="00E769D0">
        <w:rPr>
          <w:rFonts w:ascii="Verdana" w:hAnsi="Verdana"/>
          <w:sz w:val="17"/>
          <w:szCs w:val="17"/>
        </w:rPr>
        <w:t xml:space="preserve">To examine the overlap between the two measures, </w:t>
      </w:r>
      <w:r>
        <w:rPr>
          <w:rFonts w:ascii="Verdana" w:hAnsi="Verdana"/>
          <w:sz w:val="17"/>
          <w:szCs w:val="17"/>
        </w:rPr>
        <w:t>we</w:t>
      </w:r>
      <w:r w:rsidRPr="00E769D0">
        <w:rPr>
          <w:rFonts w:ascii="Verdana" w:hAnsi="Verdana"/>
          <w:sz w:val="17"/>
          <w:szCs w:val="17"/>
        </w:rPr>
        <w:t xml:space="preserve"> conducted a cross-tabulation to assess similarities and differences</w:t>
      </w:r>
      <w:r>
        <w:rPr>
          <w:rFonts w:ascii="Verdana" w:hAnsi="Verdana"/>
          <w:sz w:val="17"/>
          <w:szCs w:val="17"/>
        </w:rPr>
        <w:t xml:space="preserve"> between the measures</w:t>
      </w:r>
      <w:r w:rsidRPr="00E769D0">
        <w:rPr>
          <w:rFonts w:ascii="Verdana" w:hAnsi="Verdana"/>
          <w:sz w:val="17"/>
          <w:szCs w:val="17"/>
        </w:rPr>
        <w:t>.</w:t>
      </w:r>
      <w:r>
        <w:rPr>
          <w:rFonts w:ascii="Verdana" w:hAnsi="Verdana"/>
          <w:sz w:val="17"/>
          <w:szCs w:val="17"/>
        </w:rPr>
        <w:t xml:space="preserve"> </w:t>
      </w:r>
      <w:r w:rsidRPr="00E769D0">
        <w:rPr>
          <w:rFonts w:ascii="Verdana" w:hAnsi="Verdana"/>
          <w:sz w:val="17"/>
          <w:szCs w:val="17"/>
        </w:rPr>
        <w:t xml:space="preserve">Overall, the strongest agreement between the two measures is for census tracts </w:t>
      </w:r>
      <w:r w:rsidRPr="00E769D0">
        <w:rPr>
          <w:rFonts w:ascii="Verdana" w:eastAsiaTheme="majorEastAsia" w:hAnsi="Verdana"/>
          <w:sz w:val="17"/>
          <w:szCs w:val="17"/>
        </w:rPr>
        <w:t>not eligible to gentrify</w:t>
      </w:r>
      <w:r w:rsidRPr="00E769D0">
        <w:rPr>
          <w:rFonts w:ascii="Verdana" w:hAnsi="Verdana"/>
          <w:sz w:val="17"/>
          <w:szCs w:val="17"/>
        </w:rPr>
        <w:t xml:space="preserve">. Of the 738 census tracts categorized by the UDP measure as experiencing some form of exclusion, 586 (79%) were also classified as </w:t>
      </w:r>
      <w:r w:rsidRPr="00E769D0">
        <w:rPr>
          <w:rFonts w:ascii="Verdana" w:eastAsiaTheme="majorEastAsia" w:hAnsi="Verdana"/>
          <w:sz w:val="17"/>
          <w:szCs w:val="17"/>
        </w:rPr>
        <w:t>not eligible to gentrify</w:t>
      </w:r>
      <w:r w:rsidRPr="00E769D0">
        <w:rPr>
          <w:rFonts w:ascii="Verdana" w:hAnsi="Verdana"/>
          <w:sz w:val="17"/>
          <w:szCs w:val="17"/>
        </w:rPr>
        <w:t xml:space="preserve"> in the Ding measure. Similarly, of the 212 census tracts labeled by the UDP measure as undergoing </w:t>
      </w:r>
      <w:r w:rsidRPr="00E769D0">
        <w:rPr>
          <w:rFonts w:ascii="Verdana" w:eastAsiaTheme="majorEastAsia" w:hAnsi="Verdana"/>
          <w:sz w:val="17"/>
          <w:szCs w:val="17"/>
        </w:rPr>
        <w:t>gentrification or advanced gentrification</w:t>
      </w:r>
      <w:r w:rsidRPr="00E769D0">
        <w:rPr>
          <w:rFonts w:ascii="Verdana" w:hAnsi="Verdana"/>
          <w:sz w:val="17"/>
          <w:szCs w:val="17"/>
        </w:rPr>
        <w:t xml:space="preserve">, 149 (70.3%) were categorized as </w:t>
      </w:r>
      <w:r w:rsidRPr="00E769D0">
        <w:rPr>
          <w:rFonts w:ascii="Verdana" w:eastAsiaTheme="majorEastAsia" w:hAnsi="Verdana"/>
          <w:sz w:val="17"/>
          <w:szCs w:val="17"/>
        </w:rPr>
        <w:t>gentrifying</w:t>
      </w:r>
      <w:r w:rsidRPr="00E769D0">
        <w:rPr>
          <w:rFonts w:ascii="Verdana" w:hAnsi="Verdana"/>
          <w:sz w:val="17"/>
          <w:szCs w:val="17"/>
        </w:rPr>
        <w:t xml:space="preserve"> in the Ding measure.</w:t>
      </w:r>
    </w:p>
    <w:p w14:paraId="1CF83AA0" w14:textId="77777777" w:rsidR="00A525F9" w:rsidRDefault="00A525F9" w:rsidP="00A525F9">
      <w:pPr>
        <w:rPr>
          <w:rFonts w:ascii="Verdana" w:hAnsi="Verdana"/>
          <w:sz w:val="17"/>
          <w:szCs w:val="17"/>
        </w:rPr>
      </w:pPr>
    </w:p>
    <w:p w14:paraId="79EDD8EC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UDP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Gentrified between 2000-2010</w:t>
      </w:r>
    </w:p>
    <w:p w14:paraId="34A7DCE8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Measure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eligible   gentrifie  not eligi |     Total</w:t>
      </w:r>
    </w:p>
    <w:p w14:paraId="26D27DD5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74322E24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ongoing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 2         50         11 |        63 </w:t>
      </w:r>
    </w:p>
    <w:p w14:paraId="44210C25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gent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3.17      79.37      17.46 |    100.00 </w:t>
      </w:r>
    </w:p>
    <w:p w14:paraId="42DBC507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0422725E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advanced 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|        10         99         40 |       149 </w:t>
      </w:r>
    </w:p>
    <w:p w14:paraId="388A24F0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gent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6.71      66.44      26.85 |    100.00 </w:t>
      </w:r>
    </w:p>
    <w:p w14:paraId="26B7EC26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78EB22ED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Total |        12        149         51 |       212 </w:t>
      </w:r>
    </w:p>
    <w:p w14:paraId="6FA7D5FB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|      5.66      </w:t>
      </w:r>
      <w:r w:rsidRPr="006D7BD5">
        <w:rPr>
          <w:rFonts w:ascii="Courier New" w:hAnsi="Courier New" w:cs="Courier New"/>
          <w:color w:val="000000"/>
          <w:sz w:val="17"/>
          <w:szCs w:val="17"/>
          <w:highlight w:val="yellow"/>
          <w:shd w:val="clear" w:color="auto" w:fill="FFFFFF"/>
        </w:rPr>
        <w:t>70.28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24.06 |    100.00 </w:t>
      </w:r>
    </w:p>
    <w:p w14:paraId="14C8F001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7BAC068A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Pearson chi2(2) =   3.6518   Pr = 0.161</w:t>
      </w:r>
    </w:p>
    <w:p w14:paraId="1183D479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097ACE7F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UDP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Gentrified between 2000-2010</w:t>
      </w:r>
    </w:p>
    <w:p w14:paraId="47509BE1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Measure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eligible   gentrifie  not eligi |     Total</w:t>
      </w:r>
    </w:p>
    <w:p w14:paraId="7A78D3FC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0869752B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Stable mod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 5         85        386 |       476 </w:t>
      </w:r>
    </w:p>
    <w:p w14:paraId="50C0A772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high-incom 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|      1.05      17.86      81.09 |    100.00 </w:t>
      </w:r>
    </w:p>
    <w:p w14:paraId="09E49C6E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2251DD89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at risk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 1         32         99 |       132 </w:t>
      </w:r>
    </w:p>
    <w:p w14:paraId="39ACA5BD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of excl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0.76      24.24      75.00 |    100.00 </w:t>
      </w:r>
    </w:p>
    <w:p w14:paraId="2F5F1CC0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6EDECA76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ongoing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 0         25         77 |       102 </w:t>
      </w:r>
    </w:p>
    <w:p w14:paraId="740A1377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lastRenderedPageBreak/>
        <w:t xml:space="preserve">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exclusion 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|      0.00      24.51      75.49 |    100.00 </w:t>
      </w:r>
    </w:p>
    <w:p w14:paraId="4199AD26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3F945A74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advanced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 0          4         24 |        28 </w:t>
      </w:r>
    </w:p>
    <w:p w14:paraId="395EF134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exclusion 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|      0.00      14.29      85.71 |    100.00 </w:t>
      </w:r>
    </w:p>
    <w:p w14:paraId="0A58224C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72287F3E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Total |         6        146        586 |       738 </w:t>
      </w:r>
    </w:p>
    <w:p w14:paraId="16A67239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|      0.81      19.78      </w:t>
      </w:r>
      <w:r w:rsidRPr="006D7BD5">
        <w:rPr>
          <w:rFonts w:ascii="Courier New" w:hAnsi="Courier New" w:cs="Courier New"/>
          <w:color w:val="000000"/>
          <w:sz w:val="17"/>
          <w:szCs w:val="17"/>
          <w:highlight w:val="yellow"/>
          <w:shd w:val="clear" w:color="auto" w:fill="FFFFFF"/>
        </w:rPr>
        <w:t>79.40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100.00 </w:t>
      </w:r>
    </w:p>
    <w:p w14:paraId="0A78C290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55CCB739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Pearson chi2(6) =   6.0214   Pr = 0.421</w:t>
      </w:r>
    </w:p>
    <w:p w14:paraId="299DE64B" w14:textId="77777777" w:rsidR="00A525F9" w:rsidRPr="00E769D0" w:rsidRDefault="00A525F9" w:rsidP="00A525F9">
      <w:pPr>
        <w:rPr>
          <w:rFonts w:ascii="Verdana" w:hAnsi="Verdana"/>
          <w:sz w:val="17"/>
          <w:szCs w:val="17"/>
        </w:rPr>
      </w:pPr>
    </w:p>
    <w:p w14:paraId="299883E5" w14:textId="77777777" w:rsidR="00A525F9" w:rsidRDefault="00A525F9" w:rsidP="00A525F9">
      <w:pPr>
        <w:rPr>
          <w:rFonts w:ascii="Verdana" w:hAnsi="Verdana"/>
          <w:sz w:val="17"/>
          <w:szCs w:val="17"/>
        </w:rPr>
      </w:pPr>
      <w:r w:rsidRPr="00E769D0">
        <w:rPr>
          <w:rFonts w:ascii="Verdana" w:hAnsi="Verdana"/>
          <w:sz w:val="17"/>
          <w:szCs w:val="17"/>
        </w:rPr>
        <w:t xml:space="preserve">The greatest discrepancy occurs in the </w:t>
      </w:r>
      <w:r w:rsidRPr="00E769D0">
        <w:rPr>
          <w:rFonts w:ascii="Verdana" w:eastAsiaTheme="majorEastAsia" w:hAnsi="Verdana"/>
          <w:sz w:val="17"/>
          <w:szCs w:val="17"/>
        </w:rPr>
        <w:t>eligible to gentrify</w:t>
      </w:r>
      <w:r w:rsidRPr="00E769D0">
        <w:rPr>
          <w:rFonts w:ascii="Verdana" w:hAnsi="Verdana"/>
          <w:sz w:val="17"/>
          <w:szCs w:val="17"/>
        </w:rPr>
        <w:t xml:space="preserve"> category. In the UDP measure, these tracts are designated as either </w:t>
      </w:r>
      <w:r w:rsidRPr="00E769D0">
        <w:rPr>
          <w:rFonts w:ascii="Verdana" w:eastAsiaTheme="majorEastAsia" w:hAnsi="Verdana"/>
          <w:sz w:val="17"/>
          <w:szCs w:val="17"/>
        </w:rPr>
        <w:t>stable low-income</w:t>
      </w:r>
      <w:r w:rsidRPr="00E769D0">
        <w:rPr>
          <w:rFonts w:ascii="Verdana" w:hAnsi="Verdana"/>
          <w:sz w:val="17"/>
          <w:szCs w:val="17"/>
        </w:rPr>
        <w:t xml:space="preserve"> or </w:t>
      </w:r>
      <w:r w:rsidRPr="00E769D0">
        <w:rPr>
          <w:rFonts w:ascii="Verdana" w:eastAsiaTheme="majorEastAsia" w:hAnsi="Verdana"/>
          <w:sz w:val="17"/>
          <w:szCs w:val="17"/>
        </w:rPr>
        <w:t>at risk of gentrification</w:t>
      </w:r>
      <w:r w:rsidRPr="00E769D0">
        <w:rPr>
          <w:rFonts w:ascii="Verdana" w:hAnsi="Verdana"/>
          <w:sz w:val="17"/>
          <w:szCs w:val="17"/>
        </w:rPr>
        <w:t xml:space="preserve">. Of the 619 census tracts in these categories, only 61 (just under 10%) were labeled as </w:t>
      </w:r>
      <w:r w:rsidRPr="00E769D0">
        <w:rPr>
          <w:rFonts w:ascii="Verdana" w:eastAsiaTheme="majorEastAsia" w:hAnsi="Verdana"/>
          <w:sz w:val="17"/>
          <w:szCs w:val="17"/>
        </w:rPr>
        <w:t>eligible to gentrify</w:t>
      </w:r>
      <w:r w:rsidRPr="00E769D0">
        <w:rPr>
          <w:rFonts w:ascii="Verdana" w:hAnsi="Verdana"/>
          <w:sz w:val="17"/>
          <w:szCs w:val="17"/>
        </w:rPr>
        <w:t xml:space="preserve"> in the Ding measure. Additionally, 341 of these tracts (55%) were categorized as having already undergone gentrification between 2000 and 2010. Perhaps most surprisingly, 217 of these census tracts were classified as </w:t>
      </w:r>
      <w:r w:rsidRPr="00E769D0">
        <w:rPr>
          <w:rFonts w:ascii="Verdana" w:eastAsiaTheme="majorEastAsia" w:hAnsi="Verdana"/>
          <w:sz w:val="17"/>
          <w:szCs w:val="17"/>
        </w:rPr>
        <w:t>not eligible to gentrify</w:t>
      </w:r>
      <w:r w:rsidRPr="00E769D0">
        <w:rPr>
          <w:rFonts w:ascii="Verdana" w:hAnsi="Verdana"/>
          <w:sz w:val="17"/>
          <w:szCs w:val="17"/>
        </w:rPr>
        <w:t xml:space="preserve"> in the Ding measure, possibly due to having a higher median income than the citywide average.</w:t>
      </w:r>
    </w:p>
    <w:p w14:paraId="5B08A7F4" w14:textId="77777777" w:rsidR="00A525F9" w:rsidRDefault="00A525F9" w:rsidP="00A525F9">
      <w:pPr>
        <w:rPr>
          <w:rFonts w:ascii="Verdana" w:hAnsi="Verdana"/>
          <w:sz w:val="17"/>
          <w:szCs w:val="17"/>
        </w:rPr>
      </w:pPr>
    </w:p>
    <w:p w14:paraId="76202B95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UDP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Ding Measure 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2000-2010</w:t>
      </w:r>
    </w:p>
    <w:p w14:paraId="4B34DB34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Measure 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| eligible   gentrifie  not eligi |     Total</w:t>
      </w:r>
    </w:p>
    <w:p w14:paraId="45CA3F45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7AEA0AB0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stable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36        162        131 |       329 </w:t>
      </w:r>
    </w:p>
    <w:p w14:paraId="7FA8ECDB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low-income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10.94      49.24      39.82 |    100.00 </w:t>
      </w:r>
    </w:p>
    <w:p w14:paraId="0E93958F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4EDD3623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at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risk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25        179         86 |       290 </w:t>
      </w:r>
    </w:p>
    <w:p w14:paraId="1772B67B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of gent 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|      8.62      61.72      29.66 |    100.00 </w:t>
      </w:r>
    </w:p>
    <w:p w14:paraId="26CF5764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-----------+---------------------------------+----------</w:t>
      </w:r>
    </w:p>
    <w:p w14:paraId="7B584E79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Total |        61        341        217 |       619 </w:t>
      </w:r>
    </w:p>
    <w:p w14:paraId="05C76C2D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|      </w:t>
      </w:r>
      <w:r w:rsidRPr="006D7BD5">
        <w:rPr>
          <w:rFonts w:ascii="Courier New" w:hAnsi="Courier New" w:cs="Courier New"/>
          <w:color w:val="000000"/>
          <w:sz w:val="17"/>
          <w:szCs w:val="17"/>
          <w:highlight w:val="yellow"/>
          <w:shd w:val="clear" w:color="auto" w:fill="FFFFFF"/>
        </w:rPr>
        <w:t>9.85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55.09      35.06 |    100.00 </w:t>
      </w:r>
    </w:p>
    <w:p w14:paraId="4E8DA355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2ABFDB6E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Pearson chi2(2) =   9.7444   Pr = 0.008</w:t>
      </w:r>
    </w:p>
    <w:p w14:paraId="1D51E5DA" w14:textId="77777777" w:rsidR="00A525F9" w:rsidRPr="00E769D0" w:rsidRDefault="00A525F9" w:rsidP="00A525F9">
      <w:pPr>
        <w:rPr>
          <w:rFonts w:ascii="Verdana" w:hAnsi="Verdana"/>
          <w:sz w:val="17"/>
          <w:szCs w:val="17"/>
        </w:rPr>
      </w:pPr>
    </w:p>
    <w:p w14:paraId="69EB9C55" w14:textId="77777777" w:rsidR="00A525F9" w:rsidRPr="00E769D0" w:rsidRDefault="00A525F9" w:rsidP="00A525F9">
      <w:pPr>
        <w:rPr>
          <w:rFonts w:ascii="Verdana" w:hAnsi="Verdana"/>
          <w:sz w:val="17"/>
          <w:szCs w:val="17"/>
        </w:rPr>
      </w:pPr>
    </w:p>
    <w:p w14:paraId="0ED9554E" w14:textId="77777777" w:rsidR="00A525F9" w:rsidRPr="006D7BD5" w:rsidRDefault="00A525F9" w:rsidP="00A525F9">
      <w:pPr>
        <w:rPr>
          <w:rFonts w:ascii="Verdana" w:hAnsi="Verdana"/>
          <w:sz w:val="17"/>
          <w:szCs w:val="17"/>
        </w:rPr>
      </w:pPr>
      <w:r w:rsidRPr="00E769D0">
        <w:rPr>
          <w:rFonts w:ascii="Verdana" w:hAnsi="Verdana"/>
          <w:sz w:val="17"/>
          <w:szCs w:val="17"/>
        </w:rPr>
        <w:t xml:space="preserve">To interrogate this discrepancy, </w:t>
      </w:r>
      <w:r>
        <w:rPr>
          <w:rFonts w:ascii="Verdana" w:hAnsi="Verdana"/>
          <w:sz w:val="17"/>
          <w:szCs w:val="17"/>
        </w:rPr>
        <w:t>we</w:t>
      </w:r>
      <w:r w:rsidRPr="00E769D0">
        <w:rPr>
          <w:rFonts w:ascii="Verdana" w:hAnsi="Verdana"/>
          <w:sz w:val="17"/>
          <w:szCs w:val="17"/>
        </w:rPr>
        <w:t xml:space="preserve"> created a crosswalk </w:t>
      </w:r>
      <w:r>
        <w:rPr>
          <w:rFonts w:ascii="Verdana" w:hAnsi="Verdana"/>
          <w:sz w:val="17"/>
          <w:szCs w:val="17"/>
        </w:rPr>
        <w:t xml:space="preserve">by </w:t>
      </w:r>
      <w:r w:rsidRPr="00E769D0">
        <w:rPr>
          <w:rFonts w:ascii="Verdana" w:hAnsi="Verdana"/>
          <w:sz w:val="17"/>
          <w:szCs w:val="17"/>
        </w:rPr>
        <w:t>collaps</w:t>
      </w:r>
      <w:r>
        <w:rPr>
          <w:rFonts w:ascii="Verdana" w:hAnsi="Verdana"/>
          <w:sz w:val="17"/>
          <w:szCs w:val="17"/>
        </w:rPr>
        <w:t>ing</w:t>
      </w:r>
      <w:r w:rsidRPr="00E769D0">
        <w:rPr>
          <w:rFonts w:ascii="Verdana" w:hAnsi="Verdana"/>
          <w:sz w:val="17"/>
          <w:szCs w:val="17"/>
        </w:rPr>
        <w:t xml:space="preserve"> the eight UDP </w:t>
      </w:r>
      <w:r>
        <w:rPr>
          <w:rFonts w:ascii="Verdana" w:hAnsi="Verdana"/>
          <w:sz w:val="17"/>
          <w:szCs w:val="17"/>
        </w:rPr>
        <w:t>stages</w:t>
      </w:r>
      <w:r w:rsidRPr="00E769D0">
        <w:rPr>
          <w:rFonts w:ascii="Verdana" w:hAnsi="Verdana"/>
          <w:sz w:val="17"/>
          <w:szCs w:val="17"/>
        </w:rPr>
        <w:t xml:space="preserve"> into three broader </w:t>
      </w:r>
      <w:r>
        <w:rPr>
          <w:rFonts w:ascii="Verdana" w:hAnsi="Verdana"/>
          <w:sz w:val="17"/>
          <w:szCs w:val="17"/>
        </w:rPr>
        <w:t>categories</w:t>
      </w:r>
      <w:r w:rsidRPr="00E769D0">
        <w:rPr>
          <w:rFonts w:ascii="Verdana" w:hAnsi="Verdana"/>
          <w:sz w:val="17"/>
          <w:szCs w:val="17"/>
        </w:rPr>
        <w:t xml:space="preserve"> that best aligned with the categories in the Ding measure. </w:t>
      </w:r>
      <w:r>
        <w:rPr>
          <w:rFonts w:ascii="Verdana" w:hAnsi="Verdana"/>
          <w:sz w:val="17"/>
          <w:szCs w:val="17"/>
        </w:rPr>
        <w:t>W</w:t>
      </w:r>
      <w:r w:rsidRPr="00E769D0">
        <w:rPr>
          <w:rFonts w:ascii="Verdana" w:hAnsi="Verdana"/>
          <w:sz w:val="17"/>
          <w:szCs w:val="17"/>
        </w:rPr>
        <w:t>e analyzed each 3-category measure against the index of concentration at the extremes</w:t>
      </w:r>
      <w:r>
        <w:rPr>
          <w:rFonts w:ascii="Verdana" w:hAnsi="Verdana"/>
          <w:sz w:val="17"/>
          <w:szCs w:val="17"/>
        </w:rPr>
        <w:t>, a measure of relative deprivation and affluence</w:t>
      </w:r>
      <w:r w:rsidRPr="00E769D0">
        <w:rPr>
          <w:rFonts w:ascii="Verdana" w:hAnsi="Verdana"/>
          <w:sz w:val="17"/>
          <w:szCs w:val="17"/>
        </w:rPr>
        <w:t xml:space="preserve">. We found that the Ding measure classifies 52% of the </w:t>
      </w:r>
      <w:r>
        <w:rPr>
          <w:rFonts w:ascii="Verdana" w:hAnsi="Verdana"/>
          <w:sz w:val="17"/>
          <w:szCs w:val="17"/>
        </w:rPr>
        <w:t>“most deprived”</w:t>
      </w:r>
      <w:r w:rsidRPr="00E769D0">
        <w:rPr>
          <w:rFonts w:ascii="Verdana" w:hAnsi="Verdana"/>
          <w:sz w:val="17"/>
          <w:szCs w:val="17"/>
        </w:rPr>
        <w:t xml:space="preserve"> </w:t>
      </w:r>
      <w:r>
        <w:rPr>
          <w:rFonts w:ascii="Verdana" w:hAnsi="Verdana"/>
          <w:sz w:val="17"/>
          <w:szCs w:val="17"/>
        </w:rPr>
        <w:t>(</w:t>
      </w:r>
      <w:r w:rsidRPr="00E769D0">
        <w:rPr>
          <w:rFonts w:ascii="Verdana" w:hAnsi="Verdana"/>
          <w:sz w:val="17"/>
          <w:szCs w:val="17"/>
        </w:rPr>
        <w:t xml:space="preserve">quantile </w:t>
      </w:r>
      <w:r>
        <w:rPr>
          <w:rFonts w:ascii="Verdana" w:hAnsi="Verdana"/>
          <w:sz w:val="17"/>
          <w:szCs w:val="17"/>
        </w:rPr>
        <w:t xml:space="preserve">1) </w:t>
      </w:r>
      <w:r w:rsidRPr="00E769D0">
        <w:rPr>
          <w:rFonts w:ascii="Verdana" w:hAnsi="Verdana"/>
          <w:sz w:val="17"/>
          <w:szCs w:val="17"/>
        </w:rPr>
        <w:t xml:space="preserve">census tracts as “ineligible to gentrify” while the UDP does so for only 25% of such tracts. This analysis demonstrates that in places like the San Francisco Bay Area where income inequality is so vast, </w:t>
      </w:r>
      <w:r>
        <w:rPr>
          <w:rFonts w:ascii="Verdana" w:hAnsi="Verdana"/>
          <w:sz w:val="17"/>
          <w:szCs w:val="17"/>
        </w:rPr>
        <w:t xml:space="preserve">measures of gentrification eligibility should take into consideration that neighborhoods with pockets of deep poverty can still have a relatively high median income. </w:t>
      </w:r>
    </w:p>
    <w:p w14:paraId="42AA3E71" w14:textId="77777777" w:rsidR="00A525F9" w:rsidRDefault="00A525F9" w:rsidP="00A525F9">
      <w:pPr>
        <w:rPr>
          <w:rFonts w:ascii="Verdana" w:hAnsi="Verdana"/>
          <w:b/>
          <w:bCs/>
          <w:color w:val="000000"/>
          <w:sz w:val="17"/>
          <w:szCs w:val="17"/>
          <w:shd w:val="clear" w:color="auto" w:fill="FFFFFF"/>
        </w:rPr>
      </w:pPr>
    </w:p>
    <w:p w14:paraId="182A5C3B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Comparing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Measures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to ICE </w:t>
      </w:r>
    </w:p>
    <w:p w14:paraId="2C20FB7B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085C726E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5D9EAA25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Ding Measure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        5 quantiles of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ICE</w:t>
      </w:r>
    </w:p>
    <w:p w14:paraId="2AF23285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 2000-2010 |         1          2          3          4          5 |     Total</w:t>
      </w:r>
    </w:p>
    <w:p w14:paraId="2888F36E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----------------------+-------------------------------------------------------+----------</w:t>
      </w:r>
    </w:p>
    <w:p w14:paraId="28EF9802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eligible but did not  |        15         15         27         13          9 |        79 </w:t>
      </w:r>
    </w:p>
    <w:p w14:paraId="0AA73E6D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           |      5.30       6.94       7.63       3.59       2.42 |      4.98 </w:t>
      </w:r>
    </w:p>
    <w:p w14:paraId="4D1289D4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----------------------+-------------------------------------------------------+----------</w:t>
      </w:r>
    </w:p>
    <w:p w14:paraId="5B3E66A0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gentrified |       122         77        144        162        144 |       649 </w:t>
      </w:r>
    </w:p>
    <w:p w14:paraId="03F3F573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           |     43.11      35.65      40.68      44.75      38.71 |     40.89 </w:t>
      </w:r>
    </w:p>
    <w:p w14:paraId="411BF0C7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----------------------+-------------------------------------------------------+----------</w:t>
      </w:r>
    </w:p>
    <w:p w14:paraId="67F0DE61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not eligible 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|       146        124        183        187        219 |       859 </w:t>
      </w:r>
    </w:p>
    <w:p w14:paraId="1E901225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           |     </w:t>
      </w:r>
      <w:r w:rsidRPr="006D7BD5">
        <w:rPr>
          <w:rFonts w:ascii="Courier New" w:hAnsi="Courier New" w:cs="Courier New"/>
          <w:color w:val="000000"/>
          <w:sz w:val="17"/>
          <w:szCs w:val="17"/>
          <w:highlight w:val="yellow"/>
          <w:shd w:val="clear" w:color="auto" w:fill="FFFFFF"/>
        </w:rPr>
        <w:t>51.59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57.41      51.69      51.66      58.87 |     54.13 </w:t>
      </w:r>
    </w:p>
    <w:p w14:paraId="1814E64B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----------------------+-------------------------------------------------------+----------</w:t>
      </w:r>
    </w:p>
    <w:p w14:paraId="74D37E58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     Total |       283        216        354        362        372 |     1,587 </w:t>
      </w:r>
    </w:p>
    <w:p w14:paraId="70A2F186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           |    100.00     100.00     100.00     100.00     100.00 |    100.00</w:t>
      </w:r>
    </w:p>
    <w:p w14:paraId="36188FC0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674F8C25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71C047A6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UDP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        5 quantiles of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ICE</w:t>
      </w:r>
    </w:p>
    <w:p w14:paraId="78898DD5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</w:t>
      </w: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Measure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 1          2          3          4          5 |     Total</w:t>
      </w:r>
    </w:p>
    <w:p w14:paraId="50131F30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-----------+-------------------------------------------------------+----------</w:t>
      </w:r>
    </w:p>
    <w:p w14:paraId="08A04331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eligible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166         82        166        117         88 |       619 </w:t>
      </w:r>
    </w:p>
    <w:p w14:paraId="073E5E9C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|     58.87      38.32      48.12      32.68      23.78 |     39.45 </w:t>
      </w:r>
    </w:p>
    <w:p w14:paraId="7EC035CC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-----------+-------------------------------------------------------+----------</w:t>
      </w:r>
    </w:p>
    <w:p w14:paraId="2EDCDCFB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gentrified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|        46         23         50         66         27 |       212 </w:t>
      </w:r>
    </w:p>
    <w:p w14:paraId="6A16450D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|     16.31      10.75      14.49      18.44       7.30 |     13.51 </w:t>
      </w:r>
    </w:p>
    <w:p w14:paraId="7363E294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-----------+-------------------------------------------------------+----------</w:t>
      </w:r>
    </w:p>
    <w:p w14:paraId="59F84651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exclusion 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|        70        109        129        175        255 |       738 </w:t>
      </w:r>
    </w:p>
    <w:p w14:paraId="24AE89B0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|     </w:t>
      </w:r>
      <w:r w:rsidRPr="006D7BD5">
        <w:rPr>
          <w:rFonts w:ascii="Courier New" w:hAnsi="Courier New" w:cs="Courier New"/>
          <w:color w:val="000000"/>
          <w:sz w:val="17"/>
          <w:szCs w:val="17"/>
          <w:highlight w:val="yellow"/>
          <w:shd w:val="clear" w:color="auto" w:fill="FFFFFF"/>
        </w:rPr>
        <w:t>24.82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50.93      37.39      48.88      68.92 |     47.04 </w:t>
      </w:r>
    </w:p>
    <w:p w14:paraId="56E4ECDE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-----------+-------------------------------------------------------+----------</w:t>
      </w:r>
    </w:p>
    <w:p w14:paraId="275FE8E0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Total |       282        214        345        358        370 |     1,569 </w:t>
      </w:r>
    </w:p>
    <w:p w14:paraId="2575A641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         |    100.00     100.00     100.00     100.00     100.00 |    100.00</w:t>
      </w:r>
    </w:p>
    <w:p w14:paraId="2D77CD07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68014EF8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153F8099" w14:textId="77777777" w:rsidR="00A525F9" w:rsidRDefault="00A525F9" w:rsidP="00A525F9">
      <w:pPr>
        <w:rPr>
          <w:rFonts w:ascii="Verdana" w:hAnsi="Verdana"/>
          <w:sz w:val="17"/>
          <w:szCs w:val="17"/>
        </w:rPr>
      </w:pPr>
      <w:r>
        <w:rPr>
          <w:rFonts w:ascii="Verdana" w:hAnsi="Verdana"/>
          <w:sz w:val="17"/>
          <w:szCs w:val="17"/>
        </w:rPr>
        <w:t>To further interrogate the measures, we used crosstab. T</w:t>
      </w:r>
      <w:r w:rsidRPr="00E769D0">
        <w:rPr>
          <w:rFonts w:ascii="Verdana" w:hAnsi="Verdana"/>
          <w:sz w:val="17"/>
          <w:szCs w:val="17"/>
        </w:rPr>
        <w:t xml:space="preserve">his </w:t>
      </w:r>
      <w:r>
        <w:rPr>
          <w:rFonts w:ascii="Verdana" w:hAnsi="Verdana"/>
          <w:sz w:val="17"/>
          <w:szCs w:val="17"/>
        </w:rPr>
        <w:t xml:space="preserve">crosswalk </w:t>
      </w:r>
      <w:r w:rsidRPr="00E769D0">
        <w:rPr>
          <w:rFonts w:ascii="Verdana" w:hAnsi="Verdana"/>
          <w:sz w:val="17"/>
          <w:szCs w:val="17"/>
        </w:rPr>
        <w:t xml:space="preserve">demonstrates that the UDP measure is more conservative in designating areas that are gentrifying in the Bay Area. </w:t>
      </w:r>
      <w:r>
        <w:rPr>
          <w:rFonts w:ascii="Verdana" w:hAnsi="Verdana"/>
          <w:sz w:val="17"/>
          <w:szCs w:val="17"/>
        </w:rPr>
        <w:t xml:space="preserve">The UDP measure identifies 212 gentrifying(ied) tracts while the Ding measure identifies 636 gentrifying(ied) tracts. </w:t>
      </w:r>
      <w:r w:rsidRPr="00E769D0">
        <w:rPr>
          <w:rFonts w:ascii="Verdana" w:hAnsi="Verdana"/>
          <w:sz w:val="17"/>
          <w:szCs w:val="17"/>
        </w:rPr>
        <w:t xml:space="preserve">This speaks to the necessity of locally relevant measures of gentrification rather than solely relying on universal measures. </w:t>
      </w:r>
    </w:p>
    <w:p w14:paraId="403534C4" w14:textId="77777777" w:rsidR="00A525F9" w:rsidRDefault="00A525F9" w:rsidP="00A525F9">
      <w:pPr>
        <w:rPr>
          <w:rFonts w:ascii="Verdana" w:hAnsi="Verdana"/>
          <w:sz w:val="17"/>
          <w:szCs w:val="17"/>
        </w:rPr>
      </w:pPr>
    </w:p>
    <w:p w14:paraId="54360C1C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</w:p>
    <w:p w14:paraId="387B5DE5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</w:t>
      </w:r>
      <w:r>
        <w:rPr>
          <w:rFonts w:ascii="Courier New" w:hAnsi="Courier New" w:cs="Courier New"/>
          <w:sz w:val="17"/>
          <w:szCs w:val="17"/>
        </w:rPr>
        <w:t>UDP</w:t>
      </w:r>
      <w:r w:rsidRPr="006D7BD5">
        <w:rPr>
          <w:rFonts w:ascii="Courier New" w:hAnsi="Courier New" w:cs="Courier New"/>
          <w:sz w:val="17"/>
          <w:szCs w:val="17"/>
        </w:rPr>
        <w:t xml:space="preserve"> |   Gentrified between 2000-2010</w:t>
      </w:r>
    </w:p>
    <w:p w14:paraId="6FCDFE38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</w:t>
      </w:r>
      <w:r>
        <w:rPr>
          <w:rFonts w:ascii="Courier New" w:hAnsi="Courier New" w:cs="Courier New"/>
          <w:sz w:val="17"/>
          <w:szCs w:val="17"/>
        </w:rPr>
        <w:t xml:space="preserve">Measure </w:t>
      </w:r>
      <w:r w:rsidRPr="006D7BD5">
        <w:rPr>
          <w:rFonts w:ascii="Courier New" w:hAnsi="Courier New" w:cs="Courier New"/>
          <w:sz w:val="17"/>
          <w:szCs w:val="17"/>
        </w:rPr>
        <w:t>| eligible   gentrifie  not eligi |     Total</w:t>
      </w:r>
    </w:p>
    <w:p w14:paraId="4C9E96FD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-----------+---------------------------------+----------</w:t>
      </w:r>
    </w:p>
    <w:p w14:paraId="7B135048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 eligible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</w:t>
      </w:r>
      <w:r w:rsidRPr="006D7BD5">
        <w:rPr>
          <w:rFonts w:ascii="Courier New" w:hAnsi="Courier New" w:cs="Courier New"/>
          <w:sz w:val="17"/>
          <w:szCs w:val="17"/>
        </w:rPr>
        <w:t xml:space="preserve">|        61        341        217 |       619 </w:t>
      </w:r>
    </w:p>
    <w:p w14:paraId="2EFBDB56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 |     77.22      53.62      25.41 |     39.45 </w:t>
      </w:r>
    </w:p>
    <w:p w14:paraId="0F1A2B6A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-----------+---------------------------------+----------</w:t>
      </w:r>
    </w:p>
    <w:p w14:paraId="7A004BAF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>gentrified</w:t>
      </w:r>
      <w:r w:rsidRPr="006D7BD5"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</w:t>
      </w:r>
      <w:r w:rsidRPr="006D7BD5">
        <w:rPr>
          <w:rFonts w:ascii="Courier New" w:hAnsi="Courier New" w:cs="Courier New"/>
          <w:sz w:val="17"/>
          <w:szCs w:val="17"/>
        </w:rPr>
        <w:t xml:space="preserve">|        12        149         51 |       212 </w:t>
      </w:r>
    </w:p>
    <w:p w14:paraId="78647208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 |     15.19      23.43       5.97 |     13.51 </w:t>
      </w:r>
    </w:p>
    <w:p w14:paraId="407787AE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-----------+---------------------------------+----------</w:t>
      </w:r>
    </w:p>
    <w:p w14:paraId="449CF1E8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  <w:t xml:space="preserve"> exclusion </w:t>
      </w:r>
      <w:r w:rsidRPr="006D7BD5">
        <w:rPr>
          <w:rFonts w:ascii="Courier New" w:hAnsi="Courier New" w:cs="Courier New"/>
          <w:sz w:val="17"/>
          <w:szCs w:val="17"/>
        </w:rPr>
        <w:t xml:space="preserve">|         6        146        586 |       738 </w:t>
      </w:r>
    </w:p>
    <w:p w14:paraId="53F92700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 |      7.59      22.96      68.62 |     47.04 </w:t>
      </w:r>
    </w:p>
    <w:p w14:paraId="1859FD0D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>-----------+---------------------------------+----------</w:t>
      </w:r>
    </w:p>
    <w:p w14:paraId="4F4D8B3A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Total |        79        636        854 |     1,569 </w:t>
      </w:r>
    </w:p>
    <w:p w14:paraId="6CE3100D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 |    100.00     100.00     100.00 |    100.00 </w:t>
      </w:r>
    </w:p>
    <w:p w14:paraId="5DEBB6B6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</w:p>
    <w:p w14:paraId="36CD44DA" w14:textId="77777777" w:rsidR="00A525F9" w:rsidRPr="006D7BD5" w:rsidRDefault="00A525F9" w:rsidP="00A525F9">
      <w:pPr>
        <w:rPr>
          <w:rFonts w:ascii="Courier New" w:hAnsi="Courier New" w:cs="Courier New"/>
          <w:sz w:val="17"/>
          <w:szCs w:val="17"/>
        </w:rPr>
      </w:pPr>
      <w:r w:rsidRPr="006D7BD5">
        <w:rPr>
          <w:rFonts w:ascii="Courier New" w:hAnsi="Courier New" w:cs="Courier New"/>
          <w:sz w:val="17"/>
          <w:szCs w:val="17"/>
        </w:rPr>
        <w:t xml:space="preserve">          Pearson chi2(4) = 375.0615   Pr = 0.000</w:t>
      </w:r>
    </w:p>
    <w:p w14:paraId="7BD725C6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07D1212F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7CF2AC1D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04C1BC8A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176AB21B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733F8395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66A7D9CC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505B4BE3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597B2911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64E356B4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008215F4" w14:textId="77777777" w:rsidR="00A525F9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1990EDF6" w14:textId="77777777" w:rsidR="00A525F9" w:rsidRPr="006D7BD5" w:rsidRDefault="00A525F9" w:rsidP="00A525F9">
      <w:pPr>
        <w:rPr>
          <w:rFonts w:ascii="Courier New" w:hAnsi="Courier New" w:cs="Courier New"/>
          <w:color w:val="000000"/>
          <w:sz w:val="17"/>
          <w:szCs w:val="17"/>
          <w:shd w:val="clear" w:color="auto" w:fill="FFFFFF"/>
        </w:rPr>
      </w:pPr>
    </w:p>
    <w:p w14:paraId="6805B24F" w14:textId="77777777" w:rsidR="00A525F9" w:rsidRDefault="00A525F9" w:rsidP="00A525F9">
      <w:pPr>
        <w:rPr>
          <w:rFonts w:ascii="Verdana" w:hAnsi="Verdana"/>
          <w:color w:val="000000"/>
          <w:sz w:val="17"/>
          <w:szCs w:val="17"/>
          <w:shd w:val="clear" w:color="auto" w:fill="FFFFFF"/>
        </w:rPr>
      </w:pPr>
    </w:p>
    <w:p w14:paraId="3D967207" w14:textId="77777777" w:rsidR="00A525F9" w:rsidRPr="00DE2A40" w:rsidRDefault="00A525F9" w:rsidP="00A525F9">
      <w:pPr>
        <w:rPr>
          <w:rFonts w:ascii="Verdana" w:hAnsi="Verdana"/>
          <w:sz w:val="17"/>
          <w:szCs w:val="17"/>
        </w:rPr>
      </w:pPr>
    </w:p>
    <w:p w14:paraId="1D8B4AFF" w14:textId="77777777" w:rsidR="00957E19" w:rsidRDefault="00957E19"/>
    <w:sectPr w:rsidR="00957E19" w:rsidSect="00A525F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5F9"/>
    <w:rsid w:val="00894BFB"/>
    <w:rsid w:val="008B044C"/>
    <w:rsid w:val="00957E19"/>
    <w:rsid w:val="00970EAE"/>
    <w:rsid w:val="00A525F9"/>
    <w:rsid w:val="00CA4CD3"/>
    <w:rsid w:val="00E4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57B14B"/>
  <w15:chartTrackingRefBased/>
  <w15:docId w15:val="{D57561E4-4CCB-B340-AEB4-20346AFC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5F9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94BFB"/>
    <w:pPr>
      <w:keepNext/>
      <w:keepLines/>
      <w:spacing w:before="240" w:line="276" w:lineRule="auto"/>
      <w:outlineLvl w:val="0"/>
    </w:pPr>
    <w:rPr>
      <w:rFonts w:ascii="Arial" w:eastAsiaTheme="majorEastAsia" w:hAnsi="Arial" w:cstheme="majorBidi"/>
      <w:b/>
      <w:color w:val="000000" w:themeColor="text1"/>
      <w:kern w:val="2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2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25F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25F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25F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25F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25F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25F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25F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4BFB"/>
    <w:rPr>
      <w:rFonts w:ascii="Arial" w:eastAsiaTheme="majorEastAsia" w:hAnsi="Arial" w:cstheme="majorBidi"/>
      <w:b/>
      <w:color w:val="000000" w:themeColor="text1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25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25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25F9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25F9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25F9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25F9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25F9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25F9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A525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52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25F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525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25F9"/>
    <w:pPr>
      <w:spacing w:before="160" w:after="160"/>
      <w:jc w:val="center"/>
    </w:pPr>
    <w:rPr>
      <w:rFonts w:ascii="Arial" w:eastAsiaTheme="minorHAnsi" w:hAnsi="Arial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525F9"/>
    <w:rPr>
      <w:rFonts w:ascii="Arial" w:hAnsi="Arial"/>
      <w:i/>
      <w:iCs/>
      <w:color w:val="404040" w:themeColor="text1" w:themeTint="BF"/>
      <w:sz w:val="22"/>
    </w:rPr>
  </w:style>
  <w:style w:type="paragraph" w:styleId="ListParagraph">
    <w:name w:val="List Paragraph"/>
    <w:basedOn w:val="Normal"/>
    <w:uiPriority w:val="34"/>
    <w:qFormat/>
    <w:rsid w:val="00A525F9"/>
    <w:pPr>
      <w:ind w:left="720"/>
      <w:contextualSpacing/>
    </w:pPr>
    <w:rPr>
      <w:rFonts w:ascii="Arial" w:eastAsiaTheme="minorHAnsi" w:hAnsi="Arial" w:cstheme="minorBidi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525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2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rial" w:eastAsiaTheme="minorHAnsi" w:hAnsi="Arial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25F9"/>
    <w:rPr>
      <w:rFonts w:ascii="Arial" w:hAnsi="Arial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A525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1586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Rebekah Israel Cross</dc:creator>
  <cp:keywords/>
  <dc:description/>
  <cp:lastModifiedBy>Rebekah Israel Cross</cp:lastModifiedBy>
  <cp:revision>1</cp:revision>
  <dcterms:created xsi:type="dcterms:W3CDTF">2025-04-14T22:17:00Z</dcterms:created>
  <dcterms:modified xsi:type="dcterms:W3CDTF">2025-04-14T22:18:00Z</dcterms:modified>
</cp:coreProperties>
</file>