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1EA" w:rsidRDefault="00A31C8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iCs/>
        </w:rPr>
        <w:t>S5 Fig</w:t>
      </w:r>
      <w:bookmarkStart w:id="0" w:name="_GoBack"/>
      <w:bookmarkEnd w:id="0"/>
      <w:r w:rsidR="00D04BC0">
        <w:rPr>
          <w:rFonts w:ascii="Times New Roman" w:hAnsi="Times New Roman" w:cs="Times New Roman"/>
          <w:b/>
          <w:iCs/>
        </w:rPr>
        <w:t>.</w:t>
      </w:r>
      <w:proofErr w:type="gramEnd"/>
      <w:r w:rsidRPr="00BB5F67">
        <w:rPr>
          <w:rFonts w:ascii="Times New Roman" w:hAnsi="Times New Roman" w:cs="Times New Roman"/>
          <w:iCs/>
        </w:rPr>
        <w:t xml:space="preserve"> </w:t>
      </w:r>
      <w:r w:rsidRPr="00D04BC0">
        <w:rPr>
          <w:rFonts w:ascii="Times New Roman" w:hAnsi="Times New Roman" w:cs="Times New Roman"/>
          <w:b/>
          <w:bCs/>
        </w:rPr>
        <w:t>Association between Changes in Total Funding and (a) FQHC visits, and (b) ED visits</w:t>
      </w:r>
    </w:p>
    <w:p w:rsidR="00A31C8F" w:rsidRDefault="00A31C8F">
      <w:pPr>
        <w:rPr>
          <w:rFonts w:ascii="Times New Roman" w:hAnsi="Times New Roman" w:cs="Times New Roman"/>
        </w:rPr>
      </w:pPr>
    </w:p>
    <w:p w:rsidR="00A31C8F" w:rsidRDefault="00A31C8F">
      <w:r>
        <w:rPr>
          <w:noProof/>
          <w:lang w:val="en-IN" w:eastAsia="en-IN"/>
        </w:rPr>
        <w:drawing>
          <wp:inline distT="0" distB="0" distL="0" distR="0" wp14:anchorId="65F471AA" wp14:editId="614AE223">
            <wp:extent cx="5981065" cy="3168869"/>
            <wp:effectExtent l="0" t="0" r="13335" b="635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5F8DA65-8790-4C4E-B138-8948ADD895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333B9" w:rsidRDefault="00C333B9">
      <w:r>
        <w:rPr>
          <w:noProof/>
          <w:lang w:val="en-IN" w:eastAsia="en-IN"/>
        </w:rPr>
        <w:drawing>
          <wp:inline distT="0" distB="0" distL="0" distR="0" wp14:anchorId="30E486ED" wp14:editId="0FFBC51A">
            <wp:extent cx="5981065" cy="4304030"/>
            <wp:effectExtent l="0" t="0" r="13335" b="1397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FA1377B-B455-455F-98CE-755CA0EF02C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C333B9" w:rsidSect="003B7F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Total_Editing_Time" w:val="12"/>
  </w:docVars>
  <w:rsids>
    <w:rsidRoot w:val="00A31C8F"/>
    <w:rsid w:val="0000525A"/>
    <w:rsid w:val="00016CBE"/>
    <w:rsid w:val="00071C57"/>
    <w:rsid w:val="00074F98"/>
    <w:rsid w:val="000928C1"/>
    <w:rsid w:val="000C314C"/>
    <w:rsid w:val="00126047"/>
    <w:rsid w:val="001268E0"/>
    <w:rsid w:val="00185A07"/>
    <w:rsid w:val="00195FEF"/>
    <w:rsid w:val="001A615F"/>
    <w:rsid w:val="001B75AA"/>
    <w:rsid w:val="001F12E9"/>
    <w:rsid w:val="00202712"/>
    <w:rsid w:val="00212A34"/>
    <w:rsid w:val="002331A7"/>
    <w:rsid w:val="00246E28"/>
    <w:rsid w:val="00263DF7"/>
    <w:rsid w:val="002B3628"/>
    <w:rsid w:val="002C0275"/>
    <w:rsid w:val="00326D75"/>
    <w:rsid w:val="00352820"/>
    <w:rsid w:val="003703A9"/>
    <w:rsid w:val="003814B9"/>
    <w:rsid w:val="003B570E"/>
    <w:rsid w:val="003B7EFA"/>
    <w:rsid w:val="003B7FF1"/>
    <w:rsid w:val="003C50C0"/>
    <w:rsid w:val="003E346B"/>
    <w:rsid w:val="003F3068"/>
    <w:rsid w:val="0043600D"/>
    <w:rsid w:val="00444B8B"/>
    <w:rsid w:val="0045405E"/>
    <w:rsid w:val="00522602"/>
    <w:rsid w:val="005241E2"/>
    <w:rsid w:val="005452B9"/>
    <w:rsid w:val="00594749"/>
    <w:rsid w:val="005F050D"/>
    <w:rsid w:val="005F6BDD"/>
    <w:rsid w:val="00600861"/>
    <w:rsid w:val="00695EBF"/>
    <w:rsid w:val="006B0720"/>
    <w:rsid w:val="006B176C"/>
    <w:rsid w:val="006E6687"/>
    <w:rsid w:val="006F52C8"/>
    <w:rsid w:val="00701A18"/>
    <w:rsid w:val="00741C17"/>
    <w:rsid w:val="007A3888"/>
    <w:rsid w:val="007E196D"/>
    <w:rsid w:val="007E44CB"/>
    <w:rsid w:val="00823184"/>
    <w:rsid w:val="00831382"/>
    <w:rsid w:val="00865BAA"/>
    <w:rsid w:val="008A0C73"/>
    <w:rsid w:val="008A4A58"/>
    <w:rsid w:val="008B3030"/>
    <w:rsid w:val="0090554A"/>
    <w:rsid w:val="00932C3B"/>
    <w:rsid w:val="009359F6"/>
    <w:rsid w:val="00985505"/>
    <w:rsid w:val="009A1B79"/>
    <w:rsid w:val="009A5CE3"/>
    <w:rsid w:val="009D6AB8"/>
    <w:rsid w:val="009F69F9"/>
    <w:rsid w:val="00A31C8F"/>
    <w:rsid w:val="00A46262"/>
    <w:rsid w:val="00A55483"/>
    <w:rsid w:val="00A55800"/>
    <w:rsid w:val="00A97E36"/>
    <w:rsid w:val="00AA0EAB"/>
    <w:rsid w:val="00AB0A1A"/>
    <w:rsid w:val="00AC22E3"/>
    <w:rsid w:val="00AE09E9"/>
    <w:rsid w:val="00B125DA"/>
    <w:rsid w:val="00B32D00"/>
    <w:rsid w:val="00B372D8"/>
    <w:rsid w:val="00BA5D84"/>
    <w:rsid w:val="00C333B9"/>
    <w:rsid w:val="00C51C40"/>
    <w:rsid w:val="00C522FC"/>
    <w:rsid w:val="00C83595"/>
    <w:rsid w:val="00CB2061"/>
    <w:rsid w:val="00CF4C96"/>
    <w:rsid w:val="00D01966"/>
    <w:rsid w:val="00D03616"/>
    <w:rsid w:val="00D04BC0"/>
    <w:rsid w:val="00D174C9"/>
    <w:rsid w:val="00D2610E"/>
    <w:rsid w:val="00D57224"/>
    <w:rsid w:val="00D661F5"/>
    <w:rsid w:val="00D75D61"/>
    <w:rsid w:val="00D8673C"/>
    <w:rsid w:val="00DC513D"/>
    <w:rsid w:val="00E12BE4"/>
    <w:rsid w:val="00E23E4B"/>
    <w:rsid w:val="00E27CFF"/>
    <w:rsid w:val="00E33160"/>
    <w:rsid w:val="00E65AC5"/>
    <w:rsid w:val="00E914CB"/>
    <w:rsid w:val="00EA5F7F"/>
    <w:rsid w:val="00F13704"/>
    <w:rsid w:val="00F35A2C"/>
    <w:rsid w:val="00F37D5B"/>
    <w:rsid w:val="00FB0E88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4C9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C96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4C9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C9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Users\catscomputer\Dropbox%20(Partners%20HealthCare)\FQHCs\Manuscripts\FQHC%20APCD%202009-13%20Manuscript\PLOS\Figure%202%20fqhc%20%204-29-20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\\Users\catscomputer\Dropbox%20(Partners%20HealthCare)\FQHCs\Manuscripts\FQHC%20APCD%202009-13%20Manuscript\PLOS\Figure%203%20fqhc%204-29-2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929234174850131"/>
          <c:y val="7.4298909211446676E-2"/>
          <c:w val="0.67735478547716843"/>
          <c:h val="0.70519072647135672"/>
        </c:manualLayout>
      </c:layout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b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Dir val="x"/>
            <c:errBarType val="both"/>
            <c:errValType val="cust"/>
            <c:noEndCap val="0"/>
            <c:plus>
              <c:numRef>
                <c:f>Data!$I$4:$I$9</c:f>
                <c:numCache>
                  <c:formatCode>General</c:formatCode>
                  <c:ptCount val="6"/>
                  <c:pt idx="0">
                    <c:v>1.52E-2</c:v>
                  </c:pt>
                  <c:pt idx="1">
                    <c:v>1.54E-2</c:v>
                  </c:pt>
                  <c:pt idx="2">
                    <c:v>1.3000000000000001E-2</c:v>
                  </c:pt>
                  <c:pt idx="3">
                    <c:v>1.9699999999999999E-2</c:v>
                  </c:pt>
                  <c:pt idx="4">
                    <c:v>2.0400000000000001E-2</c:v>
                  </c:pt>
                  <c:pt idx="5">
                    <c:v>1.8100000000000002E-2</c:v>
                  </c:pt>
                </c:numCache>
              </c:numRef>
            </c:plus>
            <c:minus>
              <c:numRef>
                <c:f>Data!$H$4:$H$9</c:f>
                <c:numCache>
                  <c:formatCode>General</c:formatCode>
                  <c:ptCount val="6"/>
                  <c:pt idx="0">
                    <c:v>1.52E-2</c:v>
                  </c:pt>
                  <c:pt idx="1">
                    <c:v>1.54E-2</c:v>
                  </c:pt>
                  <c:pt idx="2">
                    <c:v>1.3000000000000001E-2</c:v>
                  </c:pt>
                  <c:pt idx="3">
                    <c:v>1.9699999999999999E-2</c:v>
                  </c:pt>
                  <c:pt idx="4">
                    <c:v>2.0400000000000001E-2</c:v>
                  </c:pt>
                  <c:pt idx="5">
                    <c:v>1.8100000000000002E-2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Data!$E$7:$E$9</c:f>
              <c:numCache>
                <c:formatCode>0.0%</c:formatCode>
                <c:ptCount val="3"/>
                <c:pt idx="0">
                  <c:v>7.7000000000000002E-3</c:v>
                </c:pt>
                <c:pt idx="1">
                  <c:v>1.89E-2</c:v>
                </c:pt>
                <c:pt idx="2">
                  <c:v>2E-3</c:v>
                </c:pt>
              </c:numCache>
            </c:numRef>
          </c:xVal>
          <c:yVal>
            <c:numRef>
              <c:f>Data!$D$7:$D$9</c:f>
              <c:numCache>
                <c:formatCode>General</c:formatCode>
                <c:ptCount val="3"/>
                <c:pt idx="0">
                  <c:v>3</c:v>
                </c:pt>
                <c:pt idx="1">
                  <c:v>2</c:v>
                </c:pt>
                <c:pt idx="2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C19F-9A48-AB1F-736D1B846C08}"/>
            </c:ext>
          </c:extLst>
        </c:ser>
        <c:ser>
          <c:idx val="1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bg1"/>
              </a:solidFill>
              <a:ln w="9525">
                <a:solidFill>
                  <a:schemeClr val="bg1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6E490EE6-9ED4-4FEE-9FF7-3C5E1BAB5379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{6E490EE6-9ED4-4FEE-9FF7-3C5E1BAB5379}</c15:txfldGUID>
                      <c15:f>Data!$C$4</c15:f>
                      <c15:dlblFieldTableCache>
                        <c:ptCount val="1"/>
                        <c:pt idx="0">
                          <c:v>Current year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1-C19F-9A48-AB1F-736D1B846C0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962D3AAF-39E8-43CA-9243-754A10A84E5E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{962D3AAF-39E8-43CA-9243-754A10A84E5E}</c15:txfldGUID>
                      <c15:f>Data!$C$5</c15:f>
                      <c15:dlblFieldTableCache>
                        <c:ptCount val="1"/>
                        <c:pt idx="0">
                          <c:v>1-year prior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2-C19F-9A48-AB1F-736D1B846C0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EB73C727-63EC-4FA3-9438-9F24F34E6433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{EB73C727-63EC-4FA3-9438-9F24F34E6433}</c15:txfldGUID>
                      <c15:f>Data!$C$6</c15:f>
                      <c15:dlblFieldTableCache>
                        <c:ptCount val="1"/>
                        <c:pt idx="0">
                          <c:v>2-year prior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3-C19F-9A48-AB1F-736D1B846C08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B74B5D0B-77B1-4646-8ADF-CDFECDC8C854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{B74B5D0B-77B1-4646-8ADF-CDFECDC8C854}</c15:txfldGUID>
                      <c15:f>Data!$C$7</c15:f>
                      <c15:dlblFieldTableCache>
                        <c:ptCount val="1"/>
                        <c:pt idx="0">
                          <c:v>Current year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4-C19F-9A48-AB1F-736D1B846C08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7211E81E-0F56-41F4-95EE-70E20D660C15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{7211E81E-0F56-41F4-95EE-70E20D660C15}</c15:txfldGUID>
                      <c15:f>Data!$C$8</c15:f>
                      <c15:dlblFieldTableCache>
                        <c:ptCount val="1"/>
                        <c:pt idx="0">
                          <c:v>1-year prior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5-C19F-9A48-AB1F-736D1B846C08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9647DC36-5D62-44ED-B968-0B00FDBC244A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{9647DC36-5D62-44ED-B968-0B00FDBC244A}</c15:txfldGUID>
                      <c15:f>Data!$C$9</c15:f>
                      <c15:dlblFieldTableCache>
                        <c:ptCount val="1"/>
                        <c:pt idx="0">
                          <c:v>2-year prior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6-C19F-9A48-AB1F-736D1B846C0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Data!$B$4:$B$9</c:f>
              <c:numCache>
                <c:formatCode>General</c:formatCode>
                <c:ptCount val="6"/>
                <c:pt idx="0">
                  <c:v>-0.05</c:v>
                </c:pt>
                <c:pt idx="1">
                  <c:v>-0.05</c:v>
                </c:pt>
                <c:pt idx="2">
                  <c:v>-0.05</c:v>
                </c:pt>
                <c:pt idx="3">
                  <c:v>-0.05</c:v>
                </c:pt>
                <c:pt idx="4">
                  <c:v>-0.05</c:v>
                </c:pt>
                <c:pt idx="5">
                  <c:v>-0.05</c:v>
                </c:pt>
              </c:numCache>
            </c:numRef>
          </c:xVal>
          <c:yVal>
            <c:numRef>
              <c:f>Data!$D$4:$D$9</c:f>
              <c:numCache>
                <c:formatCode>General</c:formatCode>
                <c:ptCount val="6"/>
                <c:pt idx="0">
                  <c:v>3</c:v>
                </c:pt>
                <c:pt idx="1">
                  <c:v>2</c:v>
                </c:pt>
                <c:pt idx="2">
                  <c:v>1</c:v>
                </c:pt>
                <c:pt idx="3">
                  <c:v>3</c:v>
                </c:pt>
                <c:pt idx="4">
                  <c:v>2</c:v>
                </c:pt>
                <c:pt idx="5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C19F-9A48-AB1F-736D1B846C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06821376"/>
        <c:axId val="306827648"/>
      </c:scatterChart>
      <c:valAx>
        <c:axId val="306821376"/>
        <c:scaling>
          <c:orientation val="minMax"/>
          <c:min val="-5.000000000000001E-2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Annual Percentage Change (%)</a:t>
                </a:r>
              </a:p>
            </c:rich>
          </c:tx>
          <c:layout>
            <c:manualLayout>
              <c:xMode val="edge"/>
              <c:yMode val="edge"/>
              <c:x val="0.49971819400056677"/>
              <c:y val="0.8820012865855200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%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306827648"/>
        <c:crosses val="autoZero"/>
        <c:crossBetween val="midCat"/>
      </c:valAx>
      <c:valAx>
        <c:axId val="306827648"/>
        <c:scaling>
          <c:orientation val="minMax"/>
        </c:scaling>
        <c:delete val="1"/>
        <c:axPos val="l"/>
        <c:numFmt formatCode="0%" sourceLinked="0"/>
        <c:majorTickMark val="none"/>
        <c:minorTickMark val="none"/>
        <c:tickLblPos val="nextTo"/>
        <c:crossAx val="306821376"/>
        <c:crosses val="autoZero"/>
        <c:crossBetween val="midCat"/>
      </c:valAx>
      <c:spPr>
        <a:noFill/>
        <a:ln w="25400"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>
              <a:lumMod val="85000"/>
              <a:lumOff val="15000"/>
            </a:schemeClr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100" b="1" baseline="0">
                <a:solidFill>
                  <a:schemeClr val="tx1">
                    <a:lumMod val="85000"/>
                    <a:lumOff val="15000"/>
                  </a:schemeClr>
                </a:solidFill>
              </a:rPr>
              <a:t>(b) Change in Number of ED Visits</a:t>
            </a:r>
            <a:endParaRPr lang="en-US" sz="1100" b="1">
              <a:solidFill>
                <a:schemeClr val="tx1">
                  <a:lumMod val="85000"/>
                  <a:lumOff val="15000"/>
                </a:schemeClr>
              </a:solidFill>
            </a:endParaRPr>
          </a:p>
        </c:rich>
      </c:tx>
      <c:layout>
        <c:manualLayout>
          <c:xMode val="edge"/>
          <c:yMode val="edge"/>
          <c:x val="1.4678178746758827E-2"/>
          <c:y val="2.2180539109355298E-2"/>
        </c:manualLayout>
      </c:layout>
      <c:overlay val="1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9252298789101544"/>
          <c:y val="3.5321357429940768E-2"/>
          <c:w val="0.68991474286388732"/>
          <c:h val="0.85988345452449655"/>
        </c:manualLayout>
      </c:layout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317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8.0715575333522777E-2"/>
                  <c:y val="0"/>
                </c:manualLayout>
              </c:layout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743-5C4F-BE09-BB82CBC4B2DD}"/>
                </c:ext>
              </c:extLst>
            </c:dLbl>
            <c:dLbl>
              <c:idx val="1"/>
              <c:layout>
                <c:manualLayout>
                  <c:x val="-9.5353873362815866E-2"/>
                  <c:y val="0"/>
                </c:manualLayout>
              </c:layout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743-5C4F-BE09-BB82CBC4B2DD}"/>
                </c:ext>
              </c:extLst>
            </c:dLbl>
            <c:dLbl>
              <c:idx val="2"/>
              <c:layout>
                <c:manualLayout>
                  <c:x val="-8.3643234939381306E-2"/>
                  <c:y val="0"/>
                </c:manualLayout>
              </c:layout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743-5C4F-BE09-BB82CBC4B2DD}"/>
                </c:ext>
              </c:extLst>
            </c:dLbl>
            <c:dLbl>
              <c:idx val="3"/>
              <c:layout>
                <c:manualLayout>
                  <c:x val="-9.0962383954027906E-2"/>
                  <c:y val="0"/>
                </c:manualLayout>
              </c:layout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743-5C4F-BE09-BB82CBC4B2DD}"/>
                </c:ext>
              </c:extLst>
            </c:dLbl>
            <c:dLbl>
              <c:idx val="4"/>
              <c:layout>
                <c:manualLayout>
                  <c:x val="-0.10560068198332111"/>
                  <c:y val="0"/>
                </c:manualLayout>
              </c:layout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743-5C4F-BE09-BB82CBC4B2DD}"/>
                </c:ext>
              </c:extLst>
            </c:dLbl>
            <c:dLbl>
              <c:idx val="5"/>
              <c:layout>
                <c:manualLayout>
                  <c:x val="-8.6570894545240057E-2"/>
                  <c:y val="0"/>
                </c:manualLayout>
              </c:layout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743-5C4F-BE09-BB82CBC4B2DD}"/>
                </c:ext>
              </c:extLst>
            </c:dLbl>
            <c:dLbl>
              <c:idx val="6"/>
              <c:layout>
                <c:manualLayout>
                  <c:x val="-0.10120919257453315"/>
                  <c:y val="-7.3934276269449138E-17"/>
                </c:manualLayout>
              </c:layout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743-5C4F-BE09-BB82CBC4B2DD}"/>
                </c:ext>
              </c:extLst>
            </c:dLbl>
            <c:dLbl>
              <c:idx val="7"/>
              <c:layout>
                <c:manualLayout>
                  <c:x val="-0.10595937791613338"/>
                  <c:y val="0"/>
                </c:manualLayout>
              </c:layout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743-5C4F-BE09-BB82CBC4B2DD}"/>
                </c:ext>
              </c:extLst>
            </c:dLbl>
            <c:dLbl>
              <c:idx val="8"/>
              <c:layout>
                <c:manualLayout>
                  <c:x val="-0.10303171831027474"/>
                  <c:y val="0"/>
                </c:manualLayout>
              </c:layout>
              <c:dLblPos val="r"/>
              <c:showLegendKey val="0"/>
              <c:showVal val="0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743-5C4F-BE09-BB82CBC4B2D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l"/>
            <c:showLegendKey val="0"/>
            <c:showVal val="0"/>
            <c:showCatName val="1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errBars>
            <c:errDir val="x"/>
            <c:errBarType val="both"/>
            <c:errValType val="cust"/>
            <c:noEndCap val="0"/>
            <c:plus>
              <c:numRef>
                <c:f>Data!$J$4:$J$12</c:f>
                <c:numCache>
                  <c:formatCode>General</c:formatCode>
                  <c:ptCount val="9"/>
                  <c:pt idx="0">
                    <c:v>4.6999999999999993E-3</c:v>
                  </c:pt>
                  <c:pt idx="1">
                    <c:v>8.1000000000000013E-3</c:v>
                  </c:pt>
                  <c:pt idx="2">
                    <c:v>4.6999999999999993E-3</c:v>
                  </c:pt>
                  <c:pt idx="3">
                    <c:v>6.4000000000000003E-3</c:v>
                  </c:pt>
                  <c:pt idx="4">
                    <c:v>1.0200000000000001E-2</c:v>
                  </c:pt>
                  <c:pt idx="5">
                    <c:v>6.0999999999999995E-3</c:v>
                  </c:pt>
                  <c:pt idx="6">
                    <c:v>9.3999999999999986E-3</c:v>
                  </c:pt>
                  <c:pt idx="7">
                    <c:v>1.1200000000000002E-2</c:v>
                  </c:pt>
                  <c:pt idx="8">
                    <c:v>0.01</c:v>
                  </c:pt>
                </c:numCache>
              </c:numRef>
            </c:plus>
            <c:minus>
              <c:numRef>
                <c:f>Data!$I$4:$I$12</c:f>
                <c:numCache>
                  <c:formatCode>General</c:formatCode>
                  <c:ptCount val="9"/>
                  <c:pt idx="0">
                    <c:v>4.6999999999999993E-3</c:v>
                  </c:pt>
                  <c:pt idx="1">
                    <c:v>8.1000000000000013E-3</c:v>
                  </c:pt>
                  <c:pt idx="2">
                    <c:v>4.6999999999999993E-3</c:v>
                  </c:pt>
                  <c:pt idx="3">
                    <c:v>6.4000000000000003E-3</c:v>
                  </c:pt>
                  <c:pt idx="4">
                    <c:v>1.0200000000000001E-2</c:v>
                  </c:pt>
                  <c:pt idx="5">
                    <c:v>6.0999999999999995E-3</c:v>
                  </c:pt>
                  <c:pt idx="6">
                    <c:v>9.3999999999999986E-3</c:v>
                  </c:pt>
                  <c:pt idx="7">
                    <c:v>1.1200000000000002E-2</c:v>
                  </c:pt>
                  <c:pt idx="8">
                    <c:v>0.01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xVal>
            <c:numRef>
              <c:f>Data!$F$15:$F$23</c:f>
              <c:numCache>
                <c:formatCode>0.0%</c:formatCode>
                <c:ptCount val="9"/>
                <c:pt idx="0">
                  <c:v>-1.5100000000000001E-2</c:v>
                </c:pt>
                <c:pt idx="1">
                  <c:v>-1.34E-2</c:v>
                </c:pt>
                <c:pt idx="2">
                  <c:v>-9.3999999999999986E-3</c:v>
                </c:pt>
                <c:pt idx="3">
                  <c:v>-1.6399999999999998E-2</c:v>
                </c:pt>
                <c:pt idx="4">
                  <c:v>-1.7299999999999999E-2</c:v>
                </c:pt>
                <c:pt idx="5">
                  <c:v>-1.3000000000000001E-2</c:v>
                </c:pt>
                <c:pt idx="6">
                  <c:v>-1.6000000000000001E-3</c:v>
                </c:pt>
                <c:pt idx="7">
                  <c:v>4.8999999999999998E-3</c:v>
                </c:pt>
                <c:pt idx="8">
                  <c:v>4.4000000000000003E-3</c:v>
                </c:pt>
              </c:numCache>
            </c:numRef>
          </c:xVal>
          <c:yVal>
            <c:numRef>
              <c:f>Data!$E$15:$E$23</c:f>
              <c:numCache>
                <c:formatCode>General</c:formatCode>
                <c:ptCount val="9"/>
                <c:pt idx="0">
                  <c:v>9</c:v>
                </c:pt>
                <c:pt idx="1">
                  <c:v>8</c:v>
                </c:pt>
                <c:pt idx="2">
                  <c:v>7</c:v>
                </c:pt>
                <c:pt idx="3">
                  <c:v>6</c:v>
                </c:pt>
                <c:pt idx="4">
                  <c:v>5</c:v>
                </c:pt>
                <c:pt idx="5">
                  <c:v>4</c:v>
                </c:pt>
                <c:pt idx="6">
                  <c:v>3</c:v>
                </c:pt>
                <c:pt idx="7">
                  <c:v>2</c:v>
                </c:pt>
                <c:pt idx="8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9-4743-5C4F-BE09-BB82CBC4B2DD}"/>
            </c:ext>
          </c:extLst>
        </c:ser>
        <c:ser>
          <c:idx val="1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3175">
                <a:solidFill>
                  <a:schemeClr val="accent2"/>
                </a:solidFill>
              </a:ln>
              <a:effectLst/>
            </c:spPr>
          </c:marker>
          <c:dPt>
            <c:idx val="0"/>
            <c:marker>
              <c:spPr>
                <a:solidFill>
                  <a:schemeClr val="bg1"/>
                </a:solidFill>
                <a:ln w="3175">
                  <a:solidFill>
                    <a:schemeClr val="bg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A-4743-5C4F-BE09-BB82CBC4B2DD}"/>
              </c:ext>
            </c:extLst>
          </c:dPt>
          <c:dPt>
            <c:idx val="1"/>
            <c:marker>
              <c:spPr>
                <a:solidFill>
                  <a:schemeClr val="bg1"/>
                </a:solidFill>
                <a:ln w="3175">
                  <a:solidFill>
                    <a:schemeClr val="bg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4743-5C4F-BE09-BB82CBC4B2DD}"/>
              </c:ext>
            </c:extLst>
          </c:dPt>
          <c:dPt>
            <c:idx val="2"/>
            <c:marker>
              <c:spPr>
                <a:solidFill>
                  <a:schemeClr val="bg1"/>
                </a:solidFill>
                <a:ln w="3175">
                  <a:solidFill>
                    <a:schemeClr val="bg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C-4743-5C4F-BE09-BB82CBC4B2DD}"/>
              </c:ext>
            </c:extLst>
          </c:dPt>
          <c:dPt>
            <c:idx val="3"/>
            <c:marker>
              <c:spPr>
                <a:solidFill>
                  <a:schemeClr val="bg1"/>
                </a:solidFill>
                <a:ln w="3175">
                  <a:solidFill>
                    <a:schemeClr val="bg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4743-5C4F-BE09-BB82CBC4B2DD}"/>
              </c:ext>
            </c:extLst>
          </c:dPt>
          <c:dPt>
            <c:idx val="4"/>
            <c:marker>
              <c:spPr>
                <a:solidFill>
                  <a:schemeClr val="bg1"/>
                </a:solidFill>
                <a:ln w="3175">
                  <a:solidFill>
                    <a:schemeClr val="bg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E-4743-5C4F-BE09-BB82CBC4B2DD}"/>
              </c:ext>
            </c:extLst>
          </c:dPt>
          <c:dPt>
            <c:idx val="5"/>
            <c:marker>
              <c:spPr>
                <a:solidFill>
                  <a:schemeClr val="bg1"/>
                </a:solidFill>
                <a:ln w="3175">
                  <a:solidFill>
                    <a:schemeClr val="bg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4743-5C4F-BE09-BB82CBC4B2DD}"/>
              </c:ext>
            </c:extLst>
          </c:dPt>
          <c:dPt>
            <c:idx val="6"/>
            <c:marker>
              <c:spPr>
                <a:solidFill>
                  <a:schemeClr val="bg1"/>
                </a:solidFill>
                <a:ln w="3175">
                  <a:solidFill>
                    <a:schemeClr val="bg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0-4743-5C4F-BE09-BB82CBC4B2DD}"/>
              </c:ext>
            </c:extLst>
          </c:dPt>
          <c:dPt>
            <c:idx val="7"/>
            <c:marker>
              <c:spPr>
                <a:solidFill>
                  <a:schemeClr val="bg1"/>
                </a:solidFill>
                <a:ln w="3175">
                  <a:solidFill>
                    <a:schemeClr val="bg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1-4743-5C4F-BE09-BB82CBC4B2DD}"/>
              </c:ext>
            </c:extLst>
          </c:dPt>
          <c:dPt>
            <c:idx val="8"/>
            <c:marker>
              <c:spPr>
                <a:solidFill>
                  <a:schemeClr val="bg1"/>
                </a:solidFill>
                <a:ln w="3175">
                  <a:solidFill>
                    <a:schemeClr val="bg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2-4743-5C4F-BE09-BB82CBC4B2DD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fld id="{8162DC9D-307C-4749-B30B-F67A1943847B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{8162DC9D-307C-4749-B30B-F67A1943847B}</c15:txfldGUID>
                      <c15:f>Data!$D$15</c15:f>
                      <c15:dlblFieldTableCache>
                        <c:ptCount val="1"/>
                        <c:pt idx="0">
                          <c:v>Current year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A-4743-5C4F-BE09-BB82CBC4B2DD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257E92D2-C61F-4F46-B70E-FDFD08F3EDD4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{257E92D2-C61F-4F46-B70E-FDFD08F3EDD4}</c15:txfldGUID>
                      <c15:f>Data!$D$16</c15:f>
                      <c15:dlblFieldTableCache>
                        <c:ptCount val="1"/>
                        <c:pt idx="0">
                          <c:v>1-year prior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B-4743-5C4F-BE09-BB82CBC4B2DD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6C26D8E6-9AAA-4F4D-AFF7-2F79081473C3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{6C26D8E6-9AAA-4F4D-AFF7-2F79081473C3}</c15:txfldGUID>
                      <c15:f>Data!$D$17</c15:f>
                      <c15:dlblFieldTableCache>
                        <c:ptCount val="1"/>
                        <c:pt idx="0">
                          <c:v>2-year prior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C-4743-5C4F-BE09-BB82CBC4B2DD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48BD84BC-092A-4AFD-A70C-54DC59DBC24B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{48BD84BC-092A-4AFD-A70C-54DC59DBC24B}</c15:txfldGUID>
                      <c15:f>Data!$D$18</c15:f>
                      <c15:dlblFieldTableCache>
                        <c:ptCount val="1"/>
                        <c:pt idx="0">
                          <c:v>Current year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D-4743-5C4F-BE09-BB82CBC4B2DD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4A436720-DA78-49EE-B904-6C33D669BF95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{4A436720-DA78-49EE-B904-6C33D669BF95}</c15:txfldGUID>
                      <c15:f>Data!$D$19</c15:f>
                      <c15:dlblFieldTableCache>
                        <c:ptCount val="1"/>
                        <c:pt idx="0">
                          <c:v>1-year prior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E-4743-5C4F-BE09-BB82CBC4B2DD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84C2D6B9-3422-4D93-812C-CC97D99B9168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{84C2D6B9-3422-4D93-812C-CC97D99B9168}</c15:txfldGUID>
                      <c15:f>Data!$D$20</c15:f>
                      <c15:dlblFieldTableCache>
                        <c:ptCount val="1"/>
                        <c:pt idx="0">
                          <c:v>2-year prior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0F-4743-5C4F-BE09-BB82CBC4B2DD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fld id="{3B013CF6-8BB7-45D4-8145-EA709F62FCFB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{3B013CF6-8BB7-45D4-8145-EA709F62FCFB}</c15:txfldGUID>
                      <c15:f>Data!$D$21</c15:f>
                      <c15:dlblFieldTableCache>
                        <c:ptCount val="1"/>
                        <c:pt idx="0">
                          <c:v>Current year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10-4743-5C4F-BE09-BB82CBC4B2DD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fld id="{5BC1A456-DE00-47BB-8F47-EB8626B5F7DE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{5BC1A456-DE00-47BB-8F47-EB8626B5F7DE}</c15:txfldGUID>
                      <c15:f>Data!$D$22</c15:f>
                      <c15:dlblFieldTableCache>
                        <c:ptCount val="1"/>
                        <c:pt idx="0">
                          <c:v>1-year prior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11-4743-5C4F-BE09-BB82CBC4B2DD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fld id="{DF478DA0-E00E-4489-8161-DA41EA083A38}" type="CELLREF">
                      <a:rPr lang="en-US"/>
                      <a:pPr/>
                      <a:t>[CELLREF]</a:t>
                    </a:fld>
                    <a:endParaRPr lang="en-US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>
                    <c15:dlblFTEntry>
                      <c15:txfldGUID>{DF478DA0-E00E-4489-8161-DA41EA083A38}</c15:txfldGUID>
                      <c15:f>Data!$D$23</c15:f>
                      <c15:dlblFieldTableCache>
                        <c:ptCount val="1"/>
                        <c:pt idx="0">
                          <c:v>2-year prior funding △</c:v>
                        </c:pt>
                      </c15:dlblFieldTableCache>
                    </c15:dlblFTEntry>
                  </c15:dlblFieldTable>
                  <c15:showDataLabelsRange val="0"/>
                </c:ext>
                <c:ext xmlns:c16="http://schemas.microsoft.com/office/drawing/2014/chart" uri="{C3380CC4-5D6E-409C-BE32-E72D297353CC}">
                  <c16:uniqueId val="{00000012-4743-5C4F-BE09-BB82CBC4B2D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Data!$C$15:$C$23</c:f>
              <c:numCache>
                <c:formatCode>General</c:formatCode>
                <c:ptCount val="9"/>
                <c:pt idx="0">
                  <c:v>-6.5000000000000002E-2</c:v>
                </c:pt>
                <c:pt idx="1">
                  <c:v>-6.5000000000000002E-2</c:v>
                </c:pt>
                <c:pt idx="2">
                  <c:v>-6.5000000000000002E-2</c:v>
                </c:pt>
                <c:pt idx="3">
                  <c:v>-6.5000000000000002E-2</c:v>
                </c:pt>
                <c:pt idx="4">
                  <c:v>-6.5000000000000002E-2</c:v>
                </c:pt>
                <c:pt idx="5">
                  <c:v>-6.5000000000000002E-2</c:v>
                </c:pt>
                <c:pt idx="6">
                  <c:v>-6.5000000000000002E-2</c:v>
                </c:pt>
                <c:pt idx="7">
                  <c:v>-6.5000000000000002E-2</c:v>
                </c:pt>
                <c:pt idx="8">
                  <c:v>-6.5000000000000002E-2</c:v>
                </c:pt>
              </c:numCache>
            </c:numRef>
          </c:xVal>
          <c:yVal>
            <c:numRef>
              <c:f>Data!$E$15:$E$23</c:f>
              <c:numCache>
                <c:formatCode>General</c:formatCode>
                <c:ptCount val="9"/>
                <c:pt idx="0">
                  <c:v>9</c:v>
                </c:pt>
                <c:pt idx="1">
                  <c:v>8</c:v>
                </c:pt>
                <c:pt idx="2">
                  <c:v>7</c:v>
                </c:pt>
                <c:pt idx="3">
                  <c:v>6</c:v>
                </c:pt>
                <c:pt idx="4">
                  <c:v>5</c:v>
                </c:pt>
                <c:pt idx="5">
                  <c:v>4</c:v>
                </c:pt>
                <c:pt idx="6">
                  <c:v>3</c:v>
                </c:pt>
                <c:pt idx="7">
                  <c:v>2</c:v>
                </c:pt>
                <c:pt idx="8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3-4743-5C4F-BE09-BB82CBC4B2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19662336"/>
        <c:axId val="387785088"/>
      </c:scatterChart>
      <c:valAx>
        <c:axId val="319662336"/>
        <c:scaling>
          <c:orientation val="minMax"/>
          <c:max val="7.0000000000000007E-2"/>
          <c:min val="-7.0000000000000007E-2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1000" b="1">
                    <a:solidFill>
                      <a:schemeClr val="tx1">
                        <a:lumMod val="85000"/>
                        <a:lumOff val="15000"/>
                      </a:schemeClr>
                    </a:solidFill>
                  </a:rPr>
                  <a:t>Annual Percentage Change (%)</a:t>
                </a:r>
              </a:p>
            </c:rich>
          </c:tx>
          <c:layout>
            <c:manualLayout>
              <c:xMode val="edge"/>
              <c:yMode val="edge"/>
              <c:x val="0.5423676144599644"/>
              <c:y val="0.9460149176430390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387785088"/>
        <c:crosses val="autoZero"/>
        <c:crossBetween val="midCat"/>
        <c:majorUnit val="1.0000000000000002E-2"/>
      </c:valAx>
      <c:valAx>
        <c:axId val="38778508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196623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0.66712</cdr:x>
      <cdr:y>0.09389</cdr:y>
    </cdr:from>
    <cdr:to>
      <cdr:x>0.66712</cdr:x>
      <cdr:y>0.77839</cdr:y>
    </cdr:to>
    <cdr:cxnSp macro="">
      <cdr:nvCxnSpPr>
        <cdr:cNvPr id="3" name="Straight Connector 2">
          <a:extLst xmlns:a="http://schemas.openxmlformats.org/drawingml/2006/main">
            <a:ext uri="{FF2B5EF4-FFF2-40B4-BE49-F238E27FC236}">
              <a16:creationId xmlns="" xmlns:a16="http://schemas.microsoft.com/office/drawing/2014/main" id="{ECB5DB29-0EF5-4DBF-B2D7-F15DA0A21D34}"/>
            </a:ext>
          </a:extLst>
        </cdr:cNvPr>
        <cdr:cNvCxnSpPr/>
      </cdr:nvCxnSpPr>
      <cdr:spPr>
        <a:xfrm xmlns:a="http://schemas.openxmlformats.org/drawingml/2006/main" flipV="1">
          <a:off x="3990099" y="297506"/>
          <a:ext cx="0" cy="2168931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0.07566</cdr:x>
      <cdr:y>0.01702</cdr:y>
    </cdr:from>
    <cdr:to>
      <cdr:x>0.37779</cdr:x>
      <cdr:y>0.09053</cdr:y>
    </cdr:to>
    <cdr:sp macro="" textlink="">
      <cdr:nvSpPr>
        <cdr:cNvPr id="6" name="TextBox 5">
          <a:extLst xmlns:a="http://schemas.openxmlformats.org/drawingml/2006/main">
            <a:ext uri="{FF2B5EF4-FFF2-40B4-BE49-F238E27FC236}">
              <a16:creationId xmlns="" xmlns:a16="http://schemas.microsoft.com/office/drawing/2014/main" id="{4BE954AC-0542-4CB7-9B5A-238480AFD007}"/>
            </a:ext>
          </a:extLst>
        </cdr:cNvPr>
        <cdr:cNvSpPr txBox="1"/>
      </cdr:nvSpPr>
      <cdr:spPr>
        <a:xfrm xmlns:a="http://schemas.openxmlformats.org/drawingml/2006/main">
          <a:off x="452500" y="60596"/>
          <a:ext cx="1807059" cy="26169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en-US" sz="1100" b="1">
              <a:latin typeface="Times New Roman" panose="02020603050405020304" pitchFamily="18" charset="0"/>
              <a:cs typeface="Times New Roman" panose="02020603050405020304" pitchFamily="18" charset="0"/>
            </a:rPr>
            <a:t>(a)</a:t>
          </a:r>
          <a:r>
            <a:rPr lang="en-US" sz="11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100" b="1">
              <a:latin typeface="Times New Roman" panose="02020603050405020304" pitchFamily="18" charset="0"/>
              <a:cs typeface="Times New Roman" panose="02020603050405020304" pitchFamily="18" charset="0"/>
            </a:rPr>
            <a:t>Change in Number of</a:t>
          </a:r>
          <a:r>
            <a:rPr lang="en-US" sz="11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100" b="1">
              <a:latin typeface="Times New Roman" panose="02020603050405020304" pitchFamily="18" charset="0"/>
              <a:cs typeface="Times New Roman" panose="02020603050405020304" pitchFamily="18" charset="0"/>
            </a:rPr>
            <a:t>FQHC Visits</a:t>
          </a:r>
        </a:p>
      </cdr:txBody>
    </cdr:sp>
  </cdr:relSizeAnchor>
  <cdr:relSizeAnchor xmlns:cdr="http://schemas.openxmlformats.org/drawingml/2006/chartDrawing">
    <cdr:from>
      <cdr:x>0.00156</cdr:x>
      <cdr:y>0.09367</cdr:y>
    </cdr:from>
    <cdr:to>
      <cdr:x>1</cdr:x>
      <cdr:y>0.09367</cdr:y>
    </cdr:to>
    <cdr:cxnSp macro="">
      <cdr:nvCxnSpPr>
        <cdr:cNvPr id="7" name="Straight Connector 6"/>
        <cdr:cNvCxnSpPr/>
      </cdr:nvCxnSpPr>
      <cdr:spPr>
        <a:xfrm xmlns:a="http://schemas.openxmlformats.org/drawingml/2006/main">
          <a:off x="9325" y="333433"/>
          <a:ext cx="597174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90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0.01834</cdr:x>
      <cdr:y>0.59864</cdr:y>
    </cdr:from>
    <cdr:to>
      <cdr:x>0.9843</cdr:x>
      <cdr:y>0.59864</cdr:y>
    </cdr:to>
    <cdr:cxnSp macro="">
      <cdr:nvCxnSpPr>
        <cdr:cNvPr id="4" name="Straight Connector 3">
          <a:extLst xmlns:a="http://schemas.openxmlformats.org/drawingml/2006/main">
            <a:ext uri="{FF2B5EF4-FFF2-40B4-BE49-F238E27FC236}">
              <a16:creationId xmlns="" xmlns:a16="http://schemas.microsoft.com/office/drawing/2014/main" id="{1F860583-1CB3-49ED-A1E8-D38A6A42CE42}"/>
            </a:ext>
          </a:extLst>
        </cdr:cNvPr>
        <cdr:cNvCxnSpPr/>
      </cdr:nvCxnSpPr>
      <cdr:spPr>
        <a:xfrm xmlns:a="http://schemas.openxmlformats.org/drawingml/2006/main">
          <a:off x="159245" y="3767123"/>
          <a:ext cx="8388448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75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0.01039</cdr:x>
      <cdr:y>0.07645</cdr:y>
    </cdr:from>
    <cdr:to>
      <cdr:x>0.10505</cdr:x>
      <cdr:y>0.15592</cdr:y>
    </cdr:to>
    <cdr:sp macro="" textlink="">
      <cdr:nvSpPr>
        <cdr:cNvPr id="16" name="TextBox 15">
          <a:extLst xmlns:a="http://schemas.openxmlformats.org/drawingml/2006/main">
            <a:ext uri="{FF2B5EF4-FFF2-40B4-BE49-F238E27FC236}">
              <a16:creationId xmlns="" xmlns:a16="http://schemas.microsoft.com/office/drawing/2014/main" id="{8A35A4C2-C013-4E15-A102-D58AA4D307D9}"/>
            </a:ext>
          </a:extLst>
        </cdr:cNvPr>
        <cdr:cNvSpPr txBox="1"/>
      </cdr:nvSpPr>
      <cdr:spPr>
        <a:xfrm xmlns:a="http://schemas.openxmlformats.org/drawingml/2006/main">
          <a:off x="90107" y="481488"/>
          <a:ext cx="821258" cy="50052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All ED Visits</a:t>
          </a:r>
        </a:p>
      </cdr:txBody>
    </cdr:sp>
  </cdr:relSizeAnchor>
  <cdr:relSizeAnchor xmlns:cdr="http://schemas.openxmlformats.org/drawingml/2006/chartDrawing">
    <cdr:from>
      <cdr:x>0.01006</cdr:x>
      <cdr:y>0.33414</cdr:y>
    </cdr:from>
    <cdr:to>
      <cdr:x>0.14098</cdr:x>
      <cdr:y>0.3966</cdr:y>
    </cdr:to>
    <cdr:sp macro="" textlink="">
      <cdr:nvSpPr>
        <cdr:cNvPr id="17" name="TextBox 1">
          <a:extLst xmlns:a="http://schemas.openxmlformats.org/drawingml/2006/main">
            <a:ext uri="{FF2B5EF4-FFF2-40B4-BE49-F238E27FC236}">
              <a16:creationId xmlns="" xmlns:a16="http://schemas.microsoft.com/office/drawing/2014/main" id="{455EED30-C389-4DA9-BF9F-F24AF5D581E8}"/>
            </a:ext>
          </a:extLst>
        </cdr:cNvPr>
        <cdr:cNvSpPr txBox="1"/>
      </cdr:nvSpPr>
      <cdr:spPr>
        <a:xfrm xmlns:a="http://schemas.openxmlformats.org/drawingml/2006/main">
          <a:off x="87383" y="2102674"/>
          <a:ext cx="1136916" cy="39304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Non-emergent</a:t>
          </a:r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</a:p>
        <a:p xmlns:a="http://schemas.openxmlformats.org/drawingml/2006/main"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</a:t>
          </a:r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D Visits</a:t>
          </a:r>
        </a:p>
      </cdr:txBody>
    </cdr:sp>
  </cdr:relSizeAnchor>
  <cdr:relSizeAnchor xmlns:cdr="http://schemas.openxmlformats.org/drawingml/2006/chartDrawing">
    <cdr:from>
      <cdr:x>0.01249</cdr:x>
      <cdr:y>0.60339</cdr:y>
    </cdr:from>
    <cdr:to>
      <cdr:x>0.11723</cdr:x>
      <cdr:y>0.67099</cdr:y>
    </cdr:to>
    <cdr:sp macro="" textlink="">
      <cdr:nvSpPr>
        <cdr:cNvPr id="18" name="TextBox 1">
          <a:extLst xmlns:a="http://schemas.openxmlformats.org/drawingml/2006/main">
            <a:ext uri="{FF2B5EF4-FFF2-40B4-BE49-F238E27FC236}">
              <a16:creationId xmlns="" xmlns:a16="http://schemas.microsoft.com/office/drawing/2014/main" id="{FA9D5E8F-9915-4B47-8B8E-E3066A7355CA}"/>
            </a:ext>
          </a:extLst>
        </cdr:cNvPr>
        <cdr:cNvSpPr txBox="1"/>
      </cdr:nvSpPr>
      <cdr:spPr>
        <a:xfrm xmlns:a="http://schemas.openxmlformats.org/drawingml/2006/main">
          <a:off x="108443" y="3797013"/>
          <a:ext cx="909568" cy="42539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Emergent </a:t>
          </a:r>
        </a:p>
        <a:p xmlns:a="http://schemas.openxmlformats.org/drawingml/2006/main">
          <a:r>
            <a:rPr lang="en-US" sz="900" baseline="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E</a:t>
          </a:r>
          <a:r>
            <a:rPr lang="en-US" sz="900">
              <a:solidFill>
                <a:schemeClr val="tx1">
                  <a:lumMod val="75000"/>
                  <a:lumOff val="2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D Visits</a:t>
          </a:r>
        </a:p>
      </cdr:txBody>
    </cdr:sp>
  </cdr:relSizeAnchor>
  <cdr:relSizeAnchor xmlns:cdr="http://schemas.openxmlformats.org/drawingml/2006/chartDrawing">
    <cdr:from>
      <cdr:x>0.0157</cdr:x>
      <cdr:y>0.32715</cdr:y>
    </cdr:from>
    <cdr:to>
      <cdr:x>0.98166</cdr:x>
      <cdr:y>0.32957</cdr:y>
    </cdr:to>
    <cdr:cxnSp macro="">
      <cdr:nvCxnSpPr>
        <cdr:cNvPr id="19" name="Straight Connector 18">
          <a:extLst xmlns:a="http://schemas.openxmlformats.org/drawingml/2006/main">
            <a:ext uri="{FF2B5EF4-FFF2-40B4-BE49-F238E27FC236}">
              <a16:creationId xmlns="" xmlns:a16="http://schemas.microsoft.com/office/drawing/2014/main" id="{011F2EA7-1B7A-44BE-84AB-07956DE40068}"/>
            </a:ext>
          </a:extLst>
        </cdr:cNvPr>
        <cdr:cNvCxnSpPr/>
      </cdr:nvCxnSpPr>
      <cdr:spPr>
        <a:xfrm xmlns:a="http://schemas.openxmlformats.org/drawingml/2006/main" flipV="1">
          <a:off x="136361" y="2058687"/>
          <a:ext cx="8388448" cy="15228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75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0.01702</cdr:x>
      <cdr:y>0.07103</cdr:y>
    </cdr:from>
    <cdr:to>
      <cdr:x>0.98553</cdr:x>
      <cdr:y>0.07103</cdr:y>
    </cdr:to>
    <cdr:cxnSp macro="">
      <cdr:nvCxnSpPr>
        <cdr:cNvPr id="22" name="Straight Connector 21">
          <a:extLst xmlns:a="http://schemas.openxmlformats.org/drawingml/2006/main">
            <a:ext uri="{FF2B5EF4-FFF2-40B4-BE49-F238E27FC236}">
              <a16:creationId xmlns="" xmlns:a16="http://schemas.microsoft.com/office/drawing/2014/main" id="{9BA35C7E-BFB3-4BF7-BC99-06E774C127C1}"/>
            </a:ext>
          </a:extLst>
        </cdr:cNvPr>
        <cdr:cNvCxnSpPr/>
      </cdr:nvCxnSpPr>
      <cdr:spPr>
        <a:xfrm xmlns:a="http://schemas.openxmlformats.org/drawingml/2006/main">
          <a:off x="147674" y="447369"/>
          <a:ext cx="8402658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75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0.62677</cdr:x>
      <cdr:y>0.06904</cdr:y>
    </cdr:from>
    <cdr:to>
      <cdr:x>0.62677</cdr:x>
      <cdr:y>0.89264</cdr:y>
    </cdr:to>
    <cdr:cxnSp macro="">
      <cdr:nvCxnSpPr>
        <cdr:cNvPr id="24" name="Straight Connector 23">
          <a:extLst xmlns:a="http://schemas.openxmlformats.org/drawingml/2006/main">
            <a:ext uri="{FF2B5EF4-FFF2-40B4-BE49-F238E27FC236}">
              <a16:creationId xmlns="" xmlns:a16="http://schemas.microsoft.com/office/drawing/2014/main" id="{AB5131A7-9F92-4DBB-9D2E-AC5812E971AC}"/>
            </a:ext>
          </a:extLst>
        </cdr:cNvPr>
        <cdr:cNvCxnSpPr/>
      </cdr:nvCxnSpPr>
      <cdr:spPr>
        <a:xfrm xmlns:a="http://schemas.openxmlformats.org/drawingml/2006/main" flipV="1">
          <a:off x="3725296" y="297149"/>
          <a:ext cx="0" cy="3544799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</Words>
  <Characters>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Myong, Catherine R.</dc:creator>
  <cp:keywords/>
  <dc:description/>
  <cp:lastModifiedBy>PG3646</cp:lastModifiedBy>
  <cp:revision>4</cp:revision>
  <dcterms:created xsi:type="dcterms:W3CDTF">2020-05-01T18:48:00Z</dcterms:created>
  <dcterms:modified xsi:type="dcterms:W3CDTF">2020-11-26T03:23:00Z</dcterms:modified>
</cp:coreProperties>
</file>