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51" w:rsidRDefault="00710451" w:rsidP="00710451">
      <w:pPr>
        <w:rPr>
          <w:rFonts w:ascii="Times New Roman" w:hAnsi="Times New Roman" w:cs="Times New Roman"/>
          <w:b/>
          <w:bCs/>
          <w:iCs/>
        </w:rPr>
      </w:pPr>
      <w:bookmarkStart w:id="0" w:name="_GoBack"/>
      <w:bookmarkEnd w:id="0"/>
      <w:r w:rsidRPr="00710451">
        <w:rPr>
          <w:rFonts w:ascii="Times New Roman" w:hAnsi="Times New Roman" w:cs="Times New Roman"/>
          <w:b/>
          <w:bCs/>
        </w:rPr>
        <w:t>S1 Appendix:</w:t>
      </w:r>
      <w:r>
        <w:t xml:space="preserve"> </w:t>
      </w:r>
      <w:r w:rsidRPr="00BB5F67">
        <w:rPr>
          <w:rFonts w:ascii="Times New Roman" w:hAnsi="Times New Roman" w:cs="Times New Roman"/>
          <w:b/>
          <w:bCs/>
          <w:iCs/>
        </w:rPr>
        <w:t>Constructing shift-share funding predictions</w:t>
      </w:r>
    </w:p>
    <w:p w:rsidR="00710451" w:rsidRPr="00710451" w:rsidRDefault="00710451" w:rsidP="00710451"/>
    <w:p w:rsidR="00710451" w:rsidRPr="00BB5F67" w:rsidRDefault="00710451" w:rsidP="00710451">
      <w:pPr>
        <w:rPr>
          <w:rFonts w:ascii="Times New Roman" w:hAnsi="Times New Roman" w:cs="Times New Roman"/>
        </w:rPr>
      </w:pPr>
      <w:r w:rsidRPr="00BB5F67">
        <w:rPr>
          <w:rFonts w:ascii="Times New Roman"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jkt</m:t>
            </m:r>
          </m:sub>
        </m:sSub>
      </m:oMath>
      <w:r w:rsidRPr="00BB5F67">
        <w:rPr>
          <w:rFonts w:ascii="Times New Roman" w:hAnsi="Times New Roman" w:cs="Times New Roman"/>
        </w:rPr>
        <w:t xml:space="preserve"> represent the amount of funding from FQHC </w:t>
      </w:r>
      <w:r w:rsidRPr="00BB5F67">
        <w:rPr>
          <w:rFonts w:ascii="Times New Roman" w:hAnsi="Times New Roman" w:cs="Times New Roman"/>
          <w:i/>
        </w:rPr>
        <w:t xml:space="preserve">k </w:t>
      </w:r>
      <w:r w:rsidRPr="00BB5F67">
        <w:rPr>
          <w:rFonts w:ascii="Times New Roman" w:hAnsi="Times New Roman" w:cs="Times New Roman"/>
        </w:rPr>
        <w:t xml:space="preserve">to patients in ZIP code </w:t>
      </w:r>
      <w:r w:rsidRPr="00BB5F67">
        <w:rPr>
          <w:rFonts w:ascii="Times New Roman" w:hAnsi="Times New Roman" w:cs="Times New Roman"/>
          <w:i/>
        </w:rPr>
        <w:t>j</w:t>
      </w:r>
      <w:r w:rsidRPr="00BB5F67">
        <w:rPr>
          <w:rFonts w:ascii="Times New Roman" w:hAnsi="Times New Roman" w:cs="Times New Roman"/>
        </w:rPr>
        <w:t xml:space="preserve"> in year </w:t>
      </w:r>
      <w:r w:rsidRPr="00BB5F67">
        <w:rPr>
          <w:rFonts w:ascii="Times New Roman" w:hAnsi="Times New Roman" w:cs="Times New Roman"/>
          <w:i/>
        </w:rPr>
        <w:t>t</w:t>
      </w:r>
      <w:r w:rsidRPr="00BB5F67">
        <w:rPr>
          <w:rFonts w:ascii="Times New Roman" w:hAnsi="Times New Roman" w:cs="Times New Roman"/>
        </w:rPr>
        <w:t xml:space="preserve">. The total amount of funding across all FQHCs affecting ZIP code </w:t>
      </w:r>
      <w:r w:rsidRPr="00BB5F67">
        <w:rPr>
          <w:rFonts w:ascii="Times New Roman" w:hAnsi="Times New Roman" w:cs="Times New Roman"/>
          <w:i/>
        </w:rPr>
        <w:t xml:space="preserve">j </w:t>
      </w:r>
      <w:r w:rsidRPr="00BB5F67">
        <w:rPr>
          <w:rFonts w:ascii="Times New Roman" w:hAnsi="Times New Roman" w:cs="Times New Roman"/>
        </w:rPr>
        <w:t>in this year</w:t>
      </w:r>
      <w:r w:rsidRPr="00BB5F67">
        <w:rPr>
          <w:rFonts w:ascii="Times New Roman" w:hAnsi="Times New Roman" w:cs="Times New Roman"/>
          <w:i/>
        </w:rPr>
        <w:t xml:space="preserve"> </w:t>
      </w:r>
      <w:proofErr w:type="gramStart"/>
      <w:r w:rsidRPr="00BB5F67">
        <w:rPr>
          <w:rFonts w:ascii="Times New Roman" w:hAnsi="Times New Roman" w:cs="Times New Roman"/>
        </w:rPr>
        <w:t xml:space="preserve">is </w:t>
      </w:r>
      <w:proofErr w:type="gramEnd"/>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jt</m:t>
            </m:r>
          </m:sub>
        </m:sSub>
        <m:r>
          <w:rPr>
            <w:rFonts w:ascii="Cambria Math" w:hAnsi="Cambria Math" w:cs="Times New Roman"/>
          </w:rPr>
          <m:t>=</m:t>
        </m:r>
        <m:nary>
          <m:naryPr>
            <m:chr m:val="∑"/>
            <m:limLoc m:val="undOvr"/>
            <m:supHide m:val="1"/>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jkt</m:t>
                </m:r>
              </m:sub>
            </m:sSub>
          </m:e>
        </m:nary>
      </m:oMath>
      <w:r w:rsidRPr="00BB5F67">
        <w:rPr>
          <w:rFonts w:ascii="Times New Roman" w:hAnsi="Times New Roman" w:cs="Times New Roman"/>
        </w:rPr>
        <w:t xml:space="preserve">. The gross percentage change in FQHC funding over two years (say, </w:t>
      </w:r>
      <w:r w:rsidRPr="00BB5F67">
        <w:rPr>
          <w:rFonts w:ascii="Times New Roman" w:hAnsi="Times New Roman" w:cs="Times New Roman"/>
          <w:i/>
        </w:rPr>
        <w:t>t</w:t>
      </w:r>
      <w:r w:rsidRPr="00BB5F67">
        <w:rPr>
          <w:rFonts w:ascii="Times New Roman" w:hAnsi="Times New Roman" w:cs="Times New Roman"/>
        </w:rPr>
        <w:t>=</w:t>
      </w:r>
      <w:proofErr w:type="gramStart"/>
      <w:r w:rsidRPr="00BB5F67">
        <w:rPr>
          <w:rFonts w:ascii="Times New Roman" w:hAnsi="Times New Roman" w:cs="Times New Roman"/>
        </w:rPr>
        <w:t>0</w:t>
      </w:r>
      <w:proofErr w:type="gramEnd"/>
      <w:r w:rsidRPr="00BB5F67">
        <w:rPr>
          <w:rFonts w:ascii="Times New Roman" w:hAnsi="Times New Roman" w:cs="Times New Roman"/>
        </w:rPr>
        <w:t xml:space="preserve"> to </w:t>
      </w:r>
      <w:r w:rsidRPr="00BB5F67">
        <w:rPr>
          <w:rFonts w:ascii="Times New Roman" w:hAnsi="Times New Roman" w:cs="Times New Roman"/>
          <w:i/>
        </w:rPr>
        <w:t>t</w:t>
      </w:r>
      <w:r w:rsidRPr="00BB5F67">
        <w:rPr>
          <w:rFonts w:ascii="Times New Roman" w:hAnsi="Times New Roman" w:cs="Times New Roman"/>
        </w:rPr>
        <w:t>=1) can then be written:</w:t>
      </w:r>
    </w:p>
    <w:p w:rsidR="00710451" w:rsidRPr="00BB5F67" w:rsidRDefault="00163496" w:rsidP="00710451">
      <w:pPr>
        <w:jc w:val="center"/>
        <w:rPr>
          <w:rFonts w:ascii="Times New Roman" w:hAnsi="Times New Roman" w:cs="Times New Roman"/>
        </w:rPr>
      </w:p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j1</m:t>
                </m:r>
              </m:sub>
            </m:sSub>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j0</m:t>
                </m:r>
              </m:sub>
            </m:sSub>
          </m:den>
        </m:f>
      </m:oMath>
      <w:r w:rsidR="00710451" w:rsidRPr="00BB5F67">
        <w:rPr>
          <w:rFonts w:ascii="Times New Roman" w:hAnsi="Times New Roman" w:cs="Times New Roman"/>
        </w:rPr>
        <w:t>=</w:t>
      </w:r>
      <m:oMath>
        <m:nary>
          <m:naryPr>
            <m:chr m:val="∑"/>
            <m:limLoc m:val="undOvr"/>
            <m:supHide m:val="1"/>
            <m:ctrlPr>
              <w:rPr>
                <w:rFonts w:ascii="Cambria Math" w:hAnsi="Cambria Math" w:cs="Times New Roman"/>
                <w:i/>
              </w:rPr>
            </m:ctrlPr>
          </m:naryPr>
          <m:sub>
            <m:r>
              <w:rPr>
                <w:rFonts w:ascii="Cambria Math" w:hAnsi="Cambria Math" w:cs="Times New Roman"/>
              </w:rPr>
              <m:t>k</m:t>
            </m:r>
          </m:sub>
          <m:sup/>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jk1</m:t>
                    </m:r>
                  </m:sub>
                </m:sSub>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j0</m:t>
                    </m:r>
                  </m:sub>
                </m:sSub>
              </m:den>
            </m:f>
          </m:e>
        </m:nary>
      </m:oMath>
      <w:r w:rsidR="00710451" w:rsidRPr="00BB5F67">
        <w:rPr>
          <w:rFonts w:ascii="Times New Roman" w:hAnsi="Times New Roman" w:cs="Times New Roman"/>
        </w:rPr>
        <w:t>=</w:t>
      </w:r>
      <m:oMath>
        <m:nary>
          <m:naryPr>
            <m:chr m:val="∑"/>
            <m:limLoc m:val="undOvr"/>
            <m:supHide m:val="1"/>
            <m:ctrlPr>
              <w:rPr>
                <w:rFonts w:ascii="Cambria Math" w:hAnsi="Cambria Math" w:cs="Times New Roman"/>
                <w:i/>
              </w:rPr>
            </m:ctrlPr>
          </m:naryPr>
          <m:sub>
            <m:r>
              <w:rPr>
                <w:rFonts w:ascii="Cambria Math" w:hAnsi="Cambria Math" w:cs="Times New Roman"/>
              </w:rPr>
              <m:t>k</m:t>
            </m:r>
          </m:sub>
          <m:sup/>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jk0</m:t>
                        </m:r>
                      </m:sub>
                    </m:sSub>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j0</m:t>
                        </m:r>
                      </m:sub>
                    </m:sSub>
                  </m:den>
                </m:f>
              </m:e>
            </m:d>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jk1</m:t>
                        </m:r>
                      </m:sub>
                    </m:sSub>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jk0</m:t>
                        </m:r>
                      </m:sub>
                    </m:sSub>
                  </m:den>
                </m:f>
              </m:e>
            </m:d>
          </m:e>
        </m:nary>
      </m:oMath>
    </w:p>
    <w:p w:rsidR="00710451" w:rsidRPr="00BB5F67" w:rsidRDefault="00710451" w:rsidP="00710451">
      <w:pPr>
        <w:rPr>
          <w:rFonts w:ascii="Times New Roman" w:hAnsi="Times New Roman" w:cs="Times New Roman"/>
        </w:rPr>
      </w:pPr>
      <w:r w:rsidRPr="00BB5F67">
        <w:rPr>
          <w:rFonts w:ascii="Times New Roman" w:hAnsi="Times New Roman" w:cs="Times New Roman"/>
        </w:rPr>
        <w:t xml:space="preserve">That is, the percentage change in FQHC funding for ZIP </w:t>
      </w:r>
      <w:r w:rsidRPr="00BB5F67">
        <w:rPr>
          <w:rFonts w:ascii="Times New Roman" w:hAnsi="Times New Roman" w:cs="Times New Roman"/>
          <w:i/>
        </w:rPr>
        <w:t>j</w:t>
      </w:r>
      <w:r w:rsidRPr="00BB5F67">
        <w:rPr>
          <w:rFonts w:ascii="Times New Roman" w:hAnsi="Times New Roman" w:cs="Times New Roman"/>
        </w:rPr>
        <w:t xml:space="preserve"> can be written in terms of the average change in funding at each of FQHCs that serve ZIP </w:t>
      </w:r>
      <w:r w:rsidRPr="00BB5F67">
        <w:rPr>
          <w:rFonts w:ascii="Times New Roman" w:hAnsi="Times New Roman" w:cs="Times New Roman"/>
          <w:i/>
        </w:rPr>
        <w:t xml:space="preserve">j </w:t>
      </w:r>
      <w:r w:rsidRPr="00BB5F67">
        <w:rPr>
          <w:rFonts w:ascii="Times New Roman" w:hAnsi="Times New Roman" w:cs="Times New Roman"/>
        </w:rPr>
        <w:t>(</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jk0</m:t>
            </m:r>
          </m:sub>
        </m:sSub>
        <m:r>
          <w:rPr>
            <w:rFonts w:ascii="Cambria Math" w:hAnsi="Cambria Math" w:cs="Times New Roman"/>
          </w:rPr>
          <m:t>)</m:t>
        </m:r>
      </m:oMath>
      <w:r w:rsidRPr="00BB5F67">
        <w:rPr>
          <w:rFonts w:ascii="Times New Roman" w:hAnsi="Times New Roman" w:cs="Times New Roman"/>
        </w:rPr>
        <w:t xml:space="preserve">, weighted by each FQHC’s initial share of total funding in ZIP </w:t>
      </w:r>
      <w:r w:rsidRPr="00BB5F67">
        <w:rPr>
          <w:rFonts w:ascii="Times New Roman" w:hAnsi="Times New Roman" w:cs="Times New Roman"/>
          <w:i/>
        </w:rPr>
        <w:t>j</w:t>
      </w:r>
      <w:r w:rsidRPr="00BB5F6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j0</m:t>
            </m:r>
          </m:sub>
        </m:sSub>
        <m:r>
          <w:rPr>
            <w:rFonts w:ascii="Cambria Math" w:hAnsi="Cambria Math" w:cs="Times New Roman"/>
          </w:rPr>
          <m:t>)</m:t>
        </m:r>
      </m:oMath>
      <w:r w:rsidRPr="00BB5F67">
        <w:rPr>
          <w:rFonts w:ascii="Times New Roman" w:hAnsi="Times New Roman" w:cs="Times New Roman"/>
        </w:rPr>
        <w:t>.</w:t>
      </w:r>
    </w:p>
    <w:p w:rsidR="00710451" w:rsidRPr="00BB5F67" w:rsidRDefault="00710451" w:rsidP="00710451">
      <w:pPr>
        <w:rPr>
          <w:rFonts w:ascii="Times New Roman" w:hAnsi="Times New Roman" w:cs="Times New Roman"/>
        </w:rPr>
      </w:pPr>
      <w:r w:rsidRPr="00BB5F67">
        <w:rPr>
          <w:rFonts w:ascii="Times New Roman" w:hAnsi="Times New Roman" w:cs="Times New Roman"/>
        </w:rPr>
        <w:t xml:space="preserve">FQHCs could plausibly direct more resources to neighborhoods with more unobserved need, such that the local funding shocks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jk0</m:t>
            </m:r>
          </m:sub>
        </m:sSub>
      </m:oMath>
      <w:r w:rsidRPr="00BB5F67">
        <w:rPr>
          <w:rFonts w:ascii="Times New Roman" w:hAnsi="Times New Roman" w:cs="Times New Roman"/>
        </w:rPr>
        <w:t xml:space="preserve"> are higher in ZIP codes facing higher demand. To avoid such reverse causality, the shift-share prediction of local funding changes replaces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jk0</m:t>
            </m:r>
          </m:sub>
        </m:sSub>
      </m:oMath>
      <w:r w:rsidRPr="00BB5F67">
        <w:rPr>
          <w:rFonts w:ascii="Times New Roman" w:hAnsi="Times New Roman" w:cs="Times New Roman"/>
        </w:rPr>
        <w:t xml:space="preserve"> with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k1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k0</m:t>
            </m:r>
          </m:sub>
        </m:sSub>
      </m:oMath>
      <w:r w:rsidRPr="00BB5F67">
        <w:rPr>
          <w:rFonts w:ascii="Times New Roman" w:hAnsi="Times New Roman" w:cs="Times New Roman"/>
        </w:rPr>
        <w:t xml:space="preserve"> in the above expression, where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kt</m:t>
            </m:r>
          </m:sub>
        </m:sSub>
      </m:oMath>
      <w:r w:rsidRPr="00BB5F67">
        <w:rPr>
          <w:rFonts w:ascii="Times New Roman" w:hAnsi="Times New Roman" w:cs="Times New Roman"/>
        </w:rPr>
        <w:t xml:space="preserve"> is the amount of total funding at FQHC </w:t>
      </w:r>
      <w:r w:rsidRPr="00BB5F67">
        <w:rPr>
          <w:rFonts w:ascii="Times New Roman" w:hAnsi="Times New Roman" w:cs="Times New Roman"/>
          <w:i/>
        </w:rPr>
        <w:t>k</w:t>
      </w:r>
      <w:r w:rsidRPr="00BB5F67">
        <w:rPr>
          <w:rFonts w:ascii="Times New Roman" w:hAnsi="Times New Roman" w:cs="Times New Roman"/>
        </w:rPr>
        <w:t xml:space="preserve"> in year </w:t>
      </w:r>
      <w:r w:rsidRPr="00BB5F67">
        <w:rPr>
          <w:rFonts w:ascii="Times New Roman" w:hAnsi="Times New Roman" w:cs="Times New Roman"/>
          <w:i/>
        </w:rPr>
        <w:t>t</w:t>
      </w:r>
      <w:r w:rsidRPr="00BB5F67">
        <w:rPr>
          <w:rFonts w:ascii="Times New Roman" w:hAnsi="Times New Roman" w:cs="Times New Roman"/>
        </w:rPr>
        <w:t xml:space="preserve">. As shown in </w:t>
      </w:r>
      <w:proofErr w:type="spellStart"/>
      <w:r w:rsidRPr="00BB5F67">
        <w:rPr>
          <w:rFonts w:ascii="Times New Roman" w:hAnsi="Times New Roman" w:cs="Times New Roman"/>
        </w:rPr>
        <w:t>Borusyak</w:t>
      </w:r>
      <w:proofErr w:type="spellEnd"/>
      <w:r w:rsidRPr="00BB5F67">
        <w:rPr>
          <w:rFonts w:ascii="Times New Roman" w:hAnsi="Times New Roman" w:cs="Times New Roman"/>
        </w:rPr>
        <w:t xml:space="preserve"> et al. (2018), the resulting shift-share instrument can be used to estimate local funding effects, provided that the FQHCs which receive more funding at the national level are not systematically concentrated in regions with higher unobserved demand.</w:t>
      </w:r>
    </w:p>
    <w:p w:rsidR="00710451" w:rsidRPr="00BB5F67" w:rsidRDefault="00710451" w:rsidP="00710451">
      <w:pPr>
        <w:rPr>
          <w:rFonts w:ascii="Times New Roman" w:hAnsi="Times New Roman" w:cs="Times New Roman"/>
        </w:rPr>
      </w:pPr>
      <w:r w:rsidRPr="00BB5F67">
        <w:rPr>
          <w:rFonts w:ascii="Times New Roman" w:hAnsi="Times New Roman" w:cs="Times New Roman"/>
        </w:rPr>
        <w:t xml:space="preserve">In our </w:t>
      </w:r>
      <w:proofErr w:type="gramStart"/>
      <w:r w:rsidRPr="00BB5F67">
        <w:rPr>
          <w:rFonts w:ascii="Times New Roman" w:hAnsi="Times New Roman" w:cs="Times New Roman"/>
        </w:rPr>
        <w:t xml:space="preserve">setting </w:t>
      </w:r>
      <w:proofErr w:type="gramEnd"/>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j0</m:t>
            </m:r>
          </m:sub>
        </m:sSub>
      </m:oMath>
      <w:r w:rsidRPr="00BB5F67">
        <w:rPr>
          <w:rFonts w:ascii="Times New Roman" w:hAnsi="Times New Roman" w:cs="Times New Roman"/>
        </w:rPr>
        <w:t xml:space="preserve">, or FQHC </w:t>
      </w:r>
      <w:r w:rsidRPr="00BB5F67">
        <w:rPr>
          <w:rFonts w:ascii="Times New Roman" w:hAnsi="Times New Roman" w:cs="Times New Roman"/>
          <w:i/>
        </w:rPr>
        <w:t>k</w:t>
      </w:r>
      <w:r w:rsidRPr="00BB5F67">
        <w:rPr>
          <w:rFonts w:ascii="Times New Roman" w:hAnsi="Times New Roman" w:cs="Times New Roman"/>
        </w:rPr>
        <w:t xml:space="preserve">’s share of total FQHC funding in ZIP </w:t>
      </w:r>
      <w:r w:rsidRPr="00BB5F67">
        <w:rPr>
          <w:rFonts w:ascii="Times New Roman" w:hAnsi="Times New Roman" w:cs="Times New Roman"/>
          <w:i/>
        </w:rPr>
        <w:t>j</w:t>
      </w:r>
      <w:r w:rsidRPr="00BB5F67">
        <w:rPr>
          <w:rFonts w:ascii="Times New Roman" w:hAnsi="Times New Roman" w:cs="Times New Roman"/>
        </w:rPr>
        <w:t>, is not directly observed and must be estimated. We obtain ZIP code patient counts from the UDS, and assume that in the baseline year FQHCs fund allocation is proportional to the distribution of patients, such that:</w:t>
      </w:r>
      <w:r w:rsidRPr="00BB5F67">
        <w:rPr>
          <w:rFonts w:ascii="Times New Roman" w:hAnsi="Times New Roman" w:cs="Times New Roman"/>
        </w:rPr>
        <w:tab/>
      </w:r>
      <w:r w:rsidRPr="00BB5F67">
        <w:rPr>
          <w:rFonts w:ascii="Times New Roman" w:hAnsi="Times New Roman" w:cs="Times New Roman"/>
        </w:rPr>
        <w:tab/>
      </w:r>
      <w:r w:rsidRPr="00BB5F67">
        <w:rPr>
          <w:rFonts w:ascii="Times New Roman" w:hAnsi="Times New Roman" w:cs="Times New Roman"/>
        </w:rPr>
        <w:tab/>
      </w:r>
      <w:r w:rsidRPr="00BB5F67">
        <w:rPr>
          <w:rFonts w:ascii="Times New Roman" w:hAnsi="Times New Roman" w:cs="Times New Roman"/>
        </w:rPr>
        <w:tab/>
      </w:r>
      <w:r w:rsidRPr="00BB5F67">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jk0</m:t>
            </m:r>
          </m:sub>
        </m:sSub>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k0</m:t>
            </m:r>
          </m:sub>
        </m:sSub>
      </m:oMath>
    </w:p>
    <w:p w:rsidR="00710451" w:rsidRPr="00BB5F67" w:rsidRDefault="00710451" w:rsidP="00710451">
      <w:pPr>
        <w:rPr>
          <w:rFonts w:ascii="Times New Roman" w:hAnsi="Times New Roman" w:cs="Times New Roman"/>
        </w:rPr>
      </w:pPr>
      <w:r w:rsidRPr="00BB5F67">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jk0</m:t>
            </m:r>
          </m:sub>
        </m:sSub>
      </m:oMath>
      <w:r w:rsidRPr="00BB5F67">
        <w:rPr>
          <w:rFonts w:ascii="Times New Roman" w:hAnsi="Times New Roman" w:cs="Times New Roman"/>
        </w:rPr>
        <w:t xml:space="preserve"> is the proportion of FQHC </w:t>
      </w:r>
      <w:r w:rsidRPr="00BB5F67">
        <w:rPr>
          <w:rFonts w:ascii="Times New Roman" w:hAnsi="Times New Roman" w:cs="Times New Roman"/>
          <w:i/>
        </w:rPr>
        <w:t>k</w:t>
      </w:r>
      <w:r w:rsidRPr="00BB5F67">
        <w:rPr>
          <w:rFonts w:ascii="Times New Roman" w:hAnsi="Times New Roman" w:cs="Times New Roman"/>
        </w:rPr>
        <w:t>‘s patients from ZIP code</w:t>
      </w:r>
      <w:r w:rsidRPr="00BB5F67">
        <w:rPr>
          <w:rFonts w:ascii="Times New Roman" w:hAnsi="Times New Roman" w:cs="Times New Roman"/>
          <w:i/>
        </w:rPr>
        <w:t xml:space="preserve"> j</w:t>
      </w:r>
      <w:proofErr w:type="gramStart"/>
      <w:r w:rsidRPr="00BB5F67">
        <w:rPr>
          <w:rFonts w:ascii="Times New Roman" w:hAnsi="Times New Roman" w:cs="Times New Roman"/>
        </w:rPr>
        <w:t xml:space="preserve">.  </w:t>
      </w:r>
      <w:proofErr w:type="gramEnd"/>
      <w:r w:rsidRPr="00BB5F67">
        <w:rPr>
          <w:rFonts w:ascii="Times New Roman" w:hAnsi="Times New Roman" w:cs="Times New Roman"/>
        </w:rPr>
        <w:t>From this we can rewrite the shift-share prediction as</w:t>
      </w:r>
    </w:p>
    <w:p w:rsidR="00710451" w:rsidRPr="00BB5F67" w:rsidRDefault="00163496" w:rsidP="00710451">
      <w:pPr>
        <w:jc w:val="center"/>
        <w:rPr>
          <w:rFonts w:ascii="Times New Roman" w:hAnsi="Times New Roman" w:cs="Times New Roman"/>
        </w:rPr>
      </w:p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j1</m:t>
                </m:r>
              </m:sub>
            </m:sSub>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j0</m:t>
                </m:r>
              </m:sub>
            </m:sSub>
          </m:den>
        </m:f>
      </m:oMath>
      <w:r w:rsidR="00710451" w:rsidRPr="00BB5F67">
        <w:rPr>
          <w:rFonts w:ascii="Times New Roman" w:hAnsi="Times New Roman" w:cs="Times New Roman"/>
        </w:rPr>
        <w:t>=</w:t>
      </w:r>
      <m:oMath>
        <m:nary>
          <m:naryPr>
            <m:chr m:val="∑"/>
            <m:limLoc m:val="undOvr"/>
            <m:supHide m:val="1"/>
            <m:ctrlPr>
              <w:rPr>
                <w:rFonts w:ascii="Cambria Math" w:hAnsi="Cambria Math" w:cs="Times New Roman"/>
                <w:i/>
              </w:rPr>
            </m:ctrlPr>
          </m:naryPr>
          <m:sub>
            <m:r>
              <w:rPr>
                <w:rFonts w:ascii="Cambria Math" w:hAnsi="Cambria Math" w:cs="Times New Roman"/>
              </w:rPr>
              <m:t>k</m:t>
            </m:r>
          </m:sub>
          <m:sup/>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jk0</m:t>
                        </m:r>
                      </m:sub>
                    </m:sSub>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k0</m:t>
                        </m:r>
                      </m:sub>
                    </m:sSub>
                  </m:num>
                  <m:den>
                    <m:nary>
                      <m:naryPr>
                        <m:chr m:val="∑"/>
                        <m:limLoc m:val="undOvr"/>
                        <m:supHide m:val="1"/>
                        <m:ctrlPr>
                          <w:rPr>
                            <w:rFonts w:ascii="Cambria Math" w:hAnsi="Cambria Math" w:cs="Times New Roman"/>
                            <w:i/>
                          </w:rPr>
                        </m:ctrlPr>
                      </m:naryPr>
                      <m:sub>
                        <m:r>
                          <w:rPr>
                            <w:rFonts w:ascii="Cambria Math" w:hAnsi="Cambria Math" w:cs="Times New Roman"/>
                          </w:rPr>
                          <m:t>k</m:t>
                        </m:r>
                      </m:sub>
                      <m:sup/>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jk0</m:t>
                            </m:r>
                          </m:sub>
                        </m:sSub>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k0</m:t>
                            </m:r>
                          </m:sub>
                        </m:sSub>
                      </m:e>
                    </m:nary>
                  </m:den>
                </m:f>
              </m:e>
            </m:d>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k1</m:t>
                        </m:r>
                      </m:sub>
                    </m:sSub>
                  </m:num>
                  <m:den>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k0</m:t>
                        </m:r>
                      </m:sub>
                    </m:sSub>
                  </m:den>
                </m:f>
              </m:e>
            </m:d>
          </m:e>
        </m:nary>
      </m:oMath>
      <w:r w:rsidR="00710451" w:rsidRPr="00BB5F67">
        <w:rPr>
          <w:rFonts w:ascii="Times New Roman" w:hAnsi="Times New Roman" w:cs="Times New Roman"/>
        </w:rPr>
        <w:t>.</w:t>
      </w:r>
    </w:p>
    <w:p w:rsidR="00710451" w:rsidRPr="00BB5F67" w:rsidRDefault="00710451" w:rsidP="00710451">
      <w:pPr>
        <w:rPr>
          <w:rFonts w:ascii="Times New Roman" w:hAnsi="Times New Roman" w:cs="Times New Roman"/>
          <w:noProof/>
        </w:rPr>
      </w:pPr>
      <w:r w:rsidRPr="00BB5F67">
        <w:rPr>
          <w:rFonts w:ascii="Times New Roman" w:hAnsi="Times New Roman" w:cs="Times New Roman"/>
        </w:rPr>
        <w:t xml:space="preserve">This measure averages FQHC-level funding shocks by an exposure measure approximating the FQHC’s share of the total funding dollars in ZIP code </w:t>
      </w:r>
      <w:r w:rsidRPr="00BB5F67">
        <w:rPr>
          <w:rFonts w:ascii="Times New Roman" w:hAnsi="Times New Roman" w:cs="Times New Roman"/>
          <w:i/>
        </w:rPr>
        <w:t>j</w:t>
      </w:r>
      <w:r w:rsidRPr="00BB5F67">
        <w:rPr>
          <w:rFonts w:ascii="Times New Roman" w:hAnsi="Times New Roman" w:cs="Times New Roman"/>
        </w:rPr>
        <w:t xml:space="preserve">. </w:t>
      </w:r>
      <w:r>
        <w:rPr>
          <w:rFonts w:ascii="Times New Roman" w:hAnsi="Times New Roman" w:cs="Times New Roman"/>
        </w:rPr>
        <w:t xml:space="preserve">If our underlying assumption for the exposure weights is incorrect, this approach can still estimate causal effects, provided the assumption holds that changes in funding across FQHCs are quasi-randomly distributed from year-to-year. </w:t>
      </w:r>
      <w:r w:rsidRPr="00BB5F67">
        <w:rPr>
          <w:rFonts w:ascii="Times New Roman" w:hAnsi="Times New Roman" w:cs="Times New Roman"/>
        </w:rPr>
        <w:t xml:space="preserve">Again, in the framework of </w:t>
      </w:r>
      <w:proofErr w:type="spellStart"/>
      <w:r w:rsidRPr="00BB5F67">
        <w:rPr>
          <w:rFonts w:ascii="Times New Roman" w:hAnsi="Times New Roman" w:cs="Times New Roman"/>
        </w:rPr>
        <w:t>Borusyak</w:t>
      </w:r>
      <w:proofErr w:type="spellEnd"/>
      <w:r w:rsidRPr="00BB5F67">
        <w:rPr>
          <w:rFonts w:ascii="Times New Roman" w:hAnsi="Times New Roman" w:cs="Times New Roman"/>
        </w:rPr>
        <w:t xml:space="preserve"> et al. (2018)</w:t>
      </w:r>
      <w:r w:rsidRPr="00BB5F67">
        <w:rPr>
          <w:rFonts w:ascii="Times New Roman" w:hAnsi="Times New Roman" w:cs="Times New Roman"/>
          <w:noProof/>
        </w:rPr>
        <w:t xml:space="preserve">, quasi-random variation in national funding shocks make this measure appropriate for estimating local funding effects. </w:t>
      </w:r>
    </w:p>
    <w:p w:rsidR="00710451" w:rsidRPr="00BB5F67" w:rsidRDefault="00710451" w:rsidP="00710451">
      <w:pPr>
        <w:rPr>
          <w:rFonts w:ascii="Times New Roman" w:hAnsi="Times New Roman" w:cs="Times New Roman"/>
        </w:rPr>
      </w:pPr>
      <w:r w:rsidRPr="00BB5F67">
        <w:rPr>
          <w:rFonts w:ascii="Times New Roman" w:hAnsi="Times New Roman" w:cs="Times New Roman"/>
          <w:noProof/>
        </w:rPr>
        <w:t xml:space="preserve">In practice, we measure a region’s exposure to FQHC funding (the first term in the above expression) in 2009, and compute national funding changes for each year in 2010-2013. While fixing a lagged exposure measure is not, in general, necessary for quasi-experimental shift-share designs, </w:t>
      </w:r>
      <w:proofErr w:type="spellStart"/>
      <w:r w:rsidRPr="00BB5F67">
        <w:rPr>
          <w:rFonts w:ascii="Times New Roman" w:hAnsi="Times New Roman" w:cs="Times New Roman"/>
        </w:rPr>
        <w:t>Borusyak</w:t>
      </w:r>
      <w:proofErr w:type="spellEnd"/>
      <w:r w:rsidRPr="00BB5F67">
        <w:rPr>
          <w:rFonts w:ascii="Times New Roman" w:hAnsi="Times New Roman" w:cs="Times New Roman"/>
        </w:rPr>
        <w:t xml:space="preserve"> et al.</w:t>
      </w:r>
      <w:r w:rsidRPr="00BB5F67">
        <w:rPr>
          <w:rFonts w:ascii="Times New Roman" w:hAnsi="Times New Roman" w:cs="Times New Roman"/>
          <w:noProof/>
        </w:rPr>
        <w:t xml:space="preserve"> (2018) show how this improves plausibility in panel settings.    </w:t>
      </w:r>
    </w:p>
    <w:p w:rsidR="00710451" w:rsidRPr="009F044A" w:rsidRDefault="00291D45" w:rsidP="00710451">
      <w:pPr>
        <w:rPr>
          <w:rFonts w:ascii="Times New Roman" w:hAnsi="Times New Roman" w:cs="Times New Roman"/>
        </w:rPr>
      </w:pPr>
      <w:r>
        <w:rPr>
          <w:rFonts w:ascii="Times New Roman" w:hAnsi="Times New Roman" w:cs="Times New Roman"/>
        </w:rPr>
        <w:t>Fig</w:t>
      </w:r>
      <w:r w:rsidR="00710451" w:rsidRPr="00BB5F67">
        <w:rPr>
          <w:rFonts w:ascii="Times New Roman" w:hAnsi="Times New Roman" w:cs="Times New Roman"/>
        </w:rPr>
        <w:t xml:space="preserve"> 1 in the main text of the manuscript shows a map of MA ZIP codes and their 2010-11 exposure to FQHC funding changes (shift-share instrument) by quantile, with the location of each of the 31 FQHCs included in the study and their 2010-11 percentage change in funding by quantile to illustrate our approach.</w:t>
      </w:r>
    </w:p>
    <w:p w:rsidR="00710451" w:rsidRDefault="00710451"/>
    <w:sectPr w:rsidR="00710451" w:rsidSect="003B7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1"/>
  </w:docVars>
  <w:rsids>
    <w:rsidRoot w:val="00710451"/>
    <w:rsid w:val="0000525A"/>
    <w:rsid w:val="00016CBE"/>
    <w:rsid w:val="00071C57"/>
    <w:rsid w:val="00074F98"/>
    <w:rsid w:val="000928C1"/>
    <w:rsid w:val="000C314C"/>
    <w:rsid w:val="00126047"/>
    <w:rsid w:val="001268E0"/>
    <w:rsid w:val="00163496"/>
    <w:rsid w:val="00185A07"/>
    <w:rsid w:val="00195FEF"/>
    <w:rsid w:val="001A615F"/>
    <w:rsid w:val="001B75AA"/>
    <w:rsid w:val="001F12E9"/>
    <w:rsid w:val="00202712"/>
    <w:rsid w:val="00212A34"/>
    <w:rsid w:val="002331A7"/>
    <w:rsid w:val="00246E28"/>
    <w:rsid w:val="00263DF7"/>
    <w:rsid w:val="00291D45"/>
    <w:rsid w:val="002B3628"/>
    <w:rsid w:val="002C0275"/>
    <w:rsid w:val="00326D75"/>
    <w:rsid w:val="00352820"/>
    <w:rsid w:val="003703A9"/>
    <w:rsid w:val="003814B9"/>
    <w:rsid w:val="003B570E"/>
    <w:rsid w:val="003B7EFA"/>
    <w:rsid w:val="003B7FF1"/>
    <w:rsid w:val="003C50C0"/>
    <w:rsid w:val="003E346B"/>
    <w:rsid w:val="003F3068"/>
    <w:rsid w:val="0043600D"/>
    <w:rsid w:val="00444B8B"/>
    <w:rsid w:val="0045405E"/>
    <w:rsid w:val="00522602"/>
    <w:rsid w:val="005452B9"/>
    <w:rsid w:val="00594749"/>
    <w:rsid w:val="005F050D"/>
    <w:rsid w:val="005F6BDD"/>
    <w:rsid w:val="00600861"/>
    <w:rsid w:val="00695EBF"/>
    <w:rsid w:val="006B0720"/>
    <w:rsid w:val="006B176C"/>
    <w:rsid w:val="006E6687"/>
    <w:rsid w:val="006F52C8"/>
    <w:rsid w:val="00701A18"/>
    <w:rsid w:val="00710451"/>
    <w:rsid w:val="00741C17"/>
    <w:rsid w:val="007A3888"/>
    <w:rsid w:val="007E196D"/>
    <w:rsid w:val="007E44CB"/>
    <w:rsid w:val="00823184"/>
    <w:rsid w:val="00831382"/>
    <w:rsid w:val="00865BAA"/>
    <w:rsid w:val="008A0C73"/>
    <w:rsid w:val="008A4A58"/>
    <w:rsid w:val="008B3030"/>
    <w:rsid w:val="0090554A"/>
    <w:rsid w:val="00932C3B"/>
    <w:rsid w:val="009359F6"/>
    <w:rsid w:val="00985505"/>
    <w:rsid w:val="009A1B79"/>
    <w:rsid w:val="009A5CE3"/>
    <w:rsid w:val="009D6AB8"/>
    <w:rsid w:val="009F69F9"/>
    <w:rsid w:val="00A46262"/>
    <w:rsid w:val="00A55483"/>
    <w:rsid w:val="00A55800"/>
    <w:rsid w:val="00A97E36"/>
    <w:rsid w:val="00AA0EAB"/>
    <w:rsid w:val="00AB0A1A"/>
    <w:rsid w:val="00AC22E3"/>
    <w:rsid w:val="00AE09E9"/>
    <w:rsid w:val="00B125DA"/>
    <w:rsid w:val="00B32D00"/>
    <w:rsid w:val="00B372D8"/>
    <w:rsid w:val="00BA5D84"/>
    <w:rsid w:val="00C51C40"/>
    <w:rsid w:val="00C522FC"/>
    <w:rsid w:val="00C83595"/>
    <w:rsid w:val="00CB2061"/>
    <w:rsid w:val="00D01966"/>
    <w:rsid w:val="00D03616"/>
    <w:rsid w:val="00D174C9"/>
    <w:rsid w:val="00D2610E"/>
    <w:rsid w:val="00D57224"/>
    <w:rsid w:val="00D661F5"/>
    <w:rsid w:val="00D75D61"/>
    <w:rsid w:val="00D8673C"/>
    <w:rsid w:val="00DC513D"/>
    <w:rsid w:val="00E12BE4"/>
    <w:rsid w:val="00E23E4B"/>
    <w:rsid w:val="00E27CFF"/>
    <w:rsid w:val="00E33160"/>
    <w:rsid w:val="00E65AC5"/>
    <w:rsid w:val="00E914CB"/>
    <w:rsid w:val="00EA5F7F"/>
    <w:rsid w:val="00F13704"/>
    <w:rsid w:val="00F35A2C"/>
    <w:rsid w:val="00F37D5B"/>
    <w:rsid w:val="00FB0E88"/>
    <w:rsid w:val="00FF1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496"/>
    <w:rPr>
      <w:rFonts w:ascii="Tahoma" w:hAnsi="Tahoma" w:cs="Tahoma"/>
      <w:sz w:val="16"/>
      <w:szCs w:val="16"/>
    </w:rPr>
  </w:style>
  <w:style w:type="character" w:customStyle="1" w:styleId="BalloonTextChar">
    <w:name w:val="Balloon Text Char"/>
    <w:basedOn w:val="DefaultParagraphFont"/>
    <w:link w:val="BalloonText"/>
    <w:uiPriority w:val="99"/>
    <w:semiHidden/>
    <w:rsid w:val="001634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496"/>
    <w:rPr>
      <w:rFonts w:ascii="Tahoma" w:hAnsi="Tahoma" w:cs="Tahoma"/>
      <w:sz w:val="16"/>
      <w:szCs w:val="16"/>
    </w:rPr>
  </w:style>
  <w:style w:type="character" w:customStyle="1" w:styleId="BalloonTextChar">
    <w:name w:val="Balloon Text Char"/>
    <w:basedOn w:val="DefaultParagraphFont"/>
    <w:link w:val="BalloonText"/>
    <w:uiPriority w:val="99"/>
    <w:semiHidden/>
    <w:rsid w:val="00163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2698</Characters>
  <Application>Microsoft Office Word</Application>
  <DocSecurity>0</DocSecurity>
  <Lines>40</Lines>
  <Paragraphs>14</Paragraphs>
  <ScaleCrop>false</ScaleCrop>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Myong, Catherine R.</dc:creator>
  <cp:keywords/>
  <dc:description/>
  <cp:lastModifiedBy>PG3646</cp:lastModifiedBy>
  <cp:revision>3</cp:revision>
  <dcterms:created xsi:type="dcterms:W3CDTF">2020-05-01T18:35:00Z</dcterms:created>
  <dcterms:modified xsi:type="dcterms:W3CDTF">2020-11-26T03:24:00Z</dcterms:modified>
</cp:coreProperties>
</file>