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B0C99" w14:textId="77777777" w:rsidR="005D1ED5" w:rsidRPr="004C0BBF" w:rsidRDefault="005D1ED5" w:rsidP="005D1ED5">
      <w:pPr>
        <w:spacing w:line="480" w:lineRule="auto"/>
        <w:jc w:val="center"/>
        <w:rPr>
          <w:rFonts w:ascii="Times" w:hAnsi="Times"/>
          <w:b/>
          <w:bCs/>
          <w:i/>
          <w:iCs/>
        </w:rPr>
      </w:pPr>
      <w:r w:rsidRPr="004C0BBF">
        <w:rPr>
          <w:rFonts w:ascii="Times" w:hAnsi="Times"/>
          <w:b/>
          <w:bCs/>
          <w:i/>
          <w:iCs/>
        </w:rPr>
        <w:t>Geophysical Research Letters</w:t>
      </w:r>
    </w:p>
    <w:p w14:paraId="758EF51D" w14:textId="77777777" w:rsidR="005D1ED5" w:rsidRDefault="005D1ED5" w:rsidP="005D1ED5">
      <w:pPr>
        <w:spacing w:line="480" w:lineRule="auto"/>
        <w:jc w:val="center"/>
        <w:rPr>
          <w:rFonts w:ascii="Times" w:hAnsi="Times"/>
          <w:b/>
          <w:bCs/>
        </w:rPr>
      </w:pPr>
      <w:r>
        <w:rPr>
          <w:rFonts w:ascii="Times" w:hAnsi="Times"/>
          <w:b/>
          <w:bCs/>
        </w:rPr>
        <w:t>Supporting Information for</w:t>
      </w:r>
    </w:p>
    <w:p w14:paraId="085E47D5" w14:textId="34FCE442" w:rsidR="005D1ED5" w:rsidRPr="003904D9" w:rsidRDefault="00122044" w:rsidP="005D1ED5">
      <w:pPr>
        <w:spacing w:line="480" w:lineRule="auto"/>
        <w:jc w:val="center"/>
        <w:rPr>
          <w:rFonts w:ascii="Times" w:hAnsi="Times"/>
          <w:b/>
          <w:bCs/>
        </w:rPr>
      </w:pPr>
      <w:r>
        <w:rPr>
          <w:rFonts w:ascii="Times" w:hAnsi="Times"/>
          <w:b/>
          <w:bCs/>
        </w:rPr>
        <w:t>Convective Self-Aggregation Occurs Without Radiative Feedbacks in Warm Climates</w:t>
      </w:r>
    </w:p>
    <w:p w14:paraId="23F6783E" w14:textId="77777777" w:rsidR="005D1ED5" w:rsidRPr="003904D9" w:rsidRDefault="005D1ED5" w:rsidP="005D1ED5">
      <w:pPr>
        <w:spacing w:line="480" w:lineRule="auto"/>
        <w:jc w:val="center"/>
        <w:rPr>
          <w:rFonts w:ascii="Times" w:eastAsia="DengXian" w:hAnsi="Times" w:cs="Times New Roman"/>
          <w:vertAlign w:val="superscript"/>
        </w:rPr>
      </w:pPr>
      <w:r w:rsidRPr="003904D9">
        <w:rPr>
          <w:rFonts w:ascii="Times" w:eastAsia="DengXian" w:hAnsi="Times" w:cs="Times New Roman"/>
        </w:rPr>
        <w:t>Lin Yao</w:t>
      </w:r>
      <w:r w:rsidRPr="003904D9">
        <w:rPr>
          <w:rFonts w:ascii="Times" w:eastAsia="DengXian" w:hAnsi="Times" w:cs="Times New Roman"/>
          <w:vertAlign w:val="superscript"/>
        </w:rPr>
        <w:t>1</w:t>
      </w:r>
      <w:r w:rsidRPr="003904D9">
        <w:rPr>
          <w:rFonts w:ascii="Times" w:eastAsia="DengXian" w:hAnsi="Times" w:cs="Times New Roman"/>
        </w:rPr>
        <w:t xml:space="preserve"> and Da Yang</w:t>
      </w:r>
      <w:r w:rsidRPr="003904D9">
        <w:rPr>
          <w:rFonts w:ascii="Times" w:eastAsia="DengXian" w:hAnsi="Times" w:cs="Times New Roman"/>
          <w:vertAlign w:val="superscript"/>
        </w:rPr>
        <w:t>1,2</w:t>
      </w:r>
    </w:p>
    <w:p w14:paraId="416FAF66" w14:textId="77777777" w:rsidR="005D1ED5" w:rsidRPr="003904D9" w:rsidRDefault="005D1ED5" w:rsidP="005D1ED5">
      <w:pPr>
        <w:spacing w:line="480" w:lineRule="auto"/>
        <w:rPr>
          <w:rFonts w:ascii="Times" w:eastAsia="DengXian" w:hAnsi="Times" w:cs="Times New Roman"/>
        </w:rPr>
      </w:pPr>
    </w:p>
    <w:p w14:paraId="74A8C3D4" w14:textId="77777777" w:rsidR="005D1ED5" w:rsidRPr="003904D9" w:rsidRDefault="005D1ED5" w:rsidP="005D1ED5">
      <w:pPr>
        <w:spacing w:line="480" w:lineRule="auto"/>
        <w:rPr>
          <w:rFonts w:ascii="Times" w:eastAsia="DengXian" w:hAnsi="Times" w:cs="Times New Roman"/>
        </w:rPr>
      </w:pPr>
      <w:r w:rsidRPr="003904D9">
        <w:rPr>
          <w:rFonts w:ascii="Times" w:eastAsia="DengXian" w:hAnsi="Times" w:cs="Times New Roman"/>
          <w:vertAlign w:val="superscript"/>
        </w:rPr>
        <w:t>1</w:t>
      </w:r>
      <w:r w:rsidRPr="003904D9">
        <w:rPr>
          <w:rFonts w:ascii="Times" w:eastAsia="DengXian" w:hAnsi="Times" w:cs="Times New Roman"/>
        </w:rPr>
        <w:t>University of California, Davis, CA, USA.</w:t>
      </w:r>
    </w:p>
    <w:p w14:paraId="096D8BD0" w14:textId="77777777" w:rsidR="005D1ED5" w:rsidRPr="003904D9" w:rsidRDefault="005D1ED5" w:rsidP="005D1ED5">
      <w:pPr>
        <w:spacing w:line="480" w:lineRule="auto"/>
        <w:rPr>
          <w:rFonts w:ascii="Times" w:eastAsia="DengXian" w:hAnsi="Times" w:cs="Times New Roman"/>
          <w:sz w:val="22"/>
        </w:rPr>
      </w:pPr>
      <w:r w:rsidRPr="003904D9">
        <w:rPr>
          <w:rFonts w:ascii="Times" w:eastAsia="DengXian" w:hAnsi="Times" w:cs="Times New Roman"/>
          <w:vertAlign w:val="superscript"/>
        </w:rPr>
        <w:t>2</w:t>
      </w:r>
      <w:r w:rsidRPr="003904D9">
        <w:rPr>
          <w:rFonts w:ascii="Times" w:eastAsia="DengXian" w:hAnsi="Times" w:cs="Times New Roman"/>
        </w:rPr>
        <w:t>Lawrance Berkeley National Laboratory, Berkeley, CA, USA.</w:t>
      </w:r>
    </w:p>
    <w:p w14:paraId="4A995E56" w14:textId="77777777" w:rsidR="005D1ED5" w:rsidRDefault="005D1ED5" w:rsidP="005D1ED5">
      <w:pPr>
        <w:spacing w:line="480" w:lineRule="auto"/>
        <w:jc w:val="center"/>
        <w:rPr>
          <w:rFonts w:ascii="Times" w:hAnsi="Times"/>
          <w:b/>
          <w:bCs/>
        </w:rPr>
      </w:pPr>
    </w:p>
    <w:p w14:paraId="78C4F6C9" w14:textId="77777777" w:rsidR="005D1ED5" w:rsidRDefault="005D1ED5" w:rsidP="005D1ED5">
      <w:pPr>
        <w:spacing w:line="480" w:lineRule="auto"/>
        <w:rPr>
          <w:rFonts w:ascii="Times" w:hAnsi="Times"/>
        </w:rPr>
      </w:pPr>
      <w:r w:rsidRPr="004C0BBF">
        <w:rPr>
          <w:rFonts w:ascii="Times" w:hAnsi="Times"/>
        </w:rPr>
        <w:t>Con</w:t>
      </w:r>
      <w:r>
        <w:rPr>
          <w:rFonts w:ascii="Times" w:hAnsi="Times"/>
        </w:rPr>
        <w:t>tents of this file:</w:t>
      </w:r>
    </w:p>
    <w:p w14:paraId="373C6C4A" w14:textId="50B1B353" w:rsidR="005D1ED5" w:rsidRDefault="005D1ED5" w:rsidP="005D1ED5">
      <w:pPr>
        <w:pStyle w:val="ListParagraph"/>
        <w:numPr>
          <w:ilvl w:val="0"/>
          <w:numId w:val="1"/>
        </w:numPr>
        <w:spacing w:line="480" w:lineRule="auto"/>
        <w:rPr>
          <w:rFonts w:ascii="Times" w:hAnsi="Times"/>
        </w:rPr>
      </w:pPr>
      <w:r>
        <w:rPr>
          <w:rFonts w:ascii="Times" w:hAnsi="Times"/>
        </w:rPr>
        <w:t>Text S1</w:t>
      </w:r>
      <w:r w:rsidR="0082790A">
        <w:rPr>
          <w:rFonts w:ascii="Times" w:hAnsi="Times"/>
        </w:rPr>
        <w:t xml:space="preserve"> to S2</w:t>
      </w:r>
    </w:p>
    <w:p w14:paraId="241322AF" w14:textId="6B9314EF" w:rsidR="005D1ED5" w:rsidRDefault="005D1ED5" w:rsidP="005D1ED5">
      <w:pPr>
        <w:pStyle w:val="ListParagraph"/>
        <w:numPr>
          <w:ilvl w:val="0"/>
          <w:numId w:val="1"/>
        </w:numPr>
        <w:spacing w:line="480" w:lineRule="auto"/>
        <w:rPr>
          <w:rFonts w:ascii="Times" w:hAnsi="Times"/>
        </w:rPr>
      </w:pPr>
      <w:r>
        <w:rPr>
          <w:rFonts w:ascii="Times" w:hAnsi="Times"/>
        </w:rPr>
        <w:t>Figures S1</w:t>
      </w:r>
      <w:r w:rsidR="0082790A">
        <w:rPr>
          <w:rFonts w:ascii="Times" w:hAnsi="Times"/>
        </w:rPr>
        <w:t xml:space="preserve"> to </w:t>
      </w:r>
      <w:r>
        <w:rPr>
          <w:rFonts w:ascii="Times" w:hAnsi="Times"/>
        </w:rPr>
        <w:t>S</w:t>
      </w:r>
      <w:r w:rsidR="0082790A">
        <w:rPr>
          <w:rFonts w:ascii="Times" w:hAnsi="Times"/>
        </w:rPr>
        <w:t>3</w:t>
      </w:r>
    </w:p>
    <w:p w14:paraId="0D265836" w14:textId="77777777" w:rsidR="005D1ED5" w:rsidRDefault="005D1ED5" w:rsidP="005D1ED5">
      <w:pPr>
        <w:spacing w:line="480" w:lineRule="auto"/>
        <w:rPr>
          <w:rFonts w:ascii="Times" w:hAnsi="Times"/>
        </w:rPr>
        <w:sectPr w:rsidR="005D1ED5" w:rsidSect="00531EA5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507C4667" w14:textId="1404A346" w:rsidR="005D1ED5" w:rsidRPr="00C05273" w:rsidRDefault="005D1ED5" w:rsidP="00B30006">
      <w:pPr>
        <w:spacing w:line="480" w:lineRule="auto"/>
        <w:rPr>
          <w:rFonts w:ascii="Times" w:hAnsi="Times"/>
          <w:b/>
          <w:bCs/>
        </w:rPr>
      </w:pPr>
      <w:r>
        <w:rPr>
          <w:rFonts w:ascii="Times" w:hAnsi="Times"/>
          <w:b/>
          <w:bCs/>
        </w:rPr>
        <w:lastRenderedPageBreak/>
        <w:t xml:space="preserve">Text S1. </w:t>
      </w:r>
      <w:r w:rsidRPr="00C05273">
        <w:rPr>
          <w:rFonts w:ascii="Times" w:hAnsi="Times"/>
          <w:b/>
          <w:bCs/>
        </w:rPr>
        <w:t xml:space="preserve">SGS </w:t>
      </w:r>
      <w:r w:rsidR="001F5BF2">
        <w:rPr>
          <w:rFonts w:ascii="Times" w:hAnsi="Times"/>
          <w:b/>
          <w:bCs/>
        </w:rPr>
        <w:t>D</w:t>
      </w:r>
      <w:r w:rsidRPr="00C05273">
        <w:rPr>
          <w:rFonts w:ascii="Times" w:hAnsi="Times"/>
          <w:b/>
          <w:bCs/>
        </w:rPr>
        <w:t>ecomposition</w:t>
      </w:r>
    </w:p>
    <w:p w14:paraId="4AA5AB45" w14:textId="50D58C8A" w:rsidR="005D1ED5" w:rsidRDefault="001F5BF2" w:rsidP="00122044">
      <w:pPr>
        <w:spacing w:line="480" w:lineRule="auto"/>
        <w:jc w:val="both"/>
        <w:rPr>
          <w:rFonts w:ascii="Times" w:hAnsi="Times"/>
        </w:rPr>
      </w:pPr>
      <w:r>
        <w:rPr>
          <w:rFonts w:ascii="Times" w:hAnsi="Times"/>
        </w:rPr>
        <w:t xml:space="preserve">We decompose the </w:t>
      </w:r>
      <w:r w:rsidR="00FF4A91">
        <w:rPr>
          <w:rFonts w:ascii="Times" w:hAnsi="Times"/>
        </w:rPr>
        <w:t xml:space="preserve">total </w:t>
      </w:r>
      <w:r>
        <w:rPr>
          <w:rFonts w:ascii="Times" w:hAnsi="Times"/>
        </w:rPr>
        <w:t xml:space="preserve">SGS variance production into contributions from surface fluxes and other SGS processes (Equation (3)). </w:t>
      </w:r>
      <w:r w:rsidR="00827888">
        <w:rPr>
          <w:rFonts w:ascii="Times" w:hAnsi="Times"/>
        </w:rPr>
        <w:t xml:space="preserve">Figure S1 </w:t>
      </w:r>
      <w:r w:rsidR="00F8288F">
        <w:rPr>
          <w:rFonts w:ascii="Times" w:hAnsi="Times"/>
        </w:rPr>
        <w:t xml:space="preserve">shows </w:t>
      </w:r>
      <w:r>
        <w:rPr>
          <w:rFonts w:ascii="Times" w:hAnsi="Times"/>
        </w:rPr>
        <w:t xml:space="preserve">that </w:t>
      </w:r>
      <w:r w:rsidR="00FF4A91">
        <w:rPr>
          <w:rFonts w:ascii="Times" w:hAnsi="Times"/>
        </w:rPr>
        <w:t>both</w:t>
      </w:r>
      <w:r w:rsidR="00F8288F">
        <w:rPr>
          <w:rFonts w:ascii="Times" w:hAnsi="Times"/>
        </w:rPr>
        <w:t xml:space="preserve"> </w:t>
      </w:r>
      <w:r w:rsidR="00AF68DF">
        <w:rPr>
          <w:rFonts w:ascii="Times" w:hAnsi="Times"/>
        </w:rPr>
        <w:t xml:space="preserve">processes </w:t>
      </w:r>
      <w:r w:rsidR="00F8288F">
        <w:rPr>
          <w:rFonts w:ascii="Times" w:hAnsi="Times"/>
        </w:rPr>
        <w:t>contribute to the</w:t>
      </w:r>
      <w:r w:rsidR="00FF4A91">
        <w:rPr>
          <w:rFonts w:ascii="Times" w:hAnsi="Times"/>
        </w:rPr>
        <w:t xml:space="preserve"> total</w:t>
      </w:r>
      <w:r w:rsidR="00F8288F">
        <w:rPr>
          <w:rFonts w:ascii="Times" w:hAnsi="Times"/>
        </w:rPr>
        <w:t xml:space="preserve"> SGS </w:t>
      </w:r>
      <w:r w:rsidR="00FF4A91">
        <w:rPr>
          <w:rFonts w:ascii="Times" w:hAnsi="Times"/>
        </w:rPr>
        <w:t xml:space="preserve">variance </w:t>
      </w:r>
      <w:r w:rsidR="00F8288F">
        <w:rPr>
          <w:rFonts w:ascii="Times" w:hAnsi="Times"/>
        </w:rPr>
        <w:t>production</w:t>
      </w:r>
      <w:r w:rsidR="00FF4A91">
        <w:rPr>
          <w:rFonts w:ascii="Times" w:hAnsi="Times"/>
        </w:rPr>
        <w:t xml:space="preserve"> significantly</w:t>
      </w:r>
      <w:r w:rsidR="00F8288F">
        <w:rPr>
          <w:rFonts w:ascii="Times" w:hAnsi="Times"/>
        </w:rPr>
        <w:t>. S</w:t>
      </w:r>
      <w:r w:rsidR="005D1ED5">
        <w:rPr>
          <w:rFonts w:ascii="Times" w:hAnsi="Times"/>
        </w:rPr>
        <w:t>urface fluxes have</w:t>
      </w:r>
      <w:r>
        <w:rPr>
          <w:rFonts w:ascii="Times" w:hAnsi="Times"/>
        </w:rPr>
        <w:t xml:space="preserve"> a</w:t>
      </w:r>
      <w:r w:rsidR="005D1ED5">
        <w:rPr>
          <w:rFonts w:ascii="Times" w:hAnsi="Times"/>
        </w:rPr>
        <w:t xml:space="preserve"> negative contribution to CSA in climates warmer than 280 K. This negative role is consistent with the LMSE variance analysis and mechanism-denial experiments for surface fluxes at 300 K in Yao, Yang and Tan (2022)</w:t>
      </w:r>
      <w:r w:rsidR="00827888" w:rsidRPr="00827888">
        <w:rPr>
          <w:rFonts w:ascii="Times" w:hAnsi="Times"/>
        </w:rPr>
        <w:t xml:space="preserve"> </w:t>
      </w:r>
      <w:r w:rsidR="00827888">
        <w:rPr>
          <w:rFonts w:ascii="Times" w:hAnsi="Times"/>
        </w:rPr>
        <w:t>(</w:t>
      </w:r>
      <w:r w:rsidR="00922B3C">
        <w:rPr>
          <w:rFonts w:ascii="Times" w:hAnsi="Times"/>
        </w:rPr>
        <w:t>t</w:t>
      </w:r>
      <w:r w:rsidR="00827888">
        <w:rPr>
          <w:rFonts w:ascii="Times" w:hAnsi="Times" w:hint="eastAsia"/>
        </w:rPr>
        <w:t>h</w:t>
      </w:r>
      <w:r w:rsidR="00827888">
        <w:rPr>
          <w:rFonts w:ascii="Times" w:hAnsi="Times"/>
        </w:rPr>
        <w:t>eir Figures 4 and B2)</w:t>
      </w:r>
      <w:r>
        <w:rPr>
          <w:rFonts w:ascii="Times" w:hAnsi="Times"/>
        </w:rPr>
        <w:t xml:space="preserve">, where CSA </w:t>
      </w:r>
      <w:r w:rsidR="00263913">
        <w:rPr>
          <w:rFonts w:ascii="Times" w:hAnsi="Times"/>
        </w:rPr>
        <w:t xml:space="preserve">reaches a slightly stronger magnitude </w:t>
      </w:r>
      <w:r w:rsidR="0035782C">
        <w:rPr>
          <w:rFonts w:ascii="Times" w:hAnsi="Times"/>
        </w:rPr>
        <w:t>with homogenized</w:t>
      </w:r>
      <w:r w:rsidR="00263913">
        <w:rPr>
          <w:rFonts w:ascii="Times" w:hAnsi="Times"/>
        </w:rPr>
        <w:t xml:space="preserve"> surface fluxes</w:t>
      </w:r>
      <w:r w:rsidR="005D1ED5">
        <w:rPr>
          <w:rFonts w:ascii="Times" w:hAnsi="Times"/>
        </w:rPr>
        <w:t xml:space="preserve">. </w:t>
      </w:r>
      <w:r w:rsidR="00263913">
        <w:rPr>
          <w:rFonts w:ascii="Times" w:hAnsi="Times"/>
        </w:rPr>
        <w:t>On the other hand, t</w:t>
      </w:r>
      <w:r w:rsidR="005D1ED5">
        <w:rPr>
          <w:rFonts w:ascii="Times" w:hAnsi="Times"/>
        </w:rPr>
        <w:t>he role of surface fluxes</w:t>
      </w:r>
      <w:r w:rsidR="00263913">
        <w:rPr>
          <w:rFonts w:ascii="Times" w:hAnsi="Times"/>
        </w:rPr>
        <w:t xml:space="preserve"> is positive</w:t>
      </w:r>
      <w:r w:rsidR="005D1ED5">
        <w:rPr>
          <w:rFonts w:ascii="Times" w:hAnsi="Times"/>
        </w:rPr>
        <w:t xml:space="preserve"> at 280 </w:t>
      </w:r>
      <w:r w:rsidR="00263913">
        <w:rPr>
          <w:rFonts w:ascii="Times" w:hAnsi="Times"/>
        </w:rPr>
        <w:t>K, which</w:t>
      </w:r>
      <w:r w:rsidR="005D1ED5">
        <w:rPr>
          <w:rFonts w:ascii="Times" w:hAnsi="Times"/>
        </w:rPr>
        <w:t xml:space="preserve"> may be attributed to the WISHE feedback (Wing and Emanuel 2014), but further decomposition is needed to confirm the hypothesis.</w:t>
      </w:r>
    </w:p>
    <w:p w14:paraId="50A84557" w14:textId="77777777" w:rsidR="005D1ED5" w:rsidRDefault="005D1ED5" w:rsidP="005D1ED5">
      <w:pPr>
        <w:spacing w:line="480" w:lineRule="auto"/>
        <w:rPr>
          <w:rFonts w:ascii="Times" w:hAnsi="Times"/>
        </w:rPr>
      </w:pPr>
    </w:p>
    <w:p w14:paraId="5EF0A872" w14:textId="36BA8EF3" w:rsidR="000E1962" w:rsidRDefault="008543BD" w:rsidP="000B716F">
      <w:pPr>
        <w:spacing w:line="480" w:lineRule="auto"/>
        <w:jc w:val="both"/>
        <w:rPr>
          <w:rFonts w:ascii="Times" w:hAnsi="Times"/>
        </w:rPr>
      </w:pPr>
      <w:r>
        <w:rPr>
          <w:rFonts w:ascii="Times" w:hAnsi="Times"/>
        </w:rPr>
        <w:t xml:space="preserve">Figure S2 </w:t>
      </w:r>
      <w:r w:rsidR="0035782C" w:rsidRPr="00122044">
        <w:rPr>
          <w:rFonts w:ascii="Times" w:hAnsi="Times"/>
        </w:rPr>
        <w:t>show</w:t>
      </w:r>
      <w:r>
        <w:rPr>
          <w:rFonts w:ascii="Times" w:hAnsi="Times"/>
        </w:rPr>
        <w:t>s</w:t>
      </w:r>
      <w:r w:rsidR="0035782C" w:rsidRPr="00122044">
        <w:rPr>
          <w:rFonts w:ascii="Times" w:hAnsi="Times"/>
        </w:rPr>
        <w:t xml:space="preserve"> the vertical structure of LMSE variance production from </w:t>
      </w:r>
      <w:r>
        <w:rPr>
          <w:rFonts w:ascii="Times" w:hAnsi="Times"/>
        </w:rPr>
        <w:t xml:space="preserve">other </w:t>
      </w:r>
      <w:r w:rsidR="0035782C" w:rsidRPr="00122044">
        <w:rPr>
          <w:rFonts w:ascii="Times" w:hAnsi="Times"/>
        </w:rPr>
        <w:t xml:space="preserve">SGS processes excluding </w:t>
      </w:r>
      <w:r w:rsidR="0035782C">
        <w:rPr>
          <w:rFonts w:ascii="Times" w:hAnsi="Times"/>
        </w:rPr>
        <w:t xml:space="preserve">surface fluxes. The contribution is </w:t>
      </w:r>
      <w:r w:rsidR="00AB6619">
        <w:rPr>
          <w:rFonts w:ascii="Times" w:hAnsi="Times"/>
        </w:rPr>
        <w:t>dominant in</w:t>
      </w:r>
      <w:r w:rsidR="0035782C">
        <w:rPr>
          <w:rFonts w:ascii="Times" w:hAnsi="Times"/>
        </w:rPr>
        <w:t xml:space="preserve"> the lower troposphere, where turbulence </w:t>
      </w:r>
      <w:r w:rsidR="00744467">
        <w:rPr>
          <w:rFonts w:ascii="Times" w:hAnsi="Times"/>
        </w:rPr>
        <w:t xml:space="preserve">mixes air particles and </w:t>
      </w:r>
      <w:r w:rsidR="00922B3C">
        <w:rPr>
          <w:rFonts w:ascii="Times" w:hAnsi="Times"/>
        </w:rPr>
        <w:t xml:space="preserve">damps </w:t>
      </w:r>
      <w:r w:rsidR="00D52154">
        <w:rPr>
          <w:rFonts w:ascii="Times" w:hAnsi="Times"/>
        </w:rPr>
        <w:t xml:space="preserve">the </w:t>
      </w:r>
      <w:r w:rsidR="00922B3C">
        <w:rPr>
          <w:rFonts w:ascii="Times" w:hAnsi="Times"/>
        </w:rPr>
        <w:t>LMSE variance</w:t>
      </w:r>
      <w:r w:rsidR="0035782C">
        <w:rPr>
          <w:rFonts w:ascii="Times" w:hAnsi="Times"/>
        </w:rPr>
        <w:t>.</w:t>
      </w:r>
    </w:p>
    <w:p w14:paraId="77A8508C" w14:textId="77777777" w:rsidR="0082790A" w:rsidRDefault="0082790A" w:rsidP="000B716F">
      <w:pPr>
        <w:spacing w:line="480" w:lineRule="auto"/>
        <w:jc w:val="both"/>
        <w:rPr>
          <w:rFonts w:ascii="Times" w:hAnsi="Times"/>
        </w:rPr>
      </w:pPr>
    </w:p>
    <w:p w14:paraId="339F0749" w14:textId="3E35318F" w:rsidR="0082790A" w:rsidRPr="00C05273" w:rsidRDefault="0082790A" w:rsidP="0082790A">
      <w:pPr>
        <w:spacing w:line="480" w:lineRule="auto"/>
        <w:rPr>
          <w:rFonts w:ascii="Times" w:hAnsi="Times"/>
          <w:b/>
          <w:bCs/>
        </w:rPr>
      </w:pPr>
      <w:r>
        <w:rPr>
          <w:rFonts w:ascii="Times" w:hAnsi="Times"/>
          <w:b/>
          <w:bCs/>
        </w:rPr>
        <w:t>Text S2. 2D simulations at 315 K</w:t>
      </w:r>
    </w:p>
    <w:p w14:paraId="636179E4" w14:textId="4F23EA1D" w:rsidR="0082790A" w:rsidRDefault="0082790A" w:rsidP="000B716F">
      <w:pPr>
        <w:spacing w:line="480" w:lineRule="auto"/>
        <w:jc w:val="both"/>
        <w:rPr>
          <w:rFonts w:ascii="Times" w:hAnsi="Times"/>
        </w:rPr>
      </w:pPr>
      <w:r>
        <w:rPr>
          <w:rFonts w:ascii="Times" w:hAnsi="Times"/>
        </w:rPr>
        <w:t xml:space="preserve">We perform </w:t>
      </w:r>
      <w:r w:rsidR="005D7EEA">
        <w:rPr>
          <w:rFonts w:ascii="Times" w:hAnsi="Times"/>
        </w:rPr>
        <w:t>additional</w:t>
      </w:r>
      <w:r>
        <w:rPr>
          <w:rFonts w:ascii="Times" w:hAnsi="Times"/>
        </w:rPr>
        <w:t xml:space="preserve"> 2D </w:t>
      </w:r>
      <w:r w:rsidR="005D7EEA">
        <w:rPr>
          <w:rFonts w:ascii="Times" w:hAnsi="Times"/>
        </w:rPr>
        <w:t>simulations</w:t>
      </w:r>
      <w:r>
        <w:rPr>
          <w:rFonts w:ascii="Times" w:hAnsi="Times"/>
        </w:rPr>
        <w:t xml:space="preserve"> at 315 K to test the robustness</w:t>
      </w:r>
      <w:r w:rsidR="005D7EEA">
        <w:rPr>
          <w:rFonts w:ascii="Times" w:hAnsi="Times"/>
        </w:rPr>
        <w:t xml:space="preserve"> of our </w:t>
      </w:r>
      <w:r w:rsidR="009C5467">
        <w:rPr>
          <w:rFonts w:ascii="Times" w:hAnsi="Times"/>
        </w:rPr>
        <w:t xml:space="preserve">2D </w:t>
      </w:r>
      <w:r w:rsidR="00DC25E0">
        <w:rPr>
          <w:rFonts w:ascii="Times" w:hAnsi="Times"/>
        </w:rPr>
        <w:t>findings</w:t>
      </w:r>
      <w:r>
        <w:rPr>
          <w:rFonts w:ascii="Times" w:hAnsi="Times"/>
        </w:rPr>
        <w:t xml:space="preserve">. </w:t>
      </w:r>
      <w:r w:rsidR="005D7EEA">
        <w:rPr>
          <w:rFonts w:ascii="Times" w:hAnsi="Times"/>
        </w:rPr>
        <w:t>Figure S3 presents the development of CSA in both the control and mechanism-denial experiments. This result</w:t>
      </w:r>
      <w:r>
        <w:rPr>
          <w:rFonts w:ascii="Times" w:hAnsi="Times"/>
        </w:rPr>
        <w:t xml:space="preserve"> </w:t>
      </w:r>
      <w:r w:rsidR="005D7EEA">
        <w:rPr>
          <w:rFonts w:ascii="Times" w:hAnsi="Times"/>
        </w:rPr>
        <w:t>further</w:t>
      </w:r>
      <w:r>
        <w:rPr>
          <w:rFonts w:ascii="Times" w:hAnsi="Times"/>
        </w:rPr>
        <w:t xml:space="preserve"> support</w:t>
      </w:r>
      <w:r w:rsidR="005D7EEA">
        <w:rPr>
          <w:rFonts w:ascii="Times" w:hAnsi="Times"/>
        </w:rPr>
        <w:t>s</w:t>
      </w:r>
      <w:r>
        <w:rPr>
          <w:rFonts w:ascii="Times" w:hAnsi="Times"/>
        </w:rPr>
        <w:t xml:space="preserve"> our hypothesis that CSA occurs without radiative feedbacks</w:t>
      </w:r>
      <w:r w:rsidR="005D7EEA">
        <w:rPr>
          <w:rFonts w:ascii="Times" w:hAnsi="Times"/>
        </w:rPr>
        <w:t xml:space="preserve"> in a warmer climate</w:t>
      </w:r>
      <w:r>
        <w:rPr>
          <w:rFonts w:ascii="Times" w:hAnsi="Times"/>
        </w:rPr>
        <w:t>.</w:t>
      </w:r>
    </w:p>
    <w:p w14:paraId="7B5087C1" w14:textId="3B031337" w:rsidR="0082790A" w:rsidRPr="00122044" w:rsidRDefault="0082790A" w:rsidP="000B716F">
      <w:pPr>
        <w:spacing w:line="480" w:lineRule="auto"/>
        <w:jc w:val="both"/>
        <w:rPr>
          <w:rFonts w:ascii="Times" w:hAnsi="Times"/>
        </w:rPr>
        <w:sectPr w:rsidR="0082790A" w:rsidRPr="00122044" w:rsidSect="00587F14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43D238BF" w14:textId="4FE3894C" w:rsidR="00263913" w:rsidRDefault="00263913" w:rsidP="00263913">
      <w:pPr>
        <w:spacing w:line="480" w:lineRule="auto"/>
        <w:rPr>
          <w:rFonts w:ascii="Times" w:hAnsi="Times"/>
          <w:b/>
          <w:bCs/>
        </w:rPr>
      </w:pPr>
      <w:r>
        <w:rPr>
          <w:rFonts w:ascii="Times" w:hAnsi="Times"/>
          <w:b/>
          <w:bCs/>
        </w:rPr>
        <w:lastRenderedPageBreak/>
        <w:t xml:space="preserve">Supplemental Figures. </w:t>
      </w:r>
    </w:p>
    <w:p w14:paraId="3A334B23" w14:textId="0004EF9D" w:rsidR="005A0E5E" w:rsidRDefault="00E72445" w:rsidP="00263913">
      <w:pPr>
        <w:spacing w:line="480" w:lineRule="auto"/>
        <w:rPr>
          <w:rFonts w:ascii="Times" w:hAnsi="Times"/>
        </w:rPr>
      </w:pPr>
      <w:r w:rsidRPr="00E72445">
        <w:rPr>
          <w:rFonts w:ascii="Times" w:hAnsi="Times"/>
          <w:noProof/>
        </w:rPr>
        <w:drawing>
          <wp:inline distT="0" distB="0" distL="0" distR="0" wp14:anchorId="65938749" wp14:editId="2CB71C5F">
            <wp:extent cx="5943600" cy="2108200"/>
            <wp:effectExtent l="0" t="0" r="0" b="0"/>
            <wp:docPr id="2" name="Picture 2" descr="Waterfall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Waterfall chart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93F72" w14:textId="230FD066" w:rsidR="005D1ED5" w:rsidRDefault="00263913" w:rsidP="00122044">
      <w:pPr>
        <w:spacing w:line="480" w:lineRule="auto"/>
        <w:jc w:val="both"/>
      </w:pPr>
      <w:r>
        <w:rPr>
          <w:rFonts w:ascii="Times" w:hAnsi="Times"/>
          <w:b/>
          <w:bCs/>
        </w:rPr>
        <w:t xml:space="preserve">Figure </w:t>
      </w:r>
      <w:r w:rsidR="00B30006">
        <w:rPr>
          <w:rFonts w:ascii="Times" w:hAnsi="Times"/>
          <w:b/>
          <w:bCs/>
        </w:rPr>
        <w:t>S1</w:t>
      </w:r>
      <w:r>
        <w:rPr>
          <w:rFonts w:ascii="Times" w:hAnsi="Times"/>
          <w:b/>
          <w:bCs/>
        </w:rPr>
        <w:t xml:space="preserve">. </w:t>
      </w:r>
      <w:r w:rsidRPr="00122044">
        <w:rPr>
          <w:rFonts w:ascii="Times" w:hAnsi="Times"/>
        </w:rPr>
        <w:t>T</w:t>
      </w:r>
      <w:r w:rsidR="005D1ED5">
        <w:rPr>
          <w:rFonts w:ascii="Times" w:hAnsi="Times"/>
        </w:rPr>
        <w:t xml:space="preserve">he decomposition of </w:t>
      </w:r>
      <w:r w:rsidR="00744467">
        <w:rPr>
          <w:rFonts w:ascii="Times" w:hAnsi="Times"/>
        </w:rPr>
        <w:t xml:space="preserve">the total </w:t>
      </w:r>
      <w:r w:rsidR="005D1ED5">
        <w:rPr>
          <w:rFonts w:ascii="Times" w:hAnsi="Times"/>
        </w:rPr>
        <w:t>SGS variance production (Equation (</w:t>
      </w:r>
      <w:r>
        <w:rPr>
          <w:rFonts w:ascii="Times" w:hAnsi="Times"/>
        </w:rPr>
        <w:t>3</w:t>
      </w:r>
      <w:r w:rsidR="005D1ED5">
        <w:rPr>
          <w:rFonts w:ascii="Times" w:hAnsi="Times"/>
        </w:rPr>
        <w:t>)) in the (</w:t>
      </w:r>
      <w:r w:rsidR="00744467">
        <w:rPr>
          <w:rFonts w:ascii="Times" w:hAnsi="Times"/>
        </w:rPr>
        <w:t>a</w:t>
      </w:r>
      <w:r w:rsidR="005D1ED5">
        <w:rPr>
          <w:rFonts w:ascii="Times" w:hAnsi="Times"/>
        </w:rPr>
        <w:t>) development and (</w:t>
      </w:r>
      <w:r w:rsidR="00744467">
        <w:rPr>
          <w:rFonts w:ascii="Times" w:hAnsi="Times"/>
        </w:rPr>
        <w:t>b</w:t>
      </w:r>
      <w:r w:rsidR="005D1ED5">
        <w:rPr>
          <w:rFonts w:ascii="Times" w:hAnsi="Times"/>
        </w:rPr>
        <w:t>) mature stages</w:t>
      </w:r>
      <w:r>
        <w:rPr>
          <w:rFonts w:ascii="Times" w:hAnsi="Times"/>
        </w:rPr>
        <w:t>.</w:t>
      </w:r>
    </w:p>
    <w:p w14:paraId="6F027139" w14:textId="77777777" w:rsidR="0035782C" w:rsidRDefault="0035782C">
      <w:pPr>
        <w:sectPr w:rsidR="0035782C" w:rsidSect="00587F14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2EFD98BA" w14:textId="6471FC2F" w:rsidR="002624BC" w:rsidRDefault="00401DA7" w:rsidP="00122044">
      <w:pPr>
        <w:spacing w:line="480" w:lineRule="auto"/>
      </w:pPr>
      <w:r w:rsidRPr="00401DA7">
        <w:rPr>
          <w:noProof/>
        </w:rPr>
        <w:lastRenderedPageBreak/>
        <w:t xml:space="preserve"> </w:t>
      </w:r>
      <w:r w:rsidRPr="00401DA7">
        <w:rPr>
          <w:noProof/>
        </w:rPr>
        <w:drawing>
          <wp:inline distT="0" distB="0" distL="0" distR="0" wp14:anchorId="75DB3B40" wp14:editId="30D8A4A4">
            <wp:extent cx="5943600" cy="1337310"/>
            <wp:effectExtent l="0" t="0" r="0" b="0"/>
            <wp:docPr id="901480620" name="Picture 1" descr="A picture containing screenshot, window, rectangle, colorfuln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480620" name="Picture 1" descr="A picture containing screenshot, window, rectangle, colorfulness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C61AC" w14:textId="6B4122DE" w:rsidR="007D16C4" w:rsidRDefault="007D16C4" w:rsidP="00122044">
      <w:pPr>
        <w:spacing w:line="480" w:lineRule="auto"/>
        <w:jc w:val="both"/>
        <w:rPr>
          <w:rFonts w:ascii="Times" w:hAnsi="Times"/>
        </w:rPr>
      </w:pPr>
      <w:r>
        <w:rPr>
          <w:rFonts w:ascii="Times" w:hAnsi="Times"/>
          <w:b/>
          <w:bCs/>
        </w:rPr>
        <w:t xml:space="preserve">Figure </w:t>
      </w:r>
      <w:r w:rsidR="00B30006">
        <w:rPr>
          <w:rFonts w:ascii="Times" w:hAnsi="Times"/>
          <w:b/>
          <w:bCs/>
        </w:rPr>
        <w:t>S2</w:t>
      </w:r>
      <w:r>
        <w:rPr>
          <w:rFonts w:ascii="Times" w:hAnsi="Times"/>
          <w:b/>
          <w:bCs/>
        </w:rPr>
        <w:t xml:space="preserve">. </w:t>
      </w:r>
      <w:r w:rsidRPr="00BD4992">
        <w:rPr>
          <w:rFonts w:ascii="Times" w:hAnsi="Times"/>
        </w:rPr>
        <w:t>T</w:t>
      </w:r>
      <w:r>
        <w:rPr>
          <w:rFonts w:ascii="Times" w:hAnsi="Times"/>
        </w:rPr>
        <w:t xml:space="preserve">he </w:t>
      </w:r>
      <w:r w:rsidR="0035782C">
        <w:rPr>
          <w:rFonts w:ascii="Times" w:hAnsi="Times"/>
        </w:rPr>
        <w:t xml:space="preserve">vertical distribution of LMSE variance production from </w:t>
      </w:r>
      <w:r w:rsidR="00744467">
        <w:rPr>
          <w:rFonts w:ascii="Times" w:hAnsi="Times"/>
        </w:rPr>
        <w:t xml:space="preserve">other </w:t>
      </w:r>
      <w:r w:rsidR="0035782C">
        <w:rPr>
          <w:rFonts w:ascii="Times" w:hAnsi="Times"/>
        </w:rPr>
        <w:t>SGS processes excluding surface fluxes among various climates</w:t>
      </w:r>
      <w:r w:rsidR="00744467">
        <w:rPr>
          <w:rFonts w:ascii="Times" w:hAnsi="Times"/>
        </w:rPr>
        <w:t xml:space="preserve"> (280-320 K)</w:t>
      </w:r>
      <w:r w:rsidR="0035782C">
        <w:rPr>
          <w:rFonts w:ascii="Times" w:hAnsi="Times"/>
        </w:rPr>
        <w:t xml:space="preserve">. The formula is </w:t>
      </w:r>
      <m:oMath>
        <m:acc>
          <m:accPr>
            <m:chr m:val="̅"/>
            <m:ctrlPr>
              <w:rPr>
                <w:rFonts w:ascii="Cambria Math" w:hAnsi="Cambria Math"/>
                <w:i/>
                <w:iCs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sSup>
                  <m:sSupPr>
                    <m:ctrlPr>
                      <w:rPr>
                        <w:rFonts w:ascii="Cambria Math" w:eastAsia="DengXian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="DengXian" w:hAnsi="Cambria Math"/>
                      </w:rPr>
                      <m:t>F</m:t>
                    </m:r>
                  </m:e>
                  <m:sup>
                    <m:r>
                      <w:rPr>
                        <w:rFonts w:ascii="Cambria Math" w:eastAsia="DengXian" w:hAnsi="Cambria Math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</w:rPr>
                  <m:t>∂</m:t>
                </m:r>
              </m:e>
              <m:sub>
                <m:r>
                  <w:rPr>
                    <w:rFonts w:ascii="Cambria Math" w:hAnsi="Cambria Math"/>
                  </w:rPr>
                  <m:t>z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ctrlPr>
                  <w:rPr>
                    <w:rFonts w:ascii="Cambria Math" w:hAnsi="Cambria Math"/>
                    <w:i/>
                    <w:iCs/>
                  </w:rPr>
                </m:ctrlPr>
              </m:e>
            </m:d>
          </m:e>
        </m:acc>
      </m:oMath>
      <w:r w:rsidR="0035782C">
        <w:rPr>
          <w:rFonts w:ascii="Times" w:hAnsi="Times"/>
          <w:iCs/>
        </w:rPr>
        <w:t xml:space="preserve"> (see Equation (3)).</w:t>
      </w:r>
      <w:r w:rsidR="0035782C">
        <w:rPr>
          <w:rFonts w:ascii="Times" w:hAnsi="Times"/>
        </w:rPr>
        <w:t xml:space="preserve"> Each panel has been normalized by the maximum absolute value</w:t>
      </w:r>
      <w:r w:rsidR="00B30006">
        <w:rPr>
          <w:rFonts w:ascii="Times" w:hAnsi="Times"/>
        </w:rPr>
        <w:t xml:space="preserve"> of </w:t>
      </w:r>
      <m:oMath>
        <m:acc>
          <m:accPr>
            <m:chr m:val="̅"/>
            <m:ctrlPr>
              <w:rPr>
                <w:rFonts w:ascii="Cambria Math" w:hAnsi="Cambria Math"/>
                <w:i/>
                <w:iCs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sSup>
                  <m:sSupPr>
                    <m:ctrlPr>
                      <w:rPr>
                        <w:rFonts w:ascii="Cambria Math" w:eastAsia="DengXian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="DengXian" w:hAnsi="Cambria Math"/>
                      </w:rPr>
                      <m:t>F</m:t>
                    </m:r>
                  </m:e>
                  <m:sup>
                    <m:r>
                      <w:rPr>
                        <w:rFonts w:ascii="Cambria Math" w:eastAsia="DengXian" w:hAnsi="Cambria Math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</w:rPr>
                  <m:t>∂</m:t>
                </m:r>
              </m:e>
              <m:sub>
                <m:r>
                  <w:rPr>
                    <w:rFonts w:ascii="Cambria Math" w:hAnsi="Cambria Math"/>
                  </w:rPr>
                  <m:t>z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ctrlPr>
                  <w:rPr>
                    <w:rFonts w:ascii="Cambria Math" w:hAnsi="Cambria Math"/>
                    <w:i/>
                    <w:iCs/>
                  </w:rPr>
                </m:ctrlPr>
              </m:e>
            </m:d>
          </m:e>
        </m:acc>
      </m:oMath>
      <w:r w:rsidR="0035782C">
        <w:rPr>
          <w:rFonts w:ascii="Times" w:hAnsi="Times"/>
        </w:rPr>
        <w:t xml:space="preserve"> in the respective climate. </w:t>
      </w:r>
    </w:p>
    <w:p w14:paraId="00096DBF" w14:textId="77777777" w:rsidR="0082790A" w:rsidRDefault="0082790A" w:rsidP="00122044">
      <w:pPr>
        <w:spacing w:line="480" w:lineRule="auto"/>
        <w:jc w:val="both"/>
        <w:sectPr w:rsidR="0082790A" w:rsidSect="00587F14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44C9BC04" w14:textId="77777777" w:rsidR="0082790A" w:rsidRDefault="0082790A" w:rsidP="0082790A">
      <w:pPr>
        <w:spacing w:line="480" w:lineRule="auto"/>
        <w:jc w:val="both"/>
        <w:rPr>
          <w:rFonts w:ascii="Times" w:hAnsi="Times"/>
        </w:rPr>
      </w:pPr>
      <w:r w:rsidRPr="005B393A">
        <w:rPr>
          <w:rFonts w:ascii="Times" w:hAnsi="Times"/>
          <w:noProof/>
        </w:rPr>
        <w:lastRenderedPageBreak/>
        <w:drawing>
          <wp:inline distT="0" distB="0" distL="0" distR="0" wp14:anchorId="269BF6A2" wp14:editId="485164B1">
            <wp:extent cx="5943600" cy="2652395"/>
            <wp:effectExtent l="0" t="0" r="0" b="1905"/>
            <wp:docPr id="14" name="Picture 1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4159B" w14:textId="100810E9" w:rsidR="0082790A" w:rsidRDefault="0082790A" w:rsidP="00587F14">
      <w:pPr>
        <w:spacing w:line="480" w:lineRule="auto"/>
        <w:jc w:val="both"/>
      </w:pPr>
      <w:r w:rsidRPr="009C5467">
        <w:rPr>
          <w:rFonts w:ascii="Times" w:hAnsi="Times"/>
          <w:b/>
          <w:bCs/>
        </w:rPr>
        <w:t>Figure S3.</w:t>
      </w:r>
      <w:r>
        <w:rPr>
          <w:rFonts w:ascii="Times" w:hAnsi="Times"/>
        </w:rPr>
        <w:t xml:space="preserve"> H</w:t>
      </w:r>
      <w:r w:rsidRPr="003904D9">
        <w:rPr>
          <w:rFonts w:ascii="Times" w:hAnsi="Times"/>
        </w:rPr>
        <w:t xml:space="preserve">ovmöller diagrams of </w:t>
      </w:r>
      <w:r>
        <w:rPr>
          <w:rFonts w:ascii="Times" w:hAnsi="Times"/>
        </w:rPr>
        <w:t>CRH</w:t>
      </w:r>
      <w:r w:rsidRPr="003904D9">
        <w:rPr>
          <w:rFonts w:ascii="Times" w:hAnsi="Times"/>
        </w:rPr>
        <w:t xml:space="preserve"> in the </w:t>
      </w:r>
      <w:r>
        <w:rPr>
          <w:rFonts w:ascii="Times" w:hAnsi="Times"/>
        </w:rPr>
        <w:t xml:space="preserve">2D (a) </w:t>
      </w:r>
      <w:r w:rsidRPr="003904D9">
        <w:rPr>
          <w:rFonts w:ascii="Times" w:hAnsi="Times"/>
        </w:rPr>
        <w:t xml:space="preserve">control </w:t>
      </w:r>
      <w:r>
        <w:rPr>
          <w:rFonts w:ascii="Times" w:hAnsi="Times"/>
        </w:rPr>
        <w:t>and (b) mechanism-denial experiments at 315 K</w:t>
      </w:r>
      <w:r w:rsidRPr="003904D9">
        <w:rPr>
          <w:rFonts w:ascii="Times" w:hAnsi="Times"/>
        </w:rPr>
        <w:t>.</w:t>
      </w:r>
    </w:p>
    <w:sectPr w:rsidR="0082790A" w:rsidSect="00587F14"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A366E1"/>
    <w:multiLevelType w:val="hybridMultilevel"/>
    <w:tmpl w:val="39F4A9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9900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trackRevision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92D"/>
    <w:rsid w:val="000A6870"/>
    <w:rsid w:val="000B716F"/>
    <w:rsid w:val="000D6336"/>
    <w:rsid w:val="000E1962"/>
    <w:rsid w:val="00122044"/>
    <w:rsid w:val="001A4CA1"/>
    <w:rsid w:val="001F5BF2"/>
    <w:rsid w:val="002624BC"/>
    <w:rsid w:val="00263913"/>
    <w:rsid w:val="00346671"/>
    <w:rsid w:val="0035782C"/>
    <w:rsid w:val="00372789"/>
    <w:rsid w:val="003A0116"/>
    <w:rsid w:val="00401DA7"/>
    <w:rsid w:val="004C0BBF"/>
    <w:rsid w:val="00531EA5"/>
    <w:rsid w:val="00587F14"/>
    <w:rsid w:val="005A0E5E"/>
    <w:rsid w:val="005D1ED5"/>
    <w:rsid w:val="005D7EEA"/>
    <w:rsid w:val="00625894"/>
    <w:rsid w:val="006D6A21"/>
    <w:rsid w:val="006E2439"/>
    <w:rsid w:val="00730F84"/>
    <w:rsid w:val="00744467"/>
    <w:rsid w:val="007D16C4"/>
    <w:rsid w:val="007D60D5"/>
    <w:rsid w:val="00827888"/>
    <w:rsid w:val="0082790A"/>
    <w:rsid w:val="00845206"/>
    <w:rsid w:val="008543BD"/>
    <w:rsid w:val="00922B3C"/>
    <w:rsid w:val="0096109F"/>
    <w:rsid w:val="00992F7D"/>
    <w:rsid w:val="009C5467"/>
    <w:rsid w:val="00A9192B"/>
    <w:rsid w:val="00AB6619"/>
    <w:rsid w:val="00AF68DF"/>
    <w:rsid w:val="00B30006"/>
    <w:rsid w:val="00B60041"/>
    <w:rsid w:val="00B75B4B"/>
    <w:rsid w:val="00B87FCB"/>
    <w:rsid w:val="00BD444E"/>
    <w:rsid w:val="00C05273"/>
    <w:rsid w:val="00CB292D"/>
    <w:rsid w:val="00D52154"/>
    <w:rsid w:val="00DC25E0"/>
    <w:rsid w:val="00E27BF2"/>
    <w:rsid w:val="00E72445"/>
    <w:rsid w:val="00EF5276"/>
    <w:rsid w:val="00EF58BE"/>
    <w:rsid w:val="00F44F00"/>
    <w:rsid w:val="00F80AF2"/>
    <w:rsid w:val="00F8288F"/>
    <w:rsid w:val="00F84B7D"/>
    <w:rsid w:val="00FB7D05"/>
    <w:rsid w:val="00FF4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32F3CD"/>
  <w15:chartTrackingRefBased/>
  <w15:docId w15:val="{4A943A19-4945-C14F-A72C-90EF8D70D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292D"/>
    <w:rPr>
      <w:rFonts w:cs="Times New Roman (Body CS)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0BBF"/>
    <w:pPr>
      <w:ind w:left="720"/>
      <w:contextualSpacing/>
    </w:pPr>
  </w:style>
  <w:style w:type="paragraph" w:styleId="Revision">
    <w:name w:val="Revision"/>
    <w:hidden/>
    <w:uiPriority w:val="99"/>
    <w:semiHidden/>
    <w:rsid w:val="004C0BBF"/>
    <w:rPr>
      <w:rFonts w:cs="Times New Roman (Body CS)"/>
    </w:rPr>
  </w:style>
  <w:style w:type="character" w:styleId="CommentReference">
    <w:name w:val="annotation reference"/>
    <w:basedOn w:val="DefaultParagraphFont"/>
    <w:uiPriority w:val="99"/>
    <w:semiHidden/>
    <w:unhideWhenUsed/>
    <w:rsid w:val="003727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cs="Times New Roman (Body CS)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10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109F"/>
    <w:rPr>
      <w:rFonts w:cs="Times New Roman (Body CS)"/>
      <w:b/>
      <w:bCs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531E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339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 Yao</dc:creator>
  <cp:keywords/>
  <dc:description/>
  <cp:lastModifiedBy>Lin Yao</cp:lastModifiedBy>
  <cp:revision>5</cp:revision>
  <cp:lastPrinted>2023-05-20T00:57:00Z</cp:lastPrinted>
  <dcterms:created xsi:type="dcterms:W3CDTF">2023-05-20T00:57:00Z</dcterms:created>
  <dcterms:modified xsi:type="dcterms:W3CDTF">2023-05-22T21:13:00Z</dcterms:modified>
</cp:coreProperties>
</file>