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A5081" w14:textId="42A37D91" w:rsidR="00395594" w:rsidRPr="001C5CD1" w:rsidRDefault="00645EEE" w:rsidP="006B777C">
      <w:pPr>
        <w:pStyle w:val="Heading1"/>
        <w:keepNext w:val="0"/>
        <w:keepLines w:val="0"/>
        <w:spacing w:before="0"/>
        <w:jc w:val="center"/>
        <w:rPr>
          <w:sz w:val="44"/>
          <w:szCs w:val="44"/>
        </w:rPr>
      </w:pPr>
      <w:r>
        <w:rPr>
          <w:sz w:val="44"/>
          <w:szCs w:val="44"/>
        </w:rPr>
        <w:t>Appendices</w:t>
      </w:r>
    </w:p>
    <w:p w14:paraId="637613F3" w14:textId="511554BA" w:rsidR="0063162A" w:rsidRPr="001C5CD1" w:rsidRDefault="0063162A" w:rsidP="0063162A">
      <w:pPr>
        <w:jc w:val="center"/>
        <w:rPr>
          <w:rFonts w:ascii="Arial" w:hAnsi="Arial" w:cs="Arial"/>
          <w:b/>
          <w:bCs/>
          <w:lang w:val="en"/>
        </w:rPr>
      </w:pPr>
      <w:r w:rsidRPr="001C5CD1">
        <w:rPr>
          <w:rFonts w:ascii="Arial" w:hAnsi="Arial" w:cs="Arial"/>
          <w:b/>
          <w:bCs/>
          <w:lang w:val="en"/>
        </w:rPr>
        <w:t>“</w:t>
      </w:r>
      <w:r w:rsidR="003A4363">
        <w:rPr>
          <w:rFonts w:ascii="Arial" w:hAnsi="Arial" w:cs="Arial"/>
          <w:b/>
          <w:bCs/>
          <w:lang w:val="en"/>
        </w:rPr>
        <w:t>Local adaptation is highest in populations with stable long-term growth</w:t>
      </w:r>
      <w:r w:rsidRPr="001C5CD1">
        <w:rPr>
          <w:rFonts w:ascii="Arial" w:hAnsi="Arial" w:cs="Arial"/>
          <w:b/>
          <w:bCs/>
          <w:lang w:val="en"/>
        </w:rPr>
        <w:t>”</w:t>
      </w:r>
    </w:p>
    <w:p w14:paraId="7BEFF561" w14:textId="1B10833B" w:rsidR="0063162A" w:rsidRPr="00AE02EE" w:rsidRDefault="0063162A" w:rsidP="0063162A">
      <w:pPr>
        <w:jc w:val="center"/>
        <w:rPr>
          <w:rFonts w:ascii="Arial" w:hAnsi="Arial" w:cs="Arial"/>
          <w:sz w:val="22"/>
          <w:szCs w:val="22"/>
          <w:lang w:val="en"/>
        </w:rPr>
      </w:pPr>
      <w:r w:rsidRPr="00AE02EE">
        <w:rPr>
          <w:rFonts w:ascii="Arial" w:hAnsi="Arial" w:cs="Arial"/>
          <w:sz w:val="22"/>
          <w:szCs w:val="22"/>
          <w:lang w:val="en"/>
        </w:rPr>
        <w:t>L.N. Carley, M. A. Geber, W. F. Morris, V. Eckhart, and D. A. Moeller*</w:t>
      </w:r>
    </w:p>
    <w:p w14:paraId="62CFE1E2" w14:textId="1D41C394" w:rsidR="0063162A" w:rsidRPr="00AE02EE" w:rsidRDefault="0063162A" w:rsidP="0063162A">
      <w:pPr>
        <w:jc w:val="center"/>
        <w:rPr>
          <w:rFonts w:ascii="Arial" w:hAnsi="Arial" w:cs="Arial"/>
          <w:sz w:val="22"/>
          <w:szCs w:val="22"/>
          <w:lang w:val="en"/>
        </w:rPr>
      </w:pPr>
      <w:r w:rsidRPr="00AE02EE">
        <w:rPr>
          <w:rFonts w:ascii="Arial" w:hAnsi="Arial" w:cs="Arial"/>
          <w:sz w:val="22"/>
          <w:szCs w:val="22"/>
          <w:lang w:val="en"/>
        </w:rPr>
        <w:t xml:space="preserve">*correspondence: </w:t>
      </w:r>
      <w:hyperlink r:id="rId8" w:history="1">
        <w:r w:rsidR="001C5CD1" w:rsidRPr="0063162A">
          <w:rPr>
            <w:rStyle w:val="Hyperlink"/>
            <w:rFonts w:ascii="Arial" w:hAnsi="Arial" w:cs="Arial"/>
            <w:sz w:val="22"/>
            <w:szCs w:val="22"/>
            <w:lang w:val="en"/>
          </w:rPr>
          <w:t>moeller@umn.edu</w:t>
        </w:r>
      </w:hyperlink>
    </w:p>
    <w:p w14:paraId="128A0BF5" w14:textId="7088C65F" w:rsidR="0063162A" w:rsidRPr="001C5CD1" w:rsidRDefault="0063162A">
      <w:pPr>
        <w:spacing w:line="276" w:lineRule="auto"/>
        <w:rPr>
          <w:rFonts w:ascii="Arial" w:hAnsi="Arial" w:cs="Arial"/>
          <w:sz w:val="22"/>
          <w:szCs w:val="22"/>
        </w:rPr>
      </w:pPr>
    </w:p>
    <w:p w14:paraId="7DD78F69" w14:textId="47CFF118" w:rsidR="0063162A" w:rsidRPr="00AE02EE" w:rsidRDefault="0063162A">
      <w:pPr>
        <w:spacing w:line="276" w:lineRule="auto"/>
        <w:rPr>
          <w:rFonts w:ascii="Arial" w:hAnsi="Arial" w:cs="Arial"/>
          <w:sz w:val="22"/>
          <w:szCs w:val="22"/>
        </w:rPr>
      </w:pPr>
      <w:r w:rsidRPr="00AE02EE">
        <w:rPr>
          <w:rFonts w:ascii="Arial" w:hAnsi="Arial" w:cs="Arial"/>
          <w:sz w:val="22"/>
          <w:szCs w:val="22"/>
          <w:u w:val="single"/>
        </w:rPr>
        <w:t>Contents:</w:t>
      </w:r>
    </w:p>
    <w:p w14:paraId="132641CB" w14:textId="4A67BE58" w:rsidR="0063162A" w:rsidRPr="00AE02EE" w:rsidRDefault="0063162A" w:rsidP="00611692">
      <w:pPr>
        <w:tabs>
          <w:tab w:val="left" w:pos="2970"/>
        </w:tabs>
        <w:spacing w:line="276" w:lineRule="auto"/>
        <w:rPr>
          <w:rFonts w:ascii="Arial" w:hAnsi="Arial" w:cs="Arial"/>
          <w:sz w:val="22"/>
          <w:szCs w:val="22"/>
        </w:rPr>
      </w:pPr>
      <w:r w:rsidRPr="00AE02EE">
        <w:rPr>
          <w:rFonts w:ascii="Arial" w:hAnsi="Arial" w:cs="Arial"/>
          <w:sz w:val="22"/>
          <w:szCs w:val="22"/>
        </w:rPr>
        <w:t>Appendix S1: Demographic modeling methods……………………………………………………….2</w:t>
      </w:r>
    </w:p>
    <w:p w14:paraId="4D23BD79" w14:textId="22FA8033" w:rsidR="000E6017" w:rsidRPr="00AE02EE" w:rsidRDefault="000E6017">
      <w:pPr>
        <w:spacing w:line="276" w:lineRule="auto"/>
        <w:rPr>
          <w:rFonts w:ascii="Arial" w:hAnsi="Arial" w:cs="Arial"/>
          <w:sz w:val="22"/>
          <w:szCs w:val="22"/>
        </w:rPr>
      </w:pPr>
      <w:r w:rsidRPr="00AE02EE">
        <w:rPr>
          <w:rFonts w:ascii="Arial" w:hAnsi="Arial" w:cs="Arial"/>
          <w:sz w:val="22"/>
          <w:szCs w:val="22"/>
        </w:rPr>
        <w:t>Appendix S2: Pairwise demographic distance calculations……………………………………</w:t>
      </w:r>
      <w:r w:rsidR="000B2104" w:rsidRPr="00AE02EE">
        <w:rPr>
          <w:rFonts w:ascii="Arial" w:hAnsi="Arial" w:cs="Arial"/>
          <w:sz w:val="22"/>
          <w:szCs w:val="22"/>
        </w:rPr>
        <w:t>…….</w:t>
      </w:r>
      <w:r w:rsidR="00645EEE">
        <w:rPr>
          <w:rFonts w:ascii="Arial" w:hAnsi="Arial" w:cs="Arial"/>
          <w:sz w:val="22"/>
          <w:szCs w:val="22"/>
        </w:rPr>
        <w:t>4</w:t>
      </w:r>
    </w:p>
    <w:p w14:paraId="053A3335" w14:textId="245D8919" w:rsidR="000E6017" w:rsidRPr="00AE02EE" w:rsidRDefault="000E6017" w:rsidP="000E6017">
      <w:pPr>
        <w:spacing w:line="276" w:lineRule="auto"/>
        <w:rPr>
          <w:rFonts w:ascii="Arial" w:hAnsi="Arial" w:cs="Arial"/>
          <w:sz w:val="22"/>
          <w:szCs w:val="22"/>
        </w:rPr>
      </w:pPr>
      <w:r w:rsidRPr="00AE02EE">
        <w:rPr>
          <w:rFonts w:ascii="Arial" w:hAnsi="Arial" w:cs="Arial"/>
          <w:sz w:val="22"/>
          <w:szCs w:val="22"/>
        </w:rPr>
        <w:t>Appendix S3: Environmental data analyses………………………………………………………</w:t>
      </w:r>
      <w:r w:rsidR="000B2104" w:rsidRPr="00AE02EE">
        <w:rPr>
          <w:rFonts w:ascii="Arial" w:hAnsi="Arial" w:cs="Arial"/>
          <w:sz w:val="22"/>
          <w:szCs w:val="22"/>
        </w:rPr>
        <w:t>…...</w:t>
      </w:r>
      <w:r w:rsidR="00645EEE">
        <w:rPr>
          <w:rFonts w:ascii="Arial" w:hAnsi="Arial" w:cs="Arial"/>
          <w:sz w:val="22"/>
          <w:szCs w:val="22"/>
        </w:rPr>
        <w:t>5</w:t>
      </w:r>
    </w:p>
    <w:p w14:paraId="094778B2" w14:textId="4AD93924" w:rsidR="0063162A" w:rsidRPr="00AE02EE" w:rsidRDefault="0063162A">
      <w:pPr>
        <w:spacing w:line="276" w:lineRule="auto"/>
        <w:rPr>
          <w:rFonts w:ascii="Arial" w:hAnsi="Arial" w:cs="Arial"/>
          <w:sz w:val="22"/>
          <w:szCs w:val="22"/>
        </w:rPr>
      </w:pPr>
      <w:r w:rsidRPr="00AE02EE">
        <w:rPr>
          <w:rFonts w:ascii="Arial" w:hAnsi="Arial" w:cs="Arial"/>
          <w:sz w:val="22"/>
          <w:szCs w:val="22"/>
        </w:rPr>
        <w:t>Appendix S</w:t>
      </w:r>
      <w:r w:rsidR="000E6017" w:rsidRPr="00AE02EE">
        <w:rPr>
          <w:rFonts w:ascii="Arial" w:hAnsi="Arial" w:cs="Arial"/>
          <w:sz w:val="22"/>
          <w:szCs w:val="22"/>
        </w:rPr>
        <w:t>4</w:t>
      </w:r>
      <w:r w:rsidRPr="00AE02EE">
        <w:rPr>
          <w:rFonts w:ascii="Arial" w:hAnsi="Arial" w:cs="Arial"/>
          <w:sz w:val="22"/>
          <w:szCs w:val="22"/>
        </w:rPr>
        <w:t>: Detailed transplant experiment methods…………………………………………</w:t>
      </w:r>
      <w:r w:rsidR="000B2104" w:rsidRPr="00EB14AB">
        <w:rPr>
          <w:rFonts w:ascii="Arial" w:hAnsi="Arial" w:cs="Arial"/>
          <w:sz w:val="22"/>
          <w:szCs w:val="22"/>
        </w:rPr>
        <w:t>…</w:t>
      </w:r>
      <w:r w:rsidR="000B2104" w:rsidRPr="00AE02EE">
        <w:rPr>
          <w:rFonts w:ascii="Arial" w:hAnsi="Arial" w:cs="Arial"/>
          <w:sz w:val="22"/>
          <w:szCs w:val="22"/>
        </w:rPr>
        <w:t>…</w:t>
      </w:r>
      <w:r w:rsidR="00645EEE">
        <w:rPr>
          <w:rFonts w:ascii="Arial" w:hAnsi="Arial" w:cs="Arial"/>
          <w:sz w:val="22"/>
          <w:szCs w:val="22"/>
        </w:rPr>
        <w:t>7</w:t>
      </w:r>
    </w:p>
    <w:p w14:paraId="22D0AEC1" w14:textId="5EB9E579" w:rsidR="0063162A" w:rsidRPr="00AE02EE" w:rsidRDefault="0063162A">
      <w:pPr>
        <w:spacing w:line="276" w:lineRule="auto"/>
        <w:rPr>
          <w:rFonts w:ascii="Arial" w:hAnsi="Arial" w:cs="Arial"/>
          <w:sz w:val="22"/>
          <w:szCs w:val="22"/>
        </w:rPr>
      </w:pPr>
      <w:r w:rsidRPr="00AE02EE">
        <w:rPr>
          <w:rFonts w:ascii="Arial" w:hAnsi="Arial" w:cs="Arial"/>
          <w:sz w:val="22"/>
          <w:szCs w:val="22"/>
        </w:rPr>
        <w:t>Appendix S</w:t>
      </w:r>
      <w:r w:rsidR="000E6017" w:rsidRPr="00AE02EE">
        <w:rPr>
          <w:rFonts w:ascii="Arial" w:hAnsi="Arial" w:cs="Arial"/>
          <w:sz w:val="22"/>
          <w:szCs w:val="22"/>
        </w:rPr>
        <w:t>5</w:t>
      </w:r>
      <w:r w:rsidRPr="00AE02EE">
        <w:rPr>
          <w:rFonts w:ascii="Arial" w:hAnsi="Arial" w:cs="Arial"/>
          <w:sz w:val="22"/>
          <w:szCs w:val="22"/>
        </w:rPr>
        <w:t>: Local-foreign contrasts</w:t>
      </w:r>
      <w:r w:rsidR="009E4C53">
        <w:rPr>
          <w:rFonts w:ascii="Arial" w:hAnsi="Arial" w:cs="Arial"/>
          <w:sz w:val="22"/>
          <w:szCs w:val="22"/>
        </w:rPr>
        <w:t>...</w:t>
      </w:r>
      <w:r w:rsidRPr="00AE02EE">
        <w:rPr>
          <w:rFonts w:ascii="Arial" w:hAnsi="Arial" w:cs="Arial"/>
          <w:sz w:val="22"/>
          <w:szCs w:val="22"/>
        </w:rPr>
        <w:t>…………………………………………………………</w:t>
      </w:r>
      <w:r w:rsidR="00327FA3">
        <w:rPr>
          <w:rFonts w:ascii="Arial" w:hAnsi="Arial" w:cs="Arial"/>
          <w:sz w:val="22"/>
          <w:szCs w:val="22"/>
        </w:rPr>
        <w:t>...</w:t>
      </w:r>
      <w:r w:rsidR="009E4C53" w:rsidRPr="00EB14AB">
        <w:rPr>
          <w:rFonts w:ascii="Arial" w:hAnsi="Arial" w:cs="Arial"/>
          <w:sz w:val="22"/>
          <w:szCs w:val="22"/>
        </w:rPr>
        <w:t>…</w:t>
      </w:r>
      <w:r w:rsidR="009E4C53">
        <w:rPr>
          <w:rFonts w:ascii="Arial" w:hAnsi="Arial" w:cs="Arial"/>
          <w:sz w:val="22"/>
          <w:szCs w:val="22"/>
        </w:rPr>
        <w:t>...</w:t>
      </w:r>
      <w:r w:rsidR="00645EEE">
        <w:rPr>
          <w:rFonts w:ascii="Arial" w:hAnsi="Arial" w:cs="Arial"/>
          <w:sz w:val="22"/>
          <w:szCs w:val="22"/>
        </w:rPr>
        <w:t>8</w:t>
      </w:r>
    </w:p>
    <w:p w14:paraId="0335CFB5" w14:textId="4335A495" w:rsidR="0063162A" w:rsidRPr="00862E73" w:rsidRDefault="0063162A">
      <w:pPr>
        <w:spacing w:line="276" w:lineRule="auto"/>
        <w:rPr>
          <w:rFonts w:ascii="Arial" w:hAnsi="Arial" w:cs="Arial"/>
          <w:sz w:val="22"/>
          <w:szCs w:val="22"/>
        </w:rPr>
      </w:pPr>
      <w:r w:rsidRPr="00AE02EE">
        <w:rPr>
          <w:rFonts w:ascii="Arial" w:hAnsi="Arial" w:cs="Arial"/>
          <w:sz w:val="22"/>
          <w:szCs w:val="22"/>
        </w:rPr>
        <w:t>Appendix S</w:t>
      </w:r>
      <w:r w:rsidR="000E6017" w:rsidRPr="00AE02EE">
        <w:rPr>
          <w:rFonts w:ascii="Arial" w:hAnsi="Arial" w:cs="Arial"/>
          <w:sz w:val="22"/>
          <w:szCs w:val="22"/>
        </w:rPr>
        <w:t>6</w:t>
      </w:r>
      <w:r w:rsidRPr="00AE02EE">
        <w:rPr>
          <w:rFonts w:ascii="Arial" w:hAnsi="Arial" w:cs="Arial"/>
          <w:sz w:val="22"/>
          <w:szCs w:val="22"/>
        </w:rPr>
        <w:t>: Permutation tests……………………………………………………………………</w:t>
      </w:r>
      <w:r w:rsidR="000B2104" w:rsidRPr="00AE02EE">
        <w:rPr>
          <w:rFonts w:ascii="Arial" w:hAnsi="Arial" w:cs="Arial"/>
          <w:sz w:val="22"/>
          <w:szCs w:val="22"/>
        </w:rPr>
        <w:t>….</w:t>
      </w:r>
      <w:r w:rsidR="00645EEE">
        <w:rPr>
          <w:rFonts w:ascii="Arial" w:hAnsi="Arial" w:cs="Arial"/>
          <w:sz w:val="22"/>
          <w:szCs w:val="22"/>
        </w:rPr>
        <w:t>11</w:t>
      </w:r>
      <w:r w:rsidRPr="001C5CD1">
        <w:rPr>
          <w:rFonts w:ascii="Arial" w:hAnsi="Arial" w:cs="Arial"/>
          <w:sz w:val="22"/>
          <w:szCs w:val="22"/>
        </w:rPr>
        <w:br w:type="page"/>
      </w:r>
    </w:p>
    <w:p w14:paraId="709F22E7" w14:textId="20554B48" w:rsidR="00395594" w:rsidRPr="00544595" w:rsidRDefault="00395594" w:rsidP="00395594">
      <w:pPr>
        <w:pStyle w:val="Heading2"/>
      </w:pPr>
      <w:r w:rsidRPr="00544595">
        <w:lastRenderedPageBreak/>
        <w:t>Appendix S1: Demographic modeling methods</w:t>
      </w:r>
    </w:p>
    <w:p w14:paraId="240AE10B" w14:textId="77777777" w:rsidR="00395594" w:rsidRPr="00544595" w:rsidRDefault="00395594" w:rsidP="00395594">
      <w:pPr>
        <w:pStyle w:val="Heading3"/>
      </w:pPr>
      <w:bookmarkStart w:id="0" w:name="_8qwnwywdbdhm" w:colFirst="0" w:colLast="0"/>
      <w:bookmarkEnd w:id="0"/>
      <w:r w:rsidRPr="00544595">
        <w:t>Vital rate measurements</w:t>
      </w:r>
    </w:p>
    <w:p w14:paraId="506836D7" w14:textId="4E792E65" w:rsidR="00395594" w:rsidRPr="00AE02EE" w:rsidRDefault="00395594" w:rsidP="00395594">
      <w:pPr>
        <w:rPr>
          <w:rFonts w:ascii="Arial" w:hAnsi="Arial" w:cs="Arial"/>
          <w:sz w:val="22"/>
          <w:szCs w:val="22"/>
        </w:rPr>
      </w:pPr>
      <w:r w:rsidRPr="00AE02EE">
        <w:rPr>
          <w:rFonts w:ascii="Arial" w:hAnsi="Arial" w:cs="Arial"/>
          <w:sz w:val="22"/>
          <w:szCs w:val="22"/>
        </w:rPr>
        <w:t xml:space="preserve">We censused the </w:t>
      </w:r>
      <w:r w:rsidR="001F4DED" w:rsidRPr="00AE02EE">
        <w:rPr>
          <w:rFonts w:ascii="Arial" w:hAnsi="Arial" w:cs="Arial"/>
          <w:sz w:val="22"/>
          <w:szCs w:val="22"/>
        </w:rPr>
        <w:t xml:space="preserve">10 </w:t>
      </w:r>
      <w:r w:rsidRPr="00AE02EE">
        <w:rPr>
          <w:rFonts w:ascii="Arial" w:hAnsi="Arial" w:cs="Arial"/>
          <w:sz w:val="22"/>
          <w:szCs w:val="22"/>
        </w:rPr>
        <w:t xml:space="preserve">focal populations twice annually from 2005-2016 as described in Eckhart et al. (2011). Briefly, we counted the number of new </w:t>
      </w:r>
      <w:r w:rsidR="0078447B" w:rsidRPr="00AE02EE">
        <w:rPr>
          <w:rFonts w:ascii="Arial" w:hAnsi="Arial" w:cs="Arial"/>
          <w:sz w:val="22"/>
          <w:szCs w:val="22"/>
        </w:rPr>
        <w:t xml:space="preserve">seedlings </w:t>
      </w:r>
      <w:r w:rsidRPr="00AE02EE">
        <w:rPr>
          <w:rFonts w:ascii="Arial" w:hAnsi="Arial" w:cs="Arial"/>
          <w:sz w:val="22"/>
          <w:szCs w:val="22"/>
        </w:rPr>
        <w:t>in 30 permanent quadrats in each site in February of each year. We then revisited the same quadrats in June of each year to determine the number of individuals who survived to reproduction (</w:t>
      </w:r>
      <w:r w:rsidRPr="00AE02EE">
        <w:rPr>
          <w:rFonts w:ascii="Arial" w:hAnsi="Arial" w:cs="Arial"/>
          <w:i/>
          <w:iCs/>
          <w:sz w:val="22"/>
          <w:szCs w:val="22"/>
        </w:rPr>
        <w:t>σ</w:t>
      </w:r>
      <w:r w:rsidRPr="00AE02EE">
        <w:rPr>
          <w:rFonts w:ascii="Arial" w:hAnsi="Arial" w:cs="Arial"/>
          <w:sz w:val="22"/>
          <w:szCs w:val="22"/>
        </w:rPr>
        <w:t>), and the number of fruits produced per surviving plant (</w:t>
      </w:r>
      <w:r w:rsidRPr="00AE02EE">
        <w:rPr>
          <w:rFonts w:ascii="Arial" w:hAnsi="Arial" w:cs="Arial"/>
          <w:i/>
          <w:iCs/>
          <w:sz w:val="22"/>
          <w:szCs w:val="22"/>
        </w:rPr>
        <w:t>F</w:t>
      </w:r>
      <w:r w:rsidRPr="00AE02EE">
        <w:rPr>
          <w:rFonts w:ascii="Arial" w:hAnsi="Arial" w:cs="Arial"/>
          <w:sz w:val="22"/>
          <w:szCs w:val="22"/>
        </w:rPr>
        <w:t>)</w:t>
      </w:r>
      <w:r w:rsidR="0078447B" w:rsidRPr="00AE02EE">
        <w:rPr>
          <w:rFonts w:ascii="Arial" w:hAnsi="Arial" w:cs="Arial"/>
          <w:sz w:val="22"/>
          <w:szCs w:val="22"/>
        </w:rPr>
        <w:t xml:space="preserve">, </w:t>
      </w:r>
      <w:r w:rsidR="0078447B" w:rsidRPr="00A23981">
        <w:rPr>
          <w:rFonts w:ascii="Arial" w:hAnsi="Arial" w:cs="Arial"/>
          <w:sz w:val="22"/>
          <w:szCs w:val="22"/>
          <w:highlight w:val="yellow"/>
        </w:rPr>
        <w:t>and sampled fruit number on plants from supplemental transects</w:t>
      </w:r>
      <w:r w:rsidRPr="00A23981">
        <w:rPr>
          <w:rFonts w:ascii="Arial" w:hAnsi="Arial" w:cs="Arial"/>
          <w:sz w:val="22"/>
          <w:szCs w:val="22"/>
          <w:highlight w:val="yellow"/>
        </w:rPr>
        <w:t>. We estimated the number of seeds produced per fruit (</w:t>
      </w:r>
      <w:r w:rsidRPr="00A23981">
        <w:rPr>
          <w:rFonts w:ascii="Arial" w:hAnsi="Arial" w:cs="Arial"/>
          <w:sz w:val="22"/>
          <w:szCs w:val="22"/>
          <w:highlight w:val="yellow"/>
        </w:rPr>
        <w:sym w:font="Symbol" w:char="F066"/>
      </w:r>
      <w:r w:rsidRPr="00A23981">
        <w:rPr>
          <w:rFonts w:ascii="Arial" w:hAnsi="Arial" w:cs="Arial"/>
          <w:sz w:val="22"/>
          <w:szCs w:val="22"/>
          <w:highlight w:val="yellow"/>
        </w:rPr>
        <w:t xml:space="preserve">) by collecting fruits from </w:t>
      </w:r>
      <w:r w:rsidR="0078447B" w:rsidRPr="00A23981">
        <w:rPr>
          <w:rFonts w:ascii="Arial" w:hAnsi="Arial" w:cs="Arial"/>
          <w:sz w:val="22"/>
          <w:szCs w:val="22"/>
          <w:highlight w:val="yellow"/>
        </w:rPr>
        <w:t xml:space="preserve">plant on these </w:t>
      </w:r>
      <w:r w:rsidRPr="00A23981">
        <w:rPr>
          <w:rFonts w:ascii="Arial" w:hAnsi="Arial" w:cs="Arial"/>
          <w:sz w:val="22"/>
          <w:szCs w:val="22"/>
          <w:highlight w:val="yellow"/>
        </w:rPr>
        <w:t>each</w:t>
      </w:r>
      <w:r w:rsidRPr="00AE02EE">
        <w:rPr>
          <w:rFonts w:ascii="Arial" w:hAnsi="Arial" w:cs="Arial"/>
          <w:sz w:val="22"/>
          <w:szCs w:val="22"/>
        </w:rPr>
        <w:t xml:space="preserve"> June and counting seeds in the laboratory, accounting for differences in seed production for fruits that did and did not experience frugivory. The supplemental transects were located away from focal quadrats so as to not reduce seed dispersal into the permanent census plots. We used seed bag burial experiments replicated across three years (2005/6, 2006/7, and 2007/8) to estimate germination of seed in the first, second and third winter following seed production (</w:t>
      </w:r>
      <w:r w:rsidRPr="00AE02EE">
        <w:rPr>
          <w:rFonts w:ascii="Arial" w:hAnsi="Arial" w:cs="Arial"/>
          <w:i/>
          <w:iCs/>
          <w:sz w:val="22"/>
          <w:szCs w:val="22"/>
        </w:rPr>
        <w:t>g</w:t>
      </w:r>
      <w:r w:rsidRPr="00AE02EE">
        <w:rPr>
          <w:rFonts w:ascii="Arial" w:hAnsi="Arial" w:cs="Arial"/>
          <w:sz w:val="22"/>
          <w:szCs w:val="22"/>
          <w:vertAlign w:val="subscript"/>
        </w:rPr>
        <w:t>1</w:t>
      </w:r>
      <w:r w:rsidRPr="00AE02EE">
        <w:rPr>
          <w:rFonts w:ascii="Arial" w:hAnsi="Arial" w:cs="Arial"/>
          <w:i/>
          <w:iCs/>
          <w:sz w:val="22"/>
          <w:szCs w:val="22"/>
        </w:rPr>
        <w:t>, g</w:t>
      </w:r>
      <w:r w:rsidRPr="00AE02EE">
        <w:rPr>
          <w:rFonts w:ascii="Arial" w:hAnsi="Arial" w:cs="Arial"/>
          <w:sz w:val="22"/>
          <w:szCs w:val="22"/>
          <w:vertAlign w:val="subscript"/>
        </w:rPr>
        <w:t>2</w:t>
      </w:r>
      <w:r w:rsidRPr="00AE02EE">
        <w:rPr>
          <w:rFonts w:ascii="Arial" w:hAnsi="Arial" w:cs="Arial"/>
          <w:i/>
          <w:iCs/>
          <w:sz w:val="22"/>
          <w:szCs w:val="22"/>
        </w:rPr>
        <w:t xml:space="preserve">, </w:t>
      </w:r>
      <w:r w:rsidRPr="00AE02EE">
        <w:rPr>
          <w:rFonts w:ascii="Arial" w:hAnsi="Arial" w:cs="Arial"/>
          <w:sz w:val="22"/>
          <w:szCs w:val="22"/>
        </w:rPr>
        <w:t xml:space="preserve">and </w:t>
      </w:r>
      <w:r w:rsidRPr="00AE02EE">
        <w:rPr>
          <w:rFonts w:ascii="Arial" w:hAnsi="Arial" w:cs="Arial"/>
          <w:i/>
          <w:iCs/>
          <w:sz w:val="22"/>
          <w:szCs w:val="22"/>
        </w:rPr>
        <w:t>g</w:t>
      </w:r>
      <w:r w:rsidRPr="00AE02EE">
        <w:rPr>
          <w:rFonts w:ascii="Arial" w:hAnsi="Arial" w:cs="Arial"/>
          <w:sz w:val="22"/>
          <w:szCs w:val="22"/>
          <w:vertAlign w:val="subscript"/>
        </w:rPr>
        <w:t>3</w:t>
      </w:r>
      <w:r w:rsidRPr="00AE02EE">
        <w:rPr>
          <w:rFonts w:ascii="Arial" w:hAnsi="Arial" w:cs="Arial"/>
          <w:sz w:val="22"/>
          <w:szCs w:val="22"/>
        </w:rPr>
        <w:t>) and dormancy (1–</w:t>
      </w:r>
      <w:r w:rsidRPr="00AE02EE">
        <w:rPr>
          <w:rFonts w:ascii="Arial" w:hAnsi="Arial" w:cs="Arial"/>
          <w:i/>
          <w:iCs/>
          <w:sz w:val="22"/>
          <w:szCs w:val="22"/>
        </w:rPr>
        <w:t>g</w:t>
      </w:r>
      <w:r w:rsidRPr="00AE02EE">
        <w:rPr>
          <w:rFonts w:ascii="Arial" w:hAnsi="Arial" w:cs="Arial"/>
          <w:sz w:val="22"/>
          <w:szCs w:val="22"/>
          <w:vertAlign w:val="subscript"/>
        </w:rPr>
        <w:t>1</w:t>
      </w:r>
      <w:r w:rsidRPr="00AE02EE">
        <w:rPr>
          <w:rFonts w:ascii="Arial" w:hAnsi="Arial" w:cs="Arial"/>
          <w:sz w:val="22"/>
          <w:szCs w:val="22"/>
        </w:rPr>
        <w:t>, 1–</w:t>
      </w:r>
      <w:r w:rsidRPr="00AE02EE">
        <w:rPr>
          <w:rFonts w:ascii="Arial" w:hAnsi="Arial" w:cs="Arial"/>
          <w:i/>
          <w:iCs/>
          <w:sz w:val="22"/>
          <w:szCs w:val="22"/>
        </w:rPr>
        <w:t>g</w:t>
      </w:r>
      <w:r w:rsidRPr="00AE02EE">
        <w:rPr>
          <w:rFonts w:ascii="Arial" w:hAnsi="Arial" w:cs="Arial"/>
          <w:sz w:val="22"/>
          <w:szCs w:val="22"/>
          <w:vertAlign w:val="subscript"/>
        </w:rPr>
        <w:t>2</w:t>
      </w:r>
      <w:r w:rsidRPr="00AE02EE">
        <w:rPr>
          <w:rFonts w:ascii="Arial" w:hAnsi="Arial" w:cs="Arial"/>
          <w:sz w:val="22"/>
          <w:szCs w:val="22"/>
        </w:rPr>
        <w:t>, 1–</w:t>
      </w:r>
      <w:r w:rsidRPr="00AE02EE">
        <w:rPr>
          <w:rFonts w:ascii="Arial" w:hAnsi="Arial" w:cs="Arial"/>
          <w:i/>
          <w:iCs/>
          <w:sz w:val="22"/>
          <w:szCs w:val="22"/>
        </w:rPr>
        <w:t>g</w:t>
      </w:r>
      <w:r w:rsidRPr="00AE02EE">
        <w:rPr>
          <w:rFonts w:ascii="Arial" w:hAnsi="Arial" w:cs="Arial"/>
          <w:sz w:val="22"/>
          <w:szCs w:val="22"/>
          <w:vertAlign w:val="subscript"/>
        </w:rPr>
        <w:t>3</w:t>
      </w:r>
      <w:r w:rsidRPr="00AE02EE">
        <w:rPr>
          <w:rFonts w:ascii="Arial" w:hAnsi="Arial" w:cs="Arial"/>
          <w:sz w:val="22"/>
          <w:szCs w:val="22"/>
        </w:rPr>
        <w:t>). We also estimated seed survival from fall to winter (</w:t>
      </w:r>
      <w:r w:rsidRPr="00AE02EE">
        <w:rPr>
          <w:rFonts w:ascii="Arial" w:hAnsi="Arial" w:cs="Arial"/>
          <w:i/>
          <w:iCs/>
          <w:sz w:val="22"/>
          <w:szCs w:val="22"/>
        </w:rPr>
        <w:t>s</w:t>
      </w:r>
      <w:r w:rsidRPr="00AE02EE">
        <w:rPr>
          <w:rFonts w:ascii="Arial" w:hAnsi="Arial" w:cs="Arial"/>
          <w:sz w:val="22"/>
          <w:szCs w:val="22"/>
          <w:vertAlign w:val="subscript"/>
        </w:rPr>
        <w:t>1</w:t>
      </w:r>
      <w:r w:rsidRPr="00AE02EE">
        <w:rPr>
          <w:rFonts w:ascii="Arial" w:hAnsi="Arial" w:cs="Arial"/>
          <w:sz w:val="22"/>
          <w:szCs w:val="22"/>
        </w:rPr>
        <w:t xml:space="preserve">, </w:t>
      </w:r>
      <w:r w:rsidRPr="00AE02EE">
        <w:rPr>
          <w:rFonts w:ascii="Arial" w:hAnsi="Arial" w:cs="Arial"/>
          <w:i/>
          <w:iCs/>
          <w:sz w:val="22"/>
          <w:szCs w:val="22"/>
        </w:rPr>
        <w:t>s</w:t>
      </w:r>
      <w:r w:rsidRPr="00AE02EE">
        <w:rPr>
          <w:rFonts w:ascii="Arial" w:hAnsi="Arial" w:cs="Arial"/>
          <w:sz w:val="22"/>
          <w:szCs w:val="22"/>
          <w:vertAlign w:val="subscript"/>
        </w:rPr>
        <w:t>3</w:t>
      </w:r>
      <w:r w:rsidRPr="00AE02EE">
        <w:rPr>
          <w:rFonts w:ascii="Arial" w:hAnsi="Arial" w:cs="Arial"/>
          <w:sz w:val="22"/>
          <w:szCs w:val="22"/>
        </w:rPr>
        <w:t xml:space="preserve">, </w:t>
      </w:r>
      <w:r w:rsidRPr="00AE02EE">
        <w:rPr>
          <w:rFonts w:ascii="Arial" w:hAnsi="Arial" w:cs="Arial"/>
          <w:i/>
          <w:iCs/>
          <w:sz w:val="22"/>
          <w:szCs w:val="22"/>
        </w:rPr>
        <w:t>s</w:t>
      </w:r>
      <w:r w:rsidRPr="00AE02EE">
        <w:rPr>
          <w:rFonts w:ascii="Arial" w:hAnsi="Arial" w:cs="Arial"/>
          <w:sz w:val="22"/>
          <w:szCs w:val="22"/>
          <w:vertAlign w:val="subscript"/>
        </w:rPr>
        <w:t>5</w:t>
      </w:r>
      <w:r w:rsidRPr="00AE02EE">
        <w:rPr>
          <w:rFonts w:ascii="Arial" w:hAnsi="Arial" w:cs="Arial"/>
          <w:sz w:val="22"/>
          <w:szCs w:val="22"/>
        </w:rPr>
        <w:t>),</w:t>
      </w:r>
      <w:r w:rsidRPr="00AE02EE">
        <w:rPr>
          <w:rFonts w:ascii="Arial" w:hAnsi="Arial" w:cs="Arial"/>
          <w:i/>
          <w:iCs/>
          <w:sz w:val="22"/>
          <w:szCs w:val="22"/>
        </w:rPr>
        <w:t xml:space="preserve"> </w:t>
      </w:r>
      <w:r w:rsidRPr="00AE02EE">
        <w:rPr>
          <w:rFonts w:ascii="Arial" w:hAnsi="Arial" w:cs="Arial"/>
          <w:sz w:val="22"/>
          <w:szCs w:val="22"/>
        </w:rPr>
        <w:t>and winter to fall (</w:t>
      </w:r>
      <w:r w:rsidRPr="00AE02EE">
        <w:rPr>
          <w:rFonts w:ascii="Arial" w:hAnsi="Arial" w:cs="Arial"/>
          <w:i/>
          <w:iCs/>
          <w:sz w:val="22"/>
          <w:szCs w:val="22"/>
        </w:rPr>
        <w:t>s</w:t>
      </w:r>
      <w:r w:rsidRPr="00AE02EE">
        <w:rPr>
          <w:rFonts w:ascii="Arial" w:hAnsi="Arial" w:cs="Arial"/>
          <w:sz w:val="22"/>
          <w:szCs w:val="22"/>
          <w:vertAlign w:val="subscript"/>
        </w:rPr>
        <w:t>2</w:t>
      </w:r>
      <w:r w:rsidRPr="00AE02EE">
        <w:rPr>
          <w:rFonts w:ascii="Arial" w:hAnsi="Arial" w:cs="Arial"/>
          <w:sz w:val="22"/>
          <w:szCs w:val="22"/>
        </w:rPr>
        <w:t xml:space="preserve">, </w:t>
      </w:r>
      <w:r w:rsidRPr="00AE02EE">
        <w:rPr>
          <w:rFonts w:ascii="Arial" w:hAnsi="Arial" w:cs="Arial"/>
          <w:i/>
          <w:iCs/>
          <w:sz w:val="22"/>
          <w:szCs w:val="22"/>
        </w:rPr>
        <w:t>s</w:t>
      </w:r>
      <w:r w:rsidRPr="00AE02EE">
        <w:rPr>
          <w:rFonts w:ascii="Arial" w:hAnsi="Arial" w:cs="Arial"/>
          <w:sz w:val="22"/>
          <w:szCs w:val="22"/>
          <w:vertAlign w:val="subscript"/>
        </w:rPr>
        <w:t>4</w:t>
      </w:r>
      <w:r w:rsidRPr="00AE02EE">
        <w:rPr>
          <w:rFonts w:ascii="Arial" w:hAnsi="Arial" w:cs="Arial"/>
          <w:sz w:val="22"/>
          <w:szCs w:val="22"/>
        </w:rPr>
        <w:t xml:space="preserve">, </w:t>
      </w:r>
      <w:r w:rsidRPr="00AE02EE">
        <w:rPr>
          <w:rFonts w:ascii="Arial" w:hAnsi="Arial" w:cs="Arial"/>
          <w:i/>
          <w:iCs/>
          <w:sz w:val="22"/>
          <w:szCs w:val="22"/>
        </w:rPr>
        <w:t>s</w:t>
      </w:r>
      <w:r w:rsidRPr="00AE02EE">
        <w:rPr>
          <w:rFonts w:ascii="Arial" w:hAnsi="Arial" w:cs="Arial"/>
          <w:sz w:val="22"/>
          <w:szCs w:val="22"/>
          <w:vertAlign w:val="subscript"/>
        </w:rPr>
        <w:t>6</w:t>
      </w:r>
      <w:r w:rsidRPr="00AE02EE">
        <w:rPr>
          <w:rFonts w:ascii="Arial" w:hAnsi="Arial" w:cs="Arial"/>
          <w:sz w:val="22"/>
          <w:szCs w:val="22"/>
        </w:rPr>
        <w:t>) in the year following production and over the next two years. Seed survival from production in July to October burial in the seed bag experiment (</w:t>
      </w:r>
      <w:r w:rsidRPr="00AE02EE">
        <w:rPr>
          <w:rFonts w:ascii="Arial" w:hAnsi="Arial" w:cs="Arial"/>
          <w:i/>
          <w:iCs/>
          <w:sz w:val="22"/>
          <w:szCs w:val="22"/>
        </w:rPr>
        <w:t>s</w:t>
      </w:r>
      <w:r w:rsidRPr="00AE02EE">
        <w:rPr>
          <w:rFonts w:ascii="Arial" w:hAnsi="Arial" w:cs="Arial"/>
          <w:sz w:val="22"/>
          <w:szCs w:val="22"/>
          <w:vertAlign w:val="subscript"/>
        </w:rPr>
        <w:t>0</w:t>
      </w:r>
      <w:r w:rsidRPr="00AE02EE">
        <w:rPr>
          <w:rFonts w:ascii="Arial" w:hAnsi="Arial" w:cs="Arial"/>
          <w:sz w:val="22"/>
          <w:szCs w:val="22"/>
        </w:rPr>
        <w:t>) was extrapolated from seed bag data, and the input of seeds into, and emergence of seedlings from, permanent plots (see Eckhart et al. 2011 for details).</w:t>
      </w:r>
    </w:p>
    <w:p w14:paraId="490CB9C3" w14:textId="77777777" w:rsidR="00395594" w:rsidRPr="00544595" w:rsidRDefault="00395594" w:rsidP="00395594">
      <w:pPr>
        <w:pStyle w:val="Heading3"/>
        <w:rPr>
          <w:vertAlign w:val="subscript"/>
        </w:rPr>
      </w:pPr>
      <w:r w:rsidRPr="00544595">
        <w:t>Estimation of λ and λ</w:t>
      </w:r>
      <w:r w:rsidRPr="00544595">
        <w:rPr>
          <w:vertAlign w:val="subscript"/>
        </w:rPr>
        <w:t>S</w:t>
      </w:r>
    </w:p>
    <w:p w14:paraId="083F37A6" w14:textId="3E6CD5CE" w:rsidR="00395594" w:rsidRPr="00AE02EE" w:rsidRDefault="00395594" w:rsidP="00395594">
      <w:pPr>
        <w:rPr>
          <w:rFonts w:ascii="Arial" w:hAnsi="Arial" w:cs="Arial"/>
          <w:sz w:val="22"/>
          <w:szCs w:val="22"/>
        </w:rPr>
      </w:pPr>
      <w:r w:rsidRPr="00AE02EE">
        <w:rPr>
          <w:rFonts w:ascii="Arial" w:hAnsi="Arial" w:cs="Arial"/>
          <w:sz w:val="22"/>
          <w:szCs w:val="22"/>
        </w:rPr>
        <w:t>Using the vital rate data described above, we constructed a population projection matrix model (Caswell 2001) for each of the ten focal populations based on a life-cycle graph composed of three stages corresponding to seed age in October (</w:t>
      </w:r>
      <w:r w:rsidRPr="00AE02EE">
        <w:rPr>
          <w:rFonts w:ascii="Arial" w:hAnsi="Arial" w:cs="Arial"/>
          <w:b/>
          <w:bCs/>
          <w:sz w:val="22"/>
          <w:szCs w:val="22"/>
        </w:rPr>
        <w:t xml:space="preserve">Supplementary Figure </w:t>
      </w:r>
      <w:r w:rsidR="00955F58" w:rsidRPr="00AE02EE">
        <w:rPr>
          <w:rFonts w:ascii="Arial" w:hAnsi="Arial" w:cs="Arial"/>
          <w:b/>
          <w:bCs/>
          <w:sz w:val="22"/>
          <w:szCs w:val="22"/>
        </w:rPr>
        <w:t>1</w:t>
      </w:r>
      <w:r w:rsidRPr="00AE02EE">
        <w:rPr>
          <w:rFonts w:ascii="Arial" w:hAnsi="Arial" w:cs="Arial"/>
          <w:b/>
          <w:bCs/>
          <w:sz w:val="22"/>
          <w:szCs w:val="22"/>
        </w:rPr>
        <w:t>A</w:t>
      </w:r>
      <w:r w:rsidRPr="00AE02EE">
        <w:rPr>
          <w:rFonts w:ascii="Arial" w:hAnsi="Arial" w:cs="Arial"/>
          <w:sz w:val="22"/>
          <w:szCs w:val="22"/>
        </w:rPr>
        <w:t xml:space="preserve">). Our three-stage matrix model accounts for the survival and reproduction of all individuals present aboveground as well as the recruitment of new aboveground individuals from seeds germinating from seed bank seeds in their first, second, or third or later year following dispersal. We used the vital rate estimates to construct a projection matrix for each population for each year of the demographic study (using means of belowground vital rates for years without seed bag data). We then estimated the </w:t>
      </w:r>
      <w:r w:rsidR="003544E8" w:rsidRPr="00AE02EE">
        <w:rPr>
          <w:rFonts w:ascii="Arial" w:hAnsi="Arial" w:cs="Arial"/>
          <w:sz w:val="22"/>
          <w:szCs w:val="22"/>
        </w:rPr>
        <w:t>deterministic</w:t>
      </w:r>
      <w:r w:rsidR="0078447B" w:rsidRPr="00AE02EE">
        <w:rPr>
          <w:rFonts w:ascii="Arial" w:hAnsi="Arial" w:cs="Arial"/>
          <w:sz w:val="22"/>
          <w:szCs w:val="22"/>
        </w:rPr>
        <w:t xml:space="preserve"> </w:t>
      </w:r>
      <w:r w:rsidRPr="00AE02EE">
        <w:rPr>
          <w:rFonts w:ascii="Arial" w:hAnsi="Arial" w:cs="Arial"/>
          <w:sz w:val="22"/>
          <w:szCs w:val="22"/>
        </w:rPr>
        <w:t>population growth rate, λ, as the dominant eigenvalue of the mean projection matrix for each population (</w:t>
      </w:r>
      <w:r w:rsidRPr="00AE02EE">
        <w:rPr>
          <w:rFonts w:ascii="Arial" w:hAnsi="Arial" w:cs="Arial"/>
          <w:b/>
          <w:bCs/>
          <w:sz w:val="22"/>
          <w:szCs w:val="22"/>
        </w:rPr>
        <w:t xml:space="preserve">Supplementary Figure </w:t>
      </w:r>
      <w:r w:rsidR="00955F58" w:rsidRPr="00AE02EE">
        <w:rPr>
          <w:rFonts w:ascii="Arial" w:hAnsi="Arial" w:cs="Arial"/>
          <w:b/>
          <w:bCs/>
          <w:sz w:val="22"/>
          <w:szCs w:val="22"/>
        </w:rPr>
        <w:t>1</w:t>
      </w:r>
      <w:r w:rsidRPr="00AE02EE">
        <w:rPr>
          <w:rFonts w:ascii="Arial" w:hAnsi="Arial" w:cs="Arial"/>
          <w:b/>
          <w:bCs/>
          <w:sz w:val="22"/>
          <w:szCs w:val="22"/>
        </w:rPr>
        <w:t>B</w:t>
      </w:r>
      <w:r w:rsidRPr="00AE02EE">
        <w:rPr>
          <w:rFonts w:ascii="Arial" w:hAnsi="Arial" w:cs="Arial"/>
          <w:sz w:val="22"/>
          <w:szCs w:val="22"/>
        </w:rPr>
        <w:t>), as described in Eckhart et al. (2011). Finally, we estimated the long-term stochastic population growth rate, λ</w:t>
      </w:r>
      <w:r w:rsidRPr="00AE02EE">
        <w:rPr>
          <w:rFonts w:ascii="Arial" w:hAnsi="Arial" w:cs="Arial"/>
          <w:sz w:val="22"/>
          <w:szCs w:val="22"/>
          <w:vertAlign w:val="subscript"/>
        </w:rPr>
        <w:t>s</w:t>
      </w:r>
      <w:r w:rsidRPr="00AE02EE">
        <w:rPr>
          <w:rFonts w:ascii="Arial" w:hAnsi="Arial" w:cs="Arial"/>
          <w:sz w:val="22"/>
          <w:szCs w:val="22"/>
        </w:rPr>
        <w:t>, by randomly choosing one matrix each year from among the set of annual matrices for each population, projecting the population forwar</w:t>
      </w:r>
      <w:r w:rsidR="00A23981">
        <w:rPr>
          <w:rFonts w:ascii="Arial" w:hAnsi="Arial" w:cs="Arial"/>
          <w:sz w:val="22"/>
          <w:szCs w:val="22"/>
        </w:rPr>
        <w:t>d</w:t>
      </w:r>
      <w:r w:rsidRPr="00AE02EE">
        <w:rPr>
          <w:rFonts w:ascii="Arial" w:hAnsi="Arial" w:cs="Arial"/>
          <w:sz w:val="22"/>
          <w:szCs w:val="22"/>
        </w:rPr>
        <w:t xml:space="preserve"> one year at a time for 50,000 years (by which time the λ</w:t>
      </w:r>
      <w:r w:rsidRPr="00AE02EE">
        <w:rPr>
          <w:rFonts w:ascii="Arial" w:hAnsi="Arial" w:cs="Arial"/>
          <w:sz w:val="22"/>
          <w:szCs w:val="22"/>
          <w:vertAlign w:val="subscript"/>
        </w:rPr>
        <w:t>s</w:t>
      </w:r>
      <w:r w:rsidRPr="00AE02EE">
        <w:rPr>
          <w:rFonts w:ascii="Arial" w:hAnsi="Arial" w:cs="Arial"/>
          <w:sz w:val="22"/>
          <w:szCs w:val="22"/>
        </w:rPr>
        <w:t xml:space="preserve"> estimate had stabilized), and computing the geometric mean of the 50,000 annual growth rate estimates (Caswell 2001). </w:t>
      </w:r>
      <w:r w:rsidR="00A02852">
        <w:rPr>
          <w:rFonts w:ascii="Arial" w:hAnsi="Arial" w:cs="Arial"/>
          <w:color w:val="000000"/>
          <w:sz w:val="22"/>
          <w:szCs w:val="22"/>
        </w:rPr>
        <w:t>Numerical simulation of λ</w:t>
      </w:r>
      <w:r w:rsidR="00A02852">
        <w:rPr>
          <w:rFonts w:ascii="Arial" w:hAnsi="Arial" w:cs="Arial"/>
          <w:color w:val="000000"/>
          <w:vertAlign w:val="subscript"/>
        </w:rPr>
        <w:t>S</w:t>
      </w:r>
      <w:r w:rsidR="00A02852">
        <w:rPr>
          <w:rFonts w:ascii="Arial" w:hAnsi="Arial" w:cs="Arial"/>
          <w:color w:val="000000"/>
          <w:sz w:val="22"/>
          <w:szCs w:val="22"/>
        </w:rPr>
        <w:t xml:space="preserve"> using the 10 annual matrices preserves the variances of, and the covariances between, the annual vital rate estimates. </w:t>
      </w:r>
      <w:r w:rsidR="000B552E">
        <w:rPr>
          <w:rFonts w:ascii="Arial" w:hAnsi="Arial" w:cs="Arial"/>
          <w:sz w:val="22"/>
          <w:szCs w:val="22"/>
        </w:rPr>
        <w:t xml:space="preserve">The estimates </w:t>
      </w:r>
      <w:r w:rsidR="0078447B" w:rsidRPr="00AE02EE">
        <w:rPr>
          <w:rFonts w:ascii="Arial" w:hAnsi="Arial" w:cs="Arial"/>
          <w:sz w:val="22"/>
          <w:szCs w:val="22"/>
        </w:rPr>
        <w:t>λ</w:t>
      </w:r>
      <w:r w:rsidR="00493012" w:rsidRPr="00AE02EE">
        <w:rPr>
          <w:rFonts w:ascii="Arial" w:hAnsi="Arial" w:cs="Arial"/>
          <w:sz w:val="22"/>
          <w:szCs w:val="22"/>
        </w:rPr>
        <w:t xml:space="preserve"> and</w:t>
      </w:r>
      <w:r w:rsidR="0078447B" w:rsidRPr="00AE02EE">
        <w:rPr>
          <w:rFonts w:ascii="Arial" w:hAnsi="Arial" w:cs="Arial"/>
          <w:sz w:val="22"/>
          <w:szCs w:val="22"/>
        </w:rPr>
        <w:t xml:space="preserve"> λ</w:t>
      </w:r>
      <w:r w:rsidR="0078447B" w:rsidRPr="00AE02EE">
        <w:rPr>
          <w:rFonts w:ascii="Arial" w:hAnsi="Arial" w:cs="Arial"/>
          <w:sz w:val="22"/>
          <w:szCs w:val="22"/>
          <w:vertAlign w:val="subscript"/>
        </w:rPr>
        <w:t>s</w:t>
      </w:r>
      <w:r w:rsidR="0078447B" w:rsidRPr="00AE02EE">
        <w:rPr>
          <w:rFonts w:ascii="Arial" w:hAnsi="Arial" w:cs="Arial"/>
          <w:sz w:val="22"/>
          <w:szCs w:val="22"/>
        </w:rPr>
        <w:t xml:space="preserve"> were strongly and linearly correlated across the 10 populations</w:t>
      </w:r>
      <w:r w:rsidR="00493012" w:rsidRPr="00AE02EE">
        <w:rPr>
          <w:rFonts w:ascii="Arial" w:hAnsi="Arial" w:cs="Arial"/>
          <w:sz w:val="22"/>
          <w:szCs w:val="22"/>
        </w:rPr>
        <w:t xml:space="preserve"> used in the transplant experiment (</w:t>
      </w:r>
      <w:r w:rsidR="00AD5260" w:rsidRPr="00A23981">
        <w:rPr>
          <w:rFonts w:ascii="Arial" w:hAnsi="Arial" w:cs="Arial"/>
          <w:i/>
          <w:iCs/>
          <w:sz w:val="22"/>
          <w:szCs w:val="22"/>
        </w:rPr>
        <w:t>r</w:t>
      </w:r>
      <w:r w:rsidR="008E1757" w:rsidRPr="001C5CD1">
        <w:rPr>
          <w:rFonts w:ascii="Arial" w:hAnsi="Arial" w:cs="Arial"/>
          <w:sz w:val="22"/>
          <w:szCs w:val="22"/>
        </w:rPr>
        <w:t xml:space="preserve"> </w:t>
      </w:r>
      <w:r w:rsidR="00AD5260" w:rsidRPr="001C5CD1">
        <w:rPr>
          <w:rFonts w:ascii="Arial" w:hAnsi="Arial" w:cs="Arial"/>
          <w:sz w:val="22"/>
          <w:szCs w:val="22"/>
        </w:rPr>
        <w:t>=</w:t>
      </w:r>
      <w:r w:rsidR="008E1757" w:rsidRPr="001C5CD1">
        <w:rPr>
          <w:rFonts w:ascii="Arial" w:hAnsi="Arial" w:cs="Arial"/>
          <w:sz w:val="22"/>
          <w:szCs w:val="22"/>
        </w:rPr>
        <w:t xml:space="preserve"> </w:t>
      </w:r>
      <w:r w:rsidR="00AD5260" w:rsidRPr="001C5CD1">
        <w:rPr>
          <w:rFonts w:ascii="Arial" w:hAnsi="Arial" w:cs="Arial"/>
          <w:sz w:val="22"/>
          <w:szCs w:val="22"/>
        </w:rPr>
        <w:t xml:space="preserve">0.93, </w:t>
      </w:r>
      <w:r w:rsidR="00AD5260" w:rsidRPr="00A23981">
        <w:rPr>
          <w:rFonts w:ascii="Arial" w:hAnsi="Arial" w:cs="Arial"/>
          <w:i/>
          <w:iCs/>
          <w:sz w:val="22"/>
          <w:szCs w:val="22"/>
        </w:rPr>
        <w:t>F</w:t>
      </w:r>
      <w:r w:rsidR="00AD5260" w:rsidRPr="001C5CD1">
        <w:rPr>
          <w:rFonts w:ascii="Arial" w:hAnsi="Arial" w:cs="Arial"/>
          <w:sz w:val="22"/>
          <w:szCs w:val="22"/>
          <w:vertAlign w:val="subscript"/>
        </w:rPr>
        <w:t>1,8</w:t>
      </w:r>
      <w:r w:rsidR="008E1757" w:rsidRPr="001C5CD1">
        <w:rPr>
          <w:rFonts w:ascii="Arial" w:hAnsi="Arial" w:cs="Arial"/>
          <w:sz w:val="22"/>
          <w:szCs w:val="22"/>
        </w:rPr>
        <w:t xml:space="preserve"> </w:t>
      </w:r>
      <w:r w:rsidR="00AD5260" w:rsidRPr="001C5CD1">
        <w:rPr>
          <w:rFonts w:ascii="Arial" w:hAnsi="Arial" w:cs="Arial"/>
          <w:sz w:val="22"/>
          <w:szCs w:val="22"/>
        </w:rPr>
        <w:t>=</w:t>
      </w:r>
      <w:r w:rsidR="00A23981">
        <w:rPr>
          <w:rFonts w:ascii="Arial" w:hAnsi="Arial" w:cs="Arial"/>
          <w:sz w:val="22"/>
          <w:szCs w:val="22"/>
        </w:rPr>
        <w:t xml:space="preserve"> </w:t>
      </w:r>
      <w:r w:rsidR="00AD5260" w:rsidRPr="001C5CD1">
        <w:rPr>
          <w:rFonts w:ascii="Arial" w:hAnsi="Arial" w:cs="Arial"/>
          <w:sz w:val="22"/>
          <w:szCs w:val="22"/>
        </w:rPr>
        <w:t xml:space="preserve">49.2, </w:t>
      </w:r>
      <w:r w:rsidR="00A23981">
        <w:rPr>
          <w:rFonts w:ascii="Arial" w:hAnsi="Arial" w:cs="Arial"/>
          <w:i/>
          <w:iCs/>
          <w:sz w:val="22"/>
          <w:szCs w:val="22"/>
        </w:rPr>
        <w:t>P</w:t>
      </w:r>
      <w:r w:rsidR="00AD5260" w:rsidRPr="001C5CD1">
        <w:rPr>
          <w:rFonts w:ascii="Arial" w:hAnsi="Arial" w:cs="Arial"/>
          <w:sz w:val="22"/>
          <w:szCs w:val="22"/>
        </w:rPr>
        <w:t xml:space="preserve"> &lt; 0.0002; </w:t>
      </w:r>
      <w:r w:rsidR="000E6017" w:rsidRPr="001C5CD1">
        <w:rPr>
          <w:rFonts w:ascii="Arial" w:hAnsi="Arial" w:cs="Arial"/>
          <w:b/>
          <w:bCs/>
          <w:sz w:val="22"/>
          <w:szCs w:val="22"/>
        </w:rPr>
        <w:t xml:space="preserve">Supplementary Figure </w:t>
      </w:r>
      <w:r w:rsidR="002118C5">
        <w:rPr>
          <w:rFonts w:ascii="Arial" w:hAnsi="Arial" w:cs="Arial"/>
          <w:b/>
          <w:bCs/>
          <w:sz w:val="22"/>
          <w:szCs w:val="22"/>
        </w:rPr>
        <w:t>13</w:t>
      </w:r>
      <w:r w:rsidR="00493012" w:rsidRPr="00AE02EE">
        <w:rPr>
          <w:rFonts w:ascii="Arial" w:hAnsi="Arial" w:cs="Arial"/>
          <w:sz w:val="22"/>
          <w:szCs w:val="22"/>
        </w:rPr>
        <w:t>)</w:t>
      </w:r>
      <w:r w:rsidR="0078447B" w:rsidRPr="00AE02EE">
        <w:rPr>
          <w:rFonts w:ascii="Arial" w:hAnsi="Arial" w:cs="Arial"/>
          <w:sz w:val="22"/>
          <w:szCs w:val="22"/>
        </w:rPr>
        <w:t xml:space="preserve">. </w:t>
      </w:r>
    </w:p>
    <w:p w14:paraId="7C468B8E" w14:textId="77777777" w:rsidR="00395594" w:rsidRPr="00544595" w:rsidRDefault="00395594" w:rsidP="00395594">
      <w:pPr>
        <w:pStyle w:val="Heading3"/>
      </w:pPr>
      <w:bookmarkStart w:id="1" w:name="_zb7r1n1jhw36" w:colFirst="0" w:colLast="0"/>
      <w:bookmarkStart w:id="2" w:name="_8xvvjtnfvuro" w:colFirst="0" w:colLast="0"/>
      <w:bookmarkEnd w:id="1"/>
      <w:bookmarkEnd w:id="2"/>
      <w:r w:rsidRPr="00544595">
        <w:t>Elasticity analyses</w:t>
      </w:r>
    </w:p>
    <w:p w14:paraId="3964C5E4" w14:textId="77777777" w:rsidR="00395594" w:rsidRPr="00AE02EE" w:rsidRDefault="00395594" w:rsidP="00395594">
      <w:pPr>
        <w:rPr>
          <w:rFonts w:ascii="Arial" w:hAnsi="Arial" w:cs="Arial"/>
          <w:sz w:val="22"/>
          <w:szCs w:val="22"/>
          <w:lang w:val="en"/>
        </w:rPr>
      </w:pPr>
      <w:r w:rsidRPr="00AE02EE">
        <w:rPr>
          <w:rFonts w:ascii="Arial" w:hAnsi="Arial" w:cs="Arial"/>
          <w:sz w:val="22"/>
          <w:szCs w:val="22"/>
          <w:lang w:val="en"/>
        </w:rPr>
        <w:t xml:space="preserve">From our demographic models, we performed elasticity analyses to assess how changes in projection matrix elements and underlying vital rates affect changes in λ in each population. </w:t>
      </w:r>
    </w:p>
    <w:p w14:paraId="6A0886AE" w14:textId="77777777" w:rsidR="00395594" w:rsidRPr="00AE02EE" w:rsidRDefault="00395594" w:rsidP="00395594">
      <w:pPr>
        <w:rPr>
          <w:rFonts w:ascii="Arial" w:hAnsi="Arial" w:cs="Arial"/>
          <w:sz w:val="22"/>
          <w:szCs w:val="22"/>
          <w:lang w:val="en"/>
        </w:rPr>
      </w:pPr>
    </w:p>
    <w:p w14:paraId="6423ACA8" w14:textId="0D9660BB" w:rsidR="00395594" w:rsidRPr="00AE02EE" w:rsidRDefault="00A23981" w:rsidP="00395594">
      <w:pPr>
        <w:rPr>
          <w:rFonts w:ascii="Arial" w:hAnsi="Arial" w:cs="Arial"/>
          <w:sz w:val="22"/>
          <w:szCs w:val="22"/>
          <w:lang w:val="en"/>
        </w:rPr>
      </w:pPr>
      <w:bookmarkStart w:id="3" w:name="_9eg9e9mfyauo" w:colFirst="0" w:colLast="0"/>
      <w:bookmarkEnd w:id="3"/>
      <w:r>
        <w:rPr>
          <w:rFonts w:ascii="Arial" w:hAnsi="Arial" w:cs="Arial"/>
          <w:sz w:val="22"/>
          <w:szCs w:val="22"/>
          <w:lang w:val="en"/>
        </w:rPr>
        <w:t>Using standard procedures (Caswell 2001), w</w:t>
      </w:r>
      <w:r w:rsidR="00395594" w:rsidRPr="00AE02EE">
        <w:rPr>
          <w:rFonts w:ascii="Arial" w:hAnsi="Arial" w:cs="Arial"/>
          <w:sz w:val="22"/>
          <w:szCs w:val="22"/>
          <w:lang w:val="en"/>
        </w:rPr>
        <w:t xml:space="preserve">e first calculated the elasticities, </w:t>
      </w:r>
      <w:proofErr w:type="spellStart"/>
      <w:r w:rsidR="00395594" w:rsidRPr="00AE02EE">
        <w:rPr>
          <w:rFonts w:ascii="Arial" w:hAnsi="Arial" w:cs="Arial"/>
          <w:i/>
          <w:iCs/>
          <w:sz w:val="22"/>
          <w:szCs w:val="22"/>
          <w:lang w:val="en"/>
        </w:rPr>
        <w:t>e</w:t>
      </w:r>
      <w:r w:rsidR="00395594" w:rsidRPr="00AE02EE">
        <w:rPr>
          <w:rFonts w:ascii="Arial" w:hAnsi="Arial" w:cs="Arial"/>
          <w:sz w:val="22"/>
          <w:szCs w:val="22"/>
          <w:vertAlign w:val="subscript"/>
          <w:lang w:val="en"/>
        </w:rPr>
        <w:t>ij</w:t>
      </w:r>
      <w:proofErr w:type="spellEnd"/>
      <w:r w:rsidR="00395594" w:rsidRPr="00AE02EE">
        <w:rPr>
          <w:rFonts w:ascii="Arial" w:hAnsi="Arial" w:cs="Arial"/>
          <w:sz w:val="22"/>
          <w:szCs w:val="22"/>
          <w:lang w:val="en"/>
        </w:rPr>
        <w:t xml:space="preserve">, of λ to the projection matrix elements, </w:t>
      </w:r>
      <w:proofErr w:type="spellStart"/>
      <w:r w:rsidR="00395594" w:rsidRPr="00AE02EE">
        <w:rPr>
          <w:rFonts w:ascii="Arial" w:hAnsi="Arial" w:cs="Arial"/>
          <w:i/>
          <w:iCs/>
          <w:sz w:val="22"/>
          <w:szCs w:val="22"/>
          <w:lang w:val="en"/>
        </w:rPr>
        <w:t>a</w:t>
      </w:r>
      <w:r w:rsidR="00395594" w:rsidRPr="00AE02EE">
        <w:rPr>
          <w:rFonts w:ascii="Arial" w:hAnsi="Arial" w:cs="Arial"/>
          <w:sz w:val="22"/>
          <w:szCs w:val="22"/>
          <w:vertAlign w:val="subscript"/>
          <w:lang w:val="en"/>
        </w:rPr>
        <w:t>ij</w:t>
      </w:r>
      <w:proofErr w:type="spellEnd"/>
      <w:r w:rsidR="00395594" w:rsidRPr="00AE02EE">
        <w:rPr>
          <w:rFonts w:ascii="Arial" w:hAnsi="Arial" w:cs="Arial"/>
          <w:sz w:val="22"/>
          <w:szCs w:val="22"/>
          <w:lang w:val="en"/>
        </w:rPr>
        <w:t xml:space="preserve"> (</w:t>
      </w:r>
      <w:r w:rsidR="00395594" w:rsidRPr="00AE02EE">
        <w:rPr>
          <w:rFonts w:ascii="Arial" w:hAnsi="Arial" w:cs="Arial"/>
          <w:b/>
          <w:bCs/>
          <w:sz w:val="22"/>
          <w:szCs w:val="22"/>
          <w:lang w:val="en"/>
        </w:rPr>
        <w:t xml:space="preserve">Supplementary Figure </w:t>
      </w:r>
      <w:r w:rsidR="001D1EA2" w:rsidRPr="00AE02EE">
        <w:rPr>
          <w:rFonts w:ascii="Arial" w:hAnsi="Arial" w:cs="Arial"/>
          <w:b/>
          <w:bCs/>
          <w:sz w:val="22"/>
          <w:szCs w:val="22"/>
          <w:lang w:val="en"/>
        </w:rPr>
        <w:t>1</w:t>
      </w:r>
      <w:r w:rsidR="00395594" w:rsidRPr="00AE02EE">
        <w:rPr>
          <w:rFonts w:ascii="Arial" w:hAnsi="Arial" w:cs="Arial"/>
          <w:b/>
          <w:bCs/>
          <w:sz w:val="22"/>
          <w:szCs w:val="22"/>
          <w:lang w:val="en"/>
        </w:rPr>
        <w:t>B</w:t>
      </w:r>
      <w:r w:rsidR="00395594" w:rsidRPr="00AE02EE">
        <w:rPr>
          <w:rFonts w:ascii="Arial" w:hAnsi="Arial" w:cs="Arial"/>
          <w:sz w:val="22"/>
          <w:szCs w:val="22"/>
          <w:lang w:val="en"/>
        </w:rPr>
        <w:t>)</w:t>
      </w:r>
      <w:r>
        <w:rPr>
          <w:rFonts w:ascii="Arial" w:hAnsi="Arial" w:cs="Arial"/>
          <w:sz w:val="22"/>
          <w:szCs w:val="22"/>
          <w:lang w:val="en"/>
        </w:rPr>
        <w:t>. We</w:t>
      </w:r>
      <w:r w:rsidR="00395594" w:rsidRPr="00AE02EE">
        <w:rPr>
          <w:rFonts w:ascii="Arial" w:hAnsi="Arial" w:cs="Arial"/>
          <w:sz w:val="22"/>
          <w:szCs w:val="22"/>
          <w:lang w:val="en"/>
        </w:rPr>
        <w:t xml:space="preserve"> used </w:t>
      </w:r>
      <w:r>
        <w:rPr>
          <w:rFonts w:ascii="Arial" w:hAnsi="Arial" w:cs="Arial"/>
          <w:sz w:val="22"/>
          <w:szCs w:val="22"/>
          <w:lang w:val="en"/>
        </w:rPr>
        <w:t>these values</w:t>
      </w:r>
      <w:r w:rsidR="00395594" w:rsidRPr="00AE02EE">
        <w:rPr>
          <w:rFonts w:ascii="Arial" w:hAnsi="Arial" w:cs="Arial"/>
          <w:sz w:val="22"/>
          <w:szCs w:val="22"/>
          <w:lang w:val="en"/>
        </w:rPr>
        <w:t xml:space="preserve"> to calculate elasticities, </w:t>
      </w:r>
      <w:proofErr w:type="spellStart"/>
      <w:r w:rsidR="00395594" w:rsidRPr="00AE02EE">
        <w:rPr>
          <w:rFonts w:ascii="Arial" w:hAnsi="Arial" w:cs="Arial"/>
          <w:i/>
          <w:iCs/>
          <w:sz w:val="22"/>
          <w:szCs w:val="22"/>
          <w:lang w:val="en"/>
        </w:rPr>
        <w:t>e</w:t>
      </w:r>
      <w:r w:rsidR="00395594" w:rsidRPr="00AE02EE">
        <w:rPr>
          <w:rFonts w:ascii="Arial" w:hAnsi="Arial" w:cs="Arial"/>
          <w:sz w:val="22"/>
          <w:szCs w:val="22"/>
          <w:vertAlign w:val="subscript"/>
          <w:lang w:val="en"/>
        </w:rPr>
        <w:t>j</w:t>
      </w:r>
      <w:proofErr w:type="spellEnd"/>
      <w:r w:rsidR="00395594" w:rsidRPr="00AE02EE">
        <w:rPr>
          <w:rFonts w:ascii="Arial" w:hAnsi="Arial" w:cs="Arial"/>
          <w:sz w:val="22"/>
          <w:szCs w:val="22"/>
          <w:lang w:val="en"/>
        </w:rPr>
        <w:t>, of λ to underlying vital rates, including seed survival (</w:t>
      </w:r>
      <w:r w:rsidR="00395594" w:rsidRPr="00AE02EE">
        <w:rPr>
          <w:rFonts w:ascii="Arial" w:hAnsi="Arial" w:cs="Arial"/>
          <w:i/>
          <w:iCs/>
          <w:sz w:val="22"/>
          <w:szCs w:val="22"/>
          <w:lang w:val="en"/>
        </w:rPr>
        <w:t>s</w:t>
      </w:r>
      <w:r w:rsidR="00395594" w:rsidRPr="00AE02EE">
        <w:rPr>
          <w:rFonts w:ascii="Arial" w:hAnsi="Arial" w:cs="Arial"/>
          <w:sz w:val="22"/>
          <w:szCs w:val="22"/>
          <w:vertAlign w:val="subscript"/>
          <w:lang w:val="en"/>
        </w:rPr>
        <w:t>1</w:t>
      </w:r>
      <w:r w:rsidR="00395594" w:rsidRPr="00AE02EE">
        <w:rPr>
          <w:rFonts w:ascii="Arial" w:hAnsi="Arial" w:cs="Arial"/>
          <w:sz w:val="22"/>
          <w:szCs w:val="22"/>
          <w:lang w:val="en"/>
        </w:rPr>
        <w:t xml:space="preserve"> - </w:t>
      </w:r>
      <w:r w:rsidR="00395594" w:rsidRPr="00AE02EE">
        <w:rPr>
          <w:rFonts w:ascii="Arial" w:hAnsi="Arial" w:cs="Arial"/>
          <w:i/>
          <w:iCs/>
          <w:sz w:val="22"/>
          <w:szCs w:val="22"/>
          <w:lang w:val="en"/>
        </w:rPr>
        <w:t>s</w:t>
      </w:r>
      <w:r w:rsidR="00395594" w:rsidRPr="00AE02EE">
        <w:rPr>
          <w:rFonts w:ascii="Arial" w:hAnsi="Arial" w:cs="Arial"/>
          <w:sz w:val="22"/>
          <w:szCs w:val="22"/>
          <w:vertAlign w:val="subscript"/>
          <w:lang w:val="en"/>
        </w:rPr>
        <w:t>6</w:t>
      </w:r>
      <w:r w:rsidR="00395594" w:rsidRPr="00AE02EE">
        <w:rPr>
          <w:rFonts w:ascii="Arial" w:hAnsi="Arial" w:cs="Arial"/>
          <w:sz w:val="22"/>
          <w:szCs w:val="22"/>
          <w:lang w:val="en"/>
        </w:rPr>
        <w:t>), seed germination (</w:t>
      </w:r>
      <w:r w:rsidR="00395594" w:rsidRPr="00AE02EE">
        <w:rPr>
          <w:rFonts w:ascii="Arial" w:hAnsi="Arial" w:cs="Arial"/>
          <w:i/>
          <w:iCs/>
          <w:sz w:val="22"/>
          <w:szCs w:val="22"/>
          <w:lang w:val="en"/>
        </w:rPr>
        <w:t>g</w:t>
      </w:r>
      <w:r w:rsidR="00395594" w:rsidRPr="00AE02EE">
        <w:rPr>
          <w:rFonts w:ascii="Arial" w:hAnsi="Arial" w:cs="Arial"/>
          <w:sz w:val="22"/>
          <w:szCs w:val="22"/>
          <w:vertAlign w:val="subscript"/>
          <w:lang w:val="en"/>
        </w:rPr>
        <w:t>1</w:t>
      </w:r>
      <w:r w:rsidR="00395594" w:rsidRPr="00AE02EE">
        <w:rPr>
          <w:rFonts w:ascii="Arial" w:hAnsi="Arial" w:cs="Arial"/>
          <w:sz w:val="22"/>
          <w:szCs w:val="22"/>
          <w:lang w:val="en"/>
        </w:rPr>
        <w:t xml:space="preserve"> </w:t>
      </w:r>
      <w:r w:rsidR="00395594" w:rsidRPr="00AE02EE">
        <w:rPr>
          <w:rFonts w:ascii="Arial" w:hAnsi="Arial" w:cs="Arial"/>
          <w:sz w:val="22"/>
          <w:szCs w:val="22"/>
          <w:lang w:val="en"/>
        </w:rPr>
        <w:lastRenderedPageBreak/>
        <w:t xml:space="preserve">- </w:t>
      </w:r>
      <w:r w:rsidR="00395594" w:rsidRPr="00AE02EE">
        <w:rPr>
          <w:rFonts w:ascii="Arial" w:hAnsi="Arial" w:cs="Arial"/>
          <w:i/>
          <w:iCs/>
          <w:sz w:val="22"/>
          <w:szCs w:val="22"/>
          <w:lang w:val="en"/>
        </w:rPr>
        <w:t>g</w:t>
      </w:r>
      <w:r w:rsidR="00395594" w:rsidRPr="00AE02EE">
        <w:rPr>
          <w:rFonts w:ascii="Arial" w:hAnsi="Arial" w:cs="Arial"/>
          <w:sz w:val="22"/>
          <w:szCs w:val="22"/>
          <w:vertAlign w:val="subscript"/>
          <w:lang w:val="en"/>
        </w:rPr>
        <w:t>3</w:t>
      </w:r>
      <w:r w:rsidR="00395594" w:rsidRPr="00AE02EE">
        <w:rPr>
          <w:rFonts w:ascii="Arial" w:hAnsi="Arial" w:cs="Arial"/>
          <w:sz w:val="22"/>
          <w:szCs w:val="22"/>
          <w:lang w:val="en"/>
        </w:rPr>
        <w:t xml:space="preserve">), and aboveground </w:t>
      </w:r>
      <w:r w:rsidR="006B0AA5">
        <w:rPr>
          <w:rFonts w:ascii="Arial" w:hAnsi="Arial" w:cs="Arial"/>
          <w:sz w:val="22"/>
          <w:szCs w:val="22"/>
          <w:lang w:val="en"/>
        </w:rPr>
        <w:t>survival an</w:t>
      </w:r>
      <w:r w:rsidR="00143C41">
        <w:rPr>
          <w:rFonts w:ascii="Arial" w:hAnsi="Arial" w:cs="Arial"/>
          <w:sz w:val="22"/>
          <w:szCs w:val="22"/>
          <w:lang w:val="en"/>
        </w:rPr>
        <w:t>d</w:t>
      </w:r>
      <w:r w:rsidR="006B0AA5">
        <w:rPr>
          <w:rFonts w:ascii="Arial" w:hAnsi="Arial" w:cs="Arial"/>
          <w:sz w:val="22"/>
          <w:szCs w:val="22"/>
          <w:lang w:val="en"/>
        </w:rPr>
        <w:t xml:space="preserve"> reproduction</w:t>
      </w:r>
      <w:r w:rsidR="00395594" w:rsidRPr="00AE02EE">
        <w:rPr>
          <w:rFonts w:ascii="Arial" w:hAnsi="Arial" w:cs="Arial"/>
          <w:sz w:val="22"/>
          <w:szCs w:val="22"/>
          <w:lang w:val="en"/>
        </w:rPr>
        <w:t xml:space="preserve"> (</w:t>
      </w:r>
      <w:r w:rsidR="00395594" w:rsidRPr="00AE02EE">
        <w:rPr>
          <w:rFonts w:ascii="Arial" w:hAnsi="Arial" w:cs="Arial"/>
          <w:i/>
          <w:iCs/>
          <w:sz w:val="22"/>
          <w:szCs w:val="22"/>
        </w:rPr>
        <w:sym w:font="Symbol" w:char="F073"/>
      </w:r>
      <w:r w:rsidR="00395594" w:rsidRPr="00AE02EE">
        <w:rPr>
          <w:rFonts w:ascii="Arial" w:hAnsi="Arial" w:cs="Arial"/>
          <w:sz w:val="22"/>
          <w:szCs w:val="22"/>
        </w:rPr>
        <w:t xml:space="preserve">, </w:t>
      </w:r>
      <w:r w:rsidR="00395594" w:rsidRPr="00AE02EE">
        <w:rPr>
          <w:rFonts w:ascii="Arial" w:hAnsi="Arial" w:cs="Arial"/>
          <w:i/>
          <w:iCs/>
          <w:sz w:val="22"/>
          <w:szCs w:val="22"/>
        </w:rPr>
        <w:t>F</w:t>
      </w:r>
      <w:r w:rsidR="00395594" w:rsidRPr="00AE02EE">
        <w:rPr>
          <w:rFonts w:ascii="Arial" w:hAnsi="Arial" w:cs="Arial"/>
          <w:sz w:val="22"/>
          <w:szCs w:val="22"/>
        </w:rPr>
        <w:t>,</w:t>
      </w:r>
      <w:r w:rsidR="00395594" w:rsidRPr="00AE02EE">
        <w:rPr>
          <w:rFonts w:ascii="Arial" w:hAnsi="Arial" w:cs="Arial"/>
          <w:i/>
          <w:iCs/>
          <w:sz w:val="22"/>
          <w:szCs w:val="22"/>
        </w:rPr>
        <w:t xml:space="preserve"> </w:t>
      </w:r>
      <w:r w:rsidR="00395594" w:rsidRPr="00AE02EE">
        <w:rPr>
          <w:rFonts w:ascii="Arial" w:hAnsi="Arial" w:cs="Arial"/>
          <w:i/>
          <w:iCs/>
          <w:sz w:val="22"/>
          <w:szCs w:val="22"/>
        </w:rPr>
        <w:sym w:font="Symbol" w:char="F066"/>
      </w:r>
      <w:r w:rsidR="00395594" w:rsidRPr="00AE02EE">
        <w:rPr>
          <w:rFonts w:ascii="Arial" w:hAnsi="Arial" w:cs="Arial"/>
          <w:sz w:val="22"/>
          <w:szCs w:val="22"/>
        </w:rPr>
        <w:t>)</w:t>
      </w:r>
      <w:r>
        <w:rPr>
          <w:rFonts w:ascii="Arial" w:hAnsi="Arial" w:cs="Arial"/>
          <w:sz w:val="22"/>
          <w:szCs w:val="22"/>
          <w:lang w:val="en"/>
        </w:rPr>
        <w:t xml:space="preserve"> </w:t>
      </w:r>
      <w:r w:rsidR="00395594" w:rsidRPr="00AE02EE">
        <w:rPr>
          <w:rFonts w:ascii="Arial" w:hAnsi="Arial" w:cs="Arial"/>
          <w:sz w:val="22"/>
          <w:szCs w:val="22"/>
        </w:rPr>
        <w:t>(</w:t>
      </w:r>
      <w:r w:rsidR="00395594" w:rsidRPr="00AE02EE">
        <w:rPr>
          <w:rFonts w:ascii="Arial" w:hAnsi="Arial" w:cs="Arial"/>
          <w:b/>
          <w:bCs/>
          <w:sz w:val="22"/>
          <w:szCs w:val="22"/>
        </w:rPr>
        <w:t xml:space="preserve">Supplementary Figure </w:t>
      </w:r>
      <w:r w:rsidR="00955F58" w:rsidRPr="00AE02EE">
        <w:rPr>
          <w:rFonts w:ascii="Arial" w:hAnsi="Arial" w:cs="Arial"/>
          <w:b/>
          <w:bCs/>
          <w:sz w:val="22"/>
          <w:szCs w:val="22"/>
        </w:rPr>
        <w:t>1C</w:t>
      </w:r>
      <w:r w:rsidR="00395594" w:rsidRPr="00AE02EE">
        <w:rPr>
          <w:rFonts w:ascii="Arial" w:hAnsi="Arial" w:cs="Arial"/>
          <w:sz w:val="22"/>
          <w:szCs w:val="22"/>
        </w:rPr>
        <w:t>)</w:t>
      </w:r>
      <w:r w:rsidR="00395594" w:rsidRPr="00AE02EE">
        <w:rPr>
          <w:rFonts w:ascii="Arial" w:hAnsi="Arial" w:cs="Arial"/>
          <w:sz w:val="22"/>
          <w:szCs w:val="22"/>
          <w:lang w:val="en"/>
        </w:rPr>
        <w:t xml:space="preserve">. While the </w:t>
      </w:r>
      <w:r>
        <w:rPr>
          <w:rFonts w:ascii="Arial" w:hAnsi="Arial" w:cs="Arial"/>
          <w:sz w:val="22"/>
          <w:szCs w:val="22"/>
          <w:lang w:val="en"/>
        </w:rPr>
        <w:t xml:space="preserve">matrix element </w:t>
      </w:r>
      <w:r w:rsidR="00395594" w:rsidRPr="00AE02EE">
        <w:rPr>
          <w:rFonts w:ascii="Arial" w:hAnsi="Arial" w:cs="Arial"/>
          <w:sz w:val="22"/>
          <w:szCs w:val="22"/>
          <w:lang w:val="en"/>
        </w:rPr>
        <w:t xml:space="preserve">elasticities, </w:t>
      </w:r>
      <w:proofErr w:type="spellStart"/>
      <w:r w:rsidR="00395594" w:rsidRPr="00AE02EE">
        <w:rPr>
          <w:rFonts w:ascii="Arial" w:hAnsi="Arial" w:cs="Arial"/>
          <w:i/>
          <w:iCs/>
          <w:sz w:val="22"/>
          <w:szCs w:val="22"/>
          <w:lang w:val="en"/>
        </w:rPr>
        <w:t>e</w:t>
      </w:r>
      <w:r w:rsidR="00395594" w:rsidRPr="00AE02EE">
        <w:rPr>
          <w:rFonts w:ascii="Arial" w:hAnsi="Arial" w:cs="Arial"/>
          <w:sz w:val="22"/>
          <w:szCs w:val="22"/>
          <w:vertAlign w:val="subscript"/>
          <w:lang w:val="en"/>
        </w:rPr>
        <w:t>ij</w:t>
      </w:r>
      <w:proofErr w:type="spellEnd"/>
      <w:r w:rsidR="00395594" w:rsidRPr="00AE02EE">
        <w:rPr>
          <w:rFonts w:ascii="Arial" w:hAnsi="Arial" w:cs="Arial"/>
          <w:sz w:val="22"/>
          <w:szCs w:val="22"/>
          <w:lang w:val="en"/>
        </w:rPr>
        <w:t xml:space="preserve">, sum to 1, the </w:t>
      </w:r>
      <w:r>
        <w:rPr>
          <w:rFonts w:ascii="Arial" w:hAnsi="Arial" w:cs="Arial"/>
          <w:sz w:val="22"/>
          <w:szCs w:val="22"/>
          <w:lang w:val="en"/>
        </w:rPr>
        <w:t xml:space="preserve">vital rate </w:t>
      </w:r>
      <w:r w:rsidR="00395594" w:rsidRPr="00AE02EE">
        <w:rPr>
          <w:rFonts w:ascii="Arial" w:hAnsi="Arial" w:cs="Arial"/>
          <w:sz w:val="22"/>
          <w:szCs w:val="22"/>
          <w:lang w:val="en"/>
        </w:rPr>
        <w:t xml:space="preserve">elasticities, </w:t>
      </w:r>
      <w:proofErr w:type="spellStart"/>
      <w:r w:rsidR="00395594" w:rsidRPr="00AE02EE">
        <w:rPr>
          <w:rFonts w:ascii="Arial" w:hAnsi="Arial" w:cs="Arial"/>
          <w:i/>
          <w:iCs/>
          <w:sz w:val="22"/>
          <w:szCs w:val="22"/>
          <w:lang w:val="en"/>
        </w:rPr>
        <w:t>e</w:t>
      </w:r>
      <w:r w:rsidR="00395594" w:rsidRPr="00AE02EE">
        <w:rPr>
          <w:rFonts w:ascii="Arial" w:hAnsi="Arial" w:cs="Arial"/>
          <w:sz w:val="22"/>
          <w:szCs w:val="22"/>
          <w:vertAlign w:val="subscript"/>
          <w:lang w:val="en"/>
        </w:rPr>
        <w:t>i</w:t>
      </w:r>
      <w:proofErr w:type="spellEnd"/>
      <w:r w:rsidR="00395594" w:rsidRPr="00AE02EE">
        <w:rPr>
          <w:rFonts w:ascii="Arial" w:hAnsi="Arial" w:cs="Arial"/>
          <w:sz w:val="22"/>
          <w:szCs w:val="22"/>
          <w:lang w:val="en"/>
        </w:rPr>
        <w:t>,</w:t>
      </w:r>
      <w:r>
        <w:rPr>
          <w:rFonts w:ascii="Arial" w:hAnsi="Arial" w:cs="Arial"/>
          <w:sz w:val="22"/>
          <w:szCs w:val="22"/>
          <w:lang w:val="en"/>
        </w:rPr>
        <w:t xml:space="preserve"> </w:t>
      </w:r>
      <w:r w:rsidR="00395594" w:rsidRPr="00AE02EE">
        <w:rPr>
          <w:rFonts w:ascii="Arial" w:hAnsi="Arial" w:cs="Arial"/>
          <w:sz w:val="22"/>
          <w:szCs w:val="22"/>
          <w:lang w:val="en"/>
        </w:rPr>
        <w:t xml:space="preserve">do not. </w:t>
      </w:r>
    </w:p>
    <w:p w14:paraId="47A39501" w14:textId="77777777" w:rsidR="00395594" w:rsidRPr="00AE02EE" w:rsidRDefault="00395594" w:rsidP="00395594">
      <w:pPr>
        <w:rPr>
          <w:rFonts w:ascii="Arial" w:hAnsi="Arial" w:cs="Arial"/>
          <w:sz w:val="22"/>
          <w:szCs w:val="22"/>
          <w:lang w:val="en"/>
        </w:rPr>
      </w:pPr>
    </w:p>
    <w:p w14:paraId="69981762" w14:textId="1D2B9701" w:rsidR="00395594" w:rsidRPr="00AE02EE" w:rsidRDefault="00395594" w:rsidP="00395594">
      <w:pPr>
        <w:rPr>
          <w:rFonts w:ascii="Arial" w:hAnsi="Arial" w:cs="Arial"/>
          <w:sz w:val="22"/>
          <w:szCs w:val="22"/>
          <w:lang w:val="en"/>
        </w:rPr>
      </w:pPr>
      <w:r w:rsidRPr="00AE02EE">
        <w:rPr>
          <w:rFonts w:ascii="Arial" w:hAnsi="Arial" w:cs="Arial"/>
          <w:sz w:val="22"/>
          <w:szCs w:val="22"/>
          <w:lang w:val="en"/>
        </w:rPr>
        <w:t xml:space="preserve">Elasticities quantify the proportional change in λ elicited by an infinitesimal proportional change in a matrix element or vital rate holding all other elements or vital rates constant (de Kroon et al. 2000; van </w:t>
      </w:r>
      <w:proofErr w:type="spellStart"/>
      <w:r w:rsidRPr="00AE02EE">
        <w:rPr>
          <w:rFonts w:ascii="Arial" w:hAnsi="Arial" w:cs="Arial"/>
          <w:sz w:val="22"/>
          <w:szCs w:val="22"/>
          <w:lang w:val="en"/>
        </w:rPr>
        <w:t>Tienderen</w:t>
      </w:r>
      <w:proofErr w:type="spellEnd"/>
      <w:r w:rsidRPr="00AE02EE">
        <w:rPr>
          <w:rFonts w:ascii="Arial" w:hAnsi="Arial" w:cs="Arial"/>
          <w:sz w:val="22"/>
          <w:szCs w:val="22"/>
          <w:lang w:val="en"/>
        </w:rPr>
        <w:t xml:space="preserve"> 2000). Thus, </w:t>
      </w:r>
      <w:proofErr w:type="spellStart"/>
      <w:r w:rsidRPr="00AE02EE">
        <w:rPr>
          <w:rFonts w:ascii="Arial" w:hAnsi="Arial" w:cs="Arial"/>
          <w:i/>
          <w:iCs/>
          <w:sz w:val="22"/>
          <w:szCs w:val="22"/>
          <w:lang w:val="en"/>
        </w:rPr>
        <w:t>e</w:t>
      </w:r>
      <w:r w:rsidRPr="00AE02EE">
        <w:rPr>
          <w:rFonts w:ascii="Arial" w:hAnsi="Arial" w:cs="Arial"/>
          <w:sz w:val="22"/>
          <w:szCs w:val="22"/>
          <w:vertAlign w:val="subscript"/>
          <w:lang w:val="en"/>
        </w:rPr>
        <w:t>ij</w:t>
      </w:r>
      <w:proofErr w:type="spellEnd"/>
      <w:r w:rsidRPr="00AE02EE">
        <w:rPr>
          <w:rFonts w:ascii="Arial" w:hAnsi="Arial" w:cs="Arial"/>
          <w:sz w:val="22"/>
          <w:szCs w:val="22"/>
          <w:lang w:val="en"/>
        </w:rPr>
        <w:t xml:space="preserve">, the elasticity of λ to matrix element </w:t>
      </w:r>
      <w:proofErr w:type="spellStart"/>
      <w:r w:rsidRPr="00AE02EE">
        <w:rPr>
          <w:rFonts w:ascii="Arial" w:hAnsi="Arial" w:cs="Arial"/>
          <w:i/>
          <w:iCs/>
          <w:sz w:val="22"/>
          <w:szCs w:val="22"/>
          <w:lang w:val="en"/>
        </w:rPr>
        <w:t>a</w:t>
      </w:r>
      <w:r w:rsidRPr="00AE02EE">
        <w:rPr>
          <w:rFonts w:ascii="Arial" w:hAnsi="Arial" w:cs="Arial"/>
          <w:sz w:val="22"/>
          <w:szCs w:val="22"/>
          <w:vertAlign w:val="subscript"/>
          <w:lang w:val="en"/>
        </w:rPr>
        <w:t>ij</w:t>
      </w:r>
      <w:proofErr w:type="spellEnd"/>
      <w:r w:rsidRPr="00AE02EE">
        <w:rPr>
          <w:rFonts w:ascii="Arial" w:hAnsi="Arial" w:cs="Arial"/>
          <w:sz w:val="22"/>
          <w:szCs w:val="22"/>
          <w:lang w:val="en"/>
        </w:rPr>
        <w:t>, is the partial derivative of ln(λ) with respect to ln(</w:t>
      </w:r>
      <w:proofErr w:type="spellStart"/>
      <w:r w:rsidRPr="00AE02EE">
        <w:rPr>
          <w:rFonts w:ascii="Arial" w:hAnsi="Arial" w:cs="Arial"/>
          <w:i/>
          <w:iCs/>
          <w:sz w:val="22"/>
          <w:szCs w:val="22"/>
          <w:lang w:val="en"/>
        </w:rPr>
        <w:t>a</w:t>
      </w:r>
      <w:r w:rsidRPr="00AE02EE">
        <w:rPr>
          <w:rFonts w:ascii="Arial" w:hAnsi="Arial" w:cs="Arial"/>
          <w:sz w:val="22"/>
          <w:szCs w:val="22"/>
          <w:vertAlign w:val="subscript"/>
          <w:lang w:val="en"/>
        </w:rPr>
        <w:t>ij</w:t>
      </w:r>
      <w:proofErr w:type="spellEnd"/>
      <w:r w:rsidRPr="00AE02EE">
        <w:rPr>
          <w:rFonts w:ascii="Arial" w:hAnsi="Arial" w:cs="Arial"/>
          <w:sz w:val="22"/>
          <w:szCs w:val="22"/>
          <w:lang w:val="en"/>
        </w:rPr>
        <w:t>), or the partial regression slope of ln(λ) on ln(</w:t>
      </w:r>
      <w:proofErr w:type="spellStart"/>
      <w:r w:rsidRPr="00AE02EE">
        <w:rPr>
          <w:rFonts w:ascii="Arial" w:hAnsi="Arial" w:cs="Arial"/>
          <w:i/>
          <w:iCs/>
          <w:sz w:val="22"/>
          <w:szCs w:val="22"/>
          <w:lang w:val="en"/>
        </w:rPr>
        <w:t>a</w:t>
      </w:r>
      <w:r w:rsidRPr="00AE02EE">
        <w:rPr>
          <w:rFonts w:ascii="Arial" w:hAnsi="Arial" w:cs="Arial"/>
          <w:sz w:val="22"/>
          <w:szCs w:val="22"/>
          <w:vertAlign w:val="subscript"/>
          <w:lang w:val="en"/>
        </w:rPr>
        <w:t>ij</w:t>
      </w:r>
      <w:proofErr w:type="spellEnd"/>
      <w:r w:rsidRPr="00AE02EE">
        <w:rPr>
          <w:rFonts w:ascii="Arial" w:hAnsi="Arial" w:cs="Arial"/>
          <w:sz w:val="22"/>
          <w:szCs w:val="22"/>
          <w:lang w:val="en"/>
        </w:rPr>
        <w:t>), in the vicinity of the estimated ln(</w:t>
      </w:r>
      <w:proofErr w:type="spellStart"/>
      <w:r w:rsidRPr="00AE02EE">
        <w:rPr>
          <w:rFonts w:ascii="Arial" w:hAnsi="Arial" w:cs="Arial"/>
          <w:i/>
          <w:iCs/>
          <w:sz w:val="22"/>
          <w:szCs w:val="22"/>
          <w:lang w:val="en"/>
        </w:rPr>
        <w:t>a</w:t>
      </w:r>
      <w:r w:rsidRPr="00AE02EE">
        <w:rPr>
          <w:rFonts w:ascii="Arial" w:hAnsi="Arial" w:cs="Arial"/>
          <w:sz w:val="22"/>
          <w:szCs w:val="22"/>
          <w:vertAlign w:val="subscript"/>
          <w:lang w:val="en"/>
        </w:rPr>
        <w:t>ij</w:t>
      </w:r>
      <w:proofErr w:type="spellEnd"/>
      <w:r w:rsidRPr="00AE02EE">
        <w:rPr>
          <w:rFonts w:ascii="Arial" w:hAnsi="Arial" w:cs="Arial"/>
          <w:sz w:val="22"/>
          <w:szCs w:val="22"/>
          <w:lang w:val="en"/>
        </w:rPr>
        <w:t xml:space="preserve">), and is related to the standardized selection gradient on matrix element </w:t>
      </w:r>
      <w:proofErr w:type="spellStart"/>
      <w:r w:rsidRPr="00AE02EE">
        <w:rPr>
          <w:rFonts w:ascii="Arial" w:hAnsi="Arial" w:cs="Arial"/>
          <w:i/>
          <w:iCs/>
          <w:sz w:val="22"/>
          <w:szCs w:val="22"/>
          <w:lang w:val="en"/>
        </w:rPr>
        <w:t>a</w:t>
      </w:r>
      <w:r w:rsidRPr="00AE02EE">
        <w:rPr>
          <w:rFonts w:ascii="Arial" w:hAnsi="Arial" w:cs="Arial"/>
          <w:sz w:val="22"/>
          <w:szCs w:val="22"/>
          <w:vertAlign w:val="subscript"/>
          <w:lang w:val="en"/>
        </w:rPr>
        <w:t>ij</w:t>
      </w:r>
      <w:proofErr w:type="spellEnd"/>
      <w:r w:rsidRPr="00AE02EE">
        <w:rPr>
          <w:rFonts w:ascii="Arial" w:hAnsi="Arial" w:cs="Arial"/>
          <w:sz w:val="22"/>
          <w:szCs w:val="22"/>
          <w:lang w:val="en"/>
        </w:rPr>
        <w:t xml:space="preserve"> (van </w:t>
      </w:r>
      <w:proofErr w:type="spellStart"/>
      <w:r w:rsidRPr="00AE02EE">
        <w:rPr>
          <w:rFonts w:ascii="Arial" w:hAnsi="Arial" w:cs="Arial"/>
          <w:sz w:val="22"/>
          <w:szCs w:val="22"/>
          <w:lang w:val="en"/>
        </w:rPr>
        <w:t>Tienderen</w:t>
      </w:r>
      <w:proofErr w:type="spellEnd"/>
      <w:r w:rsidRPr="00AE02EE">
        <w:rPr>
          <w:rFonts w:ascii="Arial" w:hAnsi="Arial" w:cs="Arial"/>
          <w:sz w:val="22"/>
          <w:szCs w:val="22"/>
          <w:lang w:val="en"/>
        </w:rPr>
        <w:t xml:space="preserve"> 2000, p. 668: </w:t>
      </w:r>
      <w:proofErr w:type="spellStart"/>
      <w:r w:rsidRPr="00AE02EE">
        <w:rPr>
          <w:rFonts w:ascii="Arial" w:hAnsi="Arial" w:cs="Arial"/>
          <w:i/>
          <w:iCs/>
          <w:sz w:val="22"/>
          <w:szCs w:val="22"/>
          <w:lang w:val="en"/>
        </w:rPr>
        <w:t>e</w:t>
      </w:r>
      <w:r w:rsidRPr="00AE02EE">
        <w:rPr>
          <w:rFonts w:ascii="Arial" w:hAnsi="Arial" w:cs="Arial"/>
          <w:sz w:val="22"/>
          <w:szCs w:val="22"/>
          <w:vertAlign w:val="subscript"/>
          <w:lang w:val="en"/>
        </w:rPr>
        <w:t>ij</w:t>
      </w:r>
      <w:proofErr w:type="spellEnd"/>
      <w:r w:rsidRPr="00AE02EE">
        <w:rPr>
          <w:rFonts w:ascii="Arial" w:hAnsi="Arial" w:cs="Arial"/>
          <w:sz w:val="22"/>
          <w:szCs w:val="22"/>
          <w:lang w:val="en"/>
        </w:rPr>
        <w:t xml:space="preserve"> = </w:t>
      </w:r>
      <w:proofErr w:type="spellStart"/>
      <w:r w:rsidRPr="00AE02EE">
        <w:rPr>
          <w:rFonts w:ascii="Arial" w:hAnsi="Arial" w:cs="Arial"/>
          <w:i/>
          <w:iCs/>
          <w:sz w:val="22"/>
          <w:szCs w:val="22"/>
          <w:lang w:val="en"/>
        </w:rPr>
        <w:t>a</w:t>
      </w:r>
      <w:r w:rsidRPr="00AE02EE">
        <w:rPr>
          <w:rFonts w:ascii="Arial" w:hAnsi="Arial" w:cs="Arial"/>
          <w:sz w:val="22"/>
          <w:szCs w:val="22"/>
          <w:vertAlign w:val="subscript"/>
          <w:lang w:val="en"/>
        </w:rPr>
        <w:t>ij</w:t>
      </w:r>
      <w:proofErr w:type="spellEnd"/>
      <w:r w:rsidRPr="00AE02EE">
        <w:rPr>
          <w:rFonts w:ascii="Arial" w:hAnsi="Arial" w:cs="Arial"/>
          <w:sz w:val="22"/>
          <w:szCs w:val="22"/>
          <w:lang w:val="en"/>
        </w:rPr>
        <w:t xml:space="preserve"> × β</w:t>
      </w:r>
      <w:proofErr w:type="spellStart"/>
      <w:r w:rsidRPr="00AE02EE">
        <w:rPr>
          <w:rFonts w:ascii="Arial" w:hAnsi="Arial" w:cs="Arial"/>
          <w:sz w:val="22"/>
          <w:szCs w:val="22"/>
          <w:vertAlign w:val="subscript"/>
          <w:lang w:val="en"/>
        </w:rPr>
        <w:t>ij</w:t>
      </w:r>
      <w:proofErr w:type="spellEnd"/>
      <w:r w:rsidRPr="00AE02EE">
        <w:rPr>
          <w:rFonts w:ascii="Arial" w:hAnsi="Arial" w:cs="Arial"/>
          <w:sz w:val="22"/>
          <w:szCs w:val="22"/>
          <w:lang w:val="en"/>
        </w:rPr>
        <w:t>, where β</w:t>
      </w:r>
      <w:proofErr w:type="spellStart"/>
      <w:r w:rsidRPr="00AE02EE">
        <w:rPr>
          <w:rFonts w:ascii="Arial" w:hAnsi="Arial" w:cs="Arial"/>
          <w:sz w:val="22"/>
          <w:szCs w:val="22"/>
          <w:vertAlign w:val="subscript"/>
          <w:lang w:val="en"/>
        </w:rPr>
        <w:t>ij</w:t>
      </w:r>
      <w:proofErr w:type="spellEnd"/>
      <w:r w:rsidRPr="00AE02EE">
        <w:rPr>
          <w:rFonts w:ascii="Arial" w:hAnsi="Arial" w:cs="Arial"/>
          <w:sz w:val="22"/>
          <w:szCs w:val="22"/>
          <w:lang w:val="en"/>
        </w:rPr>
        <w:t xml:space="preserve"> is the selection gradient on </w:t>
      </w:r>
      <w:proofErr w:type="spellStart"/>
      <w:r w:rsidRPr="00AE02EE">
        <w:rPr>
          <w:rFonts w:ascii="Arial" w:hAnsi="Arial" w:cs="Arial"/>
          <w:i/>
          <w:iCs/>
          <w:sz w:val="22"/>
          <w:szCs w:val="22"/>
          <w:lang w:val="en"/>
        </w:rPr>
        <w:t>a</w:t>
      </w:r>
      <w:r w:rsidRPr="00AE02EE">
        <w:rPr>
          <w:rFonts w:ascii="Arial" w:hAnsi="Arial" w:cs="Arial"/>
          <w:sz w:val="22"/>
          <w:szCs w:val="22"/>
          <w:vertAlign w:val="subscript"/>
          <w:lang w:val="en"/>
        </w:rPr>
        <w:t>ij</w:t>
      </w:r>
      <w:proofErr w:type="spellEnd"/>
      <w:r w:rsidRPr="00AE02EE">
        <w:rPr>
          <w:rFonts w:ascii="Arial" w:hAnsi="Arial" w:cs="Arial"/>
          <w:sz w:val="22"/>
          <w:szCs w:val="22"/>
          <w:lang w:val="en"/>
        </w:rPr>
        <w:t xml:space="preserve">). In other words, </w:t>
      </w:r>
      <w:proofErr w:type="spellStart"/>
      <w:r w:rsidRPr="00AE02EE">
        <w:rPr>
          <w:rFonts w:ascii="Arial" w:hAnsi="Arial" w:cs="Arial"/>
          <w:i/>
          <w:iCs/>
          <w:sz w:val="22"/>
          <w:szCs w:val="22"/>
          <w:lang w:val="en"/>
        </w:rPr>
        <w:t>e</w:t>
      </w:r>
      <w:r w:rsidRPr="00AE02EE">
        <w:rPr>
          <w:rFonts w:ascii="Arial" w:hAnsi="Arial" w:cs="Arial"/>
          <w:sz w:val="22"/>
          <w:szCs w:val="22"/>
          <w:vertAlign w:val="subscript"/>
          <w:lang w:val="en"/>
        </w:rPr>
        <w:t>ij</w:t>
      </w:r>
      <w:proofErr w:type="spellEnd"/>
      <w:r w:rsidRPr="00AE02EE">
        <w:rPr>
          <w:rFonts w:ascii="Arial" w:hAnsi="Arial" w:cs="Arial"/>
          <w:sz w:val="22"/>
          <w:szCs w:val="22"/>
          <w:lang w:val="en"/>
        </w:rPr>
        <w:t xml:space="preserve"> is related to the strength of direct directional selection on </w:t>
      </w:r>
      <w:proofErr w:type="spellStart"/>
      <w:r w:rsidRPr="00AE02EE">
        <w:rPr>
          <w:rFonts w:ascii="Arial" w:hAnsi="Arial" w:cs="Arial"/>
          <w:i/>
          <w:iCs/>
          <w:sz w:val="22"/>
          <w:szCs w:val="22"/>
          <w:lang w:val="en"/>
        </w:rPr>
        <w:t>a</w:t>
      </w:r>
      <w:r w:rsidRPr="00AE02EE">
        <w:rPr>
          <w:rFonts w:ascii="Arial" w:hAnsi="Arial" w:cs="Arial"/>
          <w:sz w:val="22"/>
          <w:szCs w:val="22"/>
          <w:vertAlign w:val="subscript"/>
          <w:lang w:val="en"/>
        </w:rPr>
        <w:t>ij</w:t>
      </w:r>
      <w:proofErr w:type="spellEnd"/>
      <w:r w:rsidRPr="00AE02EE">
        <w:rPr>
          <w:rFonts w:ascii="Arial" w:hAnsi="Arial" w:cs="Arial"/>
          <w:sz w:val="22"/>
          <w:szCs w:val="22"/>
          <w:lang w:val="en"/>
        </w:rPr>
        <w:t>. Similar calculation</w:t>
      </w:r>
      <w:r w:rsidR="005E5CB2">
        <w:rPr>
          <w:rFonts w:ascii="Arial" w:hAnsi="Arial" w:cs="Arial"/>
          <w:sz w:val="22"/>
          <w:szCs w:val="22"/>
          <w:lang w:val="en"/>
        </w:rPr>
        <w:t>s</w:t>
      </w:r>
      <w:r w:rsidRPr="00AE02EE">
        <w:rPr>
          <w:rFonts w:ascii="Arial" w:hAnsi="Arial" w:cs="Arial"/>
          <w:sz w:val="22"/>
          <w:szCs w:val="22"/>
          <w:lang w:val="en"/>
        </w:rPr>
        <w:t xml:space="preserve"> with similar implications for selection on vital rates apply to elasticities</w:t>
      </w:r>
      <w:r w:rsidR="005E5CB2">
        <w:rPr>
          <w:rFonts w:ascii="Arial" w:hAnsi="Arial" w:cs="Arial"/>
          <w:sz w:val="22"/>
          <w:szCs w:val="22"/>
          <w:lang w:val="en"/>
        </w:rPr>
        <w:t xml:space="preserve"> of λ to vital rates</w:t>
      </w:r>
      <w:r w:rsidRPr="00AE02EE">
        <w:rPr>
          <w:rFonts w:ascii="Arial" w:hAnsi="Arial" w:cs="Arial"/>
          <w:sz w:val="22"/>
          <w:szCs w:val="22"/>
          <w:lang w:val="en"/>
        </w:rPr>
        <w:t xml:space="preserve">, </w:t>
      </w:r>
      <w:proofErr w:type="spellStart"/>
      <w:r w:rsidRPr="00AE02EE">
        <w:rPr>
          <w:rFonts w:ascii="Arial" w:hAnsi="Arial" w:cs="Arial"/>
          <w:i/>
          <w:iCs/>
          <w:sz w:val="22"/>
          <w:szCs w:val="22"/>
          <w:lang w:val="en"/>
        </w:rPr>
        <w:t>e</w:t>
      </w:r>
      <w:r w:rsidRPr="00AE02EE">
        <w:rPr>
          <w:rFonts w:ascii="Arial" w:hAnsi="Arial" w:cs="Arial"/>
          <w:sz w:val="22"/>
          <w:szCs w:val="22"/>
          <w:vertAlign w:val="subscript"/>
          <w:lang w:val="en"/>
        </w:rPr>
        <w:t>j</w:t>
      </w:r>
      <w:proofErr w:type="spellEnd"/>
      <w:r w:rsidR="005E5CB2">
        <w:rPr>
          <w:rFonts w:ascii="Arial" w:hAnsi="Arial" w:cs="Arial"/>
          <w:sz w:val="22"/>
          <w:szCs w:val="22"/>
          <w:lang w:val="en"/>
        </w:rPr>
        <w:t xml:space="preserve"> </w:t>
      </w:r>
      <w:r w:rsidRPr="00AE02EE">
        <w:rPr>
          <w:rFonts w:ascii="Arial" w:hAnsi="Arial" w:cs="Arial"/>
          <w:sz w:val="22"/>
          <w:szCs w:val="22"/>
          <w:lang w:val="en"/>
        </w:rPr>
        <w:t xml:space="preserve">(van </w:t>
      </w:r>
      <w:proofErr w:type="spellStart"/>
      <w:r w:rsidRPr="00AE02EE">
        <w:rPr>
          <w:rFonts w:ascii="Arial" w:hAnsi="Arial" w:cs="Arial"/>
          <w:sz w:val="22"/>
          <w:szCs w:val="22"/>
          <w:lang w:val="en"/>
        </w:rPr>
        <w:t>Tienderen</w:t>
      </w:r>
      <w:proofErr w:type="spellEnd"/>
      <w:r w:rsidRPr="00AE02EE">
        <w:rPr>
          <w:rFonts w:ascii="Arial" w:hAnsi="Arial" w:cs="Arial"/>
          <w:sz w:val="22"/>
          <w:szCs w:val="22"/>
          <w:lang w:val="en"/>
        </w:rPr>
        <w:t xml:space="preserve"> 2000).</w:t>
      </w:r>
    </w:p>
    <w:p w14:paraId="0AC60A82" w14:textId="77777777" w:rsidR="00395594" w:rsidRPr="00AE02EE" w:rsidRDefault="00395594" w:rsidP="00395594">
      <w:pPr>
        <w:rPr>
          <w:rFonts w:ascii="Arial" w:hAnsi="Arial" w:cs="Arial"/>
          <w:sz w:val="22"/>
          <w:szCs w:val="22"/>
        </w:rPr>
      </w:pPr>
    </w:p>
    <w:p w14:paraId="6A8DD306" w14:textId="2D94287C" w:rsidR="00395594" w:rsidRPr="00AE02EE" w:rsidRDefault="00395594" w:rsidP="00395594">
      <w:pPr>
        <w:rPr>
          <w:rFonts w:ascii="Arial" w:hAnsi="Arial" w:cs="Arial"/>
          <w:sz w:val="22"/>
          <w:szCs w:val="22"/>
          <w:lang w:val="en"/>
        </w:rPr>
      </w:pPr>
      <w:r w:rsidRPr="00AE02EE">
        <w:rPr>
          <w:rFonts w:ascii="Arial" w:hAnsi="Arial" w:cs="Arial"/>
          <w:sz w:val="22"/>
          <w:szCs w:val="22"/>
        </w:rPr>
        <w:t xml:space="preserve">Finally, we calculated the elasticity of </w:t>
      </w:r>
      <w:r w:rsidRPr="00AE02EE">
        <w:rPr>
          <w:rFonts w:ascii="Arial" w:hAnsi="Arial" w:cs="Arial"/>
          <w:sz w:val="22"/>
          <w:szCs w:val="22"/>
          <w:lang w:val="en"/>
        </w:rPr>
        <w:t xml:space="preserve">λ to the four life-cycle loops that make up the life cycle of </w:t>
      </w:r>
      <w:r w:rsidRPr="00AE02EE">
        <w:rPr>
          <w:rFonts w:ascii="Arial" w:hAnsi="Arial" w:cs="Arial"/>
          <w:i/>
          <w:iCs/>
          <w:sz w:val="22"/>
          <w:szCs w:val="22"/>
          <w:lang w:val="en"/>
        </w:rPr>
        <w:t>C. xantiana</w:t>
      </w:r>
      <w:r w:rsidRPr="00AE02EE">
        <w:rPr>
          <w:rFonts w:ascii="Arial" w:hAnsi="Arial" w:cs="Arial"/>
          <w:sz w:val="22"/>
          <w:szCs w:val="22"/>
          <w:lang w:val="en"/>
        </w:rPr>
        <w:t xml:space="preserve"> (</w:t>
      </w:r>
      <w:r w:rsidRPr="00AE02EE">
        <w:rPr>
          <w:rFonts w:ascii="Arial" w:hAnsi="Arial" w:cs="Arial"/>
          <w:b/>
          <w:bCs/>
          <w:sz w:val="22"/>
          <w:szCs w:val="22"/>
          <w:lang w:val="en"/>
        </w:rPr>
        <w:t xml:space="preserve">Supplementary Figure </w:t>
      </w:r>
      <w:r w:rsidR="00955F58" w:rsidRPr="00AE02EE">
        <w:rPr>
          <w:rFonts w:ascii="Arial" w:hAnsi="Arial" w:cs="Arial"/>
          <w:b/>
          <w:bCs/>
          <w:sz w:val="22"/>
          <w:szCs w:val="22"/>
          <w:lang w:val="en"/>
        </w:rPr>
        <w:t>1</w:t>
      </w:r>
      <w:r w:rsidRPr="00AE02EE">
        <w:rPr>
          <w:rFonts w:ascii="Arial" w:hAnsi="Arial" w:cs="Arial"/>
          <w:b/>
          <w:bCs/>
          <w:sz w:val="22"/>
          <w:szCs w:val="22"/>
          <w:lang w:val="en"/>
        </w:rPr>
        <w:t>D</w:t>
      </w:r>
      <w:r w:rsidRPr="00AE02EE">
        <w:rPr>
          <w:rFonts w:ascii="Arial" w:hAnsi="Arial" w:cs="Arial"/>
          <w:sz w:val="22"/>
          <w:szCs w:val="22"/>
          <w:lang w:val="en"/>
        </w:rPr>
        <w:t>). A life cycle loop is a pathway that starts and ends at the same stage in an organism’s life cycle (van Groenendael et al. 1994</w:t>
      </w:r>
      <w:r w:rsidR="000B552E">
        <w:rPr>
          <w:rFonts w:ascii="Arial" w:hAnsi="Arial" w:cs="Arial"/>
          <w:sz w:val="22"/>
          <w:szCs w:val="22"/>
          <w:lang w:val="en"/>
        </w:rPr>
        <w:t>;</w:t>
      </w:r>
      <w:r w:rsidRPr="00AE02EE">
        <w:rPr>
          <w:rFonts w:ascii="Arial" w:hAnsi="Arial" w:cs="Arial"/>
          <w:sz w:val="22"/>
          <w:szCs w:val="22"/>
          <w:lang w:val="en"/>
        </w:rPr>
        <w:t xml:space="preserve"> Wardle 1998</w:t>
      </w:r>
      <w:r w:rsidR="000B552E">
        <w:rPr>
          <w:rFonts w:ascii="Arial" w:hAnsi="Arial" w:cs="Arial"/>
          <w:sz w:val="22"/>
          <w:szCs w:val="22"/>
          <w:lang w:val="en"/>
        </w:rPr>
        <w:t>;</w:t>
      </w:r>
      <w:r w:rsidRPr="00AE02EE">
        <w:rPr>
          <w:rFonts w:ascii="Arial" w:hAnsi="Arial" w:cs="Arial"/>
          <w:sz w:val="22"/>
          <w:szCs w:val="22"/>
          <w:lang w:val="en"/>
        </w:rPr>
        <w:t xml:space="preserve"> de Kroon et al. 2000). For example, in an annual plant’s life cycle in which seeds can germinate within a year of being produced (i.e., there is no dormancy) or remain dormant for one or more years before germinating, the first life cycle loop starts with a newly produced seed that germinates within the first year, proceeds through seedling survival to reproduction and fruiting, and ends with newly produced seed.</w:t>
      </w:r>
      <w:r w:rsidRPr="00AE02EE">
        <w:rPr>
          <w:rFonts w:ascii="Arial" w:hAnsi="Arial" w:cs="Arial"/>
          <w:i/>
          <w:iCs/>
          <w:sz w:val="22"/>
          <w:szCs w:val="22"/>
          <w:lang w:val="en"/>
        </w:rPr>
        <w:t xml:space="preserve"> </w:t>
      </w:r>
      <w:r w:rsidRPr="00AE02EE">
        <w:rPr>
          <w:rFonts w:ascii="Arial" w:hAnsi="Arial" w:cs="Arial"/>
          <w:sz w:val="22"/>
          <w:szCs w:val="22"/>
          <w:lang w:val="en"/>
        </w:rPr>
        <w:t xml:space="preserve">In our projection matrices, this loop is described as </w:t>
      </w:r>
      <w:r w:rsidRPr="00AE02EE">
        <w:rPr>
          <w:rFonts w:ascii="Arial" w:hAnsi="Arial" w:cs="Arial"/>
          <w:i/>
          <w:iCs/>
          <w:sz w:val="22"/>
          <w:szCs w:val="22"/>
          <w:lang w:val="en"/>
        </w:rPr>
        <w:t>a</w:t>
      </w:r>
      <w:r w:rsidRPr="00AE02EE">
        <w:rPr>
          <w:rFonts w:ascii="Arial" w:hAnsi="Arial" w:cs="Arial"/>
          <w:sz w:val="22"/>
          <w:szCs w:val="22"/>
          <w:vertAlign w:val="subscript"/>
          <w:lang w:val="en"/>
        </w:rPr>
        <w:t>11</w:t>
      </w:r>
      <w:r w:rsidRPr="00AE02EE">
        <w:rPr>
          <w:rFonts w:ascii="Arial" w:hAnsi="Arial" w:cs="Arial"/>
          <w:sz w:val="22"/>
          <w:szCs w:val="22"/>
          <w:lang w:val="en"/>
        </w:rPr>
        <w:t xml:space="preserve">, and is equivalent to the fitness measure estimated in the reciprocal transplant experiment, which incorporates the likelihood of seed germination (or not) and survival and fecundity in the first year following seed sowing. The other life cycle loops describe seeds that remain dormant in the seed bank for one, two, or three or more years, respectively, before germinating. Unlike individual </w:t>
      </w:r>
      <w:r w:rsidR="00493012" w:rsidRPr="00AE02EE">
        <w:rPr>
          <w:rFonts w:ascii="Arial" w:hAnsi="Arial" w:cs="Arial"/>
          <w:sz w:val="22"/>
          <w:szCs w:val="22"/>
          <w:lang w:val="en"/>
        </w:rPr>
        <w:t xml:space="preserve">life history </w:t>
      </w:r>
      <w:r w:rsidRPr="00AE02EE">
        <w:rPr>
          <w:rFonts w:ascii="Arial" w:hAnsi="Arial" w:cs="Arial"/>
          <w:sz w:val="22"/>
          <w:szCs w:val="22"/>
          <w:lang w:val="en"/>
        </w:rPr>
        <w:t>components which may contribute to one or more matrix elements, or individual matrix elements that comprise only a portion of a life cycle pathway, life cycle loops describe complete life-history pathways. We calculated elasticities of loops according to</w:t>
      </w:r>
      <w:r w:rsidR="005E5CB2">
        <w:rPr>
          <w:rFonts w:ascii="Arial" w:hAnsi="Arial" w:cs="Arial"/>
          <w:sz w:val="22"/>
          <w:szCs w:val="22"/>
          <w:lang w:val="en"/>
        </w:rPr>
        <w:t xml:space="preserve"> previous methods</w:t>
      </w:r>
      <w:r w:rsidRPr="00AE02EE">
        <w:rPr>
          <w:rFonts w:ascii="Arial" w:hAnsi="Arial" w:cs="Arial"/>
          <w:sz w:val="22"/>
          <w:szCs w:val="22"/>
          <w:lang w:val="en"/>
        </w:rPr>
        <w:t xml:space="preserve"> (Wardle 1998, Guneralp 2007). As with elasticities of matrix elements, the elasticities of life-cycle loops sum to 1.</w:t>
      </w:r>
    </w:p>
    <w:p w14:paraId="5DE5770D" w14:textId="77777777" w:rsidR="00395594" w:rsidRPr="00AE02EE" w:rsidRDefault="00395594" w:rsidP="00395594">
      <w:pPr>
        <w:rPr>
          <w:rFonts w:ascii="Arial" w:hAnsi="Arial" w:cs="Arial"/>
          <w:sz w:val="22"/>
          <w:szCs w:val="22"/>
          <w:lang w:val="en"/>
        </w:rPr>
      </w:pPr>
    </w:p>
    <w:p w14:paraId="2C441823" w14:textId="479A0686" w:rsidR="00C63BAA" w:rsidRDefault="00395594" w:rsidP="00C63BAA">
      <w:pPr>
        <w:rPr>
          <w:rFonts w:ascii="Arial" w:eastAsia="Arial" w:hAnsi="Arial" w:cs="Arial"/>
          <w:sz w:val="32"/>
          <w:szCs w:val="32"/>
          <w:lang w:val="en"/>
        </w:rPr>
      </w:pPr>
      <w:r w:rsidRPr="00AE02EE">
        <w:rPr>
          <w:rFonts w:ascii="Arial" w:hAnsi="Arial" w:cs="Arial"/>
          <w:sz w:val="22"/>
          <w:szCs w:val="22"/>
          <w:lang w:val="en"/>
        </w:rPr>
        <w:t>We used these vital rate and loop elasticity values to calculate</w:t>
      </w:r>
      <w:r w:rsidR="00493012" w:rsidRPr="00AE02EE">
        <w:rPr>
          <w:rFonts w:ascii="Arial" w:hAnsi="Arial" w:cs="Arial"/>
          <w:sz w:val="22"/>
          <w:szCs w:val="22"/>
          <w:lang w:val="en"/>
        </w:rPr>
        <w:t xml:space="preserve"> demographic distance metric</w:t>
      </w:r>
      <w:r w:rsidR="005E5CB2">
        <w:rPr>
          <w:rFonts w:ascii="Arial" w:hAnsi="Arial" w:cs="Arial"/>
          <w:sz w:val="22"/>
          <w:szCs w:val="22"/>
          <w:lang w:val="en"/>
        </w:rPr>
        <w:t>s</w:t>
      </w:r>
      <w:r w:rsidR="00493012" w:rsidRPr="00AE02EE">
        <w:rPr>
          <w:rFonts w:ascii="Arial" w:hAnsi="Arial" w:cs="Arial"/>
          <w:sz w:val="22"/>
          <w:szCs w:val="22"/>
          <w:lang w:val="en"/>
        </w:rPr>
        <w:t xml:space="preserve"> reflecting</w:t>
      </w:r>
      <w:r w:rsidRPr="00AE02EE">
        <w:rPr>
          <w:rFonts w:ascii="Arial" w:hAnsi="Arial" w:cs="Arial"/>
          <w:sz w:val="22"/>
          <w:szCs w:val="22"/>
          <w:lang w:val="en"/>
        </w:rPr>
        <w:t xml:space="preserve"> </w:t>
      </w:r>
      <w:r w:rsidR="005E5CB2">
        <w:rPr>
          <w:rFonts w:ascii="Arial" w:hAnsi="Arial" w:cs="Arial"/>
          <w:sz w:val="22"/>
          <w:szCs w:val="22"/>
          <w:lang w:val="en"/>
        </w:rPr>
        <w:t>(</w:t>
      </w:r>
      <w:r w:rsidR="00493012" w:rsidRPr="00AE02EE">
        <w:rPr>
          <w:rFonts w:ascii="Arial" w:hAnsi="Arial" w:cs="Arial"/>
          <w:sz w:val="22"/>
          <w:szCs w:val="22"/>
          <w:lang w:val="en"/>
        </w:rPr>
        <w:t>dis</w:t>
      </w:r>
      <w:r w:rsidR="005E5CB2">
        <w:rPr>
          <w:rFonts w:ascii="Arial" w:hAnsi="Arial" w:cs="Arial"/>
          <w:sz w:val="22"/>
          <w:szCs w:val="22"/>
          <w:lang w:val="en"/>
        </w:rPr>
        <w:t>)</w:t>
      </w:r>
      <w:r w:rsidR="00493012" w:rsidRPr="00AE02EE">
        <w:rPr>
          <w:rFonts w:ascii="Arial" w:hAnsi="Arial" w:cs="Arial"/>
          <w:sz w:val="22"/>
          <w:szCs w:val="22"/>
          <w:lang w:val="en"/>
        </w:rPr>
        <w:t xml:space="preserve">similarity </w:t>
      </w:r>
      <w:r w:rsidR="005E5CB2">
        <w:rPr>
          <w:rFonts w:ascii="Arial" w:hAnsi="Arial" w:cs="Arial"/>
          <w:sz w:val="22"/>
          <w:szCs w:val="22"/>
          <w:lang w:val="en"/>
        </w:rPr>
        <w:t>across populations in</w:t>
      </w:r>
      <w:r w:rsidR="00493012" w:rsidRPr="00AE02EE">
        <w:rPr>
          <w:rFonts w:ascii="Arial" w:hAnsi="Arial" w:cs="Arial"/>
          <w:sz w:val="22"/>
          <w:szCs w:val="22"/>
          <w:lang w:val="en"/>
        </w:rPr>
        <w:t xml:space="preserve"> patterns of vital rate elasticities or loop elasticities, </w:t>
      </w:r>
      <w:r w:rsidRPr="00AE02EE">
        <w:rPr>
          <w:rFonts w:ascii="Arial" w:hAnsi="Arial" w:cs="Arial"/>
          <w:sz w:val="22"/>
          <w:szCs w:val="22"/>
          <w:lang w:val="en"/>
        </w:rPr>
        <w:t>using several approaches (</w:t>
      </w:r>
      <w:r w:rsidRPr="00AE02EE">
        <w:rPr>
          <w:rFonts w:ascii="Arial" w:hAnsi="Arial" w:cs="Arial"/>
          <w:b/>
          <w:bCs/>
          <w:sz w:val="22"/>
          <w:szCs w:val="22"/>
          <w:lang w:val="en"/>
        </w:rPr>
        <w:t xml:space="preserve">Appendix </w:t>
      </w:r>
      <w:r w:rsidR="00AD5260" w:rsidRPr="00AE02EE">
        <w:rPr>
          <w:rFonts w:ascii="Arial" w:hAnsi="Arial" w:cs="Arial"/>
          <w:b/>
          <w:bCs/>
          <w:sz w:val="22"/>
          <w:szCs w:val="22"/>
          <w:lang w:val="en"/>
        </w:rPr>
        <w:t>S2</w:t>
      </w:r>
      <w:r w:rsidRPr="00AE02EE">
        <w:rPr>
          <w:rFonts w:ascii="Arial" w:hAnsi="Arial" w:cs="Arial"/>
          <w:sz w:val="22"/>
          <w:szCs w:val="22"/>
          <w:lang w:val="en"/>
        </w:rPr>
        <w:t>).</w:t>
      </w:r>
      <w:r w:rsidR="00C63BAA">
        <w:br w:type="page"/>
      </w:r>
    </w:p>
    <w:p w14:paraId="1A419B2F" w14:textId="0C8D856B" w:rsidR="00AD5260" w:rsidRPr="00544595" w:rsidRDefault="00AD5260" w:rsidP="00AD5260">
      <w:pPr>
        <w:pStyle w:val="Heading2"/>
      </w:pPr>
      <w:r w:rsidRPr="00544595">
        <w:t>Appendix S2: Pairwise demographic distance calculations</w:t>
      </w:r>
    </w:p>
    <w:p w14:paraId="66AB68C3" w14:textId="152A66BC" w:rsidR="00E84793" w:rsidRPr="00AE02EE" w:rsidRDefault="00AD5260" w:rsidP="00E84793">
      <w:pPr>
        <w:rPr>
          <w:rFonts w:ascii="Arial" w:hAnsi="Arial" w:cs="Arial"/>
          <w:sz w:val="22"/>
          <w:szCs w:val="22"/>
        </w:rPr>
      </w:pPr>
      <w:r w:rsidRPr="00AE02EE">
        <w:rPr>
          <w:rFonts w:ascii="Arial" w:hAnsi="Arial" w:cs="Arial"/>
          <w:sz w:val="22"/>
          <w:szCs w:val="22"/>
        </w:rPr>
        <w:t>Unlike quantifying geographic or environmental distances/dissimilarities among populations (</w:t>
      </w:r>
      <w:proofErr w:type="spellStart"/>
      <w:r w:rsidRPr="00AE02EE">
        <w:rPr>
          <w:rFonts w:ascii="Arial" w:hAnsi="Arial" w:cs="Arial"/>
          <w:sz w:val="22"/>
          <w:szCs w:val="22"/>
        </w:rPr>
        <w:t>Bontrager</w:t>
      </w:r>
      <w:proofErr w:type="spellEnd"/>
      <w:r w:rsidRPr="00AE02EE">
        <w:rPr>
          <w:rFonts w:ascii="Arial" w:hAnsi="Arial" w:cs="Arial"/>
          <w:sz w:val="22"/>
          <w:szCs w:val="22"/>
        </w:rPr>
        <w:t xml:space="preserve"> &amp; </w:t>
      </w:r>
      <w:proofErr w:type="spellStart"/>
      <w:r w:rsidRPr="00AE02EE">
        <w:rPr>
          <w:rFonts w:ascii="Arial" w:hAnsi="Arial" w:cs="Arial"/>
          <w:sz w:val="22"/>
          <w:szCs w:val="22"/>
        </w:rPr>
        <w:t>Angert</w:t>
      </w:r>
      <w:proofErr w:type="spellEnd"/>
      <w:r w:rsidRPr="00AE02EE">
        <w:rPr>
          <w:rFonts w:ascii="Arial" w:hAnsi="Arial" w:cs="Arial"/>
          <w:sz w:val="22"/>
          <w:szCs w:val="22"/>
        </w:rPr>
        <w:t xml:space="preserve"> 2019</w:t>
      </w:r>
      <w:r w:rsidR="000B552E">
        <w:rPr>
          <w:rFonts w:ascii="Arial" w:hAnsi="Arial" w:cs="Arial"/>
          <w:sz w:val="22"/>
          <w:szCs w:val="22"/>
        </w:rPr>
        <w:t>;</w:t>
      </w:r>
      <w:r w:rsidRPr="00AE02EE">
        <w:rPr>
          <w:rFonts w:ascii="Arial" w:hAnsi="Arial" w:cs="Arial"/>
          <w:sz w:val="22"/>
          <w:szCs w:val="22"/>
        </w:rPr>
        <w:t xml:space="preserve"> Anderson &amp; </w:t>
      </w:r>
      <w:proofErr w:type="spellStart"/>
      <w:r w:rsidRPr="00AE02EE">
        <w:rPr>
          <w:rFonts w:ascii="Arial" w:hAnsi="Arial" w:cs="Arial"/>
          <w:sz w:val="22"/>
          <w:szCs w:val="22"/>
        </w:rPr>
        <w:t>Wadgymar</w:t>
      </w:r>
      <w:proofErr w:type="spellEnd"/>
      <w:r w:rsidRPr="00AE02EE">
        <w:rPr>
          <w:rFonts w:ascii="Arial" w:hAnsi="Arial" w:cs="Arial"/>
          <w:sz w:val="22"/>
          <w:szCs w:val="22"/>
        </w:rPr>
        <w:t xml:space="preserve"> 2020</w:t>
      </w:r>
      <w:r w:rsidR="000B552E">
        <w:rPr>
          <w:rFonts w:ascii="Arial" w:hAnsi="Arial" w:cs="Arial"/>
          <w:sz w:val="22"/>
          <w:szCs w:val="22"/>
        </w:rPr>
        <w:t>;</w:t>
      </w:r>
      <w:r w:rsidRPr="00AE02EE">
        <w:rPr>
          <w:rFonts w:ascii="Arial" w:hAnsi="Arial" w:cs="Arial"/>
          <w:sz w:val="22"/>
          <w:szCs w:val="22"/>
        </w:rPr>
        <w:t xml:space="preserve"> </w:t>
      </w:r>
      <w:proofErr w:type="spellStart"/>
      <w:r w:rsidRPr="00AE02EE">
        <w:rPr>
          <w:rFonts w:ascii="Arial" w:hAnsi="Arial" w:cs="Arial"/>
          <w:sz w:val="22"/>
          <w:szCs w:val="22"/>
        </w:rPr>
        <w:t>DeMarche</w:t>
      </w:r>
      <w:proofErr w:type="spellEnd"/>
      <w:r w:rsidRPr="00AE02EE">
        <w:rPr>
          <w:rFonts w:ascii="Arial" w:hAnsi="Arial" w:cs="Arial"/>
          <w:sz w:val="22"/>
          <w:szCs w:val="22"/>
        </w:rPr>
        <w:t xml:space="preserve"> et al. 2020</w:t>
      </w:r>
      <w:r w:rsidR="000B552E">
        <w:rPr>
          <w:rFonts w:ascii="Arial" w:hAnsi="Arial" w:cs="Arial"/>
          <w:sz w:val="22"/>
          <w:szCs w:val="22"/>
        </w:rPr>
        <w:t>;</w:t>
      </w:r>
      <w:r w:rsidRPr="00AE02EE">
        <w:rPr>
          <w:rFonts w:ascii="Arial" w:hAnsi="Arial" w:cs="Arial"/>
          <w:sz w:val="22"/>
          <w:szCs w:val="22"/>
        </w:rPr>
        <w:t xml:space="preserve"> Gorton et al. 2022), </w:t>
      </w:r>
      <w:r w:rsidR="005E5CB2">
        <w:rPr>
          <w:rFonts w:ascii="Arial" w:hAnsi="Arial" w:cs="Arial"/>
          <w:sz w:val="22"/>
          <w:szCs w:val="22"/>
        </w:rPr>
        <w:t xml:space="preserve">to our knowledge </w:t>
      </w:r>
      <w:r w:rsidRPr="00AE02EE">
        <w:rPr>
          <w:rFonts w:ascii="Arial" w:hAnsi="Arial" w:cs="Arial"/>
          <w:sz w:val="22"/>
          <w:szCs w:val="22"/>
        </w:rPr>
        <w:t xml:space="preserve">there are no </w:t>
      </w:r>
      <w:r w:rsidR="005E5CB2">
        <w:rPr>
          <w:rFonts w:ascii="Arial" w:hAnsi="Arial" w:cs="Arial"/>
          <w:sz w:val="22"/>
          <w:szCs w:val="22"/>
        </w:rPr>
        <w:t>established</w:t>
      </w:r>
      <w:r w:rsidRPr="00AE02EE">
        <w:rPr>
          <w:rFonts w:ascii="Arial" w:hAnsi="Arial" w:cs="Arial"/>
          <w:sz w:val="22"/>
          <w:szCs w:val="22"/>
        </w:rPr>
        <w:t xml:space="preserve"> methods to quantify demographic </w:t>
      </w:r>
      <w:r w:rsidR="005E5CB2">
        <w:rPr>
          <w:rFonts w:ascii="Arial" w:hAnsi="Arial" w:cs="Arial"/>
          <w:sz w:val="22"/>
          <w:szCs w:val="22"/>
        </w:rPr>
        <w:t>(dis)similarity</w:t>
      </w:r>
      <w:r w:rsidRPr="00AE02EE">
        <w:rPr>
          <w:rFonts w:ascii="Arial" w:hAnsi="Arial" w:cs="Arial"/>
          <w:sz w:val="22"/>
          <w:szCs w:val="22"/>
        </w:rPr>
        <w:t xml:space="preserve"> among populations. We compared three metrics for describing demographic distances among our focal populations</w:t>
      </w:r>
      <w:r w:rsidR="005E5CB2">
        <w:rPr>
          <w:rFonts w:ascii="Arial" w:hAnsi="Arial" w:cs="Arial"/>
          <w:sz w:val="22"/>
          <w:szCs w:val="22"/>
        </w:rPr>
        <w:t>.</w:t>
      </w:r>
    </w:p>
    <w:p w14:paraId="30FCCC1E" w14:textId="77777777" w:rsidR="00E84793" w:rsidRPr="00AE02EE" w:rsidRDefault="00E84793" w:rsidP="00E84793">
      <w:pPr>
        <w:rPr>
          <w:rFonts w:ascii="Arial" w:hAnsi="Arial" w:cs="Arial"/>
          <w:sz w:val="22"/>
          <w:szCs w:val="22"/>
        </w:rPr>
      </w:pPr>
    </w:p>
    <w:p w14:paraId="73BB0D15" w14:textId="75233FF0" w:rsidR="00E84793" w:rsidRPr="00AE02EE" w:rsidRDefault="008E1757" w:rsidP="001B2ABC">
      <w:pPr>
        <w:rPr>
          <w:rFonts w:ascii="Arial" w:hAnsi="Arial" w:cs="Arial"/>
          <w:sz w:val="22"/>
          <w:szCs w:val="22"/>
        </w:rPr>
      </w:pPr>
      <w:r w:rsidRPr="00AE02EE">
        <w:rPr>
          <w:rFonts w:ascii="Arial" w:hAnsi="Arial" w:cs="Arial"/>
          <w:sz w:val="22"/>
          <w:szCs w:val="22"/>
        </w:rPr>
        <w:t xml:space="preserve">In Method A, we used elasticities of </w:t>
      </w:r>
      <w:r w:rsidR="00E84793" w:rsidRPr="00AE02EE">
        <w:rPr>
          <w:rFonts w:ascii="Arial" w:hAnsi="Arial" w:cs="Arial"/>
          <w:sz w:val="22"/>
          <w:szCs w:val="22"/>
        </w:rPr>
        <w:t xml:space="preserve">the 4 </w:t>
      </w:r>
      <w:r w:rsidRPr="00AE02EE">
        <w:rPr>
          <w:rFonts w:ascii="Arial" w:hAnsi="Arial" w:cs="Arial"/>
          <w:sz w:val="22"/>
          <w:szCs w:val="22"/>
        </w:rPr>
        <w:t xml:space="preserve">life cycle loops to describe how populations differ in the contributions </w:t>
      </w:r>
      <w:r w:rsidR="001B2ABC" w:rsidRPr="00AE02EE">
        <w:rPr>
          <w:rFonts w:ascii="Arial" w:hAnsi="Arial" w:cs="Arial"/>
          <w:sz w:val="22"/>
          <w:szCs w:val="22"/>
        </w:rPr>
        <w:t xml:space="preserve">of </w:t>
      </w:r>
      <w:r w:rsidRPr="00AE02EE">
        <w:rPr>
          <w:rFonts w:ascii="Arial" w:hAnsi="Arial" w:cs="Arial"/>
          <w:sz w:val="22"/>
          <w:szCs w:val="22"/>
        </w:rPr>
        <w:t xml:space="preserve">these loops to </w:t>
      </w:r>
      <w:r w:rsidR="001B2ABC" w:rsidRPr="00AE02EE">
        <w:rPr>
          <w:rFonts w:ascii="Arial" w:hAnsi="Arial" w:cs="Arial"/>
          <w:sz w:val="22"/>
          <w:szCs w:val="22"/>
          <w:lang w:val="en"/>
        </w:rPr>
        <w:t>λ</w:t>
      </w:r>
      <w:r w:rsidRPr="00AE02EE">
        <w:rPr>
          <w:rFonts w:ascii="Arial" w:hAnsi="Arial" w:cs="Arial"/>
          <w:sz w:val="22"/>
          <w:szCs w:val="22"/>
        </w:rPr>
        <w:t xml:space="preserve">. </w:t>
      </w:r>
      <w:r w:rsidR="00E84793" w:rsidRPr="00AE02EE">
        <w:rPr>
          <w:rFonts w:ascii="Arial" w:hAnsi="Arial" w:cs="Arial"/>
          <w:sz w:val="22"/>
          <w:szCs w:val="22"/>
        </w:rPr>
        <w:t xml:space="preserve">We calculated pairwise demographic distances between populations in 4-dimensional elasticity space (1 dimension for the elasticity of each of the four life cycle loops; </w:t>
      </w:r>
      <w:r w:rsidR="00E84793" w:rsidRPr="00AE02EE">
        <w:rPr>
          <w:rFonts w:ascii="Arial" w:hAnsi="Arial" w:cs="Arial"/>
          <w:b/>
          <w:bCs/>
          <w:sz w:val="22"/>
          <w:szCs w:val="22"/>
        </w:rPr>
        <w:t xml:space="preserve">Supplementary Figure </w:t>
      </w:r>
      <w:r w:rsidR="001D1EA2" w:rsidRPr="00AE02EE">
        <w:rPr>
          <w:rFonts w:ascii="Arial" w:hAnsi="Arial" w:cs="Arial"/>
          <w:b/>
          <w:bCs/>
          <w:sz w:val="22"/>
          <w:szCs w:val="22"/>
        </w:rPr>
        <w:t>1</w:t>
      </w:r>
      <w:r w:rsidR="00E84793" w:rsidRPr="00AE02EE">
        <w:rPr>
          <w:rFonts w:ascii="Arial" w:hAnsi="Arial" w:cs="Arial"/>
          <w:b/>
          <w:bCs/>
          <w:sz w:val="22"/>
          <w:szCs w:val="22"/>
        </w:rPr>
        <w:t xml:space="preserve">D; Supplementary Figure </w:t>
      </w:r>
      <w:r w:rsidR="002118C5">
        <w:rPr>
          <w:rFonts w:ascii="Arial" w:hAnsi="Arial" w:cs="Arial"/>
          <w:b/>
          <w:bCs/>
          <w:sz w:val="22"/>
          <w:szCs w:val="22"/>
        </w:rPr>
        <w:t>2</w:t>
      </w:r>
      <w:r w:rsidR="00E84793" w:rsidRPr="00AE02EE">
        <w:rPr>
          <w:rFonts w:ascii="Arial" w:hAnsi="Arial" w:cs="Arial"/>
          <w:b/>
          <w:bCs/>
          <w:sz w:val="22"/>
          <w:szCs w:val="22"/>
        </w:rPr>
        <w:t>A</w:t>
      </w:r>
      <w:r w:rsidR="00E84793" w:rsidRPr="00AE02EE">
        <w:rPr>
          <w:rFonts w:ascii="Arial" w:hAnsi="Arial" w:cs="Arial"/>
          <w:sz w:val="22"/>
          <w:szCs w:val="22"/>
        </w:rPr>
        <w:t xml:space="preserve">), using the Manhattan method. </w:t>
      </w:r>
    </w:p>
    <w:p w14:paraId="03792629" w14:textId="77777777" w:rsidR="00E84793" w:rsidRPr="00AE02EE" w:rsidRDefault="00E84793" w:rsidP="001B2ABC">
      <w:pPr>
        <w:rPr>
          <w:rFonts w:ascii="Arial" w:hAnsi="Arial" w:cs="Arial"/>
          <w:sz w:val="22"/>
          <w:szCs w:val="22"/>
        </w:rPr>
      </w:pPr>
    </w:p>
    <w:p w14:paraId="67EA4459" w14:textId="772A201D" w:rsidR="00E84793" w:rsidRPr="00AE02EE" w:rsidRDefault="008E1757" w:rsidP="00E84793">
      <w:pPr>
        <w:rPr>
          <w:rFonts w:ascii="Arial" w:hAnsi="Arial" w:cs="Arial"/>
          <w:bCs/>
          <w:sz w:val="22"/>
          <w:szCs w:val="22"/>
        </w:rPr>
      </w:pPr>
      <w:r w:rsidRPr="00AE02EE">
        <w:rPr>
          <w:rFonts w:ascii="Arial" w:hAnsi="Arial" w:cs="Arial"/>
          <w:sz w:val="22"/>
          <w:szCs w:val="22"/>
        </w:rPr>
        <w:t xml:space="preserve">In </w:t>
      </w:r>
      <w:r w:rsidR="001B2ABC" w:rsidRPr="00AE02EE">
        <w:rPr>
          <w:rFonts w:ascii="Arial" w:hAnsi="Arial" w:cs="Arial"/>
          <w:sz w:val="22"/>
          <w:szCs w:val="22"/>
        </w:rPr>
        <w:t xml:space="preserve">Method B, we used </w:t>
      </w:r>
      <w:r w:rsidR="00E84793" w:rsidRPr="00AE02EE">
        <w:rPr>
          <w:rFonts w:ascii="Arial" w:hAnsi="Arial" w:cs="Arial"/>
          <w:sz w:val="22"/>
          <w:szCs w:val="22"/>
        </w:rPr>
        <w:t xml:space="preserve">the </w:t>
      </w:r>
      <w:r w:rsidR="001B2ABC" w:rsidRPr="00AE02EE">
        <w:rPr>
          <w:rFonts w:ascii="Arial" w:hAnsi="Arial" w:cs="Arial"/>
          <w:sz w:val="22"/>
          <w:szCs w:val="22"/>
        </w:rPr>
        <w:t xml:space="preserve">elasticities of 12 underlying vital rates to describe how populations differ in the contributions the vital rates to </w:t>
      </w:r>
      <w:r w:rsidR="001B2ABC" w:rsidRPr="00AE02EE">
        <w:rPr>
          <w:rFonts w:ascii="Arial" w:hAnsi="Arial" w:cs="Arial"/>
          <w:sz w:val="22"/>
          <w:szCs w:val="22"/>
          <w:lang w:val="en"/>
        </w:rPr>
        <w:t>λ</w:t>
      </w:r>
      <w:r w:rsidR="001B2ABC" w:rsidRPr="00AE02EE">
        <w:rPr>
          <w:rFonts w:ascii="Arial" w:hAnsi="Arial" w:cs="Arial"/>
          <w:sz w:val="22"/>
          <w:szCs w:val="22"/>
        </w:rPr>
        <w:t>. We omitted the elasticity of the vital rate</w:t>
      </w:r>
      <w:r w:rsidR="00E84793" w:rsidRPr="00AE02EE">
        <w:rPr>
          <w:rFonts w:ascii="Arial" w:hAnsi="Arial" w:cs="Arial"/>
          <w:sz w:val="22"/>
          <w:szCs w:val="22"/>
        </w:rPr>
        <w:t xml:space="preserve"> s0, seed survivorship from dispersal in July to the initiation of seed bag experiments,</w:t>
      </w:r>
      <w:r w:rsidR="001B2ABC" w:rsidRPr="00AE02EE">
        <w:rPr>
          <w:rFonts w:ascii="Arial" w:hAnsi="Arial" w:cs="Arial"/>
          <w:sz w:val="22"/>
          <w:szCs w:val="22"/>
        </w:rPr>
        <w:t xml:space="preserve"> because s0 is derived from other vital rates (</w:t>
      </w:r>
      <w:r w:rsidR="001B2ABC" w:rsidRPr="001C5CD1">
        <w:rPr>
          <w:rFonts w:ascii="Arial" w:hAnsi="Arial" w:cs="Arial"/>
          <w:b/>
          <w:bCs/>
          <w:sz w:val="22"/>
          <w:szCs w:val="22"/>
        </w:rPr>
        <w:t xml:space="preserve">Appendix </w:t>
      </w:r>
      <w:r w:rsidR="00E84793" w:rsidRPr="00AE02EE">
        <w:rPr>
          <w:rFonts w:ascii="Arial" w:hAnsi="Arial" w:cs="Arial"/>
          <w:b/>
          <w:bCs/>
          <w:sz w:val="22"/>
          <w:szCs w:val="22"/>
        </w:rPr>
        <w:t>S</w:t>
      </w:r>
      <w:r w:rsidR="001B2ABC" w:rsidRPr="001C5CD1">
        <w:rPr>
          <w:rFonts w:ascii="Arial" w:hAnsi="Arial" w:cs="Arial"/>
          <w:b/>
          <w:bCs/>
          <w:sz w:val="22"/>
          <w:szCs w:val="22"/>
        </w:rPr>
        <w:t>1</w:t>
      </w:r>
      <w:r w:rsidR="001B2ABC" w:rsidRPr="00AE02EE">
        <w:rPr>
          <w:rFonts w:ascii="Arial" w:hAnsi="Arial" w:cs="Arial"/>
          <w:sz w:val="22"/>
          <w:szCs w:val="22"/>
        </w:rPr>
        <w:t xml:space="preserve">). </w:t>
      </w:r>
      <w:r w:rsidR="00E84793" w:rsidRPr="00AE02EE">
        <w:rPr>
          <w:rFonts w:ascii="Arial" w:hAnsi="Arial" w:cs="Arial"/>
          <w:sz w:val="22"/>
          <w:szCs w:val="22"/>
        </w:rPr>
        <w:t>We performed a principal component analysis of the 12 elasticities and calculated pairwise demographic distance between populations as the Euclidean distance in 3-dimensional PCA space defined by the first three PCA axes (</w:t>
      </w:r>
      <w:r w:rsidR="00E84793" w:rsidRPr="00AE02EE">
        <w:rPr>
          <w:rFonts w:ascii="Arial" w:hAnsi="Arial" w:cs="Arial"/>
          <w:b/>
          <w:bCs/>
          <w:sz w:val="22"/>
          <w:szCs w:val="22"/>
        </w:rPr>
        <w:t>Figure 1D</w:t>
      </w:r>
      <w:r w:rsidR="00E84793" w:rsidRPr="00AE02EE">
        <w:rPr>
          <w:rFonts w:ascii="Arial" w:hAnsi="Arial" w:cs="Arial"/>
          <w:sz w:val="22"/>
          <w:szCs w:val="22"/>
        </w:rPr>
        <w:t xml:space="preserve">). In </w:t>
      </w:r>
      <w:r w:rsidR="005E5CB2">
        <w:rPr>
          <w:rFonts w:ascii="Arial" w:hAnsi="Arial" w:cs="Arial"/>
          <w:sz w:val="22"/>
          <w:szCs w:val="22"/>
        </w:rPr>
        <w:t>M</w:t>
      </w:r>
      <w:r w:rsidR="00E84793" w:rsidRPr="00AE02EE">
        <w:rPr>
          <w:rFonts w:ascii="Arial" w:hAnsi="Arial" w:cs="Arial"/>
          <w:sz w:val="22"/>
          <w:szCs w:val="22"/>
        </w:rPr>
        <w:t>ethod B, our vital rate elasticity principal components analysis separated populations based on the importance of immediate vs. 1-year-delayed vs. 3-or-more-year-delayed vital rates in driving λ (</w:t>
      </w:r>
      <w:r w:rsidR="00E84793" w:rsidRPr="00AE02EE">
        <w:rPr>
          <w:rFonts w:ascii="Arial" w:hAnsi="Arial" w:cs="Arial"/>
          <w:b/>
          <w:sz w:val="22"/>
          <w:szCs w:val="22"/>
        </w:rPr>
        <w:t xml:space="preserve">Supplementary Figure </w:t>
      </w:r>
      <w:r w:rsidR="00F641F3" w:rsidRPr="00AE02EE">
        <w:rPr>
          <w:rFonts w:ascii="Arial" w:hAnsi="Arial" w:cs="Arial"/>
          <w:b/>
          <w:sz w:val="22"/>
          <w:szCs w:val="22"/>
        </w:rPr>
        <w:t>4</w:t>
      </w:r>
      <w:r w:rsidR="00E84793" w:rsidRPr="00AE02EE">
        <w:rPr>
          <w:rFonts w:ascii="Arial" w:hAnsi="Arial" w:cs="Arial"/>
          <w:b/>
          <w:sz w:val="22"/>
          <w:szCs w:val="22"/>
        </w:rPr>
        <w:t xml:space="preserve">; Supplementary Table </w:t>
      </w:r>
      <w:r w:rsidR="00F641F3" w:rsidRPr="00AE02EE">
        <w:rPr>
          <w:rFonts w:ascii="Arial" w:hAnsi="Arial" w:cs="Arial"/>
          <w:b/>
          <w:sz w:val="22"/>
          <w:szCs w:val="22"/>
        </w:rPr>
        <w:t>1</w:t>
      </w:r>
      <w:r w:rsidR="00E84793" w:rsidRPr="00AE02EE">
        <w:rPr>
          <w:rFonts w:ascii="Arial" w:hAnsi="Arial" w:cs="Arial"/>
          <w:bCs/>
          <w:sz w:val="22"/>
          <w:szCs w:val="22"/>
        </w:rPr>
        <w:t>).</w:t>
      </w:r>
    </w:p>
    <w:p w14:paraId="541E64A4" w14:textId="77777777" w:rsidR="00E84793" w:rsidRPr="00AE02EE" w:rsidRDefault="00E84793" w:rsidP="001B2ABC">
      <w:pPr>
        <w:rPr>
          <w:rFonts w:ascii="Arial" w:hAnsi="Arial" w:cs="Arial"/>
          <w:sz w:val="22"/>
          <w:szCs w:val="22"/>
        </w:rPr>
      </w:pPr>
    </w:p>
    <w:p w14:paraId="7C027C54" w14:textId="61185E4C" w:rsidR="008879F5" w:rsidRPr="00AE02EE" w:rsidRDefault="008879F5" w:rsidP="008879F5">
      <w:pPr>
        <w:rPr>
          <w:rFonts w:ascii="Arial" w:hAnsi="Arial" w:cs="Arial"/>
          <w:bCs/>
          <w:sz w:val="22"/>
          <w:szCs w:val="22"/>
        </w:rPr>
      </w:pPr>
      <w:r w:rsidRPr="00AE02EE">
        <w:rPr>
          <w:rFonts w:ascii="Arial" w:hAnsi="Arial" w:cs="Arial"/>
          <w:bCs/>
          <w:sz w:val="22"/>
          <w:szCs w:val="22"/>
        </w:rPr>
        <w:t xml:space="preserve">In parallel with Method B, we also computed demographic distances between pairs of populations using stochastic elasticities that measure </w:t>
      </w:r>
      <w:proofErr w:type="spellStart"/>
      <w:r w:rsidRPr="00AE02EE">
        <w:rPr>
          <w:rFonts w:ascii="Arial" w:hAnsi="Arial" w:cs="Arial"/>
          <w:sz w:val="22"/>
          <w:szCs w:val="22"/>
        </w:rPr>
        <w:t>λ</w:t>
      </w:r>
      <w:r w:rsidRPr="00AE02EE">
        <w:rPr>
          <w:rFonts w:ascii="Arial" w:hAnsi="Arial" w:cs="Arial"/>
          <w:sz w:val="22"/>
          <w:szCs w:val="22"/>
          <w:vertAlign w:val="subscript"/>
        </w:rPr>
        <w:t>s</w:t>
      </w:r>
      <w:r w:rsidRPr="00AE02EE">
        <w:rPr>
          <w:rFonts w:ascii="Arial" w:hAnsi="Arial" w:cs="Arial"/>
          <w:sz w:val="22"/>
          <w:szCs w:val="22"/>
        </w:rPr>
        <w:t>’s</w:t>
      </w:r>
      <w:proofErr w:type="spellEnd"/>
      <w:r w:rsidRPr="00AE02EE">
        <w:rPr>
          <w:rFonts w:ascii="Arial" w:hAnsi="Arial" w:cs="Arial"/>
          <w:sz w:val="22"/>
          <w:szCs w:val="22"/>
          <w:lang w:val="en"/>
        </w:rPr>
        <w:t xml:space="preserve"> </w:t>
      </w:r>
      <w:r w:rsidR="005E5CB2">
        <w:rPr>
          <w:rFonts w:ascii="Arial" w:hAnsi="Arial" w:cs="Arial"/>
          <w:sz w:val="22"/>
          <w:szCs w:val="22"/>
          <w:lang w:val="en"/>
        </w:rPr>
        <w:t>elasticity</w:t>
      </w:r>
      <w:r w:rsidRPr="00AE02EE">
        <w:rPr>
          <w:rFonts w:ascii="Arial" w:hAnsi="Arial" w:cs="Arial"/>
          <w:sz w:val="22"/>
          <w:szCs w:val="22"/>
          <w:lang w:val="en"/>
        </w:rPr>
        <w:t xml:space="preserve"> to proportional changes in the </w:t>
      </w:r>
      <w:r w:rsidRPr="00AE02EE">
        <w:rPr>
          <w:rFonts w:ascii="Arial" w:hAnsi="Arial" w:cs="Arial"/>
          <w:bCs/>
          <w:sz w:val="22"/>
          <w:szCs w:val="22"/>
        </w:rPr>
        <w:t>12 vital rates</w:t>
      </w:r>
      <w:r w:rsidRPr="00AE02EE">
        <w:rPr>
          <w:rFonts w:ascii="Arial" w:hAnsi="Arial" w:cs="Arial"/>
          <w:sz w:val="22"/>
          <w:szCs w:val="22"/>
          <w:lang w:val="en"/>
        </w:rPr>
        <w:t>, accounting for inter-annual variation in the vital rates</w:t>
      </w:r>
      <w:r w:rsidR="001F4DED" w:rsidRPr="00AE02EE">
        <w:rPr>
          <w:rFonts w:ascii="Arial" w:hAnsi="Arial" w:cs="Arial"/>
          <w:sz w:val="22"/>
          <w:szCs w:val="22"/>
          <w:lang w:val="en"/>
        </w:rPr>
        <w:t xml:space="preserve"> (</w:t>
      </w:r>
      <w:r w:rsidR="001F4DED" w:rsidRPr="001C5CD1">
        <w:rPr>
          <w:rFonts w:ascii="Arial" w:hAnsi="Arial" w:cs="Arial"/>
          <w:color w:val="222222"/>
          <w:sz w:val="22"/>
          <w:szCs w:val="22"/>
          <w:shd w:val="clear" w:color="auto" w:fill="FFFFFF"/>
        </w:rPr>
        <w:t>Tuljapurkar et al. 2003</w:t>
      </w:r>
      <w:r w:rsidR="001F4DED" w:rsidRPr="00AE02EE">
        <w:rPr>
          <w:rFonts w:ascii="Arial" w:hAnsi="Arial" w:cs="Arial"/>
          <w:color w:val="222222"/>
          <w:sz w:val="22"/>
          <w:szCs w:val="22"/>
          <w:shd w:val="clear" w:color="auto" w:fill="FFFFFF"/>
        </w:rPr>
        <w:t xml:space="preserve">; </w:t>
      </w:r>
      <w:proofErr w:type="spellStart"/>
      <w:r w:rsidR="001F4DED" w:rsidRPr="001C5CD1">
        <w:rPr>
          <w:rFonts w:ascii="Arial" w:hAnsi="Arial" w:cs="Arial"/>
          <w:color w:val="222222"/>
          <w:sz w:val="22"/>
          <w:szCs w:val="22"/>
          <w:shd w:val="clear" w:color="auto" w:fill="FFFFFF"/>
        </w:rPr>
        <w:t>Haridas</w:t>
      </w:r>
      <w:proofErr w:type="spellEnd"/>
      <w:r w:rsidR="001F4DED" w:rsidRPr="001C5CD1">
        <w:rPr>
          <w:rFonts w:ascii="Arial" w:hAnsi="Arial" w:cs="Arial"/>
          <w:color w:val="222222"/>
          <w:sz w:val="22"/>
          <w:szCs w:val="22"/>
          <w:shd w:val="clear" w:color="auto" w:fill="FFFFFF"/>
        </w:rPr>
        <w:t xml:space="preserve"> &amp; Tuljapurkar 2005)</w:t>
      </w:r>
      <w:r w:rsidRPr="00AE02EE">
        <w:rPr>
          <w:rFonts w:ascii="Arial" w:hAnsi="Arial" w:cs="Arial"/>
          <w:sz w:val="22"/>
          <w:szCs w:val="22"/>
          <w:lang w:val="en"/>
        </w:rPr>
        <w:t xml:space="preserve">.  Demographic distances based on stochastic elasticities were similar to those based on deterministic elasticities. </w:t>
      </w:r>
    </w:p>
    <w:p w14:paraId="586AD978" w14:textId="77777777" w:rsidR="008879F5" w:rsidRPr="00AE02EE" w:rsidRDefault="008879F5" w:rsidP="001B2ABC">
      <w:pPr>
        <w:rPr>
          <w:rFonts w:ascii="Arial" w:hAnsi="Arial" w:cs="Arial"/>
          <w:sz w:val="22"/>
          <w:szCs w:val="22"/>
        </w:rPr>
      </w:pPr>
    </w:p>
    <w:p w14:paraId="2FFB0BE8" w14:textId="2B122030" w:rsidR="00AD5260" w:rsidRPr="00AE02EE" w:rsidRDefault="001B2ABC" w:rsidP="00AD5260">
      <w:pPr>
        <w:rPr>
          <w:rFonts w:ascii="Arial" w:hAnsi="Arial" w:cs="Arial"/>
          <w:sz w:val="22"/>
          <w:szCs w:val="22"/>
        </w:rPr>
      </w:pPr>
      <w:r w:rsidRPr="00AE02EE">
        <w:rPr>
          <w:rFonts w:ascii="Arial" w:hAnsi="Arial" w:cs="Arial"/>
          <w:sz w:val="22"/>
          <w:szCs w:val="22"/>
        </w:rPr>
        <w:t xml:space="preserve">In Method C, we focused on elasticities of two vital rates, </w:t>
      </w:r>
      <w:r w:rsidRPr="00AE02EE">
        <w:rPr>
          <w:rFonts w:ascii="Arial" w:hAnsi="Arial" w:cs="Arial"/>
          <w:i/>
          <w:iCs/>
          <w:sz w:val="22"/>
          <w:szCs w:val="22"/>
        </w:rPr>
        <w:t>g</w:t>
      </w:r>
      <w:r w:rsidRPr="00AE02EE">
        <w:rPr>
          <w:rFonts w:ascii="Arial" w:hAnsi="Arial" w:cs="Arial"/>
          <w:sz w:val="22"/>
          <w:szCs w:val="22"/>
          <w:vertAlign w:val="subscript"/>
        </w:rPr>
        <w:t>1</w:t>
      </w:r>
      <w:r w:rsidRPr="00AE02EE">
        <w:rPr>
          <w:rFonts w:ascii="Arial" w:hAnsi="Arial" w:cs="Arial"/>
          <w:sz w:val="22"/>
          <w:szCs w:val="22"/>
        </w:rPr>
        <w:t xml:space="preserve"> and </w:t>
      </w:r>
      <w:r w:rsidRPr="00AE02EE">
        <w:rPr>
          <w:rFonts w:ascii="Arial" w:hAnsi="Arial" w:cs="Arial"/>
          <w:i/>
          <w:iCs/>
          <w:sz w:val="22"/>
          <w:szCs w:val="22"/>
        </w:rPr>
        <w:t>F</w:t>
      </w:r>
      <w:r w:rsidRPr="00AE02EE">
        <w:rPr>
          <w:rFonts w:ascii="Arial" w:hAnsi="Arial" w:cs="Arial"/>
          <w:sz w:val="22"/>
          <w:szCs w:val="22"/>
        </w:rPr>
        <w:t>, which contribute prominently to lifetime fitness as measured in the reciprocal transplant experiment</w:t>
      </w:r>
      <w:r w:rsidR="00AD5260" w:rsidRPr="00AE02EE">
        <w:rPr>
          <w:rFonts w:ascii="Arial" w:hAnsi="Arial" w:cs="Arial"/>
          <w:sz w:val="22"/>
          <w:szCs w:val="22"/>
        </w:rPr>
        <w:t xml:space="preserve"> </w:t>
      </w:r>
      <w:r w:rsidR="008E1757" w:rsidRPr="00AE02EE">
        <w:rPr>
          <w:rFonts w:ascii="Arial" w:hAnsi="Arial" w:cs="Arial"/>
          <w:sz w:val="22"/>
          <w:szCs w:val="22"/>
        </w:rPr>
        <w:t>(</w:t>
      </w:r>
      <w:r w:rsidR="00AD5260" w:rsidRPr="00AE02EE">
        <w:rPr>
          <w:rFonts w:ascii="Arial" w:hAnsi="Arial" w:cs="Arial"/>
          <w:b/>
          <w:bCs/>
          <w:sz w:val="22"/>
          <w:szCs w:val="22"/>
        </w:rPr>
        <w:t>Appendix S1</w:t>
      </w:r>
      <w:r w:rsidR="008E1757" w:rsidRPr="001C5CD1">
        <w:rPr>
          <w:rFonts w:ascii="Arial" w:hAnsi="Arial" w:cs="Arial"/>
          <w:sz w:val="22"/>
          <w:szCs w:val="22"/>
        </w:rPr>
        <w:t>)</w:t>
      </w:r>
      <w:r w:rsidR="00AD5260" w:rsidRPr="00AE02EE">
        <w:rPr>
          <w:rFonts w:ascii="Arial" w:hAnsi="Arial" w:cs="Arial"/>
          <w:sz w:val="22"/>
          <w:szCs w:val="22"/>
        </w:rPr>
        <w:t>.</w:t>
      </w:r>
      <w:r w:rsidRPr="00AE02EE">
        <w:rPr>
          <w:rFonts w:ascii="Arial" w:hAnsi="Arial" w:cs="Arial"/>
          <w:sz w:val="22"/>
          <w:szCs w:val="22"/>
        </w:rPr>
        <w:t xml:space="preserve"> </w:t>
      </w:r>
      <w:r w:rsidR="00E84793" w:rsidRPr="00AE02EE">
        <w:rPr>
          <w:rFonts w:ascii="Arial" w:hAnsi="Arial" w:cs="Arial"/>
          <w:sz w:val="22"/>
          <w:szCs w:val="22"/>
        </w:rPr>
        <w:t xml:space="preserve">Vital rates </w:t>
      </w:r>
      <w:r w:rsidR="00E84793" w:rsidRPr="00AE02EE">
        <w:rPr>
          <w:rFonts w:ascii="Arial" w:hAnsi="Arial" w:cs="Arial"/>
          <w:i/>
          <w:iCs/>
          <w:sz w:val="22"/>
          <w:szCs w:val="22"/>
        </w:rPr>
        <w:t xml:space="preserve">σ </w:t>
      </w:r>
      <w:r w:rsidR="00E84793" w:rsidRPr="00AE02EE">
        <w:rPr>
          <w:rFonts w:ascii="Arial" w:hAnsi="Arial" w:cs="Arial"/>
          <w:sz w:val="22"/>
          <w:szCs w:val="22"/>
        </w:rPr>
        <w:t xml:space="preserve">(survival from seedling to reproductive stage), and </w:t>
      </w:r>
      <w:r w:rsidR="00E84793" w:rsidRPr="00AE02EE">
        <w:rPr>
          <w:rFonts w:ascii="Arial" w:hAnsi="Arial" w:cs="Arial"/>
          <w:sz w:val="22"/>
          <w:szCs w:val="22"/>
        </w:rPr>
        <w:sym w:font="Symbol" w:char="F066"/>
      </w:r>
      <w:r w:rsidR="00E84793" w:rsidRPr="00AE02EE">
        <w:rPr>
          <w:rFonts w:ascii="Arial" w:hAnsi="Arial" w:cs="Arial"/>
          <w:sz w:val="22"/>
          <w:szCs w:val="22"/>
        </w:rPr>
        <w:t xml:space="preserve"> (seeds produced per fruit) also contribute to lifetime fitness, as measured in the reciprocal transplant experiment. H</w:t>
      </w:r>
      <w:r w:rsidRPr="00AE02EE">
        <w:rPr>
          <w:rFonts w:ascii="Arial" w:hAnsi="Arial" w:cs="Arial"/>
          <w:sz w:val="22"/>
          <w:szCs w:val="22"/>
        </w:rPr>
        <w:t xml:space="preserve">owever, because </w:t>
      </w:r>
      <w:r w:rsidRPr="00AE02EE">
        <w:rPr>
          <w:rFonts w:ascii="Arial" w:hAnsi="Arial" w:cs="Arial"/>
          <w:i/>
          <w:iCs/>
          <w:sz w:val="22"/>
          <w:szCs w:val="22"/>
        </w:rPr>
        <w:t>F, σ</w:t>
      </w:r>
      <w:r w:rsidRPr="00AE02EE">
        <w:rPr>
          <w:rFonts w:ascii="Arial" w:hAnsi="Arial" w:cs="Arial"/>
          <w:sz w:val="22"/>
          <w:szCs w:val="22"/>
        </w:rPr>
        <w:t xml:space="preserve">, and </w:t>
      </w:r>
      <w:r w:rsidRPr="00AE02EE">
        <w:rPr>
          <w:rFonts w:ascii="Arial" w:hAnsi="Arial" w:cs="Arial"/>
          <w:sz w:val="22"/>
          <w:szCs w:val="22"/>
        </w:rPr>
        <w:sym w:font="Symbol" w:char="F066"/>
      </w:r>
      <w:r w:rsidRPr="00AE02EE">
        <w:rPr>
          <w:rFonts w:ascii="Arial" w:hAnsi="Arial" w:cs="Arial"/>
          <w:sz w:val="22"/>
          <w:szCs w:val="22"/>
        </w:rPr>
        <w:t xml:space="preserve"> contribute to the same matrix element (</w:t>
      </w:r>
      <w:r w:rsidRPr="00AE02EE">
        <w:rPr>
          <w:rFonts w:ascii="Arial" w:hAnsi="Arial" w:cs="Arial"/>
          <w:b/>
          <w:bCs/>
          <w:sz w:val="22"/>
          <w:szCs w:val="22"/>
        </w:rPr>
        <w:t xml:space="preserve">Supplementary Figure </w:t>
      </w:r>
      <w:r w:rsidR="00F641F3" w:rsidRPr="00AE02EE">
        <w:rPr>
          <w:rFonts w:ascii="Arial" w:hAnsi="Arial" w:cs="Arial"/>
          <w:b/>
          <w:bCs/>
          <w:sz w:val="22"/>
          <w:szCs w:val="22"/>
        </w:rPr>
        <w:t>1</w:t>
      </w:r>
      <w:r w:rsidRPr="00AE02EE">
        <w:rPr>
          <w:rFonts w:ascii="Arial" w:hAnsi="Arial" w:cs="Arial"/>
          <w:b/>
          <w:bCs/>
          <w:sz w:val="22"/>
          <w:szCs w:val="22"/>
        </w:rPr>
        <w:t>B-C</w:t>
      </w:r>
      <w:r w:rsidRPr="00AE02EE">
        <w:rPr>
          <w:rFonts w:ascii="Arial" w:hAnsi="Arial" w:cs="Arial"/>
          <w:sz w:val="22"/>
          <w:szCs w:val="22"/>
        </w:rPr>
        <w:t xml:space="preserve">), and because vital rate elasticities are </w:t>
      </w:r>
      <w:r w:rsidR="00E84793" w:rsidRPr="00AE02EE">
        <w:rPr>
          <w:rFonts w:ascii="Arial" w:hAnsi="Arial" w:cs="Arial"/>
          <w:sz w:val="22"/>
          <w:szCs w:val="22"/>
        </w:rPr>
        <w:t>derived</w:t>
      </w:r>
      <w:r w:rsidRPr="00AE02EE">
        <w:rPr>
          <w:rFonts w:ascii="Arial" w:hAnsi="Arial" w:cs="Arial"/>
          <w:sz w:val="22"/>
          <w:szCs w:val="22"/>
        </w:rPr>
        <w:t xml:space="preserve"> from </w:t>
      </w:r>
      <w:r w:rsidR="00E84793" w:rsidRPr="00AE02EE">
        <w:rPr>
          <w:rFonts w:ascii="Arial" w:hAnsi="Arial" w:cs="Arial"/>
          <w:sz w:val="22"/>
          <w:szCs w:val="22"/>
        </w:rPr>
        <w:t>the</w:t>
      </w:r>
      <w:r w:rsidRPr="00AE02EE">
        <w:rPr>
          <w:rFonts w:ascii="Arial" w:hAnsi="Arial" w:cs="Arial"/>
          <w:sz w:val="22"/>
          <w:szCs w:val="22"/>
        </w:rPr>
        <w:t xml:space="preserve"> matrix element elasticities (see above), the elasticity values for </w:t>
      </w:r>
      <w:r w:rsidRPr="00AE02EE">
        <w:rPr>
          <w:rFonts w:ascii="Arial" w:hAnsi="Arial" w:cs="Arial"/>
          <w:i/>
          <w:iCs/>
          <w:sz w:val="22"/>
          <w:szCs w:val="22"/>
        </w:rPr>
        <w:t>F, σ</w:t>
      </w:r>
      <w:r w:rsidRPr="00AE02EE">
        <w:rPr>
          <w:rFonts w:ascii="Arial" w:hAnsi="Arial" w:cs="Arial"/>
          <w:sz w:val="22"/>
          <w:szCs w:val="22"/>
        </w:rPr>
        <w:t xml:space="preserve">, and </w:t>
      </w:r>
      <w:r w:rsidRPr="00AE02EE">
        <w:rPr>
          <w:rFonts w:ascii="Arial" w:hAnsi="Arial" w:cs="Arial"/>
          <w:sz w:val="22"/>
          <w:szCs w:val="22"/>
        </w:rPr>
        <w:sym w:font="Symbol" w:char="F066"/>
      </w:r>
      <w:r w:rsidRPr="00AE02EE">
        <w:rPr>
          <w:rFonts w:ascii="Arial" w:hAnsi="Arial" w:cs="Arial"/>
          <w:sz w:val="22"/>
          <w:szCs w:val="22"/>
        </w:rPr>
        <w:t xml:space="preserve"> are numerically identical. </w:t>
      </w:r>
      <w:r w:rsidR="00E84793" w:rsidRPr="00AE02EE">
        <w:rPr>
          <w:rFonts w:ascii="Arial" w:hAnsi="Arial" w:cs="Arial"/>
          <w:sz w:val="22"/>
          <w:szCs w:val="22"/>
        </w:rPr>
        <w:t>W</w:t>
      </w:r>
      <w:r w:rsidRPr="00AE02EE">
        <w:rPr>
          <w:rFonts w:ascii="Arial" w:hAnsi="Arial" w:cs="Arial"/>
          <w:sz w:val="22"/>
          <w:szCs w:val="22"/>
        </w:rPr>
        <w:t xml:space="preserve">e </w:t>
      </w:r>
      <w:r w:rsidR="00E84793" w:rsidRPr="00AE02EE">
        <w:rPr>
          <w:rFonts w:ascii="Arial" w:hAnsi="Arial" w:cs="Arial"/>
          <w:sz w:val="22"/>
          <w:szCs w:val="22"/>
        </w:rPr>
        <w:t xml:space="preserve">therefore </w:t>
      </w:r>
      <w:r w:rsidRPr="00AE02EE">
        <w:rPr>
          <w:rFonts w:ascii="Arial" w:hAnsi="Arial" w:cs="Arial"/>
          <w:sz w:val="22"/>
          <w:szCs w:val="22"/>
        </w:rPr>
        <w:t xml:space="preserve">chose </w:t>
      </w:r>
      <w:r w:rsidR="00E84793" w:rsidRPr="00AE02EE">
        <w:rPr>
          <w:rFonts w:ascii="Arial" w:hAnsi="Arial" w:cs="Arial"/>
          <w:sz w:val="22"/>
          <w:szCs w:val="22"/>
        </w:rPr>
        <w:t xml:space="preserve">to contrast </w:t>
      </w:r>
      <w:r w:rsidRPr="00AE02EE">
        <w:rPr>
          <w:rFonts w:ascii="Arial" w:hAnsi="Arial" w:cs="Arial"/>
          <w:sz w:val="22"/>
          <w:szCs w:val="22"/>
        </w:rPr>
        <w:t xml:space="preserve">a single elasticity </w:t>
      </w:r>
      <w:r w:rsidR="00E84793" w:rsidRPr="00AE02EE">
        <w:rPr>
          <w:rFonts w:ascii="Arial" w:hAnsi="Arial" w:cs="Arial"/>
          <w:sz w:val="22"/>
          <w:szCs w:val="22"/>
        </w:rPr>
        <w:t>for</w:t>
      </w:r>
      <w:r w:rsidRPr="00AE02EE">
        <w:rPr>
          <w:rFonts w:ascii="Arial" w:hAnsi="Arial" w:cs="Arial"/>
          <w:sz w:val="22"/>
          <w:szCs w:val="22"/>
        </w:rPr>
        <w:t xml:space="preserve"> th</w:t>
      </w:r>
      <w:r w:rsidR="00E84793" w:rsidRPr="00AE02EE">
        <w:rPr>
          <w:rFonts w:ascii="Arial" w:hAnsi="Arial" w:cs="Arial"/>
          <w:sz w:val="22"/>
          <w:szCs w:val="22"/>
        </w:rPr>
        <w:t>e</w:t>
      </w:r>
      <w:r w:rsidRPr="00AE02EE">
        <w:rPr>
          <w:rFonts w:ascii="Arial" w:hAnsi="Arial" w:cs="Arial"/>
          <w:sz w:val="22"/>
          <w:szCs w:val="22"/>
        </w:rPr>
        <w:t xml:space="preserve">se three vital rates with </w:t>
      </w:r>
      <w:r w:rsidR="00E84793" w:rsidRPr="00AE02EE">
        <w:rPr>
          <w:rFonts w:ascii="Arial" w:hAnsi="Arial" w:cs="Arial"/>
          <w:sz w:val="22"/>
          <w:szCs w:val="22"/>
        </w:rPr>
        <w:t xml:space="preserve">the elasticity of </w:t>
      </w:r>
      <w:r w:rsidRPr="00AE02EE">
        <w:rPr>
          <w:rFonts w:ascii="Arial" w:hAnsi="Arial" w:cs="Arial"/>
          <w:i/>
          <w:iCs/>
          <w:sz w:val="22"/>
          <w:szCs w:val="22"/>
        </w:rPr>
        <w:t>g</w:t>
      </w:r>
      <w:r w:rsidRPr="00AE02EE">
        <w:rPr>
          <w:rFonts w:ascii="Arial" w:hAnsi="Arial" w:cs="Arial"/>
          <w:i/>
          <w:iCs/>
          <w:sz w:val="22"/>
          <w:szCs w:val="22"/>
          <w:vertAlign w:val="subscript"/>
        </w:rPr>
        <w:t>1</w:t>
      </w:r>
      <w:r w:rsidRPr="00AE02EE">
        <w:rPr>
          <w:rFonts w:ascii="Arial" w:hAnsi="Arial" w:cs="Arial"/>
          <w:sz w:val="22"/>
          <w:szCs w:val="22"/>
        </w:rPr>
        <w:t xml:space="preserve"> </w:t>
      </w:r>
      <w:r w:rsidR="00E84793" w:rsidRPr="00AE02EE">
        <w:rPr>
          <w:rFonts w:ascii="Arial" w:hAnsi="Arial" w:cs="Arial"/>
          <w:sz w:val="22"/>
          <w:szCs w:val="22"/>
        </w:rPr>
        <w:t xml:space="preserve">to describe how populations differ in </w:t>
      </w:r>
      <w:r w:rsidR="00E84793" w:rsidRPr="00AE02EE">
        <w:rPr>
          <w:rFonts w:ascii="Arial" w:hAnsi="Arial" w:cs="Arial"/>
          <w:sz w:val="22"/>
          <w:szCs w:val="22"/>
          <w:lang w:val="en"/>
        </w:rPr>
        <w:t>λ</w:t>
      </w:r>
      <w:r w:rsidR="00E84793" w:rsidRPr="00AE02EE">
        <w:rPr>
          <w:rFonts w:ascii="Arial" w:hAnsi="Arial" w:cs="Arial"/>
          <w:sz w:val="22"/>
          <w:szCs w:val="22"/>
        </w:rPr>
        <w:t xml:space="preserve">’s </w:t>
      </w:r>
      <w:r w:rsidR="005E5CB2">
        <w:rPr>
          <w:rFonts w:ascii="Arial" w:hAnsi="Arial" w:cs="Arial"/>
          <w:sz w:val="22"/>
          <w:szCs w:val="22"/>
        </w:rPr>
        <w:t>elasticity</w:t>
      </w:r>
      <w:r w:rsidR="00E84793" w:rsidRPr="00AE02EE">
        <w:rPr>
          <w:rFonts w:ascii="Arial" w:hAnsi="Arial" w:cs="Arial"/>
          <w:sz w:val="22"/>
          <w:szCs w:val="22"/>
        </w:rPr>
        <w:t xml:space="preserve"> to these facets of first year fitness</w:t>
      </w:r>
      <w:r w:rsidRPr="00AE02EE">
        <w:rPr>
          <w:rFonts w:ascii="Arial" w:hAnsi="Arial" w:cs="Arial"/>
          <w:sz w:val="22"/>
          <w:szCs w:val="22"/>
        </w:rPr>
        <w:t>.</w:t>
      </w:r>
      <w:r w:rsidR="00192331" w:rsidRPr="00AE02EE">
        <w:rPr>
          <w:rFonts w:ascii="Arial" w:hAnsi="Arial" w:cs="Arial"/>
          <w:sz w:val="22"/>
          <w:szCs w:val="22"/>
        </w:rPr>
        <w:t xml:space="preserve"> W</w:t>
      </w:r>
      <w:r w:rsidR="00AD5260" w:rsidRPr="00AE02EE">
        <w:rPr>
          <w:rFonts w:ascii="Arial" w:hAnsi="Arial" w:cs="Arial"/>
          <w:sz w:val="22"/>
          <w:szCs w:val="22"/>
        </w:rPr>
        <w:t xml:space="preserve">e calculated pairwise Euclidean distances between populations in 2-dimensional </w:t>
      </w:r>
      <w:r w:rsidR="00AD5260" w:rsidRPr="00AE02EE">
        <w:rPr>
          <w:rFonts w:ascii="Arial" w:hAnsi="Arial" w:cs="Arial"/>
          <w:i/>
          <w:iCs/>
          <w:sz w:val="22"/>
          <w:szCs w:val="22"/>
        </w:rPr>
        <w:t>g</w:t>
      </w:r>
      <w:r w:rsidR="00AD5260" w:rsidRPr="00AE02EE">
        <w:rPr>
          <w:rFonts w:ascii="Arial" w:hAnsi="Arial" w:cs="Arial"/>
          <w:sz w:val="22"/>
          <w:szCs w:val="22"/>
          <w:vertAlign w:val="subscript"/>
        </w:rPr>
        <w:t>1</w:t>
      </w:r>
      <w:r w:rsidR="00AD5260" w:rsidRPr="00AE02EE">
        <w:rPr>
          <w:rFonts w:ascii="Arial" w:hAnsi="Arial" w:cs="Arial"/>
          <w:sz w:val="22"/>
          <w:szCs w:val="22"/>
        </w:rPr>
        <w:t xml:space="preserve"> vs. </w:t>
      </w:r>
      <w:r w:rsidR="00AD5260" w:rsidRPr="00AE02EE">
        <w:rPr>
          <w:rFonts w:ascii="Arial" w:hAnsi="Arial" w:cs="Arial"/>
          <w:i/>
          <w:iCs/>
          <w:sz w:val="22"/>
          <w:szCs w:val="22"/>
        </w:rPr>
        <w:t xml:space="preserve">F </w:t>
      </w:r>
      <w:r w:rsidR="00AD5260" w:rsidRPr="00AE02EE">
        <w:rPr>
          <w:rFonts w:ascii="Arial" w:hAnsi="Arial" w:cs="Arial"/>
          <w:sz w:val="22"/>
          <w:szCs w:val="22"/>
        </w:rPr>
        <w:t>space (</w:t>
      </w:r>
      <w:r w:rsidR="00AD5260" w:rsidRPr="00AE02EE">
        <w:rPr>
          <w:rFonts w:ascii="Arial" w:hAnsi="Arial" w:cs="Arial"/>
          <w:b/>
          <w:bCs/>
          <w:sz w:val="22"/>
          <w:szCs w:val="22"/>
        </w:rPr>
        <w:t xml:space="preserve">Supplementary Figure </w:t>
      </w:r>
      <w:r w:rsidR="002118C5">
        <w:rPr>
          <w:rFonts w:ascii="Arial" w:hAnsi="Arial" w:cs="Arial"/>
          <w:b/>
          <w:bCs/>
          <w:sz w:val="22"/>
          <w:szCs w:val="22"/>
        </w:rPr>
        <w:t>2</w:t>
      </w:r>
      <w:r w:rsidR="00AD5260" w:rsidRPr="00AE02EE">
        <w:rPr>
          <w:rFonts w:ascii="Arial" w:hAnsi="Arial" w:cs="Arial"/>
          <w:b/>
          <w:bCs/>
          <w:sz w:val="22"/>
          <w:szCs w:val="22"/>
        </w:rPr>
        <w:t>B</w:t>
      </w:r>
      <w:r w:rsidR="00AD5260" w:rsidRPr="00AE02EE">
        <w:rPr>
          <w:rFonts w:ascii="Arial" w:hAnsi="Arial" w:cs="Arial"/>
          <w:sz w:val="22"/>
          <w:szCs w:val="22"/>
        </w:rPr>
        <w:t xml:space="preserve">). </w:t>
      </w:r>
    </w:p>
    <w:p w14:paraId="4D048D4F" w14:textId="77777777" w:rsidR="00AD5260" w:rsidRPr="00AE02EE" w:rsidRDefault="00AD5260" w:rsidP="00AD5260">
      <w:pPr>
        <w:rPr>
          <w:rFonts w:ascii="Arial" w:hAnsi="Arial" w:cs="Arial"/>
          <w:bCs/>
          <w:sz w:val="22"/>
          <w:szCs w:val="22"/>
        </w:rPr>
      </w:pPr>
    </w:p>
    <w:p w14:paraId="0AE79C12" w14:textId="38922DE9" w:rsidR="00862E73" w:rsidRDefault="005E5CB2" w:rsidP="00862E73">
      <w:pPr>
        <w:rPr>
          <w:rFonts w:ascii="Arial" w:eastAsia="Arial" w:hAnsi="Arial" w:cs="Arial"/>
          <w:sz w:val="22"/>
          <w:szCs w:val="22"/>
          <w:lang w:val="en"/>
        </w:rPr>
      </w:pPr>
      <w:r>
        <w:rPr>
          <w:rFonts w:ascii="Arial" w:hAnsi="Arial" w:cs="Arial"/>
          <w:bCs/>
          <w:sz w:val="22"/>
          <w:szCs w:val="22"/>
        </w:rPr>
        <w:t>D</w:t>
      </w:r>
      <w:r w:rsidR="00192331" w:rsidRPr="00AE02EE">
        <w:rPr>
          <w:rFonts w:ascii="Arial" w:hAnsi="Arial" w:cs="Arial"/>
          <w:bCs/>
          <w:sz w:val="22"/>
          <w:szCs w:val="22"/>
        </w:rPr>
        <w:t>emographic distances between pair</w:t>
      </w:r>
      <w:r>
        <w:rPr>
          <w:rFonts w:ascii="Arial" w:hAnsi="Arial" w:cs="Arial"/>
          <w:bCs/>
          <w:sz w:val="22"/>
          <w:szCs w:val="22"/>
        </w:rPr>
        <w:t>s</w:t>
      </w:r>
      <w:r w:rsidR="00192331" w:rsidRPr="00AE02EE">
        <w:rPr>
          <w:rFonts w:ascii="Arial" w:hAnsi="Arial" w:cs="Arial"/>
          <w:bCs/>
          <w:sz w:val="22"/>
          <w:szCs w:val="22"/>
        </w:rPr>
        <w:t xml:space="preserve"> of populations </w:t>
      </w:r>
      <w:r>
        <w:rPr>
          <w:rFonts w:ascii="Arial" w:hAnsi="Arial" w:cs="Arial"/>
          <w:bCs/>
          <w:sz w:val="22"/>
          <w:szCs w:val="22"/>
        </w:rPr>
        <w:t xml:space="preserve">estimated by these </w:t>
      </w:r>
      <w:r w:rsidR="00192331" w:rsidRPr="00AE02EE">
        <w:rPr>
          <w:rFonts w:ascii="Arial" w:hAnsi="Arial" w:cs="Arial"/>
          <w:bCs/>
          <w:sz w:val="22"/>
          <w:szCs w:val="22"/>
        </w:rPr>
        <w:t>three methods were strongly positively correlated (</w:t>
      </w:r>
      <w:r w:rsidR="00192331" w:rsidRPr="00AE02EE">
        <w:rPr>
          <w:rFonts w:ascii="Arial" w:hAnsi="Arial" w:cs="Arial"/>
          <w:bCs/>
          <w:i/>
          <w:iCs/>
          <w:sz w:val="22"/>
          <w:szCs w:val="22"/>
        </w:rPr>
        <w:t xml:space="preserve">r </w:t>
      </w:r>
      <w:r w:rsidR="00192331" w:rsidRPr="00AE02EE">
        <w:rPr>
          <w:rFonts w:ascii="Arial" w:hAnsi="Arial" w:cs="Arial"/>
          <w:bCs/>
          <w:sz w:val="22"/>
          <w:szCs w:val="22"/>
        </w:rPr>
        <w:t>= 0.86-0.99)</w:t>
      </w:r>
      <w:r w:rsidR="008879F5" w:rsidRPr="00AE02EE">
        <w:rPr>
          <w:rFonts w:ascii="Arial" w:hAnsi="Arial" w:cs="Arial"/>
          <w:bCs/>
          <w:sz w:val="22"/>
          <w:szCs w:val="22"/>
        </w:rPr>
        <w:t xml:space="preserve">. </w:t>
      </w:r>
      <w:r w:rsidR="00192331" w:rsidRPr="00AE02EE">
        <w:rPr>
          <w:rFonts w:ascii="Arial" w:hAnsi="Arial" w:cs="Arial"/>
          <w:bCs/>
          <w:sz w:val="22"/>
          <w:szCs w:val="22"/>
        </w:rPr>
        <w:t xml:space="preserve">We therefore </w:t>
      </w:r>
      <w:r w:rsidR="008879F5" w:rsidRPr="00AE02EE">
        <w:rPr>
          <w:rFonts w:ascii="Arial" w:hAnsi="Arial" w:cs="Arial"/>
          <w:bCs/>
          <w:sz w:val="22"/>
          <w:szCs w:val="22"/>
        </w:rPr>
        <w:t>present results based on</w:t>
      </w:r>
      <w:r w:rsidR="00192331" w:rsidRPr="00AE02EE">
        <w:rPr>
          <w:rFonts w:ascii="Arial" w:hAnsi="Arial" w:cs="Arial"/>
          <w:bCs/>
          <w:sz w:val="22"/>
          <w:szCs w:val="22"/>
        </w:rPr>
        <w:t xml:space="preserve"> Method B metric in </w:t>
      </w:r>
      <w:r w:rsidR="008879F5" w:rsidRPr="00AE02EE">
        <w:rPr>
          <w:rFonts w:ascii="Arial" w:hAnsi="Arial" w:cs="Arial"/>
          <w:bCs/>
          <w:sz w:val="22"/>
          <w:szCs w:val="22"/>
        </w:rPr>
        <w:t>the main text</w:t>
      </w:r>
      <w:r w:rsidR="00192331" w:rsidRPr="00AE02EE">
        <w:rPr>
          <w:rFonts w:ascii="Arial" w:hAnsi="Arial" w:cs="Arial"/>
          <w:bCs/>
          <w:sz w:val="22"/>
          <w:szCs w:val="22"/>
        </w:rPr>
        <w:t xml:space="preserve">. </w:t>
      </w:r>
      <w:r w:rsidR="00862E73">
        <w:rPr>
          <w:rFonts w:ascii="Arial" w:eastAsia="Arial" w:hAnsi="Arial" w:cs="Arial"/>
          <w:sz w:val="22"/>
          <w:szCs w:val="22"/>
          <w:lang w:val="en"/>
        </w:rPr>
        <w:br w:type="page"/>
      </w:r>
    </w:p>
    <w:p w14:paraId="01E951C5" w14:textId="1C5517A6" w:rsidR="008879F5" w:rsidRPr="00FB280D" w:rsidRDefault="008879F5" w:rsidP="008879F5">
      <w:pPr>
        <w:pStyle w:val="Heading2"/>
      </w:pPr>
      <w:r w:rsidRPr="00FB280D">
        <w:t>Appendix S3: Environmental data analyses</w:t>
      </w:r>
    </w:p>
    <w:p w14:paraId="6EF2A451" w14:textId="77777777" w:rsidR="008879F5" w:rsidRPr="00AE02EE" w:rsidRDefault="008879F5" w:rsidP="008879F5">
      <w:pPr>
        <w:rPr>
          <w:rFonts w:ascii="Arial" w:hAnsi="Arial" w:cs="Arial"/>
          <w:sz w:val="22"/>
          <w:szCs w:val="22"/>
        </w:rPr>
      </w:pPr>
      <w:r w:rsidRPr="00AE02EE">
        <w:rPr>
          <w:rFonts w:ascii="Arial" w:hAnsi="Arial" w:cs="Arial"/>
          <w:sz w:val="22"/>
          <w:szCs w:val="22"/>
        </w:rPr>
        <w:t>We quantified environmental variation across focal populations using three data types: long-term temperature records, long-term precipitation records, and solar radiation on select dates.</w:t>
      </w:r>
    </w:p>
    <w:p w14:paraId="6D96A8A4" w14:textId="77777777" w:rsidR="008879F5" w:rsidRPr="00FB280D" w:rsidRDefault="008879F5" w:rsidP="008879F5">
      <w:pPr>
        <w:pStyle w:val="Heading3"/>
      </w:pPr>
      <w:r w:rsidRPr="00FB280D">
        <w:t>Component data</w:t>
      </w:r>
    </w:p>
    <w:p w14:paraId="47D09E07" w14:textId="77777777" w:rsidR="008879F5" w:rsidRPr="00FB280D" w:rsidRDefault="008879F5" w:rsidP="008879F5">
      <w:pPr>
        <w:pStyle w:val="Heading4"/>
      </w:pPr>
      <w:r w:rsidRPr="00FB280D">
        <w:t>Climate</w:t>
      </w:r>
    </w:p>
    <w:p w14:paraId="294B5586" w14:textId="77777777" w:rsidR="008879F5" w:rsidRPr="00AE02EE" w:rsidRDefault="008879F5" w:rsidP="008879F5">
      <w:pPr>
        <w:pStyle w:val="NormalWeb"/>
        <w:rPr>
          <w:rFonts w:ascii="Arial" w:hAnsi="Arial" w:cs="Arial"/>
          <w:sz w:val="22"/>
          <w:szCs w:val="22"/>
        </w:rPr>
      </w:pPr>
      <w:r w:rsidRPr="00AE02EE">
        <w:rPr>
          <w:rFonts w:ascii="Arial" w:hAnsi="Arial" w:cs="Arial"/>
          <w:sz w:val="22"/>
          <w:szCs w:val="22"/>
        </w:rPr>
        <w:t xml:space="preserve">We characterized variation in temperature and precipitation among the study populations as described in Eckhart et al. (2011) and Gould et al. (2014), expanding the temporal and spatial record. Briefly, beginning in 2005, we deployed environmental sensors (Onset Computer Corporation, Bourne, MA, USA) that logged shaded atmospheric temperature and tipping-bucket precipitation at 30 min intervals. We maintained sensors at up to 20 locations per year, including 4 locations beyond the eastern range edge and at the sites of 7 of the 10 populations reported on here (CF, FR, BR, KYE, OSR, GCN, and S22). Filtering raw data converted values to daily average temperatures and total daily precipitation, which could then be collected into several-month “seasons” corresponding to the </w:t>
      </w:r>
      <w:r w:rsidRPr="00AE02EE">
        <w:rPr>
          <w:rFonts w:ascii="Arial" w:hAnsi="Arial" w:cs="Arial"/>
          <w:i/>
          <w:iCs/>
          <w:sz w:val="22"/>
          <w:szCs w:val="22"/>
        </w:rPr>
        <w:t xml:space="preserve">C. xantiana </w:t>
      </w:r>
      <w:r w:rsidRPr="00AE02EE">
        <w:rPr>
          <w:rFonts w:ascii="Arial" w:hAnsi="Arial" w:cs="Arial"/>
          <w:sz w:val="22"/>
          <w:szCs w:val="22"/>
        </w:rPr>
        <w:t>life cycle (see below). To increase the spatial density of sampling, we downloaded publicly available daily (or monthly) records from weather stations maintained by state and federal agencies (California Data Exchange Center). Accidents (e.g., lightning, theft, vandalism, livestock damage, instrument failure) left 8-20 of our own stations operating at any given time, supplemented by 2-6 “public” stations.</w:t>
      </w:r>
    </w:p>
    <w:p w14:paraId="4A1CCD7F" w14:textId="77777777" w:rsidR="008879F5" w:rsidRPr="00AE02EE" w:rsidRDefault="008879F5" w:rsidP="008879F5">
      <w:pPr>
        <w:pStyle w:val="NormalWeb"/>
        <w:rPr>
          <w:rFonts w:ascii="Arial" w:hAnsi="Arial" w:cs="Arial"/>
          <w:sz w:val="22"/>
          <w:szCs w:val="22"/>
        </w:rPr>
      </w:pPr>
      <w:r w:rsidRPr="00AE02EE">
        <w:rPr>
          <w:rFonts w:ascii="Arial" w:hAnsi="Arial" w:cs="Arial"/>
          <w:sz w:val="22"/>
          <w:szCs w:val="22"/>
        </w:rPr>
        <w:t xml:space="preserve">To summarize climate for periods relevant to the </w:t>
      </w:r>
      <w:r w:rsidRPr="00AE02EE">
        <w:rPr>
          <w:rFonts w:ascii="Arial" w:hAnsi="Arial" w:cs="Arial"/>
          <w:i/>
          <w:iCs/>
          <w:sz w:val="22"/>
          <w:szCs w:val="22"/>
        </w:rPr>
        <w:t>Clarkia xantiana</w:t>
      </w:r>
      <w:r w:rsidRPr="00AE02EE">
        <w:rPr>
          <w:rFonts w:ascii="Arial" w:hAnsi="Arial" w:cs="Arial"/>
          <w:sz w:val="22"/>
          <w:szCs w:val="22"/>
        </w:rPr>
        <w:t xml:space="preserve"> life cycle, we binned temperature and precipitation data into three seasons (“winter” = 1 November to 31 January; “spring” = 1 February to 30 June; and “summer” = 1 July to 31 October). We focused here on winter (when seed germination begins) and spring (from germination to flowering and seed maturation). Seeds disperse passively in summer, lying in the soil until winter rains begin. </w:t>
      </w:r>
    </w:p>
    <w:p w14:paraId="4E04567B" w14:textId="5BA806C9" w:rsidR="008879F5" w:rsidRPr="00AE02EE" w:rsidRDefault="00274E81" w:rsidP="008879F5">
      <w:pPr>
        <w:autoSpaceDE w:val="0"/>
        <w:autoSpaceDN w:val="0"/>
        <w:adjustRightInd w:val="0"/>
        <w:rPr>
          <w:rFonts w:ascii="Arial" w:hAnsi="Arial" w:cs="Arial"/>
          <w:sz w:val="22"/>
          <w:szCs w:val="22"/>
        </w:rPr>
      </w:pPr>
      <w:r>
        <w:rPr>
          <w:rFonts w:ascii="Arial" w:hAnsi="Arial" w:cs="Arial"/>
          <w:sz w:val="22"/>
          <w:szCs w:val="22"/>
        </w:rPr>
        <w:t>W</w:t>
      </w:r>
      <w:r w:rsidR="008879F5" w:rsidRPr="00AE02EE">
        <w:rPr>
          <w:rFonts w:ascii="Arial" w:hAnsi="Arial" w:cs="Arial"/>
          <w:sz w:val="22"/>
          <w:szCs w:val="22"/>
        </w:rPr>
        <w:t>e used ArcGIS software (Desktop or Pro, ESRI, Redlands, CA, USA)</w:t>
      </w:r>
      <w:r>
        <w:rPr>
          <w:rFonts w:ascii="Arial" w:hAnsi="Arial" w:cs="Arial"/>
          <w:sz w:val="22"/>
          <w:szCs w:val="22"/>
        </w:rPr>
        <w:t xml:space="preserve"> t</w:t>
      </w:r>
      <w:r w:rsidRPr="00AE02EE">
        <w:rPr>
          <w:rFonts w:ascii="Arial" w:hAnsi="Arial" w:cs="Arial"/>
          <w:sz w:val="22"/>
          <w:szCs w:val="22"/>
        </w:rPr>
        <w:t>o estimate temperature and precipitation</w:t>
      </w:r>
      <w:r w:rsidR="008879F5" w:rsidRPr="00AE02EE">
        <w:rPr>
          <w:rFonts w:ascii="Arial" w:hAnsi="Arial" w:cs="Arial"/>
          <w:sz w:val="22"/>
          <w:szCs w:val="22"/>
        </w:rPr>
        <w:t>. To model temperature</w:t>
      </w:r>
      <w:r w:rsidR="000C0E03" w:rsidRPr="00AE02EE">
        <w:rPr>
          <w:rFonts w:ascii="Arial" w:hAnsi="Arial" w:cs="Arial"/>
          <w:sz w:val="22"/>
          <w:szCs w:val="22"/>
        </w:rPr>
        <w:t>,</w:t>
      </w:r>
      <w:r w:rsidR="008879F5" w:rsidRPr="00AE02EE">
        <w:rPr>
          <w:rFonts w:ascii="Arial" w:hAnsi="Arial" w:cs="Arial"/>
          <w:sz w:val="22"/>
          <w:szCs w:val="22"/>
        </w:rPr>
        <w:t xml:space="preserve"> we estimated for each weather station in the network its elevation, linear azimuth (absolute value of slope aspect deviating from true south), and its solar radiation on each solstice and on the vernal equinox. Predictive models were general linear models (run in Minitab, State College, PA) of station temperatures on elevation, linear azimuth, and winter-solstice solar radiation (for winter temperatures) or on elevation, linear azimuth, and spring equinox and summer solstice radiation (for spring temperatures), including year as a random variable. In this way, we estimated seasonal temperatures for every one-hectare pixel in the 57 km tall x 48.7 km wide study area for every year and season, 2005-2021, given pixels’ elevation, linear azimuths, and solar radiation values. In every case, elevation accounted for the majority of variance in seasonal temperature. Extracting temperature values from population points was the final step. To model seasonal precipitation in each year, we interpolated between points by inverse distance weighting, which, for this application, has the advantage of being precisely accurate for the sites of population’s stations in that year. For any focal populations geographically larger than one pixel, we used the modeled value from the pixel at the approximate center of the population. We used modeled temperature and precipitation values from our network of sensors for each focal population, including those that had dataloggers present, since even sites with direct observations sometimes had missing data due to instrument damage and equipment failures.</w:t>
      </w:r>
    </w:p>
    <w:p w14:paraId="17768241" w14:textId="77777777" w:rsidR="008879F5" w:rsidRPr="00AE02EE" w:rsidRDefault="008879F5" w:rsidP="008879F5">
      <w:pPr>
        <w:pStyle w:val="NormalWeb"/>
        <w:rPr>
          <w:rFonts w:ascii="Arial" w:hAnsi="Arial" w:cs="Arial"/>
          <w:sz w:val="22"/>
          <w:szCs w:val="22"/>
        </w:rPr>
      </w:pPr>
      <w:r w:rsidRPr="00AE02EE">
        <w:rPr>
          <w:rFonts w:ascii="Arial" w:hAnsi="Arial" w:cs="Arial"/>
          <w:sz w:val="22"/>
          <w:szCs w:val="22"/>
        </w:rPr>
        <w:t xml:space="preserve">For each of the populations in the present study we calculated long-term means and standard deviations of temperature and precipitation during winter and spring seasons from the 2005-2021 estimates. This process yielded eight climate variables (two seasons [winter and spring] × two variables [mean temperature and cumulative precipitation] × two summary statistics [mean and SD]) for use in broader environmental analysis. </w:t>
      </w:r>
    </w:p>
    <w:p w14:paraId="386FBBB9" w14:textId="77777777" w:rsidR="008879F5" w:rsidRPr="00FB280D" w:rsidRDefault="008879F5" w:rsidP="008879F5">
      <w:pPr>
        <w:pStyle w:val="Heading4"/>
      </w:pPr>
      <w:r w:rsidRPr="00FB280D">
        <w:t>Solar radiation</w:t>
      </w:r>
    </w:p>
    <w:p w14:paraId="31818651" w14:textId="67C4F7D6" w:rsidR="008879F5" w:rsidRPr="00AE02EE" w:rsidRDefault="008879F5" w:rsidP="008879F5">
      <w:pPr>
        <w:pStyle w:val="NormalWeb"/>
        <w:rPr>
          <w:rFonts w:ascii="Arial" w:hAnsi="Arial" w:cs="Arial"/>
          <w:sz w:val="22"/>
          <w:szCs w:val="22"/>
        </w:rPr>
      </w:pPr>
      <w:r w:rsidRPr="00AE02EE">
        <w:rPr>
          <w:rFonts w:ascii="Arial" w:hAnsi="Arial" w:cs="Arial"/>
          <w:sz w:val="22"/>
          <w:szCs w:val="22"/>
        </w:rPr>
        <w:t xml:space="preserve">To characterize variation in exposure and sunlight across sites, we extracted solar radiation estimates from ArcGIS as described previously (Gould et al. 2014). As in our climate analyses, to incorporate variation most meaningful to the </w:t>
      </w:r>
      <w:r w:rsidRPr="00AE02EE">
        <w:rPr>
          <w:rFonts w:ascii="Arial" w:hAnsi="Arial" w:cs="Arial"/>
          <w:i/>
          <w:iCs/>
          <w:sz w:val="22"/>
          <w:szCs w:val="22"/>
        </w:rPr>
        <w:t>C. xantiana</w:t>
      </w:r>
      <w:r w:rsidRPr="00AE02EE">
        <w:rPr>
          <w:rFonts w:ascii="Arial" w:hAnsi="Arial" w:cs="Arial"/>
          <w:sz w:val="22"/>
          <w:szCs w:val="22"/>
        </w:rPr>
        <w:t xml:space="preserve"> life cycle, we focused on solar radiation estimates from the winter and spring seasons (estimated at the winter solstice and spring equinox, respectively). We included these data in environmental analyses because irradiance varies across this species’ range in ways that are often decoupled with climate (pers. obs.), and may influence photosynthesis, </w:t>
      </w:r>
      <w:r w:rsidR="00B56155">
        <w:rPr>
          <w:rFonts w:ascii="Arial" w:hAnsi="Arial" w:cs="Arial"/>
          <w:sz w:val="22"/>
          <w:szCs w:val="22"/>
        </w:rPr>
        <w:t xml:space="preserve">survival, </w:t>
      </w:r>
      <w:r w:rsidRPr="00AE02EE">
        <w:rPr>
          <w:rFonts w:ascii="Arial" w:hAnsi="Arial" w:cs="Arial"/>
          <w:sz w:val="22"/>
          <w:szCs w:val="22"/>
        </w:rPr>
        <w:t xml:space="preserve">growth, and </w:t>
      </w:r>
      <w:r w:rsidR="00B56155">
        <w:rPr>
          <w:rFonts w:ascii="Arial" w:hAnsi="Arial" w:cs="Arial"/>
          <w:sz w:val="22"/>
          <w:szCs w:val="22"/>
        </w:rPr>
        <w:t>reproduction</w:t>
      </w:r>
      <w:r w:rsidRPr="00AE02EE">
        <w:rPr>
          <w:rFonts w:ascii="Arial" w:hAnsi="Arial" w:cs="Arial"/>
          <w:sz w:val="22"/>
          <w:szCs w:val="22"/>
        </w:rPr>
        <w:t xml:space="preserve">. </w:t>
      </w:r>
    </w:p>
    <w:p w14:paraId="39C1F6C3" w14:textId="7EA51D3D" w:rsidR="00C63BAA" w:rsidRPr="00FB280D" w:rsidRDefault="00C63BAA" w:rsidP="00C63BAA">
      <w:pPr>
        <w:pStyle w:val="Heading3"/>
      </w:pPr>
      <w:r>
        <w:t>Principal component analysis</w:t>
      </w:r>
      <w:r w:rsidR="005948CC">
        <w:t xml:space="preserve"> and pairwise environmental distances</w:t>
      </w:r>
    </w:p>
    <w:p w14:paraId="0735A324" w14:textId="3A7243BD" w:rsidR="00192331" w:rsidRPr="00AE02EE" w:rsidRDefault="008879F5" w:rsidP="008879F5">
      <w:pPr>
        <w:rPr>
          <w:rFonts w:ascii="Arial" w:hAnsi="Arial" w:cs="Arial"/>
          <w:bCs/>
          <w:sz w:val="22"/>
          <w:szCs w:val="22"/>
        </w:rPr>
      </w:pPr>
      <w:r w:rsidRPr="00AE02EE">
        <w:rPr>
          <w:rFonts w:ascii="Arial" w:hAnsi="Arial" w:cs="Arial"/>
          <w:sz w:val="22"/>
          <w:szCs w:val="22"/>
        </w:rPr>
        <w:t>To describe the major axes of environmental variation across sites, we performed a principal components analysis on the combined climate data (long-term mean and variability in temperature and precipitation during winter and spring seasons) and solar radiation (irradiance at winter solstice and spring equinox), after centering and scaling all data (</w:t>
      </w:r>
      <w:r w:rsidRPr="00AE02EE">
        <w:rPr>
          <w:rFonts w:ascii="Arial" w:hAnsi="Arial" w:cs="Arial"/>
          <w:b/>
          <w:sz w:val="22"/>
          <w:szCs w:val="22"/>
        </w:rPr>
        <w:t>Figure 1B</w:t>
      </w:r>
      <w:r w:rsidRPr="00AE02EE">
        <w:rPr>
          <w:rFonts w:ascii="Arial" w:hAnsi="Arial" w:cs="Arial"/>
          <w:bCs/>
          <w:sz w:val="22"/>
          <w:szCs w:val="22"/>
        </w:rPr>
        <w:t>). This PCA primarily separated populations based on mean and long-term variability in winter precipitation and spring temperature</w:t>
      </w:r>
      <w:r w:rsidRPr="00AE02EE">
        <w:rPr>
          <w:rFonts w:ascii="Arial" w:hAnsi="Arial" w:cs="Arial"/>
          <w:sz w:val="22"/>
          <w:szCs w:val="22"/>
        </w:rPr>
        <w:t xml:space="preserve"> (</w:t>
      </w:r>
      <w:r w:rsidRPr="00AE02EE">
        <w:rPr>
          <w:rFonts w:ascii="Arial" w:hAnsi="Arial" w:cs="Arial"/>
          <w:b/>
          <w:sz w:val="22"/>
          <w:szCs w:val="22"/>
        </w:rPr>
        <w:t xml:space="preserve">Supplementary Figure </w:t>
      </w:r>
      <w:r w:rsidR="00204110" w:rsidRPr="00AE02EE">
        <w:rPr>
          <w:rFonts w:ascii="Arial" w:hAnsi="Arial" w:cs="Arial"/>
          <w:b/>
          <w:sz w:val="22"/>
          <w:szCs w:val="22"/>
        </w:rPr>
        <w:t>5</w:t>
      </w:r>
      <w:r w:rsidRPr="00AE02EE">
        <w:rPr>
          <w:rFonts w:ascii="Arial" w:hAnsi="Arial" w:cs="Arial"/>
          <w:b/>
          <w:sz w:val="22"/>
          <w:szCs w:val="22"/>
        </w:rPr>
        <w:t xml:space="preserve">; Supplementary Table </w:t>
      </w:r>
      <w:r w:rsidR="00204110" w:rsidRPr="00AE02EE">
        <w:rPr>
          <w:rFonts w:ascii="Arial" w:hAnsi="Arial" w:cs="Arial"/>
          <w:b/>
          <w:sz w:val="22"/>
          <w:szCs w:val="22"/>
        </w:rPr>
        <w:t>2</w:t>
      </w:r>
      <w:r w:rsidRPr="00AE02EE">
        <w:rPr>
          <w:rFonts w:ascii="Arial" w:hAnsi="Arial" w:cs="Arial"/>
          <w:sz w:val="22"/>
          <w:szCs w:val="22"/>
        </w:rPr>
        <w:t>).</w:t>
      </w:r>
    </w:p>
    <w:p w14:paraId="6318988F" w14:textId="77777777" w:rsidR="005948CC" w:rsidRDefault="005948CC" w:rsidP="00293C45">
      <w:pPr>
        <w:pStyle w:val="BodyText"/>
        <w:ind w:left="0"/>
      </w:pPr>
    </w:p>
    <w:p w14:paraId="3F84F7FC" w14:textId="75C93CF2" w:rsidR="005948CC" w:rsidRDefault="00293C45" w:rsidP="00293C45">
      <w:pPr>
        <w:pStyle w:val="BodyText"/>
        <w:ind w:left="0"/>
      </w:pPr>
      <w:r w:rsidRPr="00293C45">
        <w:t>We used the Manhattan method for estimating environmental distances because &gt;3 PCA axes were required to explain &gt;95% of environmental variation, vs. 3 or fewer axes being sufficient for capturing geographic and demographic distance; the Manhattan method may perform better than the Euclidean method in higher-dimensionality datasets (</w:t>
      </w:r>
      <w:r w:rsidR="00164D7C">
        <w:t>Aggarwal et al. 2001</w:t>
      </w:r>
      <w:r w:rsidRPr="00293C45">
        <w:t xml:space="preserve">). </w:t>
      </w:r>
      <w:r w:rsidR="00424903">
        <w:t>Standardized pairwise environmental distances estimated using the Manhattan vs. Euclidean methods were very highly correlated (</w:t>
      </w:r>
      <w:r w:rsidR="00424903">
        <w:rPr>
          <w:i/>
          <w:iCs/>
        </w:rPr>
        <w:t xml:space="preserve">r </w:t>
      </w:r>
      <w:r w:rsidR="00424903">
        <w:t>= 0.90), and o</w:t>
      </w:r>
      <w:r w:rsidRPr="00293C45">
        <w:t xml:space="preserve">utcomes of </w:t>
      </w:r>
      <w:r w:rsidR="00424903">
        <w:t xml:space="preserve">downstream </w:t>
      </w:r>
      <w:r w:rsidRPr="00293C45">
        <w:t xml:space="preserve">analyses </w:t>
      </w:r>
      <w:r w:rsidR="00424903">
        <w:t>using the two methods</w:t>
      </w:r>
      <w:r w:rsidRPr="00293C45">
        <w:t xml:space="preserve"> were nearly identical</w:t>
      </w:r>
      <w:r w:rsidR="00424903">
        <w:t>.</w:t>
      </w:r>
    </w:p>
    <w:p w14:paraId="1AA4834A" w14:textId="77777777" w:rsidR="005948CC" w:rsidRDefault="005948CC" w:rsidP="00293C45">
      <w:pPr>
        <w:pStyle w:val="BodyText"/>
        <w:ind w:left="0"/>
      </w:pPr>
    </w:p>
    <w:p w14:paraId="2B43BD5B" w14:textId="77AF9DCB" w:rsidR="00293C45" w:rsidRDefault="005948CC" w:rsidP="005948CC">
      <w:pPr>
        <w:pStyle w:val="BodyText"/>
        <w:ind w:left="0"/>
        <w:rPr>
          <w:sz w:val="32"/>
          <w:szCs w:val="32"/>
          <w:lang w:val="en"/>
        </w:rPr>
      </w:pPr>
      <w:r w:rsidRPr="00AE02EE">
        <w:rPr>
          <w:bCs/>
        </w:rPr>
        <w:t xml:space="preserve">Pairwise demographic, geographic, and environmental distance metrics were weakly correlated (| </w:t>
      </w:r>
      <w:r w:rsidRPr="00AE02EE">
        <w:rPr>
          <w:bCs/>
          <w:i/>
          <w:iCs/>
        </w:rPr>
        <w:t xml:space="preserve">r </w:t>
      </w:r>
      <w:r w:rsidRPr="00AE02EE">
        <w:rPr>
          <w:bCs/>
        </w:rPr>
        <w:t xml:space="preserve">| = 0.07-0.30; </w:t>
      </w:r>
      <w:r w:rsidRPr="00AE02EE">
        <w:rPr>
          <w:b/>
        </w:rPr>
        <w:t xml:space="preserve">Supplementary Figure </w:t>
      </w:r>
      <w:r>
        <w:rPr>
          <w:b/>
        </w:rPr>
        <w:t>3</w:t>
      </w:r>
      <w:r w:rsidRPr="00AE02EE">
        <w:rPr>
          <w:bCs/>
        </w:rPr>
        <w:t xml:space="preserve">). </w:t>
      </w:r>
      <w:r w:rsidR="00293C45">
        <w:br w:type="page"/>
      </w:r>
    </w:p>
    <w:p w14:paraId="1098A568" w14:textId="4BF258C1" w:rsidR="00395594" w:rsidRPr="00E94DFC" w:rsidRDefault="00395594" w:rsidP="00395594">
      <w:pPr>
        <w:pStyle w:val="Heading2"/>
      </w:pPr>
      <w:r w:rsidRPr="00E94DFC">
        <w:t xml:space="preserve">Appendix </w:t>
      </w:r>
      <w:r w:rsidR="008879F5" w:rsidRPr="00E94DFC">
        <w:t>S4</w:t>
      </w:r>
      <w:r w:rsidRPr="00E94DFC">
        <w:t>: Detailed transplant experiment methods</w:t>
      </w:r>
    </w:p>
    <w:p w14:paraId="4B0E3217" w14:textId="77777777" w:rsidR="00395594" w:rsidRPr="00FB280D" w:rsidRDefault="00395594" w:rsidP="00395594">
      <w:pPr>
        <w:pStyle w:val="Heading3"/>
      </w:pPr>
      <w:r w:rsidRPr="00FB280D">
        <w:t>Planting</w:t>
      </w:r>
    </w:p>
    <w:p w14:paraId="7AA475BE" w14:textId="4C76E870" w:rsidR="00395594" w:rsidRPr="00AE02EE" w:rsidRDefault="00395594" w:rsidP="00395594">
      <w:pPr>
        <w:rPr>
          <w:rFonts w:ascii="Arial" w:hAnsi="Arial" w:cs="Arial"/>
          <w:b/>
          <w:bCs/>
          <w:sz w:val="22"/>
          <w:szCs w:val="22"/>
        </w:rPr>
      </w:pPr>
      <w:r w:rsidRPr="00AE02EE">
        <w:rPr>
          <w:rFonts w:ascii="Arial" w:hAnsi="Arial" w:cs="Arial"/>
          <w:bCs/>
          <w:sz w:val="22"/>
          <w:szCs w:val="22"/>
        </w:rPr>
        <w:t>For</w:t>
      </w:r>
      <w:r w:rsidRPr="00AE02EE">
        <w:rPr>
          <w:rFonts w:ascii="Arial" w:hAnsi="Arial" w:cs="Arial"/>
          <w:sz w:val="22"/>
          <w:szCs w:val="22"/>
        </w:rPr>
        <w:t xml:space="preserve"> Set I transplant sites, each grid contained 8 seeds from each of 6 source populations (the local Set I population, its Set II demographic pair, and the four other Set I populations). For Set II transplant sites, each grid contained 24 seeds from each of two source populations (the local Set II population and its Set I demographic pair). Within grids, seed planting positions were randomized. Full details on precise sample sizes in each site and year are provided in </w:t>
      </w:r>
      <w:r w:rsidRPr="00AE02EE">
        <w:rPr>
          <w:rFonts w:ascii="Arial" w:hAnsi="Arial" w:cs="Arial"/>
          <w:b/>
          <w:bCs/>
          <w:sz w:val="22"/>
          <w:szCs w:val="22"/>
        </w:rPr>
        <w:t xml:space="preserve">Supplementary Table </w:t>
      </w:r>
      <w:r w:rsidR="0098024F" w:rsidRPr="00AE02EE">
        <w:rPr>
          <w:rFonts w:ascii="Arial" w:hAnsi="Arial" w:cs="Arial"/>
          <w:b/>
          <w:bCs/>
          <w:sz w:val="22"/>
          <w:szCs w:val="22"/>
        </w:rPr>
        <w:t>3</w:t>
      </w:r>
      <w:r w:rsidRPr="00AE02EE">
        <w:rPr>
          <w:rFonts w:ascii="Arial" w:hAnsi="Arial" w:cs="Arial"/>
          <w:b/>
          <w:bCs/>
          <w:sz w:val="22"/>
          <w:szCs w:val="22"/>
        </w:rPr>
        <w:t>.</w:t>
      </w:r>
    </w:p>
    <w:p w14:paraId="1245EE9D" w14:textId="77777777" w:rsidR="00395594" w:rsidRPr="00AE02EE" w:rsidRDefault="00395594" w:rsidP="00395594">
      <w:pPr>
        <w:rPr>
          <w:rFonts w:ascii="Arial" w:hAnsi="Arial" w:cs="Arial"/>
          <w:sz w:val="22"/>
          <w:szCs w:val="22"/>
        </w:rPr>
      </w:pPr>
    </w:p>
    <w:p w14:paraId="1FDFC8CA" w14:textId="28A834F7" w:rsidR="00395594" w:rsidRPr="00AE02EE" w:rsidRDefault="00395594" w:rsidP="00C71603">
      <w:pPr>
        <w:rPr>
          <w:rFonts w:ascii="Arial" w:hAnsi="Arial" w:cs="Arial"/>
          <w:sz w:val="22"/>
          <w:szCs w:val="22"/>
        </w:rPr>
      </w:pPr>
      <w:r w:rsidRPr="00AE02EE">
        <w:rPr>
          <w:rFonts w:ascii="Arial" w:hAnsi="Arial" w:cs="Arial"/>
          <w:sz w:val="22"/>
          <w:szCs w:val="22"/>
        </w:rPr>
        <w:t xml:space="preserve">We minimized incursion of non-transplant seeds into experimental grids by weeding wild </w:t>
      </w:r>
      <w:r w:rsidRPr="00AE02EE">
        <w:rPr>
          <w:rFonts w:ascii="Arial" w:hAnsi="Arial" w:cs="Arial"/>
          <w:i/>
          <w:iCs/>
          <w:sz w:val="22"/>
          <w:szCs w:val="22"/>
        </w:rPr>
        <w:t xml:space="preserve">C. xantiana </w:t>
      </w:r>
      <w:r w:rsidRPr="00AE02EE">
        <w:rPr>
          <w:rFonts w:ascii="Arial" w:hAnsi="Arial" w:cs="Arial"/>
          <w:sz w:val="22"/>
          <w:szCs w:val="22"/>
        </w:rPr>
        <w:t xml:space="preserve">individuals within a 1-m perimeter of each transplant grid prior to planting. We also filled grids with local soil collected from </w:t>
      </w:r>
      <w:r w:rsidRPr="00AE02EE">
        <w:rPr>
          <w:rFonts w:ascii="Arial" w:hAnsi="Arial" w:cs="Arial"/>
          <w:sz w:val="22"/>
          <w:szCs w:val="22"/>
        </w:rPr>
        <w:sym w:font="Symbol" w:char="F0B3"/>
      </w:r>
      <w:r w:rsidR="00EA0849">
        <w:rPr>
          <w:rFonts w:ascii="Arial" w:hAnsi="Arial" w:cs="Arial"/>
          <w:sz w:val="22"/>
          <w:szCs w:val="22"/>
        </w:rPr>
        <w:t xml:space="preserve"> </w:t>
      </w:r>
      <w:r w:rsidR="00A0425C" w:rsidRPr="00AE02EE">
        <w:rPr>
          <w:rFonts w:ascii="Arial" w:hAnsi="Arial" w:cs="Arial"/>
          <w:sz w:val="22"/>
          <w:szCs w:val="22"/>
        </w:rPr>
        <w:t xml:space="preserve">30 </w:t>
      </w:r>
      <w:r w:rsidRPr="00AE02EE">
        <w:rPr>
          <w:rFonts w:ascii="Arial" w:hAnsi="Arial" w:cs="Arial"/>
          <w:sz w:val="22"/>
          <w:szCs w:val="22"/>
        </w:rPr>
        <w:t xml:space="preserve">cm below the surface to avoid </w:t>
      </w:r>
      <w:r w:rsidR="00B4227A">
        <w:rPr>
          <w:rFonts w:ascii="Arial" w:hAnsi="Arial" w:cs="Arial"/>
          <w:sz w:val="22"/>
          <w:szCs w:val="22"/>
        </w:rPr>
        <w:t xml:space="preserve">including </w:t>
      </w:r>
      <w:r w:rsidR="00A0425C" w:rsidRPr="00AE02EE">
        <w:rPr>
          <w:rFonts w:ascii="Arial" w:hAnsi="Arial" w:cs="Arial"/>
          <w:sz w:val="22"/>
          <w:szCs w:val="22"/>
        </w:rPr>
        <w:t>local seeds from the seed bank</w:t>
      </w:r>
      <w:r w:rsidRPr="00AE02EE">
        <w:rPr>
          <w:rFonts w:ascii="Arial" w:hAnsi="Arial" w:cs="Arial"/>
          <w:sz w:val="22"/>
          <w:szCs w:val="22"/>
        </w:rPr>
        <w:t xml:space="preserve"> in experimental grids. We included one empty cell per grid as a control to check for contamination with local seeds. We excluded from analyses individual grid cells from which &gt;1 seedling emerged, and whole grids if the control cell had a germinant or &gt;2 cells in the grid contained &gt;1 germinant.</w:t>
      </w:r>
      <w:r w:rsidR="00C71603">
        <w:rPr>
          <w:rFonts w:ascii="Arial" w:hAnsi="Arial" w:cs="Arial"/>
          <w:sz w:val="22"/>
          <w:szCs w:val="22"/>
        </w:rPr>
        <w:t xml:space="preserve"> </w:t>
      </w:r>
      <w:r w:rsidR="00C71603" w:rsidRPr="00C71603">
        <w:rPr>
          <w:rFonts w:ascii="Arial" w:hAnsi="Arial" w:cs="Arial"/>
          <w:sz w:val="22"/>
          <w:szCs w:val="22"/>
        </w:rPr>
        <w:t>27 out of 623 control cells in Cohort 1 (4.17%) and 27 out of 634 control cells in Cohort 2 (4.26%) had a germinant in them.</w:t>
      </w:r>
      <w:r w:rsidR="00C71603">
        <w:rPr>
          <w:rFonts w:ascii="Arial" w:hAnsi="Arial" w:cs="Arial"/>
          <w:sz w:val="22"/>
          <w:szCs w:val="22"/>
        </w:rPr>
        <w:t xml:space="preserve"> </w:t>
      </w:r>
    </w:p>
    <w:p w14:paraId="6726B95C" w14:textId="77777777" w:rsidR="00395594" w:rsidRPr="00FB280D" w:rsidRDefault="00395594" w:rsidP="00395594">
      <w:pPr>
        <w:pStyle w:val="Heading3"/>
      </w:pPr>
      <w:r w:rsidRPr="00FB280D">
        <w:t>Field data collection</w:t>
      </w:r>
    </w:p>
    <w:p w14:paraId="53A1DF4E" w14:textId="77777777" w:rsidR="00395594" w:rsidRPr="00AE02EE" w:rsidRDefault="00395594" w:rsidP="00395594">
      <w:pPr>
        <w:rPr>
          <w:rFonts w:ascii="Arial" w:hAnsi="Arial" w:cs="Arial"/>
          <w:sz w:val="22"/>
          <w:szCs w:val="22"/>
        </w:rPr>
      </w:pPr>
      <w:r w:rsidRPr="00AE02EE">
        <w:rPr>
          <w:rFonts w:ascii="Arial" w:hAnsi="Arial" w:cs="Arial"/>
          <w:sz w:val="22"/>
          <w:szCs w:val="22"/>
        </w:rPr>
        <w:t>For the first cohort, seeds were transplanted in November of 2016. We measured germination, early life survival, adult survival and flowering, and fruit production during repeated censuses in February, March, May, and June of 2017. At the end of the growing season, we collected all fruits produced by transplanted individuals that survived to reproduction.</w:t>
      </w:r>
    </w:p>
    <w:p w14:paraId="040087DC" w14:textId="77777777" w:rsidR="00395594" w:rsidRPr="00AE02EE" w:rsidRDefault="00395594" w:rsidP="00395594">
      <w:pPr>
        <w:rPr>
          <w:rFonts w:ascii="Arial" w:hAnsi="Arial" w:cs="Arial"/>
          <w:sz w:val="22"/>
          <w:szCs w:val="22"/>
        </w:rPr>
      </w:pPr>
    </w:p>
    <w:p w14:paraId="2368B234" w14:textId="10024E1B" w:rsidR="00395594" w:rsidRPr="00AE02EE" w:rsidRDefault="00395594" w:rsidP="00395594">
      <w:pPr>
        <w:rPr>
          <w:rFonts w:ascii="Arial" w:hAnsi="Arial" w:cs="Arial"/>
          <w:sz w:val="22"/>
          <w:szCs w:val="22"/>
        </w:rPr>
      </w:pPr>
      <w:r w:rsidRPr="00AE02EE">
        <w:rPr>
          <w:rFonts w:ascii="Arial" w:hAnsi="Arial" w:cs="Arial"/>
          <w:sz w:val="22"/>
          <w:szCs w:val="22"/>
        </w:rPr>
        <w:t>For the second cohort, seeds were transplanted in November of 2019. Subsequent fieldwork was limited due to the COVID-19 pandemic; we measured germination in February 2020 and late-season survival in June 2020</w:t>
      </w:r>
      <w:r w:rsidR="00B4227A">
        <w:rPr>
          <w:rFonts w:ascii="Arial" w:hAnsi="Arial" w:cs="Arial"/>
          <w:sz w:val="22"/>
          <w:szCs w:val="22"/>
        </w:rPr>
        <w:t xml:space="preserve">. In June we also </w:t>
      </w:r>
      <w:r w:rsidRPr="00AE02EE">
        <w:rPr>
          <w:rFonts w:ascii="Arial" w:hAnsi="Arial" w:cs="Arial"/>
          <w:sz w:val="22"/>
          <w:szCs w:val="22"/>
        </w:rPr>
        <w:t xml:space="preserve">collected all fruits of surviving individuals. While not directly observed, we inferred flowering in 2020 from fruiting data; all individuals </w:t>
      </w:r>
      <w:r w:rsidR="004B417C" w:rsidRPr="00AE02EE">
        <w:rPr>
          <w:rFonts w:ascii="Arial" w:hAnsi="Arial" w:cs="Arial"/>
          <w:sz w:val="22"/>
          <w:szCs w:val="22"/>
        </w:rPr>
        <w:t xml:space="preserve">that </w:t>
      </w:r>
      <w:r w:rsidRPr="00AE02EE">
        <w:rPr>
          <w:rFonts w:ascii="Arial" w:hAnsi="Arial" w:cs="Arial"/>
          <w:sz w:val="22"/>
          <w:szCs w:val="22"/>
        </w:rPr>
        <w:t>produced fruits were counted as having flowered, and individuals that died after flowering but prior to fruit production were noted during the June census.</w:t>
      </w:r>
    </w:p>
    <w:p w14:paraId="02893FF9" w14:textId="77777777" w:rsidR="00395594" w:rsidRPr="00AE02EE" w:rsidRDefault="00395594" w:rsidP="00395594">
      <w:pPr>
        <w:rPr>
          <w:rFonts w:ascii="Arial" w:hAnsi="Arial" w:cs="Arial"/>
          <w:sz w:val="22"/>
          <w:szCs w:val="22"/>
        </w:rPr>
      </w:pPr>
    </w:p>
    <w:p w14:paraId="6667E715" w14:textId="5649ADBA" w:rsidR="00395594" w:rsidRPr="001C5CD1" w:rsidRDefault="00395594" w:rsidP="00395594">
      <w:pPr>
        <w:rPr>
          <w:rFonts w:ascii="Arial" w:hAnsi="Arial" w:cs="Arial"/>
          <w:sz w:val="22"/>
          <w:szCs w:val="22"/>
          <w:lang w:val="en"/>
        </w:rPr>
      </w:pPr>
      <w:r w:rsidRPr="00AE02EE">
        <w:rPr>
          <w:rFonts w:ascii="Arial" w:hAnsi="Arial" w:cs="Arial"/>
          <w:sz w:val="22"/>
          <w:szCs w:val="22"/>
        </w:rPr>
        <w:t>In both cohorts, germination was recorded beginning in February and re-assessed at each subsequent census. In other words, our data captures germination occurring at “typical” times for this winter annual species (January-February) as well as “late” germination (March-May). We are able to detect germination of individuals that do not survive to establishment because dead germinants remain visible in transplant grids for several months (pers. obs.). Thus, our estimation of early life-history fitness components in the reciprocal transplants captures much of the available information about germination and seedling survival within the first year of sowing.</w:t>
      </w:r>
    </w:p>
    <w:p w14:paraId="3B18F03E" w14:textId="77777777" w:rsidR="00395594" w:rsidRPr="00FB280D" w:rsidRDefault="00395594" w:rsidP="00395594">
      <w:pPr>
        <w:pStyle w:val="Heading3"/>
      </w:pPr>
      <w:r w:rsidRPr="00FB280D">
        <w:t>Seed number estimation</w:t>
      </w:r>
    </w:p>
    <w:p w14:paraId="5C1DEE15" w14:textId="0AF742FE" w:rsidR="000E2BC7" w:rsidRDefault="00395594" w:rsidP="00395594">
      <w:pPr>
        <w:rPr>
          <w:rFonts w:ascii="Arial" w:hAnsi="Arial" w:cs="Arial"/>
          <w:sz w:val="22"/>
          <w:szCs w:val="22"/>
        </w:rPr>
      </w:pPr>
      <w:r w:rsidRPr="00AE02EE">
        <w:rPr>
          <w:rFonts w:ascii="Arial" w:hAnsi="Arial" w:cs="Arial"/>
          <w:sz w:val="22"/>
          <w:szCs w:val="22"/>
        </w:rPr>
        <w:t xml:space="preserve">In the first </w:t>
      </w:r>
      <w:r w:rsidR="004B417C" w:rsidRPr="00AE02EE">
        <w:rPr>
          <w:rFonts w:ascii="Arial" w:hAnsi="Arial" w:cs="Arial"/>
          <w:sz w:val="22"/>
          <w:szCs w:val="22"/>
        </w:rPr>
        <w:t xml:space="preserve">transplant </w:t>
      </w:r>
      <w:r w:rsidRPr="00AE02EE">
        <w:rPr>
          <w:rFonts w:ascii="Arial" w:hAnsi="Arial" w:cs="Arial"/>
          <w:sz w:val="22"/>
          <w:szCs w:val="22"/>
        </w:rPr>
        <w:t xml:space="preserve">cohort, we directly counted the total number of seeds produced by each fruiting individual to quantify reproductive output. Because fruit mass and seed number were highly correlated in Cohort 1, in Cohort 2 we </w:t>
      </w:r>
      <w:r w:rsidR="000E2BC7">
        <w:rPr>
          <w:rFonts w:ascii="Arial" w:hAnsi="Arial" w:cs="Arial"/>
          <w:sz w:val="22"/>
          <w:szCs w:val="22"/>
        </w:rPr>
        <w:t>estimated total reproductive output by predicting seed number from fruit mass.</w:t>
      </w:r>
    </w:p>
    <w:p w14:paraId="5665B0A8" w14:textId="77777777" w:rsidR="00143C41" w:rsidRDefault="00143C41" w:rsidP="00395594">
      <w:pPr>
        <w:rPr>
          <w:rFonts w:ascii="Arial" w:hAnsi="Arial" w:cs="Arial"/>
          <w:sz w:val="22"/>
          <w:szCs w:val="22"/>
        </w:rPr>
      </w:pPr>
    </w:p>
    <w:p w14:paraId="37A9625D" w14:textId="0B27DC9C" w:rsidR="000E2BC7" w:rsidRDefault="000E2BC7" w:rsidP="00395594">
      <w:pPr>
        <w:rPr>
          <w:rFonts w:ascii="Arial" w:hAnsi="Arial" w:cs="Arial"/>
          <w:sz w:val="22"/>
          <w:szCs w:val="22"/>
        </w:rPr>
      </w:pPr>
      <w:r>
        <w:rPr>
          <w:rFonts w:ascii="Arial" w:hAnsi="Arial" w:cs="Arial"/>
          <w:sz w:val="22"/>
          <w:szCs w:val="22"/>
        </w:rPr>
        <w:t xml:space="preserve">When collecting fruits in Cohort 2, we noticed that a subset of fruits displayed evidence of herbivore damage to fruits (frugivory) which may </w:t>
      </w:r>
      <w:r w:rsidR="00E7305D">
        <w:rPr>
          <w:rFonts w:ascii="Arial" w:hAnsi="Arial" w:cs="Arial"/>
          <w:sz w:val="22"/>
          <w:szCs w:val="22"/>
        </w:rPr>
        <w:t xml:space="preserve">influence the relationship between fruit mass and seed set. As such, we identified each fruit categorically as undamaged or damaged during collection. We then </w:t>
      </w:r>
      <w:r w:rsidR="00B4227A">
        <w:rPr>
          <w:rFonts w:ascii="Arial" w:hAnsi="Arial" w:cs="Arial"/>
          <w:sz w:val="22"/>
          <w:szCs w:val="22"/>
        </w:rPr>
        <w:t xml:space="preserve">separately </w:t>
      </w:r>
      <w:r w:rsidR="00E7305D">
        <w:rPr>
          <w:rFonts w:ascii="Arial" w:hAnsi="Arial" w:cs="Arial"/>
          <w:sz w:val="22"/>
          <w:szCs w:val="22"/>
        </w:rPr>
        <w:t xml:space="preserve">weighed all undamaged and damaged fruits from each fruiting individual. </w:t>
      </w:r>
    </w:p>
    <w:p w14:paraId="21C849C3" w14:textId="77777777" w:rsidR="000E2BC7" w:rsidRDefault="000E2BC7" w:rsidP="00395594">
      <w:pPr>
        <w:rPr>
          <w:rFonts w:ascii="Arial" w:hAnsi="Arial" w:cs="Arial"/>
          <w:sz w:val="22"/>
          <w:szCs w:val="22"/>
        </w:rPr>
      </w:pPr>
    </w:p>
    <w:p w14:paraId="1224ABFE" w14:textId="57A08B1B" w:rsidR="00395594" w:rsidRPr="00AE02EE" w:rsidRDefault="00E7305D" w:rsidP="00395594">
      <w:pPr>
        <w:rPr>
          <w:rFonts w:ascii="Arial" w:hAnsi="Arial" w:cs="Arial"/>
          <w:sz w:val="22"/>
          <w:szCs w:val="22"/>
        </w:rPr>
      </w:pPr>
      <w:r>
        <w:rPr>
          <w:rFonts w:ascii="Arial" w:hAnsi="Arial" w:cs="Arial"/>
          <w:sz w:val="22"/>
          <w:szCs w:val="22"/>
        </w:rPr>
        <w:t>W</w:t>
      </w:r>
      <w:r w:rsidR="00395594" w:rsidRPr="00AE02EE">
        <w:rPr>
          <w:rFonts w:ascii="Arial" w:hAnsi="Arial" w:cs="Arial"/>
          <w:sz w:val="22"/>
          <w:szCs w:val="22"/>
        </w:rPr>
        <w:t>e selected a stratified random sample of 30 individuals spanning the full observed range of fruit mass in each site-source combination and counted their seeds. We counted seed number and measured fruit mass separately for undamaged and damaged fruits, and regressed seed number on fruit mass for the two fruit types using linear models (</w:t>
      </w:r>
      <w:r w:rsidR="00395594" w:rsidRPr="00AE02EE">
        <w:rPr>
          <w:rFonts w:ascii="Arial" w:hAnsi="Arial" w:cs="Arial"/>
          <w:b/>
          <w:bCs/>
          <w:sz w:val="22"/>
          <w:szCs w:val="22"/>
        </w:rPr>
        <w:t xml:space="preserve">Supplementary Figure </w:t>
      </w:r>
      <w:r w:rsidR="002118C5">
        <w:rPr>
          <w:rFonts w:ascii="Arial" w:hAnsi="Arial" w:cs="Arial"/>
          <w:b/>
          <w:bCs/>
          <w:sz w:val="22"/>
          <w:szCs w:val="22"/>
        </w:rPr>
        <w:t>6</w:t>
      </w:r>
      <w:r w:rsidR="00395594" w:rsidRPr="00AE02EE">
        <w:rPr>
          <w:rFonts w:ascii="Arial" w:hAnsi="Arial" w:cs="Arial"/>
          <w:sz w:val="22"/>
          <w:szCs w:val="22"/>
        </w:rPr>
        <w:t>). We used the estimated model coefficients (</w:t>
      </w:r>
      <w:r w:rsidR="00395594" w:rsidRPr="00AE02EE">
        <w:rPr>
          <w:rFonts w:ascii="Arial" w:hAnsi="Arial" w:cs="Arial"/>
          <w:b/>
          <w:sz w:val="22"/>
          <w:szCs w:val="22"/>
        </w:rPr>
        <w:t xml:space="preserve">Supplementary Table </w:t>
      </w:r>
      <w:r w:rsidR="00A0425C" w:rsidRPr="00AE02EE">
        <w:rPr>
          <w:rFonts w:ascii="Arial" w:hAnsi="Arial" w:cs="Arial"/>
          <w:b/>
          <w:sz w:val="22"/>
          <w:szCs w:val="22"/>
        </w:rPr>
        <w:t>4</w:t>
      </w:r>
      <w:r w:rsidR="00395594" w:rsidRPr="00AE02EE">
        <w:rPr>
          <w:rFonts w:ascii="Arial" w:hAnsi="Arial" w:cs="Arial"/>
          <w:sz w:val="22"/>
          <w:szCs w:val="22"/>
        </w:rPr>
        <w:t>) to predict seed number from undamaged and from damaged fruits, based on their measured masses, for all other fruiting individuals in that source-site combination. We summed the seeds from the two fruit types and rounded the sum to the nearest whole number to estimate total reproductive output for each fruiting plant.</w:t>
      </w:r>
    </w:p>
    <w:p w14:paraId="23E6F855" w14:textId="77777777" w:rsidR="00395594" w:rsidRPr="00AE02EE" w:rsidRDefault="00395594" w:rsidP="00395594">
      <w:pPr>
        <w:rPr>
          <w:rFonts w:ascii="Arial" w:hAnsi="Arial" w:cs="Arial"/>
          <w:sz w:val="22"/>
          <w:szCs w:val="22"/>
        </w:rPr>
      </w:pPr>
    </w:p>
    <w:p w14:paraId="6ED18C2C" w14:textId="265B4525" w:rsidR="00395594" w:rsidRPr="00AE02EE" w:rsidRDefault="00395594" w:rsidP="00395594">
      <w:pPr>
        <w:rPr>
          <w:rFonts w:ascii="Arial" w:hAnsi="Arial" w:cs="Arial"/>
          <w:sz w:val="22"/>
          <w:szCs w:val="22"/>
        </w:rPr>
      </w:pPr>
      <w:r w:rsidRPr="00AE02EE">
        <w:rPr>
          <w:rFonts w:ascii="Arial" w:hAnsi="Arial" w:cs="Arial"/>
          <w:sz w:val="22"/>
          <w:szCs w:val="22"/>
        </w:rPr>
        <w:t>For the subset of plants in year 2 for which we both weighed fruits and counted seeds, we tested the precision of these models by comparing predicted and observed seed numbers using a linear regression. Predicted and observed values were tightly correlated (</w:t>
      </w:r>
      <w:r w:rsidRPr="00AE02EE">
        <w:rPr>
          <w:rFonts w:ascii="Arial" w:hAnsi="Arial" w:cs="Arial"/>
          <w:b/>
          <w:sz w:val="22"/>
          <w:szCs w:val="22"/>
        </w:rPr>
        <w:t xml:space="preserve">Supplementary Figure </w:t>
      </w:r>
      <w:r w:rsidR="002118C5">
        <w:rPr>
          <w:rFonts w:ascii="Arial" w:hAnsi="Arial" w:cs="Arial"/>
          <w:b/>
          <w:sz w:val="22"/>
          <w:szCs w:val="22"/>
        </w:rPr>
        <w:t>7</w:t>
      </w:r>
      <w:r w:rsidRPr="00AE02EE">
        <w:rPr>
          <w:rFonts w:ascii="Arial" w:hAnsi="Arial" w:cs="Arial"/>
          <w:sz w:val="22"/>
          <w:szCs w:val="22"/>
        </w:rPr>
        <w:t xml:space="preserve">). </w:t>
      </w:r>
      <w:bookmarkStart w:id="4" w:name="_qssos74xlwq4" w:colFirst="0" w:colLast="0"/>
      <w:bookmarkStart w:id="5" w:name="_rmcvapryvcbn" w:colFirst="0" w:colLast="0"/>
      <w:bookmarkEnd w:id="4"/>
      <w:bookmarkEnd w:id="5"/>
    </w:p>
    <w:p w14:paraId="77FB7622" w14:textId="77777777" w:rsidR="00395594" w:rsidRPr="00FB280D" w:rsidRDefault="00395594" w:rsidP="00395594">
      <w:pPr>
        <w:pStyle w:val="Heading3"/>
      </w:pPr>
      <w:r w:rsidRPr="00FB280D">
        <w:t>ASTER models</w:t>
      </w:r>
    </w:p>
    <w:p w14:paraId="04EFE3D3" w14:textId="77777777" w:rsidR="00395594" w:rsidRPr="00AE02EE" w:rsidRDefault="00395594" w:rsidP="00395594">
      <w:pPr>
        <w:rPr>
          <w:rFonts w:ascii="Arial" w:hAnsi="Arial" w:cs="Arial"/>
          <w:sz w:val="22"/>
          <w:szCs w:val="22"/>
        </w:rPr>
      </w:pPr>
      <w:r w:rsidRPr="00AE02EE">
        <w:rPr>
          <w:rFonts w:ascii="Arial" w:hAnsi="Arial" w:cs="Arial"/>
          <w:sz w:val="22"/>
          <w:szCs w:val="22"/>
        </w:rPr>
        <w:t>For each site-specific model in Cohort 1, we employed the following model structure:</w:t>
      </w:r>
    </w:p>
    <w:p w14:paraId="0203D7AB" w14:textId="77777777" w:rsidR="00395594" w:rsidRPr="00AE02EE" w:rsidRDefault="00395594" w:rsidP="00395594">
      <w:pPr>
        <w:rPr>
          <w:rFonts w:ascii="Arial" w:hAnsi="Arial" w:cs="Arial"/>
          <w:sz w:val="22"/>
          <w:szCs w:val="22"/>
        </w:rPr>
      </w:pPr>
    </w:p>
    <w:tbl>
      <w:tblPr>
        <w:tblW w:w="1000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0"/>
        <w:gridCol w:w="285"/>
        <w:gridCol w:w="1350"/>
        <w:gridCol w:w="270"/>
        <w:gridCol w:w="1410"/>
        <w:gridCol w:w="270"/>
        <w:gridCol w:w="1335"/>
        <w:gridCol w:w="255"/>
        <w:gridCol w:w="1365"/>
        <w:gridCol w:w="285"/>
        <w:gridCol w:w="1365"/>
        <w:gridCol w:w="270"/>
        <w:gridCol w:w="960"/>
      </w:tblGrid>
      <w:tr w:rsidR="00395594" w:rsidRPr="001C5CD1" w14:paraId="6ECB4C30" w14:textId="77777777" w:rsidTr="003E6B74">
        <w:trPr>
          <w:trHeight w:val="565"/>
          <w:jc w:val="center"/>
        </w:trPr>
        <w:tc>
          <w:tcPr>
            <w:tcW w:w="580" w:type="dxa"/>
            <w:vMerge w:val="restart"/>
            <w:shd w:val="clear" w:color="auto" w:fill="auto"/>
            <w:tcMar>
              <w:top w:w="0" w:type="dxa"/>
              <w:left w:w="0" w:type="dxa"/>
              <w:bottom w:w="0" w:type="dxa"/>
              <w:right w:w="0" w:type="dxa"/>
            </w:tcMar>
            <w:vAlign w:val="center"/>
          </w:tcPr>
          <w:p w14:paraId="68756F92"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Root</w:t>
            </w:r>
          </w:p>
        </w:tc>
        <w:tc>
          <w:tcPr>
            <w:tcW w:w="285" w:type="dxa"/>
            <w:vMerge w:val="restart"/>
            <w:shd w:val="clear" w:color="auto" w:fill="auto"/>
            <w:tcMar>
              <w:top w:w="0" w:type="dxa"/>
              <w:left w:w="0" w:type="dxa"/>
              <w:bottom w:w="0" w:type="dxa"/>
              <w:right w:w="0" w:type="dxa"/>
            </w:tcMar>
            <w:vAlign w:val="center"/>
          </w:tcPr>
          <w:p w14:paraId="7C461392"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eastAsia="Cardo" w:hAnsi="Arial" w:cs="Arial"/>
                <w:sz w:val="22"/>
                <w:szCs w:val="22"/>
              </w:rPr>
              <w:t>→</w:t>
            </w:r>
          </w:p>
        </w:tc>
        <w:tc>
          <w:tcPr>
            <w:tcW w:w="1350" w:type="dxa"/>
            <w:shd w:val="clear" w:color="auto" w:fill="auto"/>
            <w:tcMar>
              <w:top w:w="0" w:type="dxa"/>
              <w:left w:w="0" w:type="dxa"/>
              <w:bottom w:w="0" w:type="dxa"/>
              <w:right w:w="0" w:type="dxa"/>
            </w:tcMar>
            <w:vAlign w:val="center"/>
          </w:tcPr>
          <w:p w14:paraId="2769CF96"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Germination</w:t>
            </w:r>
          </w:p>
        </w:tc>
        <w:tc>
          <w:tcPr>
            <w:tcW w:w="270" w:type="dxa"/>
            <w:vMerge w:val="restart"/>
            <w:shd w:val="clear" w:color="auto" w:fill="auto"/>
            <w:tcMar>
              <w:top w:w="0" w:type="dxa"/>
              <w:left w:w="0" w:type="dxa"/>
              <w:bottom w:w="0" w:type="dxa"/>
              <w:right w:w="0" w:type="dxa"/>
            </w:tcMar>
            <w:vAlign w:val="center"/>
          </w:tcPr>
          <w:p w14:paraId="214D7799"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eastAsia="Cardo" w:hAnsi="Arial" w:cs="Arial"/>
                <w:sz w:val="22"/>
                <w:szCs w:val="22"/>
              </w:rPr>
              <w:t>→</w:t>
            </w:r>
          </w:p>
        </w:tc>
        <w:tc>
          <w:tcPr>
            <w:tcW w:w="1410" w:type="dxa"/>
            <w:shd w:val="clear" w:color="auto" w:fill="auto"/>
            <w:tcMar>
              <w:top w:w="0" w:type="dxa"/>
              <w:left w:w="0" w:type="dxa"/>
              <w:bottom w:w="0" w:type="dxa"/>
              <w:right w:w="0" w:type="dxa"/>
            </w:tcMar>
            <w:vAlign w:val="center"/>
          </w:tcPr>
          <w:p w14:paraId="33F1F4B6"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March survival</w:t>
            </w:r>
          </w:p>
        </w:tc>
        <w:tc>
          <w:tcPr>
            <w:tcW w:w="270" w:type="dxa"/>
            <w:vMerge w:val="restart"/>
            <w:shd w:val="clear" w:color="auto" w:fill="auto"/>
            <w:tcMar>
              <w:top w:w="0" w:type="dxa"/>
              <w:left w:w="0" w:type="dxa"/>
              <w:bottom w:w="0" w:type="dxa"/>
              <w:right w:w="0" w:type="dxa"/>
            </w:tcMar>
            <w:vAlign w:val="center"/>
          </w:tcPr>
          <w:p w14:paraId="6445B292"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eastAsia="Cardo" w:hAnsi="Arial" w:cs="Arial"/>
                <w:sz w:val="22"/>
                <w:szCs w:val="22"/>
              </w:rPr>
              <w:t>→</w:t>
            </w:r>
          </w:p>
        </w:tc>
        <w:tc>
          <w:tcPr>
            <w:tcW w:w="1335" w:type="dxa"/>
            <w:shd w:val="clear" w:color="auto" w:fill="auto"/>
            <w:tcMar>
              <w:top w:w="0" w:type="dxa"/>
              <w:left w:w="0" w:type="dxa"/>
              <w:bottom w:w="0" w:type="dxa"/>
              <w:right w:w="0" w:type="dxa"/>
            </w:tcMar>
            <w:vAlign w:val="center"/>
          </w:tcPr>
          <w:p w14:paraId="60E07DAD"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May survival</w:t>
            </w:r>
          </w:p>
        </w:tc>
        <w:tc>
          <w:tcPr>
            <w:tcW w:w="255" w:type="dxa"/>
            <w:vMerge w:val="restart"/>
            <w:shd w:val="clear" w:color="auto" w:fill="auto"/>
            <w:tcMar>
              <w:top w:w="0" w:type="dxa"/>
              <w:left w:w="0" w:type="dxa"/>
              <w:bottom w:w="0" w:type="dxa"/>
              <w:right w:w="0" w:type="dxa"/>
            </w:tcMar>
            <w:vAlign w:val="center"/>
          </w:tcPr>
          <w:p w14:paraId="1F42529B"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eastAsia="Cardo" w:hAnsi="Arial" w:cs="Arial"/>
                <w:sz w:val="22"/>
                <w:szCs w:val="22"/>
              </w:rPr>
              <w:t>→</w:t>
            </w:r>
          </w:p>
        </w:tc>
        <w:tc>
          <w:tcPr>
            <w:tcW w:w="1365" w:type="dxa"/>
            <w:shd w:val="clear" w:color="auto" w:fill="auto"/>
            <w:tcMar>
              <w:top w:w="0" w:type="dxa"/>
              <w:left w:w="0" w:type="dxa"/>
              <w:bottom w:w="0" w:type="dxa"/>
              <w:right w:w="0" w:type="dxa"/>
            </w:tcMar>
            <w:vAlign w:val="center"/>
          </w:tcPr>
          <w:p w14:paraId="4E67C858"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Flowering</w:t>
            </w:r>
          </w:p>
        </w:tc>
        <w:tc>
          <w:tcPr>
            <w:tcW w:w="285" w:type="dxa"/>
            <w:vMerge w:val="restart"/>
            <w:shd w:val="clear" w:color="auto" w:fill="auto"/>
            <w:tcMar>
              <w:top w:w="0" w:type="dxa"/>
              <w:left w:w="0" w:type="dxa"/>
              <w:bottom w:w="0" w:type="dxa"/>
              <w:right w:w="0" w:type="dxa"/>
            </w:tcMar>
            <w:vAlign w:val="center"/>
          </w:tcPr>
          <w:p w14:paraId="7E7DAF1B"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eastAsia="Cardo" w:hAnsi="Arial" w:cs="Arial"/>
                <w:sz w:val="22"/>
                <w:szCs w:val="22"/>
              </w:rPr>
              <w:t>→</w:t>
            </w:r>
          </w:p>
        </w:tc>
        <w:tc>
          <w:tcPr>
            <w:tcW w:w="1365" w:type="dxa"/>
            <w:shd w:val="clear" w:color="auto" w:fill="auto"/>
            <w:tcMar>
              <w:top w:w="0" w:type="dxa"/>
              <w:left w:w="0" w:type="dxa"/>
              <w:bottom w:w="0" w:type="dxa"/>
              <w:right w:w="0" w:type="dxa"/>
            </w:tcMar>
            <w:vAlign w:val="center"/>
          </w:tcPr>
          <w:p w14:paraId="36B3A887"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Fruiting</w:t>
            </w:r>
          </w:p>
        </w:tc>
        <w:tc>
          <w:tcPr>
            <w:tcW w:w="270" w:type="dxa"/>
            <w:vMerge w:val="restart"/>
            <w:shd w:val="clear" w:color="auto" w:fill="auto"/>
            <w:tcMar>
              <w:top w:w="0" w:type="dxa"/>
              <w:left w:w="0" w:type="dxa"/>
              <w:bottom w:w="0" w:type="dxa"/>
              <w:right w:w="0" w:type="dxa"/>
            </w:tcMar>
            <w:vAlign w:val="center"/>
          </w:tcPr>
          <w:p w14:paraId="2555177D"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eastAsia="Cardo" w:hAnsi="Arial" w:cs="Arial"/>
                <w:sz w:val="22"/>
                <w:szCs w:val="22"/>
              </w:rPr>
              <w:t>→</w:t>
            </w:r>
          </w:p>
        </w:tc>
        <w:tc>
          <w:tcPr>
            <w:tcW w:w="960" w:type="dxa"/>
            <w:shd w:val="clear" w:color="auto" w:fill="auto"/>
            <w:tcMar>
              <w:top w:w="0" w:type="dxa"/>
              <w:left w:w="0" w:type="dxa"/>
              <w:bottom w:w="0" w:type="dxa"/>
              <w:right w:w="0" w:type="dxa"/>
            </w:tcMar>
            <w:vAlign w:val="center"/>
          </w:tcPr>
          <w:p w14:paraId="4C72E516"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Seeds</w:t>
            </w:r>
          </w:p>
        </w:tc>
      </w:tr>
      <w:tr w:rsidR="00395594" w:rsidRPr="001C5CD1" w14:paraId="10B209F6" w14:textId="77777777" w:rsidTr="003E6B74">
        <w:trPr>
          <w:trHeight w:val="420"/>
          <w:jc w:val="center"/>
        </w:trPr>
        <w:tc>
          <w:tcPr>
            <w:tcW w:w="580" w:type="dxa"/>
            <w:vMerge/>
            <w:shd w:val="clear" w:color="auto" w:fill="auto"/>
            <w:tcMar>
              <w:top w:w="0" w:type="dxa"/>
              <w:left w:w="0" w:type="dxa"/>
              <w:bottom w:w="0" w:type="dxa"/>
              <w:right w:w="0" w:type="dxa"/>
            </w:tcMar>
            <w:vAlign w:val="center"/>
          </w:tcPr>
          <w:p w14:paraId="0836CD6B" w14:textId="77777777" w:rsidR="00395594" w:rsidRPr="00AE02EE" w:rsidRDefault="00395594" w:rsidP="003E6B74">
            <w:pPr>
              <w:widowControl w:val="0"/>
              <w:pBdr>
                <w:top w:val="nil"/>
                <w:left w:val="nil"/>
                <w:bottom w:val="nil"/>
                <w:right w:val="nil"/>
                <w:between w:val="nil"/>
              </w:pBdr>
              <w:rPr>
                <w:rFonts w:ascii="Arial" w:hAnsi="Arial" w:cs="Arial"/>
                <w:sz w:val="22"/>
                <w:szCs w:val="22"/>
              </w:rPr>
            </w:pPr>
          </w:p>
        </w:tc>
        <w:tc>
          <w:tcPr>
            <w:tcW w:w="285" w:type="dxa"/>
            <w:vMerge/>
            <w:shd w:val="clear" w:color="auto" w:fill="auto"/>
            <w:tcMar>
              <w:top w:w="0" w:type="dxa"/>
              <w:left w:w="0" w:type="dxa"/>
              <w:bottom w:w="0" w:type="dxa"/>
              <w:right w:w="0" w:type="dxa"/>
            </w:tcMar>
            <w:vAlign w:val="center"/>
          </w:tcPr>
          <w:p w14:paraId="39733EA3" w14:textId="77777777" w:rsidR="00395594" w:rsidRPr="00AE02EE" w:rsidRDefault="00395594" w:rsidP="003E6B74">
            <w:pPr>
              <w:widowControl w:val="0"/>
              <w:pBdr>
                <w:top w:val="nil"/>
                <w:left w:val="nil"/>
                <w:bottom w:val="nil"/>
                <w:right w:val="nil"/>
                <w:between w:val="nil"/>
              </w:pBdr>
              <w:rPr>
                <w:rFonts w:ascii="Arial" w:hAnsi="Arial" w:cs="Arial"/>
                <w:sz w:val="22"/>
                <w:szCs w:val="22"/>
              </w:rPr>
            </w:pPr>
          </w:p>
        </w:tc>
        <w:tc>
          <w:tcPr>
            <w:tcW w:w="1350" w:type="dxa"/>
            <w:shd w:val="clear" w:color="auto" w:fill="auto"/>
            <w:tcMar>
              <w:top w:w="0" w:type="dxa"/>
              <w:left w:w="0" w:type="dxa"/>
              <w:bottom w:w="0" w:type="dxa"/>
              <w:right w:w="0" w:type="dxa"/>
            </w:tcMar>
            <w:vAlign w:val="center"/>
          </w:tcPr>
          <w:p w14:paraId="1536D8F8"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Bernoulli (0,1)</w:t>
            </w:r>
          </w:p>
        </w:tc>
        <w:tc>
          <w:tcPr>
            <w:tcW w:w="270" w:type="dxa"/>
            <w:vMerge/>
            <w:shd w:val="clear" w:color="auto" w:fill="auto"/>
            <w:tcMar>
              <w:top w:w="0" w:type="dxa"/>
              <w:left w:w="0" w:type="dxa"/>
              <w:bottom w:w="0" w:type="dxa"/>
              <w:right w:w="0" w:type="dxa"/>
            </w:tcMar>
            <w:vAlign w:val="center"/>
          </w:tcPr>
          <w:p w14:paraId="742E6F31" w14:textId="77777777" w:rsidR="00395594" w:rsidRPr="00AE02EE" w:rsidRDefault="00395594" w:rsidP="003E6B74">
            <w:pPr>
              <w:widowControl w:val="0"/>
              <w:pBdr>
                <w:top w:val="nil"/>
                <w:left w:val="nil"/>
                <w:bottom w:val="nil"/>
                <w:right w:val="nil"/>
                <w:between w:val="nil"/>
              </w:pBdr>
              <w:rPr>
                <w:rFonts w:ascii="Arial" w:hAnsi="Arial" w:cs="Arial"/>
                <w:sz w:val="22"/>
                <w:szCs w:val="22"/>
              </w:rPr>
            </w:pPr>
          </w:p>
        </w:tc>
        <w:tc>
          <w:tcPr>
            <w:tcW w:w="1410" w:type="dxa"/>
            <w:shd w:val="clear" w:color="auto" w:fill="auto"/>
            <w:tcMar>
              <w:top w:w="0" w:type="dxa"/>
              <w:left w:w="0" w:type="dxa"/>
              <w:bottom w:w="0" w:type="dxa"/>
              <w:right w:w="0" w:type="dxa"/>
            </w:tcMar>
            <w:vAlign w:val="center"/>
          </w:tcPr>
          <w:p w14:paraId="346CA77C"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 xml:space="preserve">Bernoulli </w:t>
            </w:r>
          </w:p>
          <w:p w14:paraId="4761FD1D"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(0,1)</w:t>
            </w:r>
          </w:p>
        </w:tc>
        <w:tc>
          <w:tcPr>
            <w:tcW w:w="270" w:type="dxa"/>
            <w:vMerge/>
            <w:shd w:val="clear" w:color="auto" w:fill="auto"/>
            <w:tcMar>
              <w:top w:w="0" w:type="dxa"/>
              <w:left w:w="0" w:type="dxa"/>
              <w:bottom w:w="0" w:type="dxa"/>
              <w:right w:w="0" w:type="dxa"/>
            </w:tcMar>
            <w:vAlign w:val="center"/>
          </w:tcPr>
          <w:p w14:paraId="15381CCD" w14:textId="77777777" w:rsidR="00395594" w:rsidRPr="00AE02EE" w:rsidRDefault="00395594" w:rsidP="003E6B74">
            <w:pPr>
              <w:widowControl w:val="0"/>
              <w:pBdr>
                <w:top w:val="nil"/>
                <w:left w:val="nil"/>
                <w:bottom w:val="nil"/>
                <w:right w:val="nil"/>
                <w:between w:val="nil"/>
              </w:pBdr>
              <w:rPr>
                <w:rFonts w:ascii="Arial" w:hAnsi="Arial" w:cs="Arial"/>
                <w:sz w:val="22"/>
                <w:szCs w:val="22"/>
              </w:rPr>
            </w:pPr>
          </w:p>
        </w:tc>
        <w:tc>
          <w:tcPr>
            <w:tcW w:w="1335" w:type="dxa"/>
            <w:shd w:val="clear" w:color="auto" w:fill="auto"/>
            <w:tcMar>
              <w:top w:w="0" w:type="dxa"/>
              <w:left w:w="0" w:type="dxa"/>
              <w:bottom w:w="0" w:type="dxa"/>
              <w:right w:w="0" w:type="dxa"/>
            </w:tcMar>
            <w:vAlign w:val="center"/>
          </w:tcPr>
          <w:p w14:paraId="24B5A117"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Bernoulli (0,1)</w:t>
            </w:r>
          </w:p>
        </w:tc>
        <w:tc>
          <w:tcPr>
            <w:tcW w:w="255" w:type="dxa"/>
            <w:vMerge/>
            <w:shd w:val="clear" w:color="auto" w:fill="auto"/>
            <w:tcMar>
              <w:top w:w="0" w:type="dxa"/>
              <w:left w:w="0" w:type="dxa"/>
              <w:bottom w:w="0" w:type="dxa"/>
              <w:right w:w="0" w:type="dxa"/>
            </w:tcMar>
            <w:vAlign w:val="center"/>
          </w:tcPr>
          <w:p w14:paraId="66F1C72B" w14:textId="77777777" w:rsidR="00395594" w:rsidRPr="00AE02EE" w:rsidRDefault="00395594" w:rsidP="003E6B74">
            <w:pPr>
              <w:widowControl w:val="0"/>
              <w:pBdr>
                <w:top w:val="nil"/>
                <w:left w:val="nil"/>
                <w:bottom w:val="nil"/>
                <w:right w:val="nil"/>
                <w:between w:val="nil"/>
              </w:pBdr>
              <w:rPr>
                <w:rFonts w:ascii="Arial" w:hAnsi="Arial" w:cs="Arial"/>
                <w:sz w:val="22"/>
                <w:szCs w:val="22"/>
              </w:rPr>
            </w:pPr>
          </w:p>
        </w:tc>
        <w:tc>
          <w:tcPr>
            <w:tcW w:w="1365" w:type="dxa"/>
            <w:shd w:val="clear" w:color="auto" w:fill="auto"/>
            <w:tcMar>
              <w:top w:w="0" w:type="dxa"/>
              <w:left w:w="0" w:type="dxa"/>
              <w:bottom w:w="0" w:type="dxa"/>
              <w:right w:w="0" w:type="dxa"/>
            </w:tcMar>
            <w:vAlign w:val="center"/>
          </w:tcPr>
          <w:p w14:paraId="6472B853"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Bernoulli (0,1)</w:t>
            </w:r>
          </w:p>
        </w:tc>
        <w:tc>
          <w:tcPr>
            <w:tcW w:w="285" w:type="dxa"/>
            <w:vMerge/>
            <w:shd w:val="clear" w:color="auto" w:fill="auto"/>
            <w:tcMar>
              <w:top w:w="0" w:type="dxa"/>
              <w:left w:w="0" w:type="dxa"/>
              <w:bottom w:w="0" w:type="dxa"/>
              <w:right w:w="0" w:type="dxa"/>
            </w:tcMar>
            <w:vAlign w:val="center"/>
          </w:tcPr>
          <w:p w14:paraId="20164416" w14:textId="77777777" w:rsidR="00395594" w:rsidRPr="00AE02EE" w:rsidRDefault="00395594" w:rsidP="003E6B74">
            <w:pPr>
              <w:widowControl w:val="0"/>
              <w:pBdr>
                <w:top w:val="nil"/>
                <w:left w:val="nil"/>
                <w:bottom w:val="nil"/>
                <w:right w:val="nil"/>
                <w:between w:val="nil"/>
              </w:pBdr>
              <w:rPr>
                <w:rFonts w:ascii="Arial" w:hAnsi="Arial" w:cs="Arial"/>
                <w:sz w:val="22"/>
                <w:szCs w:val="22"/>
              </w:rPr>
            </w:pPr>
          </w:p>
        </w:tc>
        <w:tc>
          <w:tcPr>
            <w:tcW w:w="1365" w:type="dxa"/>
            <w:shd w:val="clear" w:color="auto" w:fill="auto"/>
            <w:tcMar>
              <w:top w:w="0" w:type="dxa"/>
              <w:left w:w="0" w:type="dxa"/>
              <w:bottom w:w="0" w:type="dxa"/>
              <w:right w:w="0" w:type="dxa"/>
            </w:tcMar>
            <w:vAlign w:val="center"/>
          </w:tcPr>
          <w:p w14:paraId="113EC41B"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Bernoulli (0,1)</w:t>
            </w:r>
          </w:p>
        </w:tc>
        <w:tc>
          <w:tcPr>
            <w:tcW w:w="270" w:type="dxa"/>
            <w:vMerge/>
            <w:shd w:val="clear" w:color="auto" w:fill="auto"/>
            <w:tcMar>
              <w:top w:w="0" w:type="dxa"/>
              <w:left w:w="0" w:type="dxa"/>
              <w:bottom w:w="0" w:type="dxa"/>
              <w:right w:w="0" w:type="dxa"/>
            </w:tcMar>
            <w:vAlign w:val="center"/>
          </w:tcPr>
          <w:p w14:paraId="2FF5F78E" w14:textId="77777777" w:rsidR="00395594" w:rsidRPr="00AE02EE" w:rsidRDefault="00395594" w:rsidP="003E6B74">
            <w:pPr>
              <w:widowControl w:val="0"/>
              <w:pBdr>
                <w:top w:val="nil"/>
                <w:left w:val="nil"/>
                <w:bottom w:val="nil"/>
                <w:right w:val="nil"/>
                <w:between w:val="nil"/>
              </w:pBdr>
              <w:rPr>
                <w:rFonts w:ascii="Arial" w:hAnsi="Arial" w:cs="Arial"/>
                <w:sz w:val="22"/>
                <w:szCs w:val="22"/>
              </w:rPr>
            </w:pPr>
          </w:p>
        </w:tc>
        <w:tc>
          <w:tcPr>
            <w:tcW w:w="960" w:type="dxa"/>
            <w:shd w:val="clear" w:color="auto" w:fill="auto"/>
            <w:tcMar>
              <w:top w:w="0" w:type="dxa"/>
              <w:left w:w="0" w:type="dxa"/>
              <w:bottom w:w="0" w:type="dxa"/>
              <w:right w:w="0" w:type="dxa"/>
            </w:tcMar>
            <w:vAlign w:val="center"/>
          </w:tcPr>
          <w:p w14:paraId="0A26E1D3" w14:textId="77777777" w:rsidR="00395594" w:rsidRPr="00AE02EE" w:rsidRDefault="00395594" w:rsidP="003E6B74">
            <w:pPr>
              <w:widowControl w:val="0"/>
              <w:pBdr>
                <w:top w:val="nil"/>
                <w:left w:val="nil"/>
                <w:bottom w:val="nil"/>
                <w:right w:val="nil"/>
                <w:between w:val="nil"/>
              </w:pBdr>
              <w:jc w:val="center"/>
              <w:rPr>
                <w:rFonts w:ascii="Arial" w:hAnsi="Arial" w:cs="Arial"/>
                <w:sz w:val="22"/>
                <w:szCs w:val="22"/>
              </w:rPr>
            </w:pPr>
            <w:r w:rsidRPr="00AE02EE">
              <w:rPr>
                <w:rFonts w:ascii="Arial" w:hAnsi="Arial" w:cs="Arial"/>
                <w:sz w:val="22"/>
                <w:szCs w:val="22"/>
              </w:rPr>
              <w:t>Poisson</w:t>
            </w:r>
          </w:p>
        </w:tc>
      </w:tr>
    </w:tbl>
    <w:p w14:paraId="1934DF96" w14:textId="77777777" w:rsidR="00395594" w:rsidRPr="001C5CD1" w:rsidRDefault="00395594" w:rsidP="00395594">
      <w:pPr>
        <w:rPr>
          <w:rFonts w:ascii="Arial" w:hAnsi="Arial" w:cs="Arial"/>
          <w:sz w:val="22"/>
          <w:szCs w:val="22"/>
        </w:rPr>
      </w:pPr>
    </w:p>
    <w:p w14:paraId="1C724055" w14:textId="77777777" w:rsidR="00395594" w:rsidRPr="00AE02EE" w:rsidRDefault="00395594" w:rsidP="00395594">
      <w:pPr>
        <w:rPr>
          <w:rFonts w:ascii="Arial" w:hAnsi="Arial" w:cs="Arial"/>
          <w:sz w:val="22"/>
          <w:szCs w:val="22"/>
        </w:rPr>
      </w:pPr>
      <w:r w:rsidRPr="00AE02EE">
        <w:rPr>
          <w:rFonts w:ascii="Arial" w:hAnsi="Arial" w:cs="Arial"/>
          <w:sz w:val="22"/>
          <w:szCs w:val="22"/>
        </w:rPr>
        <w:t>In Cohort 2, because fewer life-history transitions were directly observed, we eliminated the May survival node from the model, as follows:</w:t>
      </w:r>
    </w:p>
    <w:p w14:paraId="661AB140" w14:textId="77777777" w:rsidR="00395594" w:rsidRPr="00AE02EE" w:rsidRDefault="00395594" w:rsidP="00395594">
      <w:pPr>
        <w:rPr>
          <w:rFonts w:ascii="Arial" w:hAnsi="Arial" w:cs="Arial"/>
          <w:sz w:val="22"/>
          <w:szCs w:val="22"/>
        </w:rPr>
      </w:pPr>
    </w:p>
    <w:tbl>
      <w:tblPr>
        <w:tblW w:w="841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0"/>
        <w:gridCol w:w="285"/>
        <w:gridCol w:w="1350"/>
        <w:gridCol w:w="270"/>
        <w:gridCol w:w="1410"/>
        <w:gridCol w:w="270"/>
        <w:gridCol w:w="1365"/>
        <w:gridCol w:w="285"/>
        <w:gridCol w:w="1365"/>
        <w:gridCol w:w="270"/>
        <w:gridCol w:w="960"/>
      </w:tblGrid>
      <w:tr w:rsidR="00395594" w:rsidRPr="001C5CD1" w14:paraId="4C503AB8" w14:textId="77777777" w:rsidTr="003E6B74">
        <w:trPr>
          <w:trHeight w:val="655"/>
          <w:jc w:val="center"/>
        </w:trPr>
        <w:tc>
          <w:tcPr>
            <w:tcW w:w="580" w:type="dxa"/>
            <w:vMerge w:val="restart"/>
            <w:shd w:val="clear" w:color="auto" w:fill="auto"/>
            <w:tcMar>
              <w:top w:w="0" w:type="dxa"/>
              <w:left w:w="0" w:type="dxa"/>
              <w:bottom w:w="0" w:type="dxa"/>
              <w:right w:w="0" w:type="dxa"/>
            </w:tcMar>
            <w:vAlign w:val="center"/>
          </w:tcPr>
          <w:p w14:paraId="290EE32E"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Root</w:t>
            </w:r>
          </w:p>
        </w:tc>
        <w:tc>
          <w:tcPr>
            <w:tcW w:w="285" w:type="dxa"/>
            <w:vMerge w:val="restart"/>
            <w:shd w:val="clear" w:color="auto" w:fill="auto"/>
            <w:tcMar>
              <w:top w:w="0" w:type="dxa"/>
              <w:left w:w="0" w:type="dxa"/>
              <w:bottom w:w="0" w:type="dxa"/>
              <w:right w:w="0" w:type="dxa"/>
            </w:tcMar>
            <w:vAlign w:val="center"/>
          </w:tcPr>
          <w:p w14:paraId="3B2E2A03" w14:textId="77777777" w:rsidR="00395594" w:rsidRPr="00AE02EE" w:rsidRDefault="00395594" w:rsidP="003E6B74">
            <w:pPr>
              <w:widowControl w:val="0"/>
              <w:jc w:val="center"/>
              <w:rPr>
                <w:rFonts w:ascii="Arial" w:hAnsi="Arial" w:cs="Arial"/>
                <w:sz w:val="22"/>
                <w:szCs w:val="22"/>
              </w:rPr>
            </w:pPr>
            <w:r w:rsidRPr="00AE02EE">
              <w:rPr>
                <w:rFonts w:ascii="Arial" w:eastAsia="Cardo" w:hAnsi="Arial" w:cs="Arial"/>
                <w:sz w:val="22"/>
                <w:szCs w:val="22"/>
              </w:rPr>
              <w:t>→</w:t>
            </w:r>
          </w:p>
        </w:tc>
        <w:tc>
          <w:tcPr>
            <w:tcW w:w="1350" w:type="dxa"/>
            <w:shd w:val="clear" w:color="auto" w:fill="auto"/>
            <w:tcMar>
              <w:top w:w="0" w:type="dxa"/>
              <w:left w:w="0" w:type="dxa"/>
              <w:bottom w:w="0" w:type="dxa"/>
              <w:right w:w="0" w:type="dxa"/>
            </w:tcMar>
            <w:vAlign w:val="center"/>
          </w:tcPr>
          <w:p w14:paraId="750E87CF"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Germination</w:t>
            </w:r>
          </w:p>
        </w:tc>
        <w:tc>
          <w:tcPr>
            <w:tcW w:w="270" w:type="dxa"/>
            <w:vMerge w:val="restart"/>
            <w:shd w:val="clear" w:color="auto" w:fill="auto"/>
            <w:tcMar>
              <w:top w:w="0" w:type="dxa"/>
              <w:left w:w="0" w:type="dxa"/>
              <w:bottom w:w="0" w:type="dxa"/>
              <w:right w:w="0" w:type="dxa"/>
            </w:tcMar>
            <w:vAlign w:val="center"/>
          </w:tcPr>
          <w:p w14:paraId="497CFE6B" w14:textId="77777777" w:rsidR="00395594" w:rsidRPr="00AE02EE" w:rsidRDefault="00395594" w:rsidP="003E6B74">
            <w:pPr>
              <w:widowControl w:val="0"/>
              <w:jc w:val="center"/>
              <w:rPr>
                <w:rFonts w:ascii="Arial" w:hAnsi="Arial" w:cs="Arial"/>
                <w:sz w:val="22"/>
                <w:szCs w:val="22"/>
              </w:rPr>
            </w:pPr>
            <w:r w:rsidRPr="00AE02EE">
              <w:rPr>
                <w:rFonts w:ascii="Arial" w:eastAsia="Cardo" w:hAnsi="Arial" w:cs="Arial"/>
                <w:sz w:val="22"/>
                <w:szCs w:val="22"/>
              </w:rPr>
              <w:t>→</w:t>
            </w:r>
          </w:p>
        </w:tc>
        <w:tc>
          <w:tcPr>
            <w:tcW w:w="1410" w:type="dxa"/>
            <w:shd w:val="clear" w:color="auto" w:fill="auto"/>
            <w:tcMar>
              <w:top w:w="0" w:type="dxa"/>
              <w:left w:w="0" w:type="dxa"/>
              <w:bottom w:w="0" w:type="dxa"/>
              <w:right w:w="0" w:type="dxa"/>
            </w:tcMar>
            <w:vAlign w:val="center"/>
          </w:tcPr>
          <w:p w14:paraId="5B393034"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March survival</w:t>
            </w:r>
          </w:p>
        </w:tc>
        <w:tc>
          <w:tcPr>
            <w:tcW w:w="270" w:type="dxa"/>
            <w:vMerge w:val="restart"/>
            <w:shd w:val="clear" w:color="auto" w:fill="auto"/>
            <w:tcMar>
              <w:top w:w="0" w:type="dxa"/>
              <w:left w:w="0" w:type="dxa"/>
              <w:bottom w:w="0" w:type="dxa"/>
              <w:right w:w="0" w:type="dxa"/>
            </w:tcMar>
            <w:vAlign w:val="center"/>
          </w:tcPr>
          <w:p w14:paraId="3BFB12DB" w14:textId="77777777" w:rsidR="00395594" w:rsidRPr="00AE02EE" w:rsidRDefault="00395594" w:rsidP="003E6B74">
            <w:pPr>
              <w:widowControl w:val="0"/>
              <w:jc w:val="center"/>
              <w:rPr>
                <w:rFonts w:ascii="Arial" w:hAnsi="Arial" w:cs="Arial"/>
                <w:sz w:val="22"/>
                <w:szCs w:val="22"/>
              </w:rPr>
            </w:pPr>
            <w:r w:rsidRPr="00AE02EE">
              <w:rPr>
                <w:rFonts w:ascii="Arial" w:eastAsia="Cardo" w:hAnsi="Arial" w:cs="Arial"/>
                <w:sz w:val="22"/>
                <w:szCs w:val="22"/>
              </w:rPr>
              <w:t>→</w:t>
            </w:r>
          </w:p>
        </w:tc>
        <w:tc>
          <w:tcPr>
            <w:tcW w:w="1365" w:type="dxa"/>
            <w:shd w:val="clear" w:color="auto" w:fill="auto"/>
            <w:tcMar>
              <w:top w:w="0" w:type="dxa"/>
              <w:left w:w="0" w:type="dxa"/>
              <w:bottom w:w="0" w:type="dxa"/>
              <w:right w:w="0" w:type="dxa"/>
            </w:tcMar>
            <w:vAlign w:val="center"/>
          </w:tcPr>
          <w:p w14:paraId="2A0F3ED7"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Flowering</w:t>
            </w:r>
          </w:p>
        </w:tc>
        <w:tc>
          <w:tcPr>
            <w:tcW w:w="285" w:type="dxa"/>
            <w:vMerge w:val="restart"/>
            <w:shd w:val="clear" w:color="auto" w:fill="auto"/>
            <w:tcMar>
              <w:top w:w="0" w:type="dxa"/>
              <w:left w:w="0" w:type="dxa"/>
              <w:bottom w:w="0" w:type="dxa"/>
              <w:right w:w="0" w:type="dxa"/>
            </w:tcMar>
            <w:vAlign w:val="center"/>
          </w:tcPr>
          <w:p w14:paraId="25EA8B6F" w14:textId="77777777" w:rsidR="00395594" w:rsidRPr="00AE02EE" w:rsidRDefault="00395594" w:rsidP="003E6B74">
            <w:pPr>
              <w:widowControl w:val="0"/>
              <w:jc w:val="center"/>
              <w:rPr>
                <w:rFonts w:ascii="Arial" w:hAnsi="Arial" w:cs="Arial"/>
                <w:sz w:val="22"/>
                <w:szCs w:val="22"/>
              </w:rPr>
            </w:pPr>
            <w:r w:rsidRPr="00AE02EE">
              <w:rPr>
                <w:rFonts w:ascii="Arial" w:eastAsia="Cardo" w:hAnsi="Arial" w:cs="Arial"/>
                <w:sz w:val="22"/>
                <w:szCs w:val="22"/>
              </w:rPr>
              <w:t>→</w:t>
            </w:r>
          </w:p>
        </w:tc>
        <w:tc>
          <w:tcPr>
            <w:tcW w:w="1365" w:type="dxa"/>
            <w:shd w:val="clear" w:color="auto" w:fill="auto"/>
            <w:tcMar>
              <w:top w:w="0" w:type="dxa"/>
              <w:left w:w="0" w:type="dxa"/>
              <w:bottom w:w="0" w:type="dxa"/>
              <w:right w:w="0" w:type="dxa"/>
            </w:tcMar>
            <w:vAlign w:val="center"/>
          </w:tcPr>
          <w:p w14:paraId="31F3E62F"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Fruiting</w:t>
            </w:r>
          </w:p>
        </w:tc>
        <w:tc>
          <w:tcPr>
            <w:tcW w:w="270" w:type="dxa"/>
            <w:vMerge w:val="restart"/>
            <w:shd w:val="clear" w:color="auto" w:fill="auto"/>
            <w:tcMar>
              <w:top w:w="0" w:type="dxa"/>
              <w:left w:w="0" w:type="dxa"/>
              <w:bottom w:w="0" w:type="dxa"/>
              <w:right w:w="0" w:type="dxa"/>
            </w:tcMar>
            <w:vAlign w:val="center"/>
          </w:tcPr>
          <w:p w14:paraId="74D27023" w14:textId="77777777" w:rsidR="00395594" w:rsidRPr="00AE02EE" w:rsidRDefault="00395594" w:rsidP="003E6B74">
            <w:pPr>
              <w:widowControl w:val="0"/>
              <w:jc w:val="center"/>
              <w:rPr>
                <w:rFonts w:ascii="Arial" w:hAnsi="Arial" w:cs="Arial"/>
                <w:sz w:val="22"/>
                <w:szCs w:val="22"/>
              </w:rPr>
            </w:pPr>
            <w:r w:rsidRPr="00AE02EE">
              <w:rPr>
                <w:rFonts w:ascii="Arial" w:eastAsia="Cardo" w:hAnsi="Arial" w:cs="Arial"/>
                <w:sz w:val="22"/>
                <w:szCs w:val="22"/>
              </w:rPr>
              <w:t>→</w:t>
            </w:r>
          </w:p>
        </w:tc>
        <w:tc>
          <w:tcPr>
            <w:tcW w:w="960" w:type="dxa"/>
            <w:shd w:val="clear" w:color="auto" w:fill="auto"/>
            <w:tcMar>
              <w:top w:w="0" w:type="dxa"/>
              <w:left w:w="0" w:type="dxa"/>
              <w:bottom w:w="0" w:type="dxa"/>
              <w:right w:w="0" w:type="dxa"/>
            </w:tcMar>
            <w:vAlign w:val="center"/>
          </w:tcPr>
          <w:p w14:paraId="4824F177"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Seeds</w:t>
            </w:r>
          </w:p>
        </w:tc>
      </w:tr>
      <w:tr w:rsidR="00395594" w:rsidRPr="001C5CD1" w14:paraId="1BBCA11A" w14:textId="77777777" w:rsidTr="003E6B74">
        <w:trPr>
          <w:trHeight w:val="277"/>
          <w:jc w:val="center"/>
        </w:trPr>
        <w:tc>
          <w:tcPr>
            <w:tcW w:w="580" w:type="dxa"/>
            <w:vMerge/>
            <w:shd w:val="clear" w:color="auto" w:fill="auto"/>
            <w:tcMar>
              <w:top w:w="0" w:type="dxa"/>
              <w:left w:w="0" w:type="dxa"/>
              <w:bottom w:w="0" w:type="dxa"/>
              <w:right w:w="0" w:type="dxa"/>
            </w:tcMar>
            <w:vAlign w:val="center"/>
          </w:tcPr>
          <w:p w14:paraId="3CE9928A" w14:textId="77777777" w:rsidR="00395594" w:rsidRPr="00AE02EE" w:rsidRDefault="00395594" w:rsidP="003E6B74">
            <w:pPr>
              <w:widowControl w:val="0"/>
              <w:rPr>
                <w:rFonts w:ascii="Arial" w:hAnsi="Arial" w:cs="Arial"/>
                <w:sz w:val="22"/>
                <w:szCs w:val="22"/>
              </w:rPr>
            </w:pPr>
          </w:p>
        </w:tc>
        <w:tc>
          <w:tcPr>
            <w:tcW w:w="285" w:type="dxa"/>
            <w:vMerge/>
            <w:shd w:val="clear" w:color="auto" w:fill="auto"/>
            <w:tcMar>
              <w:top w:w="0" w:type="dxa"/>
              <w:left w:w="0" w:type="dxa"/>
              <w:bottom w:w="0" w:type="dxa"/>
              <w:right w:w="0" w:type="dxa"/>
            </w:tcMar>
            <w:vAlign w:val="center"/>
          </w:tcPr>
          <w:p w14:paraId="67A78EF9" w14:textId="77777777" w:rsidR="00395594" w:rsidRPr="00AE02EE" w:rsidRDefault="00395594" w:rsidP="003E6B74">
            <w:pPr>
              <w:widowControl w:val="0"/>
              <w:rPr>
                <w:rFonts w:ascii="Arial" w:hAnsi="Arial" w:cs="Arial"/>
                <w:sz w:val="22"/>
                <w:szCs w:val="22"/>
              </w:rPr>
            </w:pPr>
          </w:p>
        </w:tc>
        <w:tc>
          <w:tcPr>
            <w:tcW w:w="1350" w:type="dxa"/>
            <w:shd w:val="clear" w:color="auto" w:fill="auto"/>
            <w:tcMar>
              <w:top w:w="0" w:type="dxa"/>
              <w:left w:w="0" w:type="dxa"/>
              <w:bottom w:w="0" w:type="dxa"/>
              <w:right w:w="0" w:type="dxa"/>
            </w:tcMar>
            <w:vAlign w:val="center"/>
          </w:tcPr>
          <w:p w14:paraId="2224D44E"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Bernoulli (0,1)</w:t>
            </w:r>
          </w:p>
        </w:tc>
        <w:tc>
          <w:tcPr>
            <w:tcW w:w="270" w:type="dxa"/>
            <w:vMerge/>
            <w:shd w:val="clear" w:color="auto" w:fill="auto"/>
            <w:tcMar>
              <w:top w:w="0" w:type="dxa"/>
              <w:left w:w="0" w:type="dxa"/>
              <w:bottom w:w="0" w:type="dxa"/>
              <w:right w:w="0" w:type="dxa"/>
            </w:tcMar>
            <w:vAlign w:val="center"/>
          </w:tcPr>
          <w:p w14:paraId="79F172BF" w14:textId="77777777" w:rsidR="00395594" w:rsidRPr="00AE02EE" w:rsidRDefault="00395594" w:rsidP="003E6B74">
            <w:pPr>
              <w:widowControl w:val="0"/>
              <w:rPr>
                <w:rFonts w:ascii="Arial" w:hAnsi="Arial" w:cs="Arial"/>
                <w:sz w:val="22"/>
                <w:szCs w:val="22"/>
              </w:rPr>
            </w:pPr>
          </w:p>
        </w:tc>
        <w:tc>
          <w:tcPr>
            <w:tcW w:w="1410" w:type="dxa"/>
            <w:shd w:val="clear" w:color="auto" w:fill="auto"/>
            <w:tcMar>
              <w:top w:w="0" w:type="dxa"/>
              <w:left w:w="0" w:type="dxa"/>
              <w:bottom w:w="0" w:type="dxa"/>
              <w:right w:w="0" w:type="dxa"/>
            </w:tcMar>
            <w:vAlign w:val="center"/>
          </w:tcPr>
          <w:p w14:paraId="3ECC155A"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 xml:space="preserve">Bernoulli </w:t>
            </w:r>
          </w:p>
          <w:p w14:paraId="365C0339"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(0,1)</w:t>
            </w:r>
          </w:p>
        </w:tc>
        <w:tc>
          <w:tcPr>
            <w:tcW w:w="270" w:type="dxa"/>
            <w:vMerge/>
            <w:shd w:val="clear" w:color="auto" w:fill="auto"/>
            <w:tcMar>
              <w:top w:w="0" w:type="dxa"/>
              <w:left w:w="0" w:type="dxa"/>
              <w:bottom w:w="0" w:type="dxa"/>
              <w:right w:w="0" w:type="dxa"/>
            </w:tcMar>
            <w:vAlign w:val="center"/>
          </w:tcPr>
          <w:p w14:paraId="02F48045" w14:textId="77777777" w:rsidR="00395594" w:rsidRPr="00AE02EE" w:rsidRDefault="00395594" w:rsidP="003E6B74">
            <w:pPr>
              <w:widowControl w:val="0"/>
              <w:rPr>
                <w:rFonts w:ascii="Arial" w:hAnsi="Arial" w:cs="Arial"/>
                <w:sz w:val="22"/>
                <w:szCs w:val="22"/>
              </w:rPr>
            </w:pPr>
          </w:p>
        </w:tc>
        <w:tc>
          <w:tcPr>
            <w:tcW w:w="1365" w:type="dxa"/>
            <w:shd w:val="clear" w:color="auto" w:fill="auto"/>
            <w:tcMar>
              <w:top w:w="0" w:type="dxa"/>
              <w:left w:w="0" w:type="dxa"/>
              <w:bottom w:w="0" w:type="dxa"/>
              <w:right w:w="0" w:type="dxa"/>
            </w:tcMar>
            <w:vAlign w:val="center"/>
          </w:tcPr>
          <w:p w14:paraId="78E99361"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Bernoulli (0,1)</w:t>
            </w:r>
          </w:p>
        </w:tc>
        <w:tc>
          <w:tcPr>
            <w:tcW w:w="285" w:type="dxa"/>
            <w:vMerge/>
            <w:shd w:val="clear" w:color="auto" w:fill="auto"/>
            <w:tcMar>
              <w:top w:w="0" w:type="dxa"/>
              <w:left w:w="0" w:type="dxa"/>
              <w:bottom w:w="0" w:type="dxa"/>
              <w:right w:w="0" w:type="dxa"/>
            </w:tcMar>
            <w:vAlign w:val="center"/>
          </w:tcPr>
          <w:p w14:paraId="33C7F8E9" w14:textId="77777777" w:rsidR="00395594" w:rsidRPr="00AE02EE" w:rsidRDefault="00395594" w:rsidP="003E6B74">
            <w:pPr>
              <w:widowControl w:val="0"/>
              <w:rPr>
                <w:rFonts w:ascii="Arial" w:hAnsi="Arial" w:cs="Arial"/>
                <w:sz w:val="22"/>
                <w:szCs w:val="22"/>
              </w:rPr>
            </w:pPr>
          </w:p>
        </w:tc>
        <w:tc>
          <w:tcPr>
            <w:tcW w:w="1365" w:type="dxa"/>
            <w:shd w:val="clear" w:color="auto" w:fill="auto"/>
            <w:tcMar>
              <w:top w:w="0" w:type="dxa"/>
              <w:left w:w="0" w:type="dxa"/>
              <w:bottom w:w="0" w:type="dxa"/>
              <w:right w:w="0" w:type="dxa"/>
            </w:tcMar>
            <w:vAlign w:val="center"/>
          </w:tcPr>
          <w:p w14:paraId="19A4D930"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Bernoulli (0,1)</w:t>
            </w:r>
          </w:p>
        </w:tc>
        <w:tc>
          <w:tcPr>
            <w:tcW w:w="270" w:type="dxa"/>
            <w:vMerge/>
            <w:shd w:val="clear" w:color="auto" w:fill="auto"/>
            <w:tcMar>
              <w:top w:w="0" w:type="dxa"/>
              <w:left w:w="0" w:type="dxa"/>
              <w:bottom w:w="0" w:type="dxa"/>
              <w:right w:w="0" w:type="dxa"/>
            </w:tcMar>
            <w:vAlign w:val="center"/>
          </w:tcPr>
          <w:p w14:paraId="642CD868" w14:textId="77777777" w:rsidR="00395594" w:rsidRPr="00AE02EE" w:rsidRDefault="00395594" w:rsidP="003E6B74">
            <w:pPr>
              <w:widowControl w:val="0"/>
              <w:rPr>
                <w:rFonts w:ascii="Arial" w:hAnsi="Arial" w:cs="Arial"/>
                <w:sz w:val="22"/>
                <w:szCs w:val="22"/>
              </w:rPr>
            </w:pPr>
          </w:p>
        </w:tc>
        <w:tc>
          <w:tcPr>
            <w:tcW w:w="960" w:type="dxa"/>
            <w:shd w:val="clear" w:color="auto" w:fill="auto"/>
            <w:tcMar>
              <w:top w:w="0" w:type="dxa"/>
              <w:left w:w="0" w:type="dxa"/>
              <w:bottom w:w="0" w:type="dxa"/>
              <w:right w:w="0" w:type="dxa"/>
            </w:tcMar>
            <w:vAlign w:val="center"/>
          </w:tcPr>
          <w:p w14:paraId="2777030C"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Poisson</w:t>
            </w:r>
          </w:p>
        </w:tc>
      </w:tr>
    </w:tbl>
    <w:p w14:paraId="2E7D2FB3" w14:textId="77777777" w:rsidR="00395594" w:rsidRPr="00AE02EE" w:rsidRDefault="00395594" w:rsidP="00395594">
      <w:pPr>
        <w:rPr>
          <w:rFonts w:ascii="Arial" w:hAnsi="Arial" w:cs="Arial"/>
          <w:sz w:val="22"/>
          <w:szCs w:val="22"/>
        </w:rPr>
      </w:pPr>
    </w:p>
    <w:p w14:paraId="139BA3EC" w14:textId="77777777" w:rsidR="00395594" w:rsidRPr="00AE02EE" w:rsidRDefault="00395594" w:rsidP="00395594">
      <w:pPr>
        <w:rPr>
          <w:rFonts w:ascii="Arial" w:hAnsi="Arial" w:cs="Arial"/>
          <w:sz w:val="22"/>
          <w:szCs w:val="22"/>
        </w:rPr>
      </w:pPr>
      <w:r w:rsidRPr="00AE02EE">
        <w:rPr>
          <w:rFonts w:ascii="Arial" w:hAnsi="Arial" w:cs="Arial"/>
          <w:sz w:val="22"/>
          <w:szCs w:val="22"/>
        </w:rPr>
        <w:t>Finally, at one site in Cohort 2 (Golf Course North, i.e. GCN), all individuals that flowered fruited, causing those two life-history transitions to be aliased. For this site, we used a further reduced model structure, eliminating the flowering node:</w:t>
      </w:r>
    </w:p>
    <w:p w14:paraId="54EC498F" w14:textId="77777777" w:rsidR="00395594" w:rsidRPr="00AE02EE" w:rsidRDefault="00395594" w:rsidP="00395594">
      <w:pPr>
        <w:rPr>
          <w:rFonts w:ascii="Arial" w:hAnsi="Arial" w:cs="Arial"/>
          <w:sz w:val="22"/>
          <w:szCs w:val="22"/>
        </w:rPr>
      </w:pPr>
    </w:p>
    <w:tbl>
      <w:tblPr>
        <w:tblW w:w="677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0"/>
        <w:gridCol w:w="285"/>
        <w:gridCol w:w="1350"/>
        <w:gridCol w:w="270"/>
        <w:gridCol w:w="1410"/>
        <w:gridCol w:w="285"/>
        <w:gridCol w:w="1365"/>
        <w:gridCol w:w="270"/>
        <w:gridCol w:w="960"/>
      </w:tblGrid>
      <w:tr w:rsidR="00395594" w:rsidRPr="001C5CD1" w14:paraId="35C46D19" w14:textId="77777777" w:rsidTr="003E6B74">
        <w:trPr>
          <w:trHeight w:val="628"/>
          <w:jc w:val="center"/>
        </w:trPr>
        <w:tc>
          <w:tcPr>
            <w:tcW w:w="580" w:type="dxa"/>
            <w:vMerge w:val="restart"/>
            <w:shd w:val="clear" w:color="auto" w:fill="auto"/>
            <w:tcMar>
              <w:top w:w="0" w:type="dxa"/>
              <w:left w:w="0" w:type="dxa"/>
              <w:bottom w:w="0" w:type="dxa"/>
              <w:right w:w="0" w:type="dxa"/>
            </w:tcMar>
            <w:vAlign w:val="center"/>
          </w:tcPr>
          <w:p w14:paraId="07CECEF7"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Root</w:t>
            </w:r>
          </w:p>
        </w:tc>
        <w:tc>
          <w:tcPr>
            <w:tcW w:w="285" w:type="dxa"/>
            <w:vMerge w:val="restart"/>
            <w:shd w:val="clear" w:color="auto" w:fill="auto"/>
            <w:tcMar>
              <w:top w:w="0" w:type="dxa"/>
              <w:left w:w="0" w:type="dxa"/>
              <w:bottom w:w="0" w:type="dxa"/>
              <w:right w:w="0" w:type="dxa"/>
            </w:tcMar>
            <w:vAlign w:val="center"/>
          </w:tcPr>
          <w:p w14:paraId="23E68F4E" w14:textId="77777777" w:rsidR="00395594" w:rsidRPr="00AE02EE" w:rsidRDefault="00395594" w:rsidP="003E6B74">
            <w:pPr>
              <w:widowControl w:val="0"/>
              <w:jc w:val="center"/>
              <w:rPr>
                <w:rFonts w:ascii="Arial" w:hAnsi="Arial" w:cs="Arial"/>
                <w:sz w:val="22"/>
                <w:szCs w:val="22"/>
              </w:rPr>
            </w:pPr>
            <w:r w:rsidRPr="00AE02EE">
              <w:rPr>
                <w:rFonts w:ascii="Arial" w:eastAsia="Cardo" w:hAnsi="Arial" w:cs="Arial"/>
                <w:sz w:val="22"/>
                <w:szCs w:val="22"/>
              </w:rPr>
              <w:t>→</w:t>
            </w:r>
          </w:p>
        </w:tc>
        <w:tc>
          <w:tcPr>
            <w:tcW w:w="1350" w:type="dxa"/>
            <w:shd w:val="clear" w:color="auto" w:fill="auto"/>
            <w:tcMar>
              <w:top w:w="0" w:type="dxa"/>
              <w:left w:w="0" w:type="dxa"/>
              <w:bottom w:w="0" w:type="dxa"/>
              <w:right w:w="0" w:type="dxa"/>
            </w:tcMar>
            <w:vAlign w:val="center"/>
          </w:tcPr>
          <w:p w14:paraId="5F14784E"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Germination</w:t>
            </w:r>
          </w:p>
        </w:tc>
        <w:tc>
          <w:tcPr>
            <w:tcW w:w="270" w:type="dxa"/>
            <w:vMerge w:val="restart"/>
            <w:shd w:val="clear" w:color="auto" w:fill="auto"/>
            <w:tcMar>
              <w:top w:w="0" w:type="dxa"/>
              <w:left w:w="0" w:type="dxa"/>
              <w:bottom w:w="0" w:type="dxa"/>
              <w:right w:w="0" w:type="dxa"/>
            </w:tcMar>
            <w:vAlign w:val="center"/>
          </w:tcPr>
          <w:p w14:paraId="2F58216D" w14:textId="77777777" w:rsidR="00395594" w:rsidRPr="00AE02EE" w:rsidRDefault="00395594" w:rsidP="003E6B74">
            <w:pPr>
              <w:widowControl w:val="0"/>
              <w:jc w:val="center"/>
              <w:rPr>
                <w:rFonts w:ascii="Arial" w:hAnsi="Arial" w:cs="Arial"/>
                <w:sz w:val="22"/>
                <w:szCs w:val="22"/>
              </w:rPr>
            </w:pPr>
            <w:r w:rsidRPr="00AE02EE">
              <w:rPr>
                <w:rFonts w:ascii="Arial" w:eastAsia="Cardo" w:hAnsi="Arial" w:cs="Arial"/>
                <w:sz w:val="22"/>
                <w:szCs w:val="22"/>
              </w:rPr>
              <w:t>→</w:t>
            </w:r>
          </w:p>
        </w:tc>
        <w:tc>
          <w:tcPr>
            <w:tcW w:w="1410" w:type="dxa"/>
            <w:shd w:val="clear" w:color="auto" w:fill="auto"/>
            <w:tcMar>
              <w:top w:w="0" w:type="dxa"/>
              <w:left w:w="0" w:type="dxa"/>
              <w:bottom w:w="0" w:type="dxa"/>
              <w:right w:w="0" w:type="dxa"/>
            </w:tcMar>
            <w:vAlign w:val="center"/>
          </w:tcPr>
          <w:p w14:paraId="63072B50"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March survival</w:t>
            </w:r>
          </w:p>
        </w:tc>
        <w:tc>
          <w:tcPr>
            <w:tcW w:w="285" w:type="dxa"/>
            <w:vMerge w:val="restart"/>
            <w:shd w:val="clear" w:color="auto" w:fill="auto"/>
            <w:tcMar>
              <w:top w:w="0" w:type="dxa"/>
              <w:left w:w="0" w:type="dxa"/>
              <w:bottom w:w="0" w:type="dxa"/>
              <w:right w:w="0" w:type="dxa"/>
            </w:tcMar>
            <w:vAlign w:val="center"/>
          </w:tcPr>
          <w:p w14:paraId="2515784D" w14:textId="77777777" w:rsidR="00395594" w:rsidRPr="00AE02EE" w:rsidRDefault="00395594" w:rsidP="003E6B74">
            <w:pPr>
              <w:widowControl w:val="0"/>
              <w:jc w:val="center"/>
              <w:rPr>
                <w:rFonts w:ascii="Arial" w:hAnsi="Arial" w:cs="Arial"/>
                <w:sz w:val="22"/>
                <w:szCs w:val="22"/>
              </w:rPr>
            </w:pPr>
            <w:r w:rsidRPr="00AE02EE">
              <w:rPr>
                <w:rFonts w:ascii="Arial" w:eastAsia="Cardo" w:hAnsi="Arial" w:cs="Arial"/>
                <w:sz w:val="22"/>
                <w:szCs w:val="22"/>
              </w:rPr>
              <w:t>→</w:t>
            </w:r>
          </w:p>
        </w:tc>
        <w:tc>
          <w:tcPr>
            <w:tcW w:w="1365" w:type="dxa"/>
            <w:shd w:val="clear" w:color="auto" w:fill="auto"/>
            <w:tcMar>
              <w:top w:w="0" w:type="dxa"/>
              <w:left w:w="0" w:type="dxa"/>
              <w:bottom w:w="0" w:type="dxa"/>
              <w:right w:w="0" w:type="dxa"/>
            </w:tcMar>
            <w:vAlign w:val="center"/>
          </w:tcPr>
          <w:p w14:paraId="43B4EC74"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Fruiting</w:t>
            </w:r>
          </w:p>
        </w:tc>
        <w:tc>
          <w:tcPr>
            <w:tcW w:w="270" w:type="dxa"/>
            <w:vMerge w:val="restart"/>
            <w:shd w:val="clear" w:color="auto" w:fill="auto"/>
            <w:tcMar>
              <w:top w:w="0" w:type="dxa"/>
              <w:left w:w="0" w:type="dxa"/>
              <w:bottom w:w="0" w:type="dxa"/>
              <w:right w:w="0" w:type="dxa"/>
            </w:tcMar>
            <w:vAlign w:val="center"/>
          </w:tcPr>
          <w:p w14:paraId="0EDFE6C0" w14:textId="77777777" w:rsidR="00395594" w:rsidRPr="00AE02EE" w:rsidRDefault="00395594" w:rsidP="003E6B74">
            <w:pPr>
              <w:widowControl w:val="0"/>
              <w:jc w:val="center"/>
              <w:rPr>
                <w:rFonts w:ascii="Arial" w:hAnsi="Arial" w:cs="Arial"/>
                <w:sz w:val="22"/>
                <w:szCs w:val="22"/>
              </w:rPr>
            </w:pPr>
            <w:r w:rsidRPr="00AE02EE">
              <w:rPr>
                <w:rFonts w:ascii="Arial" w:eastAsia="Cardo" w:hAnsi="Arial" w:cs="Arial"/>
                <w:sz w:val="22"/>
                <w:szCs w:val="22"/>
              </w:rPr>
              <w:t>→</w:t>
            </w:r>
          </w:p>
        </w:tc>
        <w:tc>
          <w:tcPr>
            <w:tcW w:w="960" w:type="dxa"/>
            <w:shd w:val="clear" w:color="auto" w:fill="auto"/>
            <w:tcMar>
              <w:top w:w="0" w:type="dxa"/>
              <w:left w:w="0" w:type="dxa"/>
              <w:bottom w:w="0" w:type="dxa"/>
              <w:right w:w="0" w:type="dxa"/>
            </w:tcMar>
            <w:vAlign w:val="center"/>
          </w:tcPr>
          <w:p w14:paraId="3EA4079A"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Seeds</w:t>
            </w:r>
          </w:p>
        </w:tc>
      </w:tr>
      <w:tr w:rsidR="00395594" w:rsidRPr="001C5CD1" w14:paraId="16F548FC" w14:textId="77777777" w:rsidTr="003E6B74">
        <w:trPr>
          <w:trHeight w:val="420"/>
          <w:jc w:val="center"/>
        </w:trPr>
        <w:tc>
          <w:tcPr>
            <w:tcW w:w="580" w:type="dxa"/>
            <w:vMerge/>
            <w:shd w:val="clear" w:color="auto" w:fill="auto"/>
            <w:tcMar>
              <w:top w:w="0" w:type="dxa"/>
              <w:left w:w="0" w:type="dxa"/>
              <w:bottom w:w="0" w:type="dxa"/>
              <w:right w:w="0" w:type="dxa"/>
            </w:tcMar>
            <w:vAlign w:val="center"/>
          </w:tcPr>
          <w:p w14:paraId="4B9A1CDE" w14:textId="77777777" w:rsidR="00395594" w:rsidRPr="00AE02EE" w:rsidRDefault="00395594" w:rsidP="003E6B74">
            <w:pPr>
              <w:widowControl w:val="0"/>
              <w:rPr>
                <w:rFonts w:ascii="Arial" w:hAnsi="Arial" w:cs="Arial"/>
                <w:sz w:val="22"/>
                <w:szCs w:val="22"/>
              </w:rPr>
            </w:pPr>
          </w:p>
        </w:tc>
        <w:tc>
          <w:tcPr>
            <w:tcW w:w="285" w:type="dxa"/>
            <w:vMerge/>
            <w:shd w:val="clear" w:color="auto" w:fill="auto"/>
            <w:tcMar>
              <w:top w:w="0" w:type="dxa"/>
              <w:left w:w="0" w:type="dxa"/>
              <w:bottom w:w="0" w:type="dxa"/>
              <w:right w:w="0" w:type="dxa"/>
            </w:tcMar>
            <w:vAlign w:val="center"/>
          </w:tcPr>
          <w:p w14:paraId="725240BE" w14:textId="77777777" w:rsidR="00395594" w:rsidRPr="00AE02EE" w:rsidRDefault="00395594" w:rsidP="003E6B74">
            <w:pPr>
              <w:widowControl w:val="0"/>
              <w:rPr>
                <w:rFonts w:ascii="Arial" w:hAnsi="Arial" w:cs="Arial"/>
                <w:sz w:val="22"/>
                <w:szCs w:val="22"/>
              </w:rPr>
            </w:pPr>
          </w:p>
        </w:tc>
        <w:tc>
          <w:tcPr>
            <w:tcW w:w="1350" w:type="dxa"/>
            <w:shd w:val="clear" w:color="auto" w:fill="auto"/>
            <w:tcMar>
              <w:top w:w="0" w:type="dxa"/>
              <w:left w:w="0" w:type="dxa"/>
              <w:bottom w:w="0" w:type="dxa"/>
              <w:right w:w="0" w:type="dxa"/>
            </w:tcMar>
            <w:vAlign w:val="center"/>
          </w:tcPr>
          <w:p w14:paraId="588ABFE5"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Bernoulli (0,1)</w:t>
            </w:r>
          </w:p>
        </w:tc>
        <w:tc>
          <w:tcPr>
            <w:tcW w:w="270" w:type="dxa"/>
            <w:vMerge/>
            <w:shd w:val="clear" w:color="auto" w:fill="auto"/>
            <w:tcMar>
              <w:top w:w="0" w:type="dxa"/>
              <w:left w:w="0" w:type="dxa"/>
              <w:bottom w:w="0" w:type="dxa"/>
              <w:right w:w="0" w:type="dxa"/>
            </w:tcMar>
            <w:vAlign w:val="center"/>
          </w:tcPr>
          <w:p w14:paraId="5DF08C3B" w14:textId="77777777" w:rsidR="00395594" w:rsidRPr="00AE02EE" w:rsidRDefault="00395594" w:rsidP="003E6B74">
            <w:pPr>
              <w:widowControl w:val="0"/>
              <w:rPr>
                <w:rFonts w:ascii="Arial" w:hAnsi="Arial" w:cs="Arial"/>
                <w:sz w:val="22"/>
                <w:szCs w:val="22"/>
              </w:rPr>
            </w:pPr>
          </w:p>
        </w:tc>
        <w:tc>
          <w:tcPr>
            <w:tcW w:w="1410" w:type="dxa"/>
            <w:shd w:val="clear" w:color="auto" w:fill="auto"/>
            <w:tcMar>
              <w:top w:w="0" w:type="dxa"/>
              <w:left w:w="0" w:type="dxa"/>
              <w:bottom w:w="0" w:type="dxa"/>
              <w:right w:w="0" w:type="dxa"/>
            </w:tcMar>
            <w:vAlign w:val="center"/>
          </w:tcPr>
          <w:p w14:paraId="70409DAE"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 xml:space="preserve">Bernoulli </w:t>
            </w:r>
          </w:p>
          <w:p w14:paraId="79EE0BC7"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(0,1)</w:t>
            </w:r>
          </w:p>
        </w:tc>
        <w:tc>
          <w:tcPr>
            <w:tcW w:w="285" w:type="dxa"/>
            <w:vMerge/>
            <w:shd w:val="clear" w:color="auto" w:fill="auto"/>
            <w:tcMar>
              <w:top w:w="0" w:type="dxa"/>
              <w:left w:w="0" w:type="dxa"/>
              <w:bottom w:w="0" w:type="dxa"/>
              <w:right w:w="0" w:type="dxa"/>
            </w:tcMar>
            <w:vAlign w:val="center"/>
          </w:tcPr>
          <w:p w14:paraId="3C46BCF7" w14:textId="77777777" w:rsidR="00395594" w:rsidRPr="00AE02EE" w:rsidRDefault="00395594" w:rsidP="003E6B74">
            <w:pPr>
              <w:widowControl w:val="0"/>
              <w:rPr>
                <w:rFonts w:ascii="Arial" w:hAnsi="Arial" w:cs="Arial"/>
                <w:sz w:val="22"/>
                <w:szCs w:val="22"/>
              </w:rPr>
            </w:pPr>
          </w:p>
        </w:tc>
        <w:tc>
          <w:tcPr>
            <w:tcW w:w="1365" w:type="dxa"/>
            <w:shd w:val="clear" w:color="auto" w:fill="auto"/>
            <w:tcMar>
              <w:top w:w="0" w:type="dxa"/>
              <w:left w:w="0" w:type="dxa"/>
              <w:bottom w:w="0" w:type="dxa"/>
              <w:right w:w="0" w:type="dxa"/>
            </w:tcMar>
            <w:vAlign w:val="center"/>
          </w:tcPr>
          <w:p w14:paraId="00CC2A53"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Bernoulli (0,1)</w:t>
            </w:r>
          </w:p>
        </w:tc>
        <w:tc>
          <w:tcPr>
            <w:tcW w:w="270" w:type="dxa"/>
            <w:vMerge/>
            <w:shd w:val="clear" w:color="auto" w:fill="auto"/>
            <w:tcMar>
              <w:top w:w="0" w:type="dxa"/>
              <w:left w:w="0" w:type="dxa"/>
              <w:bottom w:w="0" w:type="dxa"/>
              <w:right w:w="0" w:type="dxa"/>
            </w:tcMar>
            <w:vAlign w:val="center"/>
          </w:tcPr>
          <w:p w14:paraId="3380566B" w14:textId="77777777" w:rsidR="00395594" w:rsidRPr="00AE02EE" w:rsidRDefault="00395594" w:rsidP="003E6B74">
            <w:pPr>
              <w:widowControl w:val="0"/>
              <w:rPr>
                <w:rFonts w:ascii="Arial" w:hAnsi="Arial" w:cs="Arial"/>
                <w:sz w:val="22"/>
                <w:szCs w:val="22"/>
              </w:rPr>
            </w:pPr>
          </w:p>
        </w:tc>
        <w:tc>
          <w:tcPr>
            <w:tcW w:w="960" w:type="dxa"/>
            <w:shd w:val="clear" w:color="auto" w:fill="auto"/>
            <w:tcMar>
              <w:top w:w="0" w:type="dxa"/>
              <w:left w:w="0" w:type="dxa"/>
              <w:bottom w:w="0" w:type="dxa"/>
              <w:right w:w="0" w:type="dxa"/>
            </w:tcMar>
            <w:vAlign w:val="center"/>
          </w:tcPr>
          <w:p w14:paraId="5D801D6A" w14:textId="77777777" w:rsidR="00395594" w:rsidRPr="00AE02EE" w:rsidRDefault="00395594" w:rsidP="003E6B74">
            <w:pPr>
              <w:widowControl w:val="0"/>
              <w:jc w:val="center"/>
              <w:rPr>
                <w:rFonts w:ascii="Arial" w:hAnsi="Arial" w:cs="Arial"/>
                <w:sz w:val="22"/>
                <w:szCs w:val="22"/>
              </w:rPr>
            </w:pPr>
            <w:r w:rsidRPr="00AE02EE">
              <w:rPr>
                <w:rFonts w:ascii="Arial" w:hAnsi="Arial" w:cs="Arial"/>
                <w:sz w:val="22"/>
                <w:szCs w:val="22"/>
              </w:rPr>
              <w:t>Poisson</w:t>
            </w:r>
          </w:p>
        </w:tc>
      </w:tr>
    </w:tbl>
    <w:p w14:paraId="5AFDA2B1" w14:textId="77777777" w:rsidR="00395594" w:rsidRPr="00AE02EE" w:rsidRDefault="00395594" w:rsidP="00395594">
      <w:pPr>
        <w:rPr>
          <w:rFonts w:ascii="Arial" w:hAnsi="Arial" w:cs="Arial"/>
          <w:sz w:val="22"/>
          <w:szCs w:val="22"/>
        </w:rPr>
      </w:pPr>
    </w:p>
    <w:p w14:paraId="47ED2B4B" w14:textId="7CA68103" w:rsidR="00381235" w:rsidRPr="00AE02EE" w:rsidRDefault="00143C41" w:rsidP="00395594">
      <w:pPr>
        <w:rPr>
          <w:rFonts w:ascii="Arial" w:hAnsi="Arial" w:cs="Arial"/>
          <w:sz w:val="22"/>
          <w:szCs w:val="22"/>
        </w:rPr>
      </w:pPr>
      <w:r w:rsidRPr="00D76C18">
        <w:rPr>
          <w:rFonts w:ascii="Arial" w:hAnsi="Arial" w:cs="Arial"/>
          <w:sz w:val="22"/>
          <w:szCs w:val="22"/>
        </w:rPr>
        <w:t xml:space="preserve">We </w:t>
      </w:r>
      <w:r>
        <w:rPr>
          <w:rFonts w:ascii="Arial" w:hAnsi="Arial" w:cs="Arial"/>
          <w:sz w:val="22"/>
          <w:szCs w:val="22"/>
        </w:rPr>
        <w:t>quantified</w:t>
      </w:r>
      <w:r w:rsidRPr="00D76C18">
        <w:rPr>
          <w:rFonts w:ascii="Arial" w:hAnsi="Arial" w:cs="Arial"/>
          <w:sz w:val="22"/>
          <w:szCs w:val="22"/>
        </w:rPr>
        <w:t xml:space="preserve"> the </w:t>
      </w:r>
      <w:r>
        <w:rPr>
          <w:rFonts w:ascii="Arial" w:hAnsi="Arial" w:cs="Arial"/>
          <w:sz w:val="22"/>
          <w:szCs w:val="22"/>
        </w:rPr>
        <w:t xml:space="preserve">absolute </w:t>
      </w:r>
      <w:r w:rsidRPr="00D76C18">
        <w:rPr>
          <w:rFonts w:ascii="Arial" w:hAnsi="Arial" w:cs="Arial"/>
          <w:sz w:val="22"/>
          <w:szCs w:val="22"/>
        </w:rPr>
        <w:t xml:space="preserve">lifetime fitness of each </w:t>
      </w:r>
      <w:r>
        <w:rPr>
          <w:rFonts w:ascii="Arial" w:hAnsi="Arial" w:cs="Arial"/>
          <w:sz w:val="22"/>
          <w:szCs w:val="22"/>
        </w:rPr>
        <w:t xml:space="preserve">transplanted seed, </w:t>
      </w:r>
      <w:r w:rsidRPr="00185926">
        <w:rPr>
          <w:rFonts w:ascii="Arial" w:hAnsi="Arial" w:cs="Arial"/>
          <w:i/>
          <w:iCs/>
          <w:sz w:val="22"/>
          <w:szCs w:val="22"/>
        </w:rPr>
        <w:t>k</w:t>
      </w:r>
      <w:r>
        <w:rPr>
          <w:rFonts w:ascii="Arial" w:hAnsi="Arial" w:cs="Arial"/>
          <w:sz w:val="22"/>
          <w:szCs w:val="22"/>
        </w:rPr>
        <w:t xml:space="preserve">, for each source population </w:t>
      </w:r>
      <w:proofErr w:type="spellStart"/>
      <w:r w:rsidRPr="00185926">
        <w:rPr>
          <w:rFonts w:ascii="Arial" w:hAnsi="Arial" w:cs="Arial"/>
          <w:i/>
          <w:iCs/>
          <w:sz w:val="22"/>
          <w:szCs w:val="22"/>
        </w:rPr>
        <w:t>i</w:t>
      </w:r>
      <w:proofErr w:type="spellEnd"/>
      <w:r>
        <w:rPr>
          <w:rFonts w:ascii="Arial" w:hAnsi="Arial" w:cs="Arial"/>
          <w:sz w:val="22"/>
          <w:szCs w:val="22"/>
        </w:rPr>
        <w:t xml:space="preserve"> at transplant site </w:t>
      </w:r>
      <w:r w:rsidRPr="00185926">
        <w:rPr>
          <w:rFonts w:ascii="Arial" w:hAnsi="Arial" w:cs="Arial"/>
          <w:i/>
          <w:iCs/>
          <w:sz w:val="22"/>
          <w:szCs w:val="22"/>
        </w:rPr>
        <w:t>j</w:t>
      </w:r>
      <w:r>
        <w:rPr>
          <w:rFonts w:ascii="Arial" w:hAnsi="Arial" w:cs="Arial"/>
          <w:sz w:val="22"/>
          <w:szCs w:val="22"/>
        </w:rPr>
        <w:t xml:space="preserve">, </w:t>
      </w:r>
      <w:proofErr w:type="spellStart"/>
      <w:r w:rsidRPr="00185926">
        <w:rPr>
          <w:rFonts w:ascii="Arial" w:hAnsi="Arial" w:cs="Arial"/>
          <w:i/>
          <w:iCs/>
          <w:sz w:val="22"/>
          <w:szCs w:val="22"/>
        </w:rPr>
        <w:t>W</w:t>
      </w:r>
      <w:r w:rsidRPr="00185926">
        <w:rPr>
          <w:rFonts w:ascii="Arial" w:hAnsi="Arial" w:cs="Arial"/>
          <w:i/>
          <w:iCs/>
          <w:sz w:val="22"/>
          <w:szCs w:val="22"/>
          <w:vertAlign w:val="subscript"/>
        </w:rPr>
        <w:t>i,j,k</w:t>
      </w:r>
      <w:proofErr w:type="spellEnd"/>
      <w:r>
        <w:rPr>
          <w:rFonts w:ascii="Arial" w:hAnsi="Arial" w:cs="Arial"/>
          <w:sz w:val="22"/>
          <w:szCs w:val="22"/>
        </w:rPr>
        <w:t xml:space="preserve">, as the number of seeds produced per planted seed, </w:t>
      </w:r>
      <w:r w:rsidRPr="00D76C18">
        <w:rPr>
          <w:rFonts w:ascii="Arial" w:hAnsi="Arial" w:cs="Arial"/>
          <w:sz w:val="22"/>
          <w:szCs w:val="22"/>
        </w:rPr>
        <w:t xml:space="preserve">using </w:t>
      </w:r>
      <w:r>
        <w:rPr>
          <w:rFonts w:ascii="Arial" w:hAnsi="Arial" w:cs="Arial"/>
          <w:sz w:val="22"/>
          <w:szCs w:val="22"/>
        </w:rPr>
        <w:t xml:space="preserve">site-specific </w:t>
      </w:r>
      <w:r w:rsidRPr="00C30598">
        <w:rPr>
          <w:rFonts w:ascii="Arial" w:hAnsi="Arial" w:cs="Arial"/>
          <w:i/>
          <w:iCs/>
          <w:sz w:val="22"/>
          <w:szCs w:val="22"/>
        </w:rPr>
        <w:t>aster</w:t>
      </w:r>
      <w:r w:rsidRPr="00D76C18">
        <w:rPr>
          <w:rFonts w:ascii="Arial" w:hAnsi="Arial" w:cs="Arial"/>
          <w:sz w:val="22"/>
          <w:szCs w:val="22"/>
        </w:rPr>
        <w:t xml:space="preserve"> models</w:t>
      </w:r>
      <w:r>
        <w:rPr>
          <w:rFonts w:ascii="Arial" w:hAnsi="Arial" w:cs="Arial"/>
          <w:sz w:val="22"/>
          <w:szCs w:val="22"/>
        </w:rPr>
        <w:t xml:space="preserve">. </w:t>
      </w:r>
      <w:r w:rsidR="00395594" w:rsidRPr="00AE02EE">
        <w:rPr>
          <w:rFonts w:ascii="Arial" w:hAnsi="Arial" w:cs="Arial"/>
          <w:sz w:val="22"/>
          <w:szCs w:val="22"/>
        </w:rPr>
        <w:t xml:space="preserve">We tested the effect of source population </w:t>
      </w:r>
      <w:r>
        <w:rPr>
          <w:rFonts w:ascii="Arial" w:hAnsi="Arial" w:cs="Arial"/>
          <w:sz w:val="22"/>
          <w:szCs w:val="22"/>
        </w:rPr>
        <w:t xml:space="preserve">at each site </w:t>
      </w:r>
      <w:r w:rsidR="00395594" w:rsidRPr="00AE02EE">
        <w:rPr>
          <w:rFonts w:ascii="Arial" w:hAnsi="Arial" w:cs="Arial"/>
          <w:sz w:val="22"/>
          <w:szCs w:val="22"/>
        </w:rPr>
        <w:t xml:space="preserve">on </w:t>
      </w:r>
      <w:r>
        <w:rPr>
          <w:rFonts w:ascii="Arial" w:hAnsi="Arial" w:cs="Arial"/>
          <w:sz w:val="22"/>
          <w:szCs w:val="22"/>
        </w:rPr>
        <w:t xml:space="preserve">individual absolute lifetime </w:t>
      </w:r>
      <w:r w:rsidR="00395594" w:rsidRPr="00AE02EE">
        <w:rPr>
          <w:rFonts w:ascii="Arial" w:hAnsi="Arial" w:cs="Arial"/>
          <w:sz w:val="22"/>
          <w:szCs w:val="22"/>
        </w:rPr>
        <w:t xml:space="preserve">fitness by using </w:t>
      </w:r>
      <w:r>
        <w:rPr>
          <w:rFonts w:ascii="Arial" w:hAnsi="Arial" w:cs="Arial"/>
          <w:sz w:val="22"/>
          <w:szCs w:val="22"/>
        </w:rPr>
        <w:t xml:space="preserve">an </w:t>
      </w:r>
      <w:r w:rsidR="00395594" w:rsidRPr="00AE02EE">
        <w:rPr>
          <w:rFonts w:ascii="Arial" w:hAnsi="Arial" w:cs="Arial"/>
          <w:sz w:val="22"/>
          <w:szCs w:val="22"/>
        </w:rPr>
        <w:t xml:space="preserve">analysis of deviance to compare </w:t>
      </w:r>
      <w:r>
        <w:rPr>
          <w:rFonts w:ascii="Arial" w:eastAsiaTheme="minorEastAsia" w:hAnsi="Arial" w:cs="Arial"/>
          <w:sz w:val="22"/>
          <w:szCs w:val="22"/>
        </w:rPr>
        <w:t>the goodness-of-fit of a model containing population seed source (</w:t>
      </w:r>
      <w:proofErr w:type="spellStart"/>
      <w:r w:rsidRPr="00681E24">
        <w:rPr>
          <w:rFonts w:ascii="Arial" w:hAnsi="Arial" w:cs="Arial"/>
          <w:i/>
          <w:iCs/>
          <w:sz w:val="22"/>
          <w:szCs w:val="22"/>
        </w:rPr>
        <w:t>W</w:t>
      </w:r>
      <w:r w:rsidRPr="00E54C21">
        <w:rPr>
          <w:rFonts w:ascii="Arial" w:hAnsi="Arial" w:cs="Arial"/>
          <w:i/>
          <w:iCs/>
          <w:sz w:val="22"/>
          <w:szCs w:val="22"/>
          <w:vertAlign w:val="subscript"/>
        </w:rPr>
        <w:t>i</w:t>
      </w:r>
      <w:r>
        <w:rPr>
          <w:rFonts w:ascii="Arial" w:hAnsi="Arial" w:cs="Arial"/>
          <w:i/>
          <w:iCs/>
          <w:sz w:val="22"/>
          <w:szCs w:val="22"/>
          <w:vertAlign w:val="subscript"/>
        </w:rPr>
        <w:t>,</w:t>
      </w:r>
      <w:r w:rsidRPr="00B0609B">
        <w:rPr>
          <w:rFonts w:ascii="Arial" w:hAnsi="Arial" w:cs="Arial"/>
          <w:i/>
          <w:iCs/>
          <w:sz w:val="22"/>
          <w:szCs w:val="22"/>
          <w:vertAlign w:val="subscript"/>
        </w:rPr>
        <w:t>j</w:t>
      </w:r>
      <w:r>
        <w:rPr>
          <w:rFonts w:ascii="Arial" w:hAnsi="Arial" w:cs="Arial"/>
          <w:i/>
          <w:iCs/>
          <w:sz w:val="22"/>
          <w:szCs w:val="22"/>
          <w:vertAlign w:val="subscript"/>
        </w:rPr>
        <w:t>,k</w:t>
      </w:r>
      <w:proofErr w:type="spellEnd"/>
      <w:r>
        <w:rPr>
          <w:rFonts w:ascii="Arial" w:hAnsi="Arial" w:cs="Arial"/>
          <w:i/>
          <w:iCs/>
          <w:sz w:val="22"/>
          <w:szCs w:val="22"/>
        </w:rPr>
        <w:t xml:space="preserve"> = </w:t>
      </w:r>
      <w:r>
        <w:rPr>
          <w:rFonts w:ascii="Arial" w:hAnsi="Arial" w:cs="Arial"/>
          <w:i/>
          <w:iCs/>
          <w:sz w:val="22"/>
          <w:szCs w:val="22"/>
        </w:rPr>
        <w:sym w:font="Symbol" w:char="F062"/>
      </w:r>
      <w:r w:rsidRPr="0036139B">
        <w:rPr>
          <w:rFonts w:ascii="Arial" w:hAnsi="Arial" w:cs="Arial"/>
          <w:i/>
          <w:iCs/>
          <w:sz w:val="22"/>
          <w:szCs w:val="22"/>
          <w:vertAlign w:val="subscript"/>
        </w:rPr>
        <w:t>0</w:t>
      </w:r>
      <w:r>
        <w:rPr>
          <w:rFonts w:ascii="Arial" w:hAnsi="Arial" w:cs="Arial"/>
          <w:i/>
          <w:iCs/>
          <w:sz w:val="22"/>
          <w:szCs w:val="22"/>
        </w:rPr>
        <w:t xml:space="preserve"> + </w:t>
      </w:r>
      <w:r>
        <w:rPr>
          <w:rFonts w:ascii="Arial" w:hAnsi="Arial" w:cs="Arial"/>
          <w:i/>
          <w:iCs/>
          <w:sz w:val="22"/>
          <w:szCs w:val="22"/>
        </w:rPr>
        <w:sym w:font="Symbol" w:char="F062"/>
      </w:r>
      <w:r w:rsidRPr="0036139B">
        <w:rPr>
          <w:rFonts w:ascii="Arial" w:hAnsi="Arial" w:cs="Arial"/>
          <w:i/>
          <w:iCs/>
          <w:sz w:val="22"/>
          <w:szCs w:val="22"/>
          <w:vertAlign w:val="subscript"/>
        </w:rPr>
        <w:t>1</w:t>
      </w:r>
      <w:r>
        <w:rPr>
          <w:rFonts w:ascii="Arial" w:hAnsi="Arial" w:cs="Arial"/>
          <w:i/>
          <w:iCs/>
          <w:sz w:val="22"/>
          <w:szCs w:val="22"/>
        </w:rPr>
        <w:t xml:space="preserve"> I, </w:t>
      </w:r>
      <w:r w:rsidRPr="0036139B">
        <w:rPr>
          <w:rFonts w:ascii="Arial" w:hAnsi="Arial" w:cs="Arial"/>
          <w:sz w:val="22"/>
          <w:szCs w:val="22"/>
        </w:rPr>
        <w:t xml:space="preserve">where </w:t>
      </w:r>
      <w:r w:rsidRPr="00BB4D9E">
        <w:rPr>
          <w:rFonts w:ascii="Arial" w:hAnsi="Arial" w:cs="Arial"/>
          <w:i/>
          <w:iCs/>
          <w:sz w:val="22"/>
          <w:szCs w:val="22"/>
        </w:rPr>
        <w:t>I</w:t>
      </w:r>
      <w:r w:rsidRPr="0036139B">
        <w:rPr>
          <w:rFonts w:ascii="Arial" w:hAnsi="Arial" w:cs="Arial"/>
          <w:sz w:val="22"/>
          <w:szCs w:val="22"/>
        </w:rPr>
        <w:t xml:space="preserve"> designates 1 of </w:t>
      </w:r>
      <w:r>
        <w:rPr>
          <w:rFonts w:ascii="Arial" w:hAnsi="Arial" w:cs="Arial"/>
          <w:sz w:val="22"/>
          <w:szCs w:val="22"/>
        </w:rPr>
        <w:t>6</w:t>
      </w:r>
      <w:r w:rsidRPr="0036139B">
        <w:rPr>
          <w:rFonts w:ascii="Arial" w:hAnsi="Arial" w:cs="Arial"/>
          <w:sz w:val="22"/>
          <w:szCs w:val="22"/>
        </w:rPr>
        <w:t xml:space="preserve"> source populations </w:t>
      </w:r>
      <w:r>
        <w:rPr>
          <w:rFonts w:ascii="Arial" w:hAnsi="Arial" w:cs="Arial"/>
          <w:sz w:val="22"/>
          <w:szCs w:val="22"/>
        </w:rPr>
        <w:t xml:space="preserve">at Set I transplant sites </w:t>
      </w:r>
      <w:r w:rsidRPr="0036139B">
        <w:rPr>
          <w:rFonts w:ascii="Arial" w:hAnsi="Arial" w:cs="Arial"/>
          <w:sz w:val="22"/>
          <w:szCs w:val="22"/>
        </w:rPr>
        <w:t>or 1 of 2 source populations at Set II transplant sites</w:t>
      </w:r>
      <w:r>
        <w:rPr>
          <w:rFonts w:ascii="Arial" w:hAnsi="Arial" w:cs="Arial"/>
          <w:i/>
          <w:iCs/>
          <w:sz w:val="22"/>
          <w:szCs w:val="22"/>
        </w:rPr>
        <w:t xml:space="preserve">) </w:t>
      </w:r>
      <w:r>
        <w:rPr>
          <w:rFonts w:ascii="Arial" w:eastAsiaTheme="minorEastAsia" w:hAnsi="Arial" w:cs="Arial"/>
          <w:sz w:val="22"/>
          <w:szCs w:val="22"/>
        </w:rPr>
        <w:t>vs. a model excluding the main effect of population seed source</w:t>
      </w:r>
      <w:r w:rsidR="00395594" w:rsidRPr="00AE02EE">
        <w:rPr>
          <w:rFonts w:ascii="Arial" w:hAnsi="Arial" w:cs="Arial"/>
          <w:sz w:val="22"/>
          <w:szCs w:val="22"/>
        </w:rPr>
        <w:t>. We used the fitted aster models, including source population effects, to estimate the mean and standard error of lifetime fitness in each source-site combination.</w:t>
      </w:r>
      <w:r w:rsidR="00DD4292">
        <w:rPr>
          <w:rFonts w:ascii="Arial" w:hAnsi="Arial" w:cs="Arial"/>
          <w:sz w:val="22"/>
          <w:szCs w:val="22"/>
        </w:rPr>
        <w:br w:type="page"/>
      </w:r>
    </w:p>
    <w:p w14:paraId="64521B3A" w14:textId="23F565B7" w:rsidR="00395594" w:rsidRPr="00E94DFC" w:rsidRDefault="00395594" w:rsidP="00395594">
      <w:pPr>
        <w:pStyle w:val="Heading2"/>
      </w:pPr>
      <w:r w:rsidRPr="00E94DFC">
        <w:t xml:space="preserve">Appendix </w:t>
      </w:r>
      <w:r w:rsidR="00381235" w:rsidRPr="00E94DFC">
        <w:t>S5</w:t>
      </w:r>
      <w:r w:rsidRPr="00E94DFC">
        <w:t>: Local-foreign contrasts</w:t>
      </w:r>
    </w:p>
    <w:p w14:paraId="3CEB60A7" w14:textId="77777777" w:rsidR="00395594" w:rsidRPr="00FB280D" w:rsidRDefault="00395594" w:rsidP="00395594">
      <w:pPr>
        <w:pStyle w:val="Heading3"/>
      </w:pPr>
      <w:r w:rsidRPr="00FB280D">
        <w:t>Methods</w:t>
      </w:r>
    </w:p>
    <w:p w14:paraId="2CE7C5AE" w14:textId="77777777" w:rsidR="00395594" w:rsidRPr="005A5A95" w:rsidRDefault="00395594" w:rsidP="00395594">
      <w:pPr>
        <w:pStyle w:val="Heading4"/>
      </w:pPr>
      <w:r w:rsidRPr="005A5A95">
        <w:t>Estimating local adaptation</w:t>
      </w:r>
    </w:p>
    <w:p w14:paraId="529763F9" w14:textId="250AA524" w:rsidR="00395594" w:rsidRPr="00AE02EE" w:rsidRDefault="00395594" w:rsidP="00395594">
      <w:pPr>
        <w:rPr>
          <w:rFonts w:ascii="Arial" w:hAnsi="Arial" w:cs="Arial"/>
          <w:sz w:val="22"/>
          <w:szCs w:val="22"/>
        </w:rPr>
      </w:pPr>
      <w:r w:rsidRPr="00AE02EE">
        <w:rPr>
          <w:rFonts w:ascii="Arial" w:hAnsi="Arial" w:cs="Arial"/>
          <w:sz w:val="22"/>
          <w:szCs w:val="22"/>
        </w:rPr>
        <w:t xml:space="preserve">In addition to home-away </w:t>
      </w:r>
      <w:r w:rsidR="002E1462" w:rsidRPr="00AE02EE">
        <w:rPr>
          <w:rFonts w:ascii="Arial" w:hAnsi="Arial" w:cs="Arial"/>
          <w:sz w:val="22"/>
          <w:szCs w:val="22"/>
        </w:rPr>
        <w:t xml:space="preserve">fitness </w:t>
      </w:r>
      <w:r w:rsidRPr="00AE02EE">
        <w:rPr>
          <w:rFonts w:ascii="Arial" w:hAnsi="Arial" w:cs="Arial"/>
          <w:sz w:val="22"/>
          <w:szCs w:val="22"/>
        </w:rPr>
        <w:t>contrasts described in the main text, we estimate</w:t>
      </w:r>
      <w:r w:rsidR="002E1462" w:rsidRPr="00AE02EE">
        <w:rPr>
          <w:rFonts w:ascii="Arial" w:hAnsi="Arial" w:cs="Arial"/>
          <w:sz w:val="22"/>
          <w:szCs w:val="22"/>
        </w:rPr>
        <w:t>d</w:t>
      </w:r>
      <w:r w:rsidRPr="00AE02EE">
        <w:rPr>
          <w:rFonts w:ascii="Arial" w:hAnsi="Arial" w:cs="Arial"/>
          <w:sz w:val="22"/>
          <w:szCs w:val="22"/>
        </w:rPr>
        <w:t xml:space="preserve"> the magnitude of local adaptation using local-foreign (LF) fitness contrasts. For LF fitness contrasts, we relativized fitness </w:t>
      </w:r>
      <w:r w:rsidR="002E1462" w:rsidRPr="00AE02EE">
        <w:rPr>
          <w:rFonts w:ascii="Arial" w:hAnsi="Arial" w:cs="Arial"/>
          <w:sz w:val="22"/>
          <w:szCs w:val="22"/>
        </w:rPr>
        <w:t xml:space="preserve">of population </w:t>
      </w:r>
      <w:proofErr w:type="spellStart"/>
      <w:r w:rsidR="002E1462" w:rsidRPr="00AE02EE">
        <w:rPr>
          <w:rFonts w:ascii="Arial" w:hAnsi="Arial" w:cs="Arial"/>
          <w:i/>
          <w:iCs/>
          <w:sz w:val="22"/>
          <w:szCs w:val="22"/>
        </w:rPr>
        <w:t>i</w:t>
      </w:r>
      <w:proofErr w:type="spellEnd"/>
      <w:r w:rsidR="00FF3E70" w:rsidRPr="00AE02EE">
        <w:rPr>
          <w:rFonts w:ascii="Arial" w:hAnsi="Arial" w:cs="Arial"/>
          <w:sz w:val="22"/>
          <w:szCs w:val="22"/>
        </w:rPr>
        <w:t xml:space="preserve"> </w:t>
      </w:r>
      <w:r w:rsidR="002E1462" w:rsidRPr="00AE02EE">
        <w:rPr>
          <w:rFonts w:ascii="Arial" w:hAnsi="Arial" w:cs="Arial"/>
          <w:sz w:val="22"/>
          <w:szCs w:val="22"/>
        </w:rPr>
        <w:t xml:space="preserve">grown in site </w:t>
      </w:r>
      <w:r w:rsidR="002E1462" w:rsidRPr="00AE02EE">
        <w:rPr>
          <w:rFonts w:ascii="Arial" w:hAnsi="Arial" w:cs="Arial"/>
          <w:i/>
          <w:iCs/>
          <w:sz w:val="22"/>
          <w:szCs w:val="22"/>
        </w:rPr>
        <w:t>j</w:t>
      </w:r>
      <w:r w:rsidR="002E1462" w:rsidRPr="00AE02EE">
        <w:rPr>
          <w:rFonts w:ascii="Arial" w:hAnsi="Arial" w:cs="Arial"/>
          <w:sz w:val="22"/>
          <w:szCs w:val="22"/>
        </w:rPr>
        <w:t xml:space="preserve"> by the </w:t>
      </w:r>
      <w:r w:rsidR="00FF3E70" w:rsidRPr="00AE02EE">
        <w:rPr>
          <w:rFonts w:ascii="Arial" w:hAnsi="Arial" w:cs="Arial"/>
          <w:sz w:val="22"/>
          <w:szCs w:val="22"/>
        </w:rPr>
        <w:t xml:space="preserve">population’s </w:t>
      </w:r>
      <w:r w:rsidR="002E1462" w:rsidRPr="00AE02EE">
        <w:rPr>
          <w:rFonts w:ascii="Arial" w:hAnsi="Arial" w:cs="Arial"/>
          <w:sz w:val="22"/>
          <w:szCs w:val="22"/>
        </w:rPr>
        <w:t xml:space="preserve">average fitness across </w:t>
      </w:r>
      <w:r w:rsidR="00FF3E70" w:rsidRPr="00AE02EE">
        <w:rPr>
          <w:rFonts w:ascii="Arial" w:hAnsi="Arial" w:cs="Arial"/>
          <w:sz w:val="22"/>
          <w:szCs w:val="22"/>
        </w:rPr>
        <w:t xml:space="preserve">all tested </w:t>
      </w:r>
      <w:r w:rsidR="002E1462" w:rsidRPr="00AE02EE">
        <w:rPr>
          <w:rFonts w:ascii="Arial" w:hAnsi="Arial" w:cs="Arial"/>
          <w:sz w:val="22"/>
          <w:szCs w:val="22"/>
        </w:rPr>
        <w:t>transplant sites</w:t>
      </w:r>
      <w:r w:rsidR="00FF3E70" w:rsidRPr="00AE02EE">
        <w:rPr>
          <w:rFonts w:ascii="Arial" w:hAnsi="Arial" w:cs="Arial"/>
          <w:sz w:val="22"/>
          <w:szCs w:val="22"/>
        </w:rPr>
        <w:t xml:space="preserve"> </w:t>
      </w:r>
      <m:oMath>
        <m:sSub>
          <m:sSubPr>
            <m:ctrlPr>
              <w:rPr>
                <w:rFonts w:ascii="Cambria Math" w:eastAsia="Arial" w:hAnsi="Cambria Math" w:cs="Arial"/>
                <w:i/>
                <w:sz w:val="22"/>
                <w:szCs w:val="22"/>
                <w:lang w:val="en"/>
              </w:rPr>
            </m:ctrlPr>
          </m:sSubPr>
          <m:e>
            <m:acc>
              <m:accPr>
                <m:chr m:val="̅"/>
                <m:ctrlPr>
                  <w:rPr>
                    <w:rFonts w:ascii="Cambria Math" w:eastAsia="Arial" w:hAnsi="Cambria Math" w:cs="Arial"/>
                    <w:i/>
                    <w:sz w:val="22"/>
                    <w:szCs w:val="22"/>
                    <w:lang w:val="en"/>
                  </w:rPr>
                </m:ctrlPr>
              </m:accPr>
              <m:e>
                <m:r>
                  <w:rPr>
                    <w:rFonts w:ascii="Cambria Math" w:hAnsi="Cambria Math" w:cs="Arial"/>
                    <w:sz w:val="22"/>
                    <w:szCs w:val="22"/>
                  </w:rPr>
                  <m:t>W</m:t>
                </m:r>
              </m:e>
            </m:acc>
          </m:e>
          <m:sub>
            <m:r>
              <w:rPr>
                <w:rFonts w:ascii="Cambria Math" w:eastAsia="Arial" w:hAnsi="Cambria Math" w:cs="Arial"/>
                <w:sz w:val="22"/>
                <w:szCs w:val="22"/>
                <w:lang w:val="en"/>
              </w:rPr>
              <m:t>i∙</m:t>
            </m:r>
          </m:sub>
        </m:sSub>
      </m:oMath>
      <w:r w:rsidRPr="001C5CD1">
        <w:rPr>
          <w:rFonts w:ascii="Arial" w:hAnsi="Arial" w:cs="Arial"/>
          <w:sz w:val="22"/>
          <w:szCs w:val="22"/>
        </w:rPr>
        <w:t>:</w:t>
      </w:r>
      <w:r w:rsidRPr="00AE02EE">
        <w:rPr>
          <w:rFonts w:ascii="Arial" w:hAnsi="Arial" w:cs="Arial"/>
          <w:i/>
          <w:iCs/>
          <w:sz w:val="22"/>
          <w:szCs w:val="22"/>
        </w:rPr>
        <w:t xml:space="preserve"> </w:t>
      </w:r>
    </w:p>
    <w:p w14:paraId="14E33767" w14:textId="77777777" w:rsidR="00395594" w:rsidRPr="00AE02EE" w:rsidRDefault="00395594" w:rsidP="00395594">
      <w:pPr>
        <w:rPr>
          <w:rFonts w:ascii="Arial" w:hAnsi="Arial" w:cs="Arial"/>
          <w:sz w:val="22"/>
          <w:szCs w:val="22"/>
        </w:rPr>
      </w:pPr>
    </w:p>
    <w:p w14:paraId="6BD12C21" w14:textId="77777777" w:rsidR="00395594" w:rsidRPr="00AE02EE" w:rsidRDefault="00803B32" w:rsidP="00395594">
      <w:pPr>
        <w:jc w:val="center"/>
        <w:rPr>
          <w:rFonts w:ascii="Arial" w:hAnsi="Arial" w:cs="Arial"/>
          <w:sz w:val="22"/>
          <w:szCs w:val="22"/>
        </w:rPr>
      </w:pPr>
      <m:oMathPara>
        <m:oMath>
          <m:sSubSup>
            <m:sSubSupPr>
              <m:ctrlPr>
                <w:rPr>
                  <w:rFonts w:ascii="Cambria Math" w:eastAsia="Arial" w:hAnsi="Cambria Math" w:cs="Arial"/>
                  <w:i/>
                  <w:sz w:val="22"/>
                  <w:szCs w:val="22"/>
                  <w:lang w:val="en"/>
                </w:rPr>
              </m:ctrlPr>
            </m:sSubSupPr>
            <m:e>
              <m:r>
                <w:rPr>
                  <w:rFonts w:ascii="Cambria Math" w:eastAsia="Arial" w:hAnsi="Cambria Math" w:cs="Arial"/>
                  <w:sz w:val="22"/>
                  <w:szCs w:val="22"/>
                  <w:lang w:val="en"/>
                </w:rPr>
                <m:t>φ</m:t>
              </m:r>
            </m:e>
            <m:sub>
              <m:r>
                <w:rPr>
                  <w:rFonts w:ascii="Cambria Math" w:eastAsia="Arial" w:hAnsi="Cambria Math" w:cs="Arial"/>
                  <w:sz w:val="22"/>
                  <w:szCs w:val="22"/>
                  <w:lang w:val="en"/>
                </w:rPr>
                <m:t>i</m:t>
              </m:r>
              <m:r>
                <w:rPr>
                  <w:rFonts w:ascii="Cambria Math" w:eastAsia="Arial" w:hAnsi="Cambria Math" w:cs="Arial"/>
                  <w:sz w:val="22"/>
                  <w:szCs w:val="22"/>
                  <w:lang w:val="en"/>
                </w:rPr>
                <m:t>,</m:t>
              </m:r>
              <m:r>
                <w:rPr>
                  <w:rFonts w:ascii="Cambria Math" w:eastAsia="Arial" w:hAnsi="Cambria Math" w:cs="Arial"/>
                  <w:sz w:val="22"/>
                  <w:szCs w:val="22"/>
                  <w:lang w:val="en"/>
                </w:rPr>
                <m:t>j</m:t>
              </m:r>
            </m:sub>
            <m:sup>
              <m:r>
                <w:rPr>
                  <w:rFonts w:ascii="Cambria Math" w:eastAsia="Arial" w:hAnsi="Cambria Math" w:cs="Arial"/>
                  <w:sz w:val="22"/>
                  <w:szCs w:val="22"/>
                  <w:lang w:val="en"/>
                </w:rPr>
                <m:t>'</m:t>
              </m:r>
            </m:sup>
          </m:sSubSup>
          <m:r>
            <w:rPr>
              <w:rFonts w:ascii="Cambria Math" w:hAnsi="Cambria Math" w:cs="Arial"/>
              <w:sz w:val="22"/>
              <w:szCs w:val="22"/>
            </w:rPr>
            <m:t xml:space="preserve">= </m:t>
          </m:r>
          <m:f>
            <m:fPr>
              <m:ctrlPr>
                <w:rPr>
                  <w:rFonts w:ascii="Cambria Math" w:eastAsia="Arial" w:hAnsi="Cambria Math" w:cs="Arial"/>
                  <w:i/>
                  <w:sz w:val="22"/>
                  <w:szCs w:val="22"/>
                  <w:lang w:val="en"/>
                </w:rPr>
              </m:ctrlPr>
            </m:fPr>
            <m:num>
              <m:sSub>
                <m:sSubPr>
                  <m:ctrlPr>
                    <w:rPr>
                      <w:rFonts w:ascii="Cambria Math" w:eastAsia="Arial" w:hAnsi="Cambria Math" w:cs="Arial"/>
                      <w:i/>
                      <w:sz w:val="22"/>
                      <w:szCs w:val="22"/>
                      <w:lang w:val="en"/>
                    </w:rPr>
                  </m:ctrlPr>
                </m:sSubPr>
                <m:e>
                  <m:r>
                    <w:rPr>
                      <w:rFonts w:ascii="Cambria Math" w:hAnsi="Cambria Math" w:cs="Arial"/>
                      <w:sz w:val="22"/>
                      <w:szCs w:val="22"/>
                    </w:rPr>
                    <m:t>W</m:t>
                  </m:r>
                </m:e>
                <m:sub>
                  <m:r>
                    <w:rPr>
                      <w:rFonts w:ascii="Cambria Math" w:eastAsia="Arial" w:hAnsi="Cambria Math" w:cs="Arial"/>
                      <w:sz w:val="22"/>
                      <w:szCs w:val="22"/>
                      <w:lang w:val="en"/>
                    </w:rPr>
                    <m:t>i</m:t>
                  </m:r>
                  <m:r>
                    <w:rPr>
                      <w:rFonts w:ascii="Cambria Math" w:eastAsia="Arial" w:hAnsi="Cambria Math" w:cs="Arial"/>
                      <w:sz w:val="22"/>
                      <w:szCs w:val="22"/>
                      <w:lang w:val="en"/>
                    </w:rPr>
                    <m:t>,</m:t>
                  </m:r>
                  <m:r>
                    <w:rPr>
                      <w:rFonts w:ascii="Cambria Math" w:eastAsia="Arial" w:hAnsi="Cambria Math" w:cs="Arial"/>
                      <w:sz w:val="22"/>
                      <w:szCs w:val="22"/>
                      <w:lang w:val="en"/>
                    </w:rPr>
                    <m:t>j</m:t>
                  </m:r>
                </m:sub>
              </m:sSub>
            </m:num>
            <m:den>
              <m:sSub>
                <m:sSubPr>
                  <m:ctrlPr>
                    <w:rPr>
                      <w:rFonts w:ascii="Cambria Math" w:eastAsia="Arial" w:hAnsi="Cambria Math" w:cs="Arial"/>
                      <w:i/>
                      <w:sz w:val="22"/>
                      <w:szCs w:val="22"/>
                      <w:lang w:val="en"/>
                    </w:rPr>
                  </m:ctrlPr>
                </m:sSubPr>
                <m:e>
                  <m:acc>
                    <m:accPr>
                      <m:chr m:val="̅"/>
                      <m:ctrlPr>
                        <w:rPr>
                          <w:rFonts w:ascii="Cambria Math" w:eastAsia="Arial" w:hAnsi="Cambria Math" w:cs="Arial"/>
                          <w:i/>
                          <w:sz w:val="22"/>
                          <w:szCs w:val="22"/>
                          <w:lang w:val="en"/>
                        </w:rPr>
                      </m:ctrlPr>
                    </m:accPr>
                    <m:e>
                      <m:r>
                        <w:rPr>
                          <w:rFonts w:ascii="Cambria Math" w:hAnsi="Cambria Math" w:cs="Arial"/>
                          <w:sz w:val="22"/>
                          <w:szCs w:val="22"/>
                        </w:rPr>
                        <m:t>W</m:t>
                      </m:r>
                    </m:e>
                  </m:acc>
                </m:e>
                <m:sub>
                  <m:r>
                    <w:rPr>
                      <w:rFonts w:ascii="Cambria Math" w:eastAsia="Arial" w:hAnsi="Cambria Math" w:cs="Arial"/>
                      <w:sz w:val="22"/>
                      <w:szCs w:val="22"/>
                      <w:lang w:val="en"/>
                    </w:rPr>
                    <m:t>i</m:t>
                  </m:r>
                  <m:r>
                    <w:rPr>
                      <w:rFonts w:ascii="Cambria Math" w:eastAsia="Arial" w:hAnsi="Cambria Math" w:cs="Arial"/>
                      <w:sz w:val="22"/>
                      <w:szCs w:val="22"/>
                      <w:lang w:val="en"/>
                    </w:rPr>
                    <m:t xml:space="preserve"> ∙</m:t>
                  </m:r>
                </m:sub>
              </m:sSub>
            </m:den>
          </m:f>
          <m:r>
            <w:rPr>
              <w:rFonts w:ascii="Cambria Math" w:hAnsi="Cambria Math" w:cs="Arial"/>
              <w:sz w:val="22"/>
              <w:szCs w:val="22"/>
            </w:rPr>
            <m:t xml:space="preserve">    </m:t>
          </m:r>
          <m:d>
            <m:dPr>
              <m:ctrlPr>
                <w:rPr>
                  <w:rFonts w:ascii="Cambria Math" w:hAnsi="Cambria Math" w:cs="Arial"/>
                  <w:i/>
                  <w:sz w:val="22"/>
                  <w:szCs w:val="22"/>
                </w:rPr>
              </m:ctrlPr>
            </m:dPr>
            <m:e>
              <m:r>
                <w:rPr>
                  <w:rFonts w:ascii="Cambria Math" w:hAnsi="Cambria Math" w:cs="Arial"/>
                  <w:sz w:val="22"/>
                  <w:szCs w:val="22"/>
                </w:rPr>
                <m:t>Eq</m:t>
              </m:r>
              <m:r>
                <w:rPr>
                  <w:rFonts w:ascii="Cambria Math" w:hAnsi="Cambria Math" w:cs="Arial"/>
                  <w:sz w:val="22"/>
                  <w:szCs w:val="22"/>
                </w:rPr>
                <m:t xml:space="preserve">.  </m:t>
              </m:r>
              <m:r>
                <w:rPr>
                  <w:rFonts w:ascii="Cambria Math" w:hAnsi="Cambria Math" w:cs="Arial"/>
                  <w:sz w:val="22"/>
                  <w:szCs w:val="22"/>
                </w:rPr>
                <m:t>S</m:t>
              </m:r>
              <m:r>
                <w:rPr>
                  <w:rFonts w:ascii="Cambria Math" w:hAnsi="Cambria Math" w:cs="Arial"/>
                  <w:sz w:val="22"/>
                  <w:szCs w:val="22"/>
                </w:rPr>
                <m:t>1</m:t>
              </m:r>
            </m:e>
          </m:d>
        </m:oMath>
      </m:oMathPara>
    </w:p>
    <w:p w14:paraId="5296D34A" w14:textId="77777777" w:rsidR="00395594" w:rsidRPr="00AE02EE" w:rsidRDefault="00395594" w:rsidP="00395594">
      <w:pPr>
        <w:jc w:val="center"/>
        <w:rPr>
          <w:rFonts w:ascii="Arial" w:hAnsi="Arial" w:cs="Arial"/>
          <w:sz w:val="22"/>
          <w:szCs w:val="22"/>
        </w:rPr>
      </w:pPr>
    </w:p>
    <w:p w14:paraId="5B94B1EA" w14:textId="1F346F76" w:rsidR="00395594" w:rsidRPr="00AE02EE" w:rsidRDefault="002E1462" w:rsidP="00395594">
      <w:pPr>
        <w:rPr>
          <w:rFonts w:ascii="Arial" w:hAnsi="Arial" w:cs="Arial"/>
          <w:sz w:val="22"/>
          <w:szCs w:val="22"/>
        </w:rPr>
      </w:pPr>
      <w:r w:rsidRPr="00AE02EE">
        <w:rPr>
          <w:rFonts w:ascii="Arial" w:hAnsi="Arial" w:cs="Arial"/>
          <w:sz w:val="22"/>
          <w:szCs w:val="22"/>
          <w:lang w:val="en"/>
        </w:rPr>
        <w:t xml:space="preserve">Relativization of a population’s fitness </w:t>
      </w:r>
      <w:r w:rsidR="00FF3E70" w:rsidRPr="00AE02EE">
        <w:rPr>
          <w:rFonts w:ascii="Arial" w:hAnsi="Arial" w:cs="Arial"/>
          <w:sz w:val="22"/>
          <w:szCs w:val="22"/>
          <w:lang w:val="en"/>
        </w:rPr>
        <w:t>in this manner controls for</w:t>
      </w:r>
      <w:r w:rsidRPr="00AE02EE">
        <w:rPr>
          <w:rFonts w:ascii="Arial" w:hAnsi="Arial" w:cs="Arial"/>
          <w:sz w:val="22"/>
          <w:szCs w:val="22"/>
          <w:lang w:val="en"/>
        </w:rPr>
        <w:t xml:space="preserve"> possible differences in </w:t>
      </w:r>
      <w:r w:rsidR="00FF3E70" w:rsidRPr="00AE02EE">
        <w:rPr>
          <w:rFonts w:ascii="Arial" w:hAnsi="Arial" w:cs="Arial"/>
          <w:sz w:val="22"/>
          <w:szCs w:val="22"/>
          <w:lang w:val="en"/>
        </w:rPr>
        <w:t xml:space="preserve">the quality of </w:t>
      </w:r>
      <w:r w:rsidRPr="00AE02EE">
        <w:rPr>
          <w:rFonts w:ascii="Arial" w:hAnsi="Arial" w:cs="Arial"/>
          <w:sz w:val="22"/>
          <w:szCs w:val="22"/>
          <w:lang w:val="en"/>
        </w:rPr>
        <w:t>population</w:t>
      </w:r>
      <w:r w:rsidR="00FF3E70" w:rsidRPr="00AE02EE">
        <w:rPr>
          <w:rFonts w:ascii="Arial" w:hAnsi="Arial" w:cs="Arial"/>
          <w:sz w:val="22"/>
          <w:szCs w:val="22"/>
          <w:lang w:val="en"/>
        </w:rPr>
        <w:t>s</w:t>
      </w:r>
      <w:r w:rsidRPr="00AE02EE">
        <w:rPr>
          <w:rFonts w:ascii="Arial" w:hAnsi="Arial" w:cs="Arial"/>
          <w:sz w:val="22"/>
          <w:szCs w:val="22"/>
          <w:lang w:val="en"/>
        </w:rPr>
        <w:t xml:space="preserve"> that can affect a population</w:t>
      </w:r>
      <w:r w:rsidR="00FF3E70" w:rsidRPr="00AE02EE">
        <w:rPr>
          <w:rFonts w:ascii="Arial" w:hAnsi="Arial" w:cs="Arial"/>
          <w:sz w:val="22"/>
          <w:szCs w:val="22"/>
          <w:lang w:val="en"/>
        </w:rPr>
        <w:t>’s absolute fitness</w:t>
      </w:r>
      <w:r w:rsidRPr="00AE02EE">
        <w:rPr>
          <w:rFonts w:ascii="Arial" w:hAnsi="Arial" w:cs="Arial"/>
          <w:sz w:val="22"/>
          <w:szCs w:val="22"/>
          <w:lang w:val="en"/>
        </w:rPr>
        <w:t xml:space="preserve"> at all </w:t>
      </w:r>
      <w:r w:rsidR="00FF3E70" w:rsidRPr="00AE02EE">
        <w:rPr>
          <w:rFonts w:ascii="Arial" w:hAnsi="Arial" w:cs="Arial"/>
          <w:sz w:val="22"/>
          <w:szCs w:val="22"/>
          <w:lang w:val="en"/>
        </w:rPr>
        <w:t xml:space="preserve">tested </w:t>
      </w:r>
      <w:r w:rsidRPr="00AE02EE">
        <w:rPr>
          <w:rFonts w:ascii="Arial" w:hAnsi="Arial" w:cs="Arial"/>
          <w:sz w:val="22"/>
          <w:szCs w:val="22"/>
          <w:lang w:val="en"/>
        </w:rPr>
        <w:t>sites (</w:t>
      </w:r>
      <w:proofErr w:type="spellStart"/>
      <w:r w:rsidRPr="00AE02EE">
        <w:rPr>
          <w:rFonts w:ascii="Arial" w:hAnsi="Arial" w:cs="Arial"/>
          <w:sz w:val="22"/>
          <w:szCs w:val="22"/>
          <w:lang w:val="en"/>
        </w:rPr>
        <w:t>Blanquart</w:t>
      </w:r>
      <w:proofErr w:type="spellEnd"/>
      <w:r w:rsidRPr="00AE02EE">
        <w:rPr>
          <w:rFonts w:ascii="Arial" w:hAnsi="Arial" w:cs="Arial"/>
          <w:sz w:val="22"/>
          <w:szCs w:val="22"/>
          <w:lang w:val="en"/>
        </w:rPr>
        <w:t xml:space="preserve"> </w:t>
      </w:r>
      <w:r w:rsidR="00DD4292">
        <w:rPr>
          <w:rFonts w:ascii="Arial" w:hAnsi="Arial" w:cs="Arial"/>
          <w:sz w:val="22"/>
          <w:szCs w:val="22"/>
          <w:lang w:val="en"/>
        </w:rPr>
        <w:t xml:space="preserve">et al. </w:t>
      </w:r>
      <w:r w:rsidRPr="00AE02EE">
        <w:rPr>
          <w:rFonts w:ascii="Arial" w:hAnsi="Arial" w:cs="Arial"/>
          <w:sz w:val="22"/>
          <w:szCs w:val="22"/>
          <w:lang w:val="en"/>
        </w:rPr>
        <w:t xml:space="preserve">2013). </w:t>
      </w:r>
      <w:r w:rsidR="00395594" w:rsidRPr="00AE02EE">
        <w:rPr>
          <w:rFonts w:ascii="Arial" w:hAnsi="Arial" w:cs="Arial"/>
          <w:sz w:val="22"/>
          <w:szCs w:val="22"/>
          <w:lang w:val="en"/>
        </w:rPr>
        <w:t xml:space="preserve">(Note that </w:t>
      </w:r>
      <m:oMath>
        <m:sSub>
          <m:sSubPr>
            <m:ctrlPr>
              <w:rPr>
                <w:rFonts w:ascii="Cambria Math" w:hAnsi="Cambria Math" w:cs="Arial"/>
                <w:i/>
                <w:sz w:val="22"/>
                <w:szCs w:val="22"/>
                <w:lang w:val="en"/>
              </w:rPr>
            </m:ctrlPr>
          </m:sSubPr>
          <m:e>
            <m:r>
              <w:rPr>
                <w:rFonts w:ascii="Cambria Math" w:eastAsia="Arial" w:hAnsi="Cambria Math" w:cs="Arial"/>
                <w:sz w:val="22"/>
                <w:szCs w:val="22"/>
                <w:lang w:val="en"/>
              </w:rPr>
              <m:t>φ</m:t>
            </m:r>
          </m:e>
          <m:sub>
            <m:r>
              <w:rPr>
                <w:rFonts w:ascii="Cambria Math" w:hAnsi="Cambria Math" w:cs="Arial"/>
                <w:sz w:val="22"/>
                <w:szCs w:val="22"/>
                <w:lang w:val="en"/>
              </w:rPr>
              <m:t>i,j</m:t>
            </m:r>
          </m:sub>
        </m:sSub>
      </m:oMath>
      <w:r w:rsidR="00395594" w:rsidRPr="00AE02EE">
        <w:rPr>
          <w:rFonts w:ascii="Arial" w:hAnsi="Arial" w:cs="Arial"/>
          <w:sz w:val="22"/>
          <w:szCs w:val="22"/>
          <w:lang w:val="en"/>
        </w:rPr>
        <w:t xml:space="preserve"> presented in the Methods </w:t>
      </w:r>
      <w:r w:rsidRPr="00AE02EE">
        <w:rPr>
          <w:rFonts w:ascii="Arial" w:hAnsi="Arial" w:cs="Arial"/>
          <w:sz w:val="22"/>
          <w:szCs w:val="22"/>
          <w:lang w:val="en"/>
        </w:rPr>
        <w:t xml:space="preserve">for </w:t>
      </w:r>
      <w:r w:rsidR="00FF3E70" w:rsidRPr="00AE02EE">
        <w:rPr>
          <w:rFonts w:ascii="Arial" w:hAnsi="Arial" w:cs="Arial"/>
          <w:sz w:val="22"/>
          <w:szCs w:val="22"/>
          <w:lang w:val="en"/>
        </w:rPr>
        <w:t>calculating</w:t>
      </w:r>
      <w:r w:rsidRPr="00AE02EE">
        <w:rPr>
          <w:rFonts w:ascii="Arial" w:hAnsi="Arial" w:cs="Arial"/>
          <w:sz w:val="22"/>
          <w:szCs w:val="22"/>
          <w:lang w:val="en"/>
        </w:rPr>
        <w:t xml:space="preserve"> </w:t>
      </w:r>
      <w:proofErr w:type="spellStart"/>
      <w:r w:rsidRPr="00AE02EE">
        <w:rPr>
          <w:rFonts w:ascii="Arial" w:hAnsi="Arial" w:cs="Arial"/>
          <w:sz w:val="22"/>
          <w:szCs w:val="22"/>
          <w:lang w:val="en"/>
        </w:rPr>
        <w:t>HA</w:t>
      </w:r>
      <w:r w:rsidRPr="001C5CD1">
        <w:rPr>
          <w:rFonts w:ascii="Arial" w:hAnsi="Arial" w:cs="Arial"/>
          <w:i/>
          <w:iCs/>
          <w:sz w:val="22"/>
          <w:szCs w:val="22"/>
          <w:vertAlign w:val="subscript"/>
          <w:lang w:val="en"/>
        </w:rPr>
        <w:t>i</w:t>
      </w:r>
      <w:r w:rsidR="00FF3E70" w:rsidRPr="001C5CD1">
        <w:rPr>
          <w:rFonts w:ascii="Arial" w:hAnsi="Arial" w:cs="Arial"/>
          <w:i/>
          <w:iCs/>
          <w:sz w:val="22"/>
          <w:szCs w:val="22"/>
          <w:vertAlign w:val="subscript"/>
          <w:lang w:val="en"/>
        </w:rPr>
        <w:t>,</w:t>
      </w:r>
      <w:r w:rsidRPr="001C5CD1">
        <w:rPr>
          <w:rFonts w:ascii="Arial" w:hAnsi="Arial" w:cs="Arial"/>
          <w:i/>
          <w:iCs/>
          <w:sz w:val="22"/>
          <w:szCs w:val="22"/>
          <w:vertAlign w:val="subscript"/>
          <w:lang w:val="en"/>
        </w:rPr>
        <w:t>j</w:t>
      </w:r>
      <w:proofErr w:type="spellEnd"/>
      <w:r w:rsidRPr="00AE02EE">
        <w:rPr>
          <w:rFonts w:ascii="Arial" w:hAnsi="Arial" w:cs="Arial"/>
          <w:sz w:val="22"/>
          <w:szCs w:val="22"/>
          <w:lang w:val="en"/>
        </w:rPr>
        <w:t xml:space="preserve"> </w:t>
      </w:r>
      <w:r w:rsidR="00395594" w:rsidRPr="00AE02EE">
        <w:rPr>
          <w:rFonts w:ascii="Arial" w:hAnsi="Arial" w:cs="Arial"/>
          <w:sz w:val="22"/>
          <w:szCs w:val="22"/>
          <w:lang w:val="en"/>
        </w:rPr>
        <w:t xml:space="preserve">and </w:t>
      </w:r>
      <m:oMath>
        <m:sSub>
          <m:sSubPr>
            <m:ctrlPr>
              <w:rPr>
                <w:rFonts w:ascii="Cambria Math" w:hAnsi="Cambria Math" w:cs="Arial"/>
                <w:i/>
                <w:sz w:val="22"/>
                <w:szCs w:val="22"/>
                <w:lang w:val="en"/>
              </w:rPr>
            </m:ctrlPr>
          </m:sSubPr>
          <m:e>
            <m:r>
              <w:rPr>
                <w:rFonts w:ascii="Cambria Math" w:eastAsia="Arial" w:hAnsi="Cambria Math" w:cs="Arial"/>
                <w:sz w:val="22"/>
                <w:szCs w:val="22"/>
                <w:lang w:val="en"/>
              </w:rPr>
              <m:t>φ'</m:t>
            </m:r>
          </m:e>
          <m:sub>
            <m:r>
              <w:rPr>
                <w:rFonts w:ascii="Cambria Math" w:hAnsi="Cambria Math" w:cs="Arial"/>
                <w:sz w:val="22"/>
                <w:szCs w:val="22"/>
                <w:lang w:val="en"/>
              </w:rPr>
              <m:t>i,j</m:t>
            </m:r>
          </m:sub>
        </m:sSub>
      </m:oMath>
      <w:r w:rsidR="00395594" w:rsidRPr="00AE02EE">
        <w:rPr>
          <w:rFonts w:ascii="Arial" w:hAnsi="Arial" w:cs="Arial"/>
          <w:sz w:val="22"/>
          <w:szCs w:val="22"/>
          <w:lang w:val="en"/>
        </w:rPr>
        <w:t xml:space="preserve"> presented here </w:t>
      </w:r>
      <w:r w:rsidRPr="00AE02EE">
        <w:rPr>
          <w:rFonts w:ascii="Arial" w:hAnsi="Arial" w:cs="Arial"/>
          <w:sz w:val="22"/>
          <w:szCs w:val="22"/>
          <w:lang w:val="en"/>
        </w:rPr>
        <w:t xml:space="preserve">for </w:t>
      </w:r>
      <w:r w:rsidR="00FF3E70" w:rsidRPr="00AE02EE">
        <w:rPr>
          <w:rFonts w:ascii="Arial" w:hAnsi="Arial" w:cs="Arial"/>
          <w:sz w:val="22"/>
          <w:szCs w:val="22"/>
          <w:lang w:val="en"/>
        </w:rPr>
        <w:t>calculating</w:t>
      </w:r>
      <w:r w:rsidRPr="00AE02EE">
        <w:rPr>
          <w:rFonts w:ascii="Arial" w:hAnsi="Arial" w:cs="Arial"/>
          <w:sz w:val="22"/>
          <w:szCs w:val="22"/>
          <w:lang w:val="en"/>
        </w:rPr>
        <w:t xml:space="preserve"> </w:t>
      </w:r>
      <w:proofErr w:type="spellStart"/>
      <w:r w:rsidRPr="00AE02EE">
        <w:rPr>
          <w:rFonts w:ascii="Arial" w:hAnsi="Arial" w:cs="Arial"/>
          <w:sz w:val="22"/>
          <w:szCs w:val="22"/>
          <w:lang w:val="en"/>
        </w:rPr>
        <w:t>L</w:t>
      </w:r>
      <w:r w:rsidR="00FF3E70" w:rsidRPr="00AE02EE">
        <w:rPr>
          <w:rFonts w:ascii="Arial" w:hAnsi="Arial" w:cs="Arial"/>
          <w:sz w:val="22"/>
          <w:szCs w:val="22"/>
          <w:lang w:val="en"/>
        </w:rPr>
        <w:t>F</w:t>
      </w:r>
      <w:r w:rsidRPr="001C5CD1">
        <w:rPr>
          <w:rFonts w:ascii="Arial" w:hAnsi="Arial" w:cs="Arial"/>
          <w:i/>
          <w:iCs/>
          <w:sz w:val="22"/>
          <w:szCs w:val="22"/>
          <w:vertAlign w:val="subscript"/>
          <w:lang w:val="en"/>
        </w:rPr>
        <w:t>i</w:t>
      </w:r>
      <w:r w:rsidR="00FF3E70" w:rsidRPr="001C5CD1">
        <w:rPr>
          <w:rFonts w:ascii="Arial" w:hAnsi="Arial" w:cs="Arial"/>
          <w:i/>
          <w:iCs/>
          <w:sz w:val="22"/>
          <w:szCs w:val="22"/>
          <w:vertAlign w:val="subscript"/>
          <w:lang w:val="en"/>
        </w:rPr>
        <w:t>,</w:t>
      </w:r>
      <w:r w:rsidRPr="001C5CD1">
        <w:rPr>
          <w:rFonts w:ascii="Arial" w:hAnsi="Arial" w:cs="Arial"/>
          <w:i/>
          <w:iCs/>
          <w:sz w:val="22"/>
          <w:szCs w:val="22"/>
          <w:vertAlign w:val="subscript"/>
          <w:lang w:val="en"/>
        </w:rPr>
        <w:t>j</w:t>
      </w:r>
      <w:proofErr w:type="spellEnd"/>
      <w:r w:rsidRPr="00AE02EE">
        <w:rPr>
          <w:rFonts w:ascii="Arial" w:hAnsi="Arial" w:cs="Arial"/>
          <w:sz w:val="22"/>
          <w:szCs w:val="22"/>
          <w:lang w:val="en"/>
        </w:rPr>
        <w:t xml:space="preserve"> </w:t>
      </w:r>
      <w:r w:rsidR="00395594" w:rsidRPr="00AE02EE">
        <w:rPr>
          <w:rFonts w:ascii="Arial" w:hAnsi="Arial" w:cs="Arial"/>
          <w:sz w:val="22"/>
          <w:szCs w:val="22"/>
          <w:lang w:val="en"/>
        </w:rPr>
        <w:t xml:space="preserve">are </w:t>
      </w:r>
      <w:r w:rsidR="00FF3E70" w:rsidRPr="00AE02EE">
        <w:rPr>
          <w:rFonts w:ascii="Arial" w:hAnsi="Arial" w:cs="Arial"/>
          <w:sz w:val="22"/>
          <w:szCs w:val="22"/>
          <w:lang w:val="en"/>
        </w:rPr>
        <w:t>different</w:t>
      </w:r>
      <w:r w:rsidR="00395594" w:rsidRPr="00AE02EE">
        <w:rPr>
          <w:rFonts w:ascii="Arial" w:hAnsi="Arial" w:cs="Arial"/>
          <w:sz w:val="22"/>
          <w:szCs w:val="22"/>
          <w:lang w:val="en"/>
        </w:rPr>
        <w:t xml:space="preserve"> quantit</w:t>
      </w:r>
      <w:r w:rsidR="00FF3E70" w:rsidRPr="00AE02EE">
        <w:rPr>
          <w:rFonts w:ascii="Arial" w:hAnsi="Arial" w:cs="Arial"/>
          <w:sz w:val="22"/>
          <w:szCs w:val="22"/>
          <w:lang w:val="en"/>
        </w:rPr>
        <w:t>ies</w:t>
      </w:r>
      <w:r w:rsidR="00395594" w:rsidRPr="00AE02EE">
        <w:rPr>
          <w:rFonts w:ascii="Arial" w:hAnsi="Arial" w:cs="Arial"/>
          <w:sz w:val="22"/>
          <w:szCs w:val="22"/>
          <w:lang w:val="en"/>
        </w:rPr>
        <w:t xml:space="preserve">.) </w:t>
      </w:r>
      <w:r w:rsidR="00FF3E70" w:rsidRPr="00AE02EE">
        <w:rPr>
          <w:rFonts w:ascii="Arial" w:hAnsi="Arial" w:cs="Arial"/>
          <w:sz w:val="22"/>
          <w:szCs w:val="22"/>
        </w:rPr>
        <w:t>W</w:t>
      </w:r>
      <w:r w:rsidR="00395594" w:rsidRPr="00AE02EE">
        <w:rPr>
          <w:rFonts w:ascii="Arial" w:hAnsi="Arial" w:cs="Arial"/>
          <w:sz w:val="22"/>
          <w:szCs w:val="22"/>
        </w:rPr>
        <w:t xml:space="preserve">e </w:t>
      </w:r>
      <w:r w:rsidR="00FF3E70" w:rsidRPr="00AE02EE">
        <w:rPr>
          <w:rFonts w:ascii="Arial" w:hAnsi="Arial" w:cs="Arial"/>
          <w:sz w:val="22"/>
          <w:szCs w:val="22"/>
        </w:rPr>
        <w:t xml:space="preserve">then </w:t>
      </w:r>
      <w:r w:rsidR="00395594" w:rsidRPr="00AE02EE">
        <w:rPr>
          <w:rFonts w:ascii="Arial" w:hAnsi="Arial" w:cs="Arial"/>
          <w:sz w:val="22"/>
          <w:szCs w:val="22"/>
        </w:rPr>
        <w:t xml:space="preserve">estimated the magnitude of local adaptation using </w:t>
      </w:r>
      <w:r w:rsidR="00FF3E70" w:rsidRPr="00AE02EE">
        <w:rPr>
          <w:rFonts w:ascii="Arial" w:hAnsi="Arial" w:cs="Arial"/>
          <w:sz w:val="22"/>
          <w:szCs w:val="22"/>
        </w:rPr>
        <w:t xml:space="preserve">LF </w:t>
      </w:r>
      <w:r w:rsidR="00395594" w:rsidRPr="00AE02EE">
        <w:rPr>
          <w:rFonts w:ascii="Arial" w:hAnsi="Arial" w:cs="Arial"/>
          <w:sz w:val="22"/>
          <w:szCs w:val="22"/>
        </w:rPr>
        <w:t>pairwise contrasts</w:t>
      </w:r>
      <w:r w:rsidR="00FF3E70" w:rsidRPr="00AE02EE">
        <w:rPr>
          <w:rFonts w:ascii="Arial" w:hAnsi="Arial" w:cs="Arial"/>
          <w:sz w:val="22"/>
          <w:szCs w:val="22"/>
        </w:rPr>
        <w:t>, by subtracting</w:t>
      </w:r>
      <w:r w:rsidR="00395594" w:rsidRPr="00AE02EE">
        <w:rPr>
          <w:rFonts w:ascii="Arial" w:hAnsi="Arial" w:cs="Arial"/>
          <w:sz w:val="22"/>
          <w:szCs w:val="22"/>
        </w:rPr>
        <w:t xml:space="preserve"> the relative fitness of a foreign population (</w:t>
      </w:r>
      <w:r w:rsidR="00FF3E70" w:rsidRPr="00AE02EE">
        <w:rPr>
          <w:rFonts w:ascii="Arial" w:hAnsi="Arial" w:cs="Arial"/>
          <w:i/>
          <w:iCs/>
          <w:sz w:val="22"/>
          <w:szCs w:val="22"/>
        </w:rPr>
        <w:t>j</w:t>
      </w:r>
      <w:r w:rsidR="00FF3E70" w:rsidRPr="00AE02EE">
        <w:rPr>
          <w:rFonts w:ascii="Arial" w:hAnsi="Arial" w:cs="Arial"/>
          <w:sz w:val="22"/>
          <w:szCs w:val="22"/>
        </w:rPr>
        <w:t xml:space="preserve"> </w:t>
      </w:r>
      <w:r w:rsidR="00395594" w:rsidRPr="00AE02EE">
        <w:rPr>
          <w:rFonts w:ascii="Arial" w:hAnsi="Arial" w:cs="Arial"/>
          <w:sz w:val="22"/>
          <w:szCs w:val="22"/>
        </w:rPr>
        <w:sym w:font="Symbol" w:char="F0B9"/>
      </w:r>
      <w:r w:rsidR="00395594" w:rsidRPr="00AE02EE">
        <w:rPr>
          <w:rFonts w:ascii="Arial" w:hAnsi="Arial" w:cs="Arial"/>
          <w:sz w:val="22"/>
          <w:szCs w:val="22"/>
        </w:rPr>
        <w:t xml:space="preserve"> </w:t>
      </w:r>
      <w:proofErr w:type="spellStart"/>
      <w:r w:rsidR="00FF3E70" w:rsidRPr="00AE02EE">
        <w:rPr>
          <w:rFonts w:ascii="Arial" w:hAnsi="Arial" w:cs="Arial"/>
          <w:i/>
          <w:iCs/>
          <w:sz w:val="22"/>
          <w:szCs w:val="22"/>
        </w:rPr>
        <w:t>i</w:t>
      </w:r>
      <w:proofErr w:type="spellEnd"/>
      <w:r w:rsidR="00395594" w:rsidRPr="00AE02EE">
        <w:rPr>
          <w:rFonts w:ascii="Arial" w:hAnsi="Arial" w:cs="Arial"/>
          <w:sz w:val="22"/>
          <w:szCs w:val="22"/>
        </w:rPr>
        <w:t xml:space="preserve">) from the relative fitness of the local population at site </w:t>
      </w:r>
      <w:r w:rsidR="00FF3E70" w:rsidRPr="00AE02EE">
        <w:rPr>
          <w:rFonts w:ascii="Arial" w:hAnsi="Arial" w:cs="Arial"/>
          <w:i/>
          <w:iCs/>
          <w:sz w:val="22"/>
          <w:szCs w:val="22"/>
        </w:rPr>
        <w:t>i</w:t>
      </w:r>
      <w:r w:rsidR="00395594" w:rsidRPr="00AE02EE">
        <w:rPr>
          <w:rFonts w:ascii="Arial" w:hAnsi="Arial" w:cs="Arial"/>
          <w:sz w:val="22"/>
          <w:szCs w:val="22"/>
        </w:rPr>
        <w:t>:</w:t>
      </w:r>
    </w:p>
    <w:p w14:paraId="727A35F9" w14:textId="77777777" w:rsidR="00395594" w:rsidRPr="00AE02EE" w:rsidRDefault="00395594" w:rsidP="00395594">
      <w:pPr>
        <w:rPr>
          <w:rFonts w:ascii="Arial" w:hAnsi="Arial" w:cs="Arial"/>
          <w:sz w:val="22"/>
          <w:szCs w:val="22"/>
          <w:lang w:val="en"/>
        </w:rPr>
      </w:pPr>
    </w:p>
    <w:p w14:paraId="160C4410" w14:textId="4BBBCDB6" w:rsidR="00395594" w:rsidRPr="00AE02EE" w:rsidRDefault="00803B32" w:rsidP="00395594">
      <w:pPr>
        <w:rPr>
          <w:rFonts w:ascii="Arial" w:hAnsi="Arial" w:cs="Arial"/>
          <w:sz w:val="22"/>
          <w:szCs w:val="22"/>
        </w:rPr>
      </w:pPr>
      <m:oMathPara>
        <m:oMath>
          <m:sSub>
            <m:sSubPr>
              <m:ctrlPr>
                <w:rPr>
                  <w:rFonts w:ascii="Cambria Math" w:eastAsia="Arial" w:hAnsi="Cambria Math" w:cs="Arial"/>
                  <w:i/>
                  <w:sz w:val="22"/>
                  <w:szCs w:val="22"/>
                  <w:lang w:val="en"/>
                </w:rPr>
              </m:ctrlPr>
            </m:sSubPr>
            <m:e>
              <m:r>
                <w:rPr>
                  <w:rFonts w:ascii="Cambria Math" w:hAnsi="Cambria Math" w:cs="Arial"/>
                  <w:sz w:val="22"/>
                  <w:szCs w:val="22"/>
                </w:rPr>
                <m:t>LF</m:t>
              </m:r>
            </m:e>
            <m:sub>
              <m:r>
                <w:rPr>
                  <w:rFonts w:ascii="Cambria Math" w:hAnsi="Cambria Math" w:cs="Arial"/>
                  <w:sz w:val="22"/>
                  <w:szCs w:val="22"/>
                </w:rPr>
                <m:t>i</m:t>
              </m:r>
              <m:r>
                <w:rPr>
                  <w:rFonts w:ascii="Cambria Math" w:hAnsi="Cambria Math" w:cs="Arial"/>
                  <w:sz w:val="22"/>
                  <w:szCs w:val="22"/>
                </w:rPr>
                <m:t>,</m:t>
              </m:r>
              <m:r>
                <w:rPr>
                  <w:rFonts w:ascii="Cambria Math" w:hAnsi="Cambria Math" w:cs="Arial"/>
                  <w:sz w:val="22"/>
                  <w:szCs w:val="22"/>
                </w:rPr>
                <m:t>j</m:t>
              </m:r>
            </m:sub>
          </m:sSub>
          <m:r>
            <w:rPr>
              <w:rFonts w:ascii="Cambria Math" w:hAnsi="Cambria Math" w:cs="Arial"/>
              <w:sz w:val="22"/>
              <w:szCs w:val="22"/>
            </w:rPr>
            <m:t xml:space="preserve">= </m:t>
          </m:r>
          <m:sSub>
            <m:sSubPr>
              <m:ctrlPr>
                <w:rPr>
                  <w:rFonts w:ascii="Cambria Math" w:eastAsia="Arial" w:hAnsi="Cambria Math" w:cs="Arial"/>
                  <w:i/>
                  <w:sz w:val="22"/>
                  <w:szCs w:val="22"/>
                  <w:lang w:val="en"/>
                </w:rPr>
              </m:ctrlPr>
            </m:sSubPr>
            <m:e>
              <m:r>
                <w:rPr>
                  <w:rFonts w:ascii="Cambria Math" w:eastAsia="Arial" w:hAnsi="Cambria Math" w:cs="Arial"/>
                  <w:sz w:val="22"/>
                  <w:szCs w:val="22"/>
                  <w:lang w:val="en"/>
                </w:rPr>
                <m:t>φ</m:t>
              </m:r>
              <m:r>
                <w:rPr>
                  <w:rFonts w:ascii="Cambria Math" w:eastAsia="Arial" w:hAnsi="Cambria Math" w:cs="Arial"/>
                  <w:sz w:val="22"/>
                  <w:szCs w:val="22"/>
                  <w:lang w:val="en"/>
                </w:rPr>
                <m:t>'</m:t>
              </m:r>
            </m:e>
            <m:sub>
              <m:r>
                <w:rPr>
                  <w:rFonts w:ascii="Cambria Math" w:hAnsi="Cambria Math" w:cs="Arial"/>
                  <w:sz w:val="22"/>
                  <w:szCs w:val="22"/>
                </w:rPr>
                <m:t>i</m:t>
              </m:r>
              <m:r>
                <w:rPr>
                  <w:rFonts w:ascii="Cambria Math" w:hAnsi="Cambria Math" w:cs="Arial"/>
                  <w:sz w:val="22"/>
                  <w:szCs w:val="22"/>
                </w:rPr>
                <m:t>,</m:t>
              </m:r>
              <m:r>
                <w:rPr>
                  <w:rFonts w:ascii="Cambria Math" w:hAnsi="Cambria Math" w:cs="Arial"/>
                  <w:sz w:val="22"/>
                  <w:szCs w:val="22"/>
                </w:rPr>
                <m:t>i</m:t>
              </m:r>
            </m:sub>
          </m:sSub>
          <m:r>
            <w:rPr>
              <w:rFonts w:ascii="Cambria Math" w:hAnsi="Cambria Math" w:cs="Arial"/>
              <w:sz w:val="22"/>
              <w:szCs w:val="22"/>
            </w:rPr>
            <m:t>-</m:t>
          </m:r>
          <m:sSub>
            <m:sSubPr>
              <m:ctrlPr>
                <w:rPr>
                  <w:rFonts w:ascii="Cambria Math" w:eastAsia="Arial" w:hAnsi="Cambria Math" w:cs="Arial"/>
                  <w:i/>
                  <w:sz w:val="22"/>
                  <w:szCs w:val="22"/>
                  <w:lang w:val="en"/>
                </w:rPr>
              </m:ctrlPr>
            </m:sSubPr>
            <m:e>
              <m:sSup>
                <m:sSupPr>
                  <m:ctrlPr>
                    <w:rPr>
                      <w:rFonts w:ascii="Cambria Math" w:eastAsia="Arial" w:hAnsi="Cambria Math" w:cs="Arial"/>
                      <w:i/>
                      <w:sz w:val="22"/>
                      <w:szCs w:val="22"/>
                      <w:lang w:val="en"/>
                    </w:rPr>
                  </m:ctrlPr>
                </m:sSupPr>
                <m:e>
                  <m:r>
                    <w:rPr>
                      <w:rFonts w:ascii="Cambria Math" w:eastAsia="Arial" w:hAnsi="Cambria Math" w:cs="Arial"/>
                      <w:sz w:val="22"/>
                      <w:szCs w:val="22"/>
                      <w:lang w:val="en"/>
                    </w:rPr>
                    <m:t>φ</m:t>
                  </m:r>
                </m:e>
                <m:sup>
                  <m:r>
                    <w:rPr>
                      <w:rFonts w:ascii="Cambria Math" w:eastAsia="Arial" w:hAnsi="Cambria Math" w:cs="Arial"/>
                      <w:sz w:val="22"/>
                      <w:szCs w:val="22"/>
                      <w:lang w:val="en"/>
                    </w:rPr>
                    <m:t>'</m:t>
                  </m:r>
                </m:sup>
              </m:sSup>
            </m:e>
            <m:sub>
              <m:r>
                <w:rPr>
                  <w:rFonts w:ascii="Cambria Math" w:hAnsi="Cambria Math" w:cs="Arial"/>
                  <w:sz w:val="22"/>
                  <w:szCs w:val="22"/>
                </w:rPr>
                <m:t>j</m:t>
              </m:r>
              <m:r>
                <w:rPr>
                  <w:rFonts w:ascii="Cambria Math" w:hAnsi="Cambria Math" w:cs="Arial"/>
                  <w:sz w:val="22"/>
                  <w:szCs w:val="22"/>
                </w:rPr>
                <m:t>≠</m:t>
              </m:r>
              <m:r>
                <w:rPr>
                  <w:rFonts w:ascii="Cambria Math" w:hAnsi="Cambria Math" w:cs="Arial"/>
                  <w:sz w:val="22"/>
                  <w:szCs w:val="22"/>
                </w:rPr>
                <m:t>i</m:t>
              </m:r>
              <m:r>
                <w:rPr>
                  <w:rFonts w:ascii="Cambria Math" w:hAnsi="Cambria Math" w:cs="Arial"/>
                  <w:sz w:val="22"/>
                  <w:szCs w:val="22"/>
                </w:rPr>
                <m:t>,</m:t>
              </m:r>
              <m:r>
                <w:rPr>
                  <w:rFonts w:ascii="Cambria Math" w:hAnsi="Cambria Math" w:cs="Arial"/>
                  <w:sz w:val="22"/>
                  <w:szCs w:val="22"/>
                </w:rPr>
                <m:t>i</m:t>
              </m:r>
            </m:sub>
          </m:sSub>
          <m:r>
            <w:rPr>
              <w:rFonts w:ascii="Cambria Math" w:eastAsia="Arial" w:hAnsi="Cambria Math" w:cs="Arial"/>
              <w:sz w:val="22"/>
              <w:szCs w:val="22"/>
              <w:lang w:val="en"/>
            </w:rPr>
            <m:t xml:space="preserve">    (</m:t>
          </m:r>
          <m:r>
            <w:rPr>
              <w:rFonts w:ascii="Cambria Math" w:eastAsia="Arial" w:hAnsi="Cambria Math" w:cs="Arial"/>
              <w:sz w:val="22"/>
              <w:szCs w:val="22"/>
              <w:lang w:val="en"/>
            </w:rPr>
            <m:t>Eq</m:t>
          </m:r>
          <m:r>
            <w:rPr>
              <w:rFonts w:ascii="Cambria Math" w:eastAsia="Arial" w:hAnsi="Cambria Math" w:cs="Arial"/>
              <w:sz w:val="22"/>
              <w:szCs w:val="22"/>
              <w:lang w:val="en"/>
            </w:rPr>
            <m:t xml:space="preserve">.  </m:t>
          </m:r>
          <m:r>
            <w:rPr>
              <w:rFonts w:ascii="Cambria Math" w:eastAsia="Arial" w:hAnsi="Cambria Math" w:cs="Arial"/>
              <w:sz w:val="22"/>
              <w:szCs w:val="22"/>
              <w:lang w:val="en"/>
            </w:rPr>
            <m:t>S</m:t>
          </m:r>
          <m:r>
            <w:rPr>
              <w:rFonts w:ascii="Cambria Math" w:eastAsia="Arial" w:hAnsi="Cambria Math" w:cs="Arial"/>
              <w:sz w:val="22"/>
              <w:szCs w:val="22"/>
              <w:lang w:val="en"/>
            </w:rPr>
            <m:t>2)</m:t>
          </m:r>
        </m:oMath>
      </m:oMathPara>
    </w:p>
    <w:p w14:paraId="4AC59786" w14:textId="77777777" w:rsidR="00395594" w:rsidRPr="001C5CD1" w:rsidRDefault="00395594" w:rsidP="00395594">
      <w:pPr>
        <w:pStyle w:val="Heading4"/>
        <w:rPr>
          <w:sz w:val="22"/>
          <w:szCs w:val="22"/>
        </w:rPr>
      </w:pPr>
      <w:r w:rsidRPr="001C5CD1">
        <w:rPr>
          <w:sz w:val="22"/>
          <w:szCs w:val="22"/>
        </w:rPr>
        <w:t>Population-mean local adaptation</w:t>
      </w:r>
    </w:p>
    <w:p w14:paraId="1952CC85" w14:textId="78F13DE8" w:rsidR="00395594" w:rsidRPr="00AE02EE" w:rsidRDefault="00395594" w:rsidP="00395594">
      <w:pPr>
        <w:rPr>
          <w:rFonts w:ascii="Arial" w:hAnsi="Arial" w:cs="Arial"/>
          <w:sz w:val="22"/>
          <w:szCs w:val="22"/>
        </w:rPr>
      </w:pPr>
      <w:r w:rsidRPr="00AE02EE">
        <w:rPr>
          <w:rFonts w:ascii="Arial" w:hAnsi="Arial" w:cs="Arial"/>
          <w:sz w:val="22"/>
          <w:szCs w:val="22"/>
        </w:rPr>
        <w:t xml:space="preserve">In addition to pairwise fitness contrasts, we estimated the mean magnitude of LF local adaptation </w:t>
      </w:r>
      <w:r w:rsidR="004B417C" w:rsidRPr="00AE02EE">
        <w:rPr>
          <w:rFonts w:ascii="Arial" w:hAnsi="Arial" w:cs="Arial"/>
          <w:sz w:val="22"/>
          <w:szCs w:val="22"/>
        </w:rPr>
        <w:t>for</w:t>
      </w:r>
      <w:r w:rsidRPr="00AE02EE">
        <w:rPr>
          <w:rFonts w:ascii="Arial" w:hAnsi="Arial" w:cs="Arial"/>
          <w:sz w:val="22"/>
          <w:szCs w:val="22"/>
        </w:rPr>
        <w:t xml:space="preserve"> each population (</w:t>
      </w:r>
      <w:proofErr w:type="spellStart"/>
      <w:r w:rsidRPr="00AE02EE">
        <w:rPr>
          <w:rFonts w:ascii="Arial" w:hAnsi="Arial" w:cs="Arial"/>
          <w:sz w:val="22"/>
          <w:szCs w:val="22"/>
        </w:rPr>
        <w:t>Blanquart</w:t>
      </w:r>
      <w:proofErr w:type="spellEnd"/>
      <w:r w:rsidRPr="00AE02EE">
        <w:rPr>
          <w:rFonts w:ascii="Arial" w:hAnsi="Arial" w:cs="Arial"/>
          <w:sz w:val="22"/>
          <w:szCs w:val="22"/>
        </w:rPr>
        <w:t xml:space="preserve"> et al. 2013):</w:t>
      </w:r>
    </w:p>
    <w:p w14:paraId="187CBFD1" w14:textId="77777777" w:rsidR="00395594" w:rsidRPr="00AE02EE" w:rsidRDefault="00395594" w:rsidP="00395594">
      <w:pPr>
        <w:rPr>
          <w:rFonts w:ascii="Arial" w:hAnsi="Arial" w:cs="Arial"/>
          <w:sz w:val="22"/>
          <w:szCs w:val="22"/>
        </w:rPr>
      </w:pPr>
    </w:p>
    <w:p w14:paraId="04D782EE" w14:textId="77777777" w:rsidR="00395594" w:rsidRPr="00AE02EE" w:rsidRDefault="00803B32" w:rsidP="00395594">
      <w:pPr>
        <w:rPr>
          <w:rFonts w:ascii="Arial" w:hAnsi="Arial" w:cs="Arial"/>
          <w:sz w:val="22"/>
          <w:szCs w:val="22"/>
        </w:rPr>
      </w:pPr>
      <m:oMathPara>
        <m:oMath>
          <m:sSub>
            <m:sSubPr>
              <m:ctrlPr>
                <w:rPr>
                  <w:rFonts w:ascii="Cambria Math" w:eastAsia="Arial" w:hAnsi="Cambria Math" w:cs="Arial"/>
                  <w:i/>
                  <w:sz w:val="22"/>
                  <w:szCs w:val="22"/>
                  <w:lang w:val="en"/>
                </w:rPr>
              </m:ctrlPr>
            </m:sSubPr>
            <m:e>
              <m:acc>
                <m:accPr>
                  <m:chr m:val="̅"/>
                  <m:ctrlPr>
                    <w:rPr>
                      <w:rFonts w:ascii="Cambria Math" w:hAnsi="Cambria Math" w:cs="Arial"/>
                      <w:i/>
                      <w:sz w:val="22"/>
                      <w:szCs w:val="22"/>
                    </w:rPr>
                  </m:ctrlPr>
                </m:accPr>
                <m:e>
                  <m:r>
                    <w:rPr>
                      <w:rFonts w:ascii="Cambria Math" w:hAnsi="Cambria Math" w:cs="Arial"/>
                      <w:sz w:val="22"/>
                      <w:szCs w:val="22"/>
                    </w:rPr>
                    <m:t>LF</m:t>
                  </m:r>
                </m:e>
              </m:acc>
            </m:e>
            <m:sub>
              <m:r>
                <w:rPr>
                  <w:rFonts w:ascii="Cambria Math" w:hAnsi="Cambria Math" w:cs="Arial"/>
                  <w:sz w:val="22"/>
                  <w:szCs w:val="22"/>
                </w:rPr>
                <m:t>i</m:t>
              </m:r>
            </m:sub>
          </m:sSub>
          <m:r>
            <w:rPr>
              <w:rFonts w:ascii="Cambria Math" w:hAnsi="Cambria Math" w:cs="Arial"/>
              <w:sz w:val="22"/>
              <w:szCs w:val="22"/>
            </w:rPr>
            <m:t xml:space="preserve">= </m:t>
          </m:r>
          <m:sSub>
            <m:sSubPr>
              <m:ctrlPr>
                <w:rPr>
                  <w:rFonts w:ascii="Cambria Math" w:eastAsia="Arial" w:hAnsi="Cambria Math" w:cs="Arial"/>
                  <w:i/>
                  <w:sz w:val="22"/>
                  <w:szCs w:val="22"/>
                  <w:lang w:val="en"/>
                </w:rPr>
              </m:ctrlPr>
            </m:sSubPr>
            <m:e>
              <m:r>
                <w:rPr>
                  <w:rFonts w:ascii="Cambria Math" w:eastAsia="Arial" w:hAnsi="Cambria Math" w:cs="Arial"/>
                  <w:sz w:val="22"/>
                  <w:szCs w:val="22"/>
                  <w:lang w:val="en"/>
                </w:rPr>
                <m:t>φ</m:t>
              </m:r>
              <m:r>
                <w:rPr>
                  <w:rFonts w:ascii="Cambria Math" w:eastAsia="Arial" w:hAnsi="Cambria Math" w:cs="Arial"/>
                  <w:sz w:val="22"/>
                  <w:szCs w:val="22"/>
                  <w:lang w:val="en"/>
                </w:rPr>
                <m:t>'</m:t>
              </m:r>
            </m:e>
            <m:sub>
              <m:r>
                <w:rPr>
                  <w:rFonts w:ascii="Cambria Math" w:hAnsi="Cambria Math" w:cs="Arial"/>
                  <w:sz w:val="22"/>
                  <w:szCs w:val="22"/>
                </w:rPr>
                <m:t>i</m:t>
              </m:r>
              <m:r>
                <w:rPr>
                  <w:rFonts w:ascii="Cambria Math" w:hAnsi="Cambria Math" w:cs="Arial"/>
                  <w:sz w:val="22"/>
                  <w:szCs w:val="22"/>
                </w:rPr>
                <m:t>,</m:t>
              </m:r>
              <m:r>
                <w:rPr>
                  <w:rFonts w:ascii="Cambria Math" w:hAnsi="Cambria Math" w:cs="Arial"/>
                  <w:sz w:val="22"/>
                  <w:szCs w:val="22"/>
                </w:rPr>
                <m:t>i</m:t>
              </m:r>
            </m:sub>
          </m:sSub>
          <m:r>
            <w:rPr>
              <w:rFonts w:ascii="Cambria Math" w:hAnsi="Cambria Math" w:cs="Arial"/>
              <w:sz w:val="22"/>
              <w:szCs w:val="22"/>
            </w:rPr>
            <m:t>-</m:t>
          </m:r>
          <m:f>
            <m:fPr>
              <m:ctrlPr>
                <w:rPr>
                  <w:rFonts w:ascii="Cambria Math" w:hAnsi="Cambria Math" w:cs="Arial"/>
                  <w:i/>
                  <w:sz w:val="22"/>
                  <w:szCs w:val="22"/>
                </w:rPr>
              </m:ctrlPr>
            </m:fPr>
            <m:num>
              <m:r>
                <w:rPr>
                  <w:rFonts w:ascii="Cambria Math" w:hAnsi="Cambria Math" w:cs="Arial"/>
                  <w:sz w:val="22"/>
                  <w:szCs w:val="22"/>
                </w:rPr>
                <m:t>1</m:t>
              </m:r>
            </m:num>
            <m:den>
              <m:r>
                <w:rPr>
                  <w:rFonts w:ascii="Cambria Math" w:hAnsi="Cambria Math" w:cs="Arial"/>
                  <w:sz w:val="22"/>
                  <w:szCs w:val="22"/>
                </w:rPr>
                <m:t>P</m:t>
              </m:r>
              <m:r>
                <w:rPr>
                  <w:rFonts w:ascii="Cambria Math" w:hAnsi="Cambria Math" w:cs="Arial"/>
                  <w:sz w:val="22"/>
                  <w:szCs w:val="22"/>
                </w:rPr>
                <m:t>-1</m:t>
              </m:r>
            </m:den>
          </m:f>
          <m:nary>
            <m:naryPr>
              <m:chr m:val="∑"/>
              <m:limLoc m:val="undOvr"/>
              <m:supHide m:val="1"/>
              <m:ctrlPr>
                <w:rPr>
                  <w:rFonts w:ascii="Cambria Math" w:hAnsi="Cambria Math" w:cs="Arial"/>
                  <w:i/>
                  <w:sz w:val="22"/>
                  <w:szCs w:val="22"/>
                </w:rPr>
              </m:ctrlPr>
            </m:naryPr>
            <m:sub>
              <m:r>
                <w:rPr>
                  <w:rFonts w:ascii="Cambria Math" w:hAnsi="Cambria Math" w:cs="Arial"/>
                  <w:sz w:val="22"/>
                  <w:szCs w:val="22"/>
                </w:rPr>
                <m:t>j</m:t>
              </m:r>
              <m:r>
                <w:rPr>
                  <w:rFonts w:ascii="Cambria Math" w:hAnsi="Cambria Math" w:cs="Arial"/>
                  <w:sz w:val="22"/>
                  <w:szCs w:val="22"/>
                </w:rPr>
                <m:t>≠</m:t>
              </m:r>
              <m:r>
                <w:rPr>
                  <w:rFonts w:ascii="Cambria Math" w:hAnsi="Cambria Math" w:cs="Arial"/>
                  <w:sz w:val="22"/>
                  <w:szCs w:val="22"/>
                </w:rPr>
                <m:t>i</m:t>
              </m:r>
            </m:sub>
            <m:sup/>
            <m:e>
              <m:sSub>
                <m:sSubPr>
                  <m:ctrlPr>
                    <w:rPr>
                      <w:rFonts w:ascii="Cambria Math" w:eastAsia="Arial" w:hAnsi="Cambria Math" w:cs="Arial"/>
                      <w:i/>
                      <w:sz w:val="22"/>
                      <w:szCs w:val="22"/>
                      <w:lang w:val="en"/>
                    </w:rPr>
                  </m:ctrlPr>
                </m:sSubPr>
                <m:e>
                  <m:sSup>
                    <m:sSupPr>
                      <m:ctrlPr>
                        <w:rPr>
                          <w:rFonts w:ascii="Cambria Math" w:eastAsia="Arial" w:hAnsi="Cambria Math" w:cs="Arial"/>
                          <w:i/>
                          <w:sz w:val="22"/>
                          <w:szCs w:val="22"/>
                          <w:lang w:val="en"/>
                        </w:rPr>
                      </m:ctrlPr>
                    </m:sSupPr>
                    <m:e>
                      <m:r>
                        <w:rPr>
                          <w:rFonts w:ascii="Cambria Math" w:eastAsia="Arial" w:hAnsi="Cambria Math" w:cs="Arial"/>
                          <w:sz w:val="22"/>
                          <w:szCs w:val="22"/>
                          <w:lang w:val="en"/>
                        </w:rPr>
                        <m:t>φ</m:t>
                      </m:r>
                    </m:e>
                    <m:sup>
                      <m:r>
                        <w:rPr>
                          <w:rFonts w:ascii="Cambria Math" w:eastAsia="Arial" w:hAnsi="Cambria Math" w:cs="Arial"/>
                          <w:sz w:val="22"/>
                          <w:szCs w:val="22"/>
                          <w:lang w:val="en"/>
                        </w:rPr>
                        <m:t>'</m:t>
                      </m:r>
                    </m:sup>
                  </m:sSup>
                </m:e>
                <m:sub>
                  <m:r>
                    <w:rPr>
                      <w:rFonts w:ascii="Cambria Math" w:hAnsi="Cambria Math" w:cs="Arial"/>
                      <w:sz w:val="22"/>
                      <w:szCs w:val="22"/>
                    </w:rPr>
                    <m:t>j</m:t>
                  </m:r>
                  <m:r>
                    <w:rPr>
                      <w:rFonts w:ascii="Cambria Math" w:hAnsi="Cambria Math" w:cs="Arial"/>
                      <w:sz w:val="22"/>
                      <w:szCs w:val="22"/>
                    </w:rPr>
                    <m:t>,</m:t>
                  </m:r>
                  <m:r>
                    <w:rPr>
                      <w:rFonts w:ascii="Cambria Math" w:hAnsi="Cambria Math" w:cs="Arial"/>
                      <w:sz w:val="22"/>
                      <w:szCs w:val="22"/>
                    </w:rPr>
                    <m:t>i</m:t>
                  </m:r>
                </m:sub>
              </m:sSub>
            </m:e>
          </m:nary>
          <m:r>
            <w:rPr>
              <w:rFonts w:ascii="Cambria Math" w:eastAsia="Arial" w:hAnsi="Cambria Math" w:cs="Arial"/>
              <w:sz w:val="22"/>
              <w:szCs w:val="22"/>
              <w:lang w:val="en"/>
            </w:rPr>
            <m:t xml:space="preserve">   (</m:t>
          </m:r>
          <m:r>
            <w:rPr>
              <w:rFonts w:ascii="Cambria Math" w:eastAsia="Arial" w:hAnsi="Cambria Math" w:cs="Arial"/>
              <w:sz w:val="22"/>
              <w:szCs w:val="22"/>
              <w:lang w:val="en"/>
            </w:rPr>
            <m:t>Eq</m:t>
          </m:r>
          <m:r>
            <w:rPr>
              <w:rFonts w:ascii="Cambria Math" w:eastAsia="Arial" w:hAnsi="Cambria Math" w:cs="Arial"/>
              <w:sz w:val="22"/>
              <w:szCs w:val="22"/>
              <w:lang w:val="en"/>
            </w:rPr>
            <m:t xml:space="preserve">.  </m:t>
          </m:r>
          <m:r>
            <w:rPr>
              <w:rFonts w:ascii="Cambria Math" w:eastAsia="Arial" w:hAnsi="Cambria Math" w:cs="Arial"/>
              <w:sz w:val="22"/>
              <w:szCs w:val="22"/>
              <w:lang w:val="en"/>
            </w:rPr>
            <m:t>S</m:t>
          </m:r>
          <m:r>
            <w:rPr>
              <w:rFonts w:ascii="Cambria Math" w:eastAsia="Arial" w:hAnsi="Cambria Math" w:cs="Arial"/>
              <w:sz w:val="22"/>
              <w:szCs w:val="22"/>
              <w:lang w:val="en"/>
            </w:rPr>
            <m:t>3)</m:t>
          </m:r>
        </m:oMath>
      </m:oMathPara>
    </w:p>
    <w:p w14:paraId="5AC69B4F" w14:textId="77777777" w:rsidR="00395594" w:rsidRPr="00AE02EE" w:rsidRDefault="00395594" w:rsidP="00395594">
      <w:pPr>
        <w:rPr>
          <w:rFonts w:ascii="Arial" w:hAnsi="Arial" w:cs="Arial"/>
          <w:sz w:val="22"/>
          <w:szCs w:val="22"/>
        </w:rPr>
      </w:pPr>
    </w:p>
    <w:p w14:paraId="1040FE0B" w14:textId="40B61451" w:rsidR="00395594" w:rsidRPr="00AE02EE" w:rsidRDefault="00395594" w:rsidP="00395594">
      <w:pPr>
        <w:rPr>
          <w:rFonts w:ascii="Arial" w:hAnsi="Arial" w:cs="Arial"/>
          <w:sz w:val="22"/>
          <w:szCs w:val="22"/>
        </w:rPr>
      </w:pPr>
      <w:r w:rsidRPr="00AE02EE">
        <w:rPr>
          <w:rFonts w:ascii="Arial" w:hAnsi="Arial" w:cs="Arial"/>
          <w:sz w:val="22"/>
          <w:szCs w:val="22"/>
        </w:rPr>
        <w:t xml:space="preserve">where </w:t>
      </w:r>
      <w:r w:rsidRPr="00AE02EE">
        <w:rPr>
          <w:rFonts w:ascii="Arial" w:hAnsi="Arial" w:cs="Arial"/>
          <w:i/>
          <w:iCs/>
          <w:sz w:val="22"/>
          <w:szCs w:val="22"/>
        </w:rPr>
        <w:t xml:space="preserve">P </w:t>
      </w:r>
      <w:r w:rsidRPr="00AE02EE">
        <w:rPr>
          <w:rFonts w:ascii="Arial" w:hAnsi="Arial" w:cs="Arial"/>
          <w:sz w:val="22"/>
          <w:szCs w:val="22"/>
        </w:rPr>
        <w:t xml:space="preserve">is the number of populations tested within each site. Unlike pairwise fitness contrasts (Eq. S2), </w:t>
      </w:r>
      <m:oMath>
        <m:sSub>
          <m:sSubPr>
            <m:ctrlPr>
              <w:rPr>
                <w:rFonts w:ascii="Cambria Math" w:eastAsia="Arial" w:hAnsi="Cambria Math" w:cs="Arial"/>
                <w:i/>
                <w:sz w:val="22"/>
                <w:szCs w:val="22"/>
                <w:lang w:val="en"/>
              </w:rPr>
            </m:ctrlPr>
          </m:sSubPr>
          <m:e>
            <m:acc>
              <m:accPr>
                <m:chr m:val="̅"/>
                <m:ctrlPr>
                  <w:rPr>
                    <w:rFonts w:ascii="Cambria Math" w:hAnsi="Cambria Math" w:cs="Arial"/>
                    <w:i/>
                    <w:sz w:val="22"/>
                    <w:szCs w:val="22"/>
                  </w:rPr>
                </m:ctrlPr>
              </m:accPr>
              <m:e>
                <m:r>
                  <w:rPr>
                    <w:rFonts w:ascii="Cambria Math" w:hAnsi="Cambria Math" w:cs="Arial"/>
                    <w:sz w:val="22"/>
                    <w:szCs w:val="22"/>
                  </w:rPr>
                  <m:t>LF</m:t>
                </m:r>
              </m:e>
            </m:acc>
          </m:e>
          <m:sub>
            <m:r>
              <w:rPr>
                <w:rFonts w:ascii="Cambria Math" w:hAnsi="Cambria Math" w:cs="Arial"/>
                <w:sz w:val="22"/>
                <w:szCs w:val="22"/>
              </w:rPr>
              <m:t>i</m:t>
            </m:r>
          </m:sub>
        </m:sSub>
      </m:oMath>
      <w:r w:rsidRPr="00AE02EE">
        <w:rPr>
          <w:rFonts w:ascii="Arial" w:hAnsi="Arial" w:cs="Arial"/>
          <w:sz w:val="22"/>
          <w:szCs w:val="22"/>
          <w:lang w:val="en"/>
        </w:rPr>
        <w:t xml:space="preserve"> </w:t>
      </w:r>
      <w:r w:rsidR="004B417C" w:rsidRPr="00AE02EE">
        <w:rPr>
          <w:rFonts w:ascii="Arial" w:hAnsi="Arial" w:cs="Arial"/>
          <w:sz w:val="22"/>
          <w:szCs w:val="22"/>
          <w:lang w:val="en"/>
        </w:rPr>
        <w:t xml:space="preserve">estimates </w:t>
      </w:r>
      <w:r w:rsidRPr="00AE02EE">
        <w:rPr>
          <w:rFonts w:ascii="Arial" w:hAnsi="Arial" w:cs="Arial"/>
          <w:sz w:val="22"/>
          <w:szCs w:val="22"/>
          <w:lang w:val="en"/>
        </w:rPr>
        <w:t xml:space="preserve">the fitness of the </w:t>
      </w:r>
      <w:r w:rsidR="00E11064" w:rsidRPr="00AE02EE">
        <w:rPr>
          <w:rFonts w:ascii="Arial" w:hAnsi="Arial" w:cs="Arial"/>
          <w:sz w:val="22"/>
          <w:szCs w:val="22"/>
          <w:lang w:val="en"/>
        </w:rPr>
        <w:t xml:space="preserve">home </w:t>
      </w:r>
      <w:r w:rsidRPr="00AE02EE">
        <w:rPr>
          <w:rFonts w:ascii="Arial" w:hAnsi="Arial" w:cs="Arial"/>
          <w:sz w:val="22"/>
          <w:szCs w:val="22"/>
          <w:lang w:val="en"/>
        </w:rPr>
        <w:t xml:space="preserve">population in site </w:t>
      </w:r>
      <w:proofErr w:type="spellStart"/>
      <w:r w:rsidRPr="00AE02EE">
        <w:rPr>
          <w:rFonts w:ascii="Arial" w:hAnsi="Arial" w:cs="Arial"/>
          <w:i/>
          <w:iCs/>
          <w:sz w:val="22"/>
          <w:szCs w:val="22"/>
          <w:lang w:val="en"/>
        </w:rPr>
        <w:t>i</w:t>
      </w:r>
      <w:proofErr w:type="spellEnd"/>
      <w:r w:rsidRPr="00AE02EE">
        <w:rPr>
          <w:rFonts w:ascii="Arial" w:hAnsi="Arial" w:cs="Arial"/>
          <w:i/>
          <w:iCs/>
          <w:sz w:val="22"/>
          <w:szCs w:val="22"/>
          <w:lang w:val="en"/>
        </w:rPr>
        <w:t xml:space="preserve"> </w:t>
      </w:r>
      <w:r w:rsidRPr="00AE02EE">
        <w:rPr>
          <w:rFonts w:ascii="Arial" w:hAnsi="Arial" w:cs="Arial"/>
          <w:sz w:val="22"/>
          <w:szCs w:val="22"/>
          <w:lang w:val="en"/>
        </w:rPr>
        <w:t xml:space="preserve">minus the mean fitness of </w:t>
      </w:r>
      <w:r w:rsidR="004B417C" w:rsidRPr="00AE02EE">
        <w:rPr>
          <w:rFonts w:ascii="Arial" w:hAnsi="Arial" w:cs="Arial"/>
          <w:sz w:val="22"/>
          <w:szCs w:val="22"/>
          <w:lang w:val="en"/>
        </w:rPr>
        <w:t xml:space="preserve">all </w:t>
      </w:r>
      <w:r w:rsidRPr="00AE02EE">
        <w:rPr>
          <w:rFonts w:ascii="Arial" w:hAnsi="Arial" w:cs="Arial"/>
          <w:sz w:val="22"/>
          <w:szCs w:val="22"/>
          <w:lang w:val="en"/>
        </w:rPr>
        <w:t>foreign population</w:t>
      </w:r>
      <w:r w:rsidR="004B417C" w:rsidRPr="00AE02EE">
        <w:rPr>
          <w:rFonts w:ascii="Arial" w:hAnsi="Arial" w:cs="Arial"/>
          <w:sz w:val="22"/>
          <w:szCs w:val="22"/>
          <w:lang w:val="en"/>
        </w:rPr>
        <w:t>s</w:t>
      </w:r>
      <w:r w:rsidRPr="00AE02EE">
        <w:rPr>
          <w:rFonts w:ascii="Arial" w:hAnsi="Arial" w:cs="Arial"/>
          <w:sz w:val="22"/>
          <w:szCs w:val="22"/>
          <w:lang w:val="en"/>
        </w:rPr>
        <w:t xml:space="preserve"> tested </w:t>
      </w:r>
      <w:r w:rsidR="00E11064" w:rsidRPr="00AE02EE">
        <w:rPr>
          <w:rFonts w:ascii="Arial" w:hAnsi="Arial" w:cs="Arial"/>
          <w:sz w:val="22"/>
          <w:szCs w:val="22"/>
          <w:lang w:val="en"/>
        </w:rPr>
        <w:t>at</w:t>
      </w:r>
      <w:r w:rsidRPr="00AE02EE">
        <w:rPr>
          <w:rFonts w:ascii="Arial" w:hAnsi="Arial" w:cs="Arial"/>
          <w:sz w:val="22"/>
          <w:szCs w:val="22"/>
          <w:lang w:val="en"/>
        </w:rPr>
        <w:t xml:space="preserve"> site</w:t>
      </w:r>
      <w:r w:rsidR="00E11064" w:rsidRPr="00AE02EE">
        <w:rPr>
          <w:rFonts w:ascii="Arial" w:hAnsi="Arial" w:cs="Arial"/>
          <w:sz w:val="22"/>
          <w:szCs w:val="22"/>
          <w:lang w:val="en"/>
        </w:rPr>
        <w:t xml:space="preserve"> </w:t>
      </w:r>
      <w:proofErr w:type="spellStart"/>
      <w:r w:rsidR="00E11064" w:rsidRPr="001C5CD1">
        <w:rPr>
          <w:rFonts w:ascii="Arial" w:hAnsi="Arial" w:cs="Arial"/>
          <w:i/>
          <w:iCs/>
          <w:sz w:val="22"/>
          <w:szCs w:val="22"/>
          <w:lang w:val="en"/>
        </w:rPr>
        <w:t>i</w:t>
      </w:r>
      <w:proofErr w:type="spellEnd"/>
      <w:r w:rsidRPr="00AE02EE">
        <w:rPr>
          <w:rFonts w:ascii="Arial" w:hAnsi="Arial" w:cs="Arial"/>
          <w:sz w:val="22"/>
          <w:szCs w:val="22"/>
          <w:lang w:val="en"/>
        </w:rPr>
        <w:t>.</w:t>
      </w:r>
    </w:p>
    <w:p w14:paraId="285EA565" w14:textId="77777777" w:rsidR="00395594" w:rsidRPr="005A5A95" w:rsidRDefault="00395594" w:rsidP="00395594">
      <w:pPr>
        <w:pStyle w:val="Heading3"/>
      </w:pPr>
      <w:r w:rsidRPr="005A5A95">
        <w:t>Results</w:t>
      </w:r>
    </w:p>
    <w:p w14:paraId="51FBCC69" w14:textId="77777777" w:rsidR="00395594" w:rsidRPr="005A5A95" w:rsidRDefault="00395594" w:rsidP="00395594">
      <w:pPr>
        <w:pStyle w:val="Heading4"/>
      </w:pPr>
      <w:r w:rsidRPr="005A5A95">
        <w:t>Q1: Predictors of population-mean local adaptation</w:t>
      </w:r>
    </w:p>
    <w:p w14:paraId="43DDC53D" w14:textId="1FE10CF0" w:rsidR="00395594" w:rsidRPr="001C5CD1" w:rsidRDefault="00395594" w:rsidP="00395594">
      <w:pPr>
        <w:rPr>
          <w:rFonts w:ascii="Arial" w:hAnsi="Arial" w:cs="Arial"/>
          <w:sz w:val="22"/>
          <w:szCs w:val="22"/>
        </w:rPr>
      </w:pPr>
      <w:r w:rsidRPr="00AE02EE">
        <w:rPr>
          <w:rFonts w:ascii="Arial" w:hAnsi="Arial" w:cs="Arial"/>
          <w:sz w:val="22"/>
          <w:szCs w:val="22"/>
        </w:rPr>
        <w:t>Long-term population stability was not correlated with population-mean LF in either transplant cohort (</w:t>
      </w:r>
      <w:r w:rsidRPr="00AE02EE">
        <w:rPr>
          <w:rFonts w:ascii="Arial" w:hAnsi="Arial" w:cs="Arial"/>
          <w:b/>
          <w:sz w:val="22"/>
          <w:szCs w:val="22"/>
        </w:rPr>
        <w:t>Supplementary Table 7</w:t>
      </w:r>
      <w:r w:rsidRPr="00AE02EE">
        <w:rPr>
          <w:rFonts w:ascii="Arial" w:hAnsi="Arial" w:cs="Arial"/>
          <w:sz w:val="22"/>
          <w:szCs w:val="22"/>
        </w:rPr>
        <w:t xml:space="preserve">), although in Cohort 1 the pattern was qualitatively similar to </w:t>
      </w:r>
      <w:r w:rsidR="00863434" w:rsidRPr="00AE02EE">
        <w:rPr>
          <w:rFonts w:ascii="Arial" w:hAnsi="Arial" w:cs="Arial"/>
          <w:sz w:val="22"/>
          <w:szCs w:val="22"/>
        </w:rPr>
        <w:t>th</w:t>
      </w:r>
      <w:r w:rsidR="00863434">
        <w:rPr>
          <w:rFonts w:ascii="Arial" w:hAnsi="Arial" w:cs="Arial"/>
          <w:sz w:val="22"/>
          <w:szCs w:val="22"/>
        </w:rPr>
        <w:t>e hump-shaped relationship</w:t>
      </w:r>
      <w:r w:rsidR="00863434" w:rsidRPr="00AE02EE">
        <w:rPr>
          <w:rFonts w:ascii="Arial" w:hAnsi="Arial" w:cs="Arial"/>
          <w:sz w:val="22"/>
          <w:szCs w:val="22"/>
        </w:rPr>
        <w:t xml:space="preserve"> </w:t>
      </w:r>
      <w:r w:rsidRPr="00AE02EE">
        <w:rPr>
          <w:rFonts w:ascii="Arial" w:hAnsi="Arial" w:cs="Arial"/>
          <w:sz w:val="22"/>
          <w:szCs w:val="22"/>
        </w:rPr>
        <w:t>detected with population-mean HA local adaptation (</w:t>
      </w:r>
      <w:r w:rsidRPr="00AE02EE">
        <w:rPr>
          <w:rFonts w:ascii="Arial" w:hAnsi="Arial" w:cs="Arial"/>
          <w:b/>
          <w:bCs/>
          <w:sz w:val="22"/>
          <w:szCs w:val="22"/>
        </w:rPr>
        <w:t xml:space="preserve">Supplementary Figure </w:t>
      </w:r>
      <w:r w:rsidR="002118C5">
        <w:rPr>
          <w:rFonts w:ascii="Arial" w:hAnsi="Arial" w:cs="Arial"/>
          <w:b/>
          <w:bCs/>
          <w:sz w:val="22"/>
          <w:szCs w:val="22"/>
        </w:rPr>
        <w:t>9</w:t>
      </w:r>
      <w:r w:rsidRPr="00AE02EE">
        <w:rPr>
          <w:rFonts w:ascii="Arial" w:hAnsi="Arial" w:cs="Arial"/>
          <w:sz w:val="22"/>
          <w:szCs w:val="22"/>
        </w:rPr>
        <w:t>).</w:t>
      </w:r>
    </w:p>
    <w:p w14:paraId="2DE4A0FC" w14:textId="77777777" w:rsidR="00395594" w:rsidRPr="005A5A95" w:rsidRDefault="00395594" w:rsidP="00395594">
      <w:pPr>
        <w:pStyle w:val="Heading4"/>
      </w:pPr>
      <w:r w:rsidRPr="005A5A95">
        <w:t>Q2: Fitness contrasts between demographic pairs</w:t>
      </w:r>
    </w:p>
    <w:p w14:paraId="3700A5A2" w14:textId="01E20366" w:rsidR="00395594" w:rsidRPr="00AE02EE" w:rsidRDefault="004B417C" w:rsidP="00395594">
      <w:pPr>
        <w:rPr>
          <w:rFonts w:ascii="Arial" w:hAnsi="Arial" w:cs="Arial"/>
          <w:sz w:val="22"/>
          <w:szCs w:val="22"/>
        </w:rPr>
      </w:pPr>
      <w:r w:rsidRPr="00AE02EE">
        <w:rPr>
          <w:rFonts w:ascii="Arial" w:hAnsi="Arial" w:cs="Arial"/>
          <w:sz w:val="22"/>
          <w:szCs w:val="22"/>
        </w:rPr>
        <w:t xml:space="preserve">Pairwise </w:t>
      </w:r>
      <w:r w:rsidR="00395594" w:rsidRPr="00AE02EE">
        <w:rPr>
          <w:rFonts w:ascii="Arial" w:hAnsi="Arial" w:cs="Arial"/>
          <w:sz w:val="22"/>
          <w:szCs w:val="22"/>
        </w:rPr>
        <w:t xml:space="preserve">LF contrasts showed qualitatively similar patterns to HA contrasts across source-site pairs in Cohort 1, </w:t>
      </w:r>
      <w:r w:rsidRPr="00AE02EE">
        <w:rPr>
          <w:rFonts w:ascii="Arial" w:hAnsi="Arial" w:cs="Arial"/>
          <w:sz w:val="22"/>
          <w:szCs w:val="22"/>
        </w:rPr>
        <w:t xml:space="preserve">but </w:t>
      </w:r>
      <w:r w:rsidR="00395594" w:rsidRPr="00AE02EE">
        <w:rPr>
          <w:rFonts w:ascii="Arial" w:hAnsi="Arial" w:cs="Arial"/>
          <w:sz w:val="22"/>
          <w:szCs w:val="22"/>
        </w:rPr>
        <w:t xml:space="preserve">the effect of </w:t>
      </w:r>
      <w:r w:rsidRPr="00AE02EE">
        <w:rPr>
          <w:rFonts w:ascii="Arial" w:hAnsi="Arial" w:cs="Arial"/>
          <w:sz w:val="22"/>
          <w:szCs w:val="22"/>
        </w:rPr>
        <w:t>demographic</w:t>
      </w:r>
      <w:r w:rsidR="00395594" w:rsidRPr="00AE02EE">
        <w:rPr>
          <w:rFonts w:ascii="Arial" w:hAnsi="Arial" w:cs="Arial"/>
          <w:sz w:val="22"/>
          <w:szCs w:val="22"/>
        </w:rPr>
        <w:t xml:space="preserve"> pair status was only marginally significant (</w:t>
      </w:r>
      <w:r w:rsidR="00395594" w:rsidRPr="00AE02EE">
        <w:rPr>
          <w:rFonts w:ascii="Arial" w:hAnsi="Arial" w:cs="Arial"/>
          <w:b/>
          <w:bCs/>
          <w:sz w:val="22"/>
          <w:szCs w:val="22"/>
        </w:rPr>
        <w:t xml:space="preserve">Supplementary Table 8B; Supplementary Figure </w:t>
      </w:r>
      <w:r w:rsidR="000B2104" w:rsidRPr="00AE02EE">
        <w:rPr>
          <w:rFonts w:ascii="Arial" w:hAnsi="Arial" w:cs="Arial"/>
          <w:b/>
          <w:bCs/>
          <w:sz w:val="22"/>
          <w:szCs w:val="22"/>
        </w:rPr>
        <w:t>1</w:t>
      </w:r>
      <w:r w:rsidR="00C77EF3">
        <w:rPr>
          <w:rFonts w:ascii="Arial" w:hAnsi="Arial" w:cs="Arial"/>
          <w:b/>
          <w:bCs/>
          <w:sz w:val="22"/>
          <w:szCs w:val="22"/>
        </w:rPr>
        <w:t>0</w:t>
      </w:r>
      <w:r w:rsidR="00395594" w:rsidRPr="00AE02EE">
        <w:rPr>
          <w:rFonts w:ascii="Arial" w:hAnsi="Arial" w:cs="Arial"/>
          <w:sz w:val="22"/>
          <w:szCs w:val="22"/>
        </w:rPr>
        <w:t xml:space="preserve">). In Cohort 2, </w:t>
      </w:r>
      <w:r w:rsidRPr="00AE02EE">
        <w:rPr>
          <w:rFonts w:ascii="Arial" w:hAnsi="Arial" w:cs="Arial"/>
          <w:sz w:val="22"/>
          <w:szCs w:val="22"/>
        </w:rPr>
        <w:t xml:space="preserve">LF contrasts </w:t>
      </w:r>
      <w:r w:rsidR="00B8012E" w:rsidRPr="00AE02EE">
        <w:rPr>
          <w:rFonts w:ascii="Arial" w:hAnsi="Arial" w:cs="Arial"/>
          <w:sz w:val="22"/>
          <w:szCs w:val="22"/>
        </w:rPr>
        <w:t>for demographic pairs were no smaller than LF contrasts for demographically dissimilar populations</w:t>
      </w:r>
      <w:r w:rsidR="00395594" w:rsidRPr="00AE02EE">
        <w:rPr>
          <w:rFonts w:ascii="Arial" w:hAnsi="Arial" w:cs="Arial"/>
          <w:sz w:val="22"/>
          <w:szCs w:val="22"/>
        </w:rPr>
        <w:t xml:space="preserve">. </w:t>
      </w:r>
    </w:p>
    <w:p w14:paraId="2EDF19A2" w14:textId="77777777" w:rsidR="00395594" w:rsidRPr="005A5A95" w:rsidRDefault="00395594" w:rsidP="00395594">
      <w:pPr>
        <w:pStyle w:val="Heading4"/>
      </w:pPr>
      <w:r w:rsidRPr="005A5A95">
        <w:t>Q3: Relative contributions of demography, environment, and geography to local adaptation</w:t>
      </w:r>
    </w:p>
    <w:p w14:paraId="7C82A150" w14:textId="3E848230" w:rsidR="00FB2A30" w:rsidRDefault="00395594" w:rsidP="00FB2A30">
      <w:pPr>
        <w:rPr>
          <w:rFonts w:ascii="Arial" w:hAnsi="Arial" w:cs="Arial"/>
          <w:sz w:val="32"/>
          <w:szCs w:val="32"/>
        </w:rPr>
      </w:pPr>
      <w:r w:rsidRPr="00AE02EE">
        <w:rPr>
          <w:rFonts w:ascii="Arial" w:hAnsi="Arial" w:cs="Arial"/>
          <w:sz w:val="22"/>
          <w:szCs w:val="22"/>
        </w:rPr>
        <w:t xml:space="preserve">In multiple regressions </w:t>
      </w:r>
      <w:r w:rsidR="00863434">
        <w:rPr>
          <w:rFonts w:ascii="Arial" w:hAnsi="Arial" w:cs="Arial"/>
          <w:sz w:val="22"/>
          <w:szCs w:val="22"/>
        </w:rPr>
        <w:t>examining</w:t>
      </w:r>
      <w:r w:rsidR="00863434" w:rsidRPr="00AE02EE">
        <w:rPr>
          <w:rFonts w:ascii="Arial" w:hAnsi="Arial" w:cs="Arial"/>
          <w:sz w:val="22"/>
          <w:szCs w:val="22"/>
        </w:rPr>
        <w:t xml:space="preserve"> </w:t>
      </w:r>
      <w:r w:rsidRPr="00AE02EE">
        <w:rPr>
          <w:rFonts w:ascii="Arial" w:hAnsi="Arial" w:cs="Arial"/>
          <w:sz w:val="22"/>
          <w:szCs w:val="22"/>
        </w:rPr>
        <w:t>the effects of demographic vs. geographic and environmental similarity on local adaptation, no drivers significantly predicted LF source-site contrasts in either cohort (</w:t>
      </w:r>
      <w:r w:rsidRPr="00AE02EE">
        <w:rPr>
          <w:rFonts w:ascii="Arial" w:hAnsi="Arial" w:cs="Arial"/>
          <w:b/>
          <w:bCs/>
          <w:sz w:val="22"/>
          <w:szCs w:val="22"/>
        </w:rPr>
        <w:t>Supplementary Table 10</w:t>
      </w:r>
      <w:r w:rsidRPr="00AE02EE">
        <w:rPr>
          <w:rFonts w:ascii="Arial" w:hAnsi="Arial" w:cs="Arial"/>
          <w:sz w:val="22"/>
          <w:szCs w:val="22"/>
        </w:rPr>
        <w:t>).</w:t>
      </w:r>
      <w:r w:rsidR="00FB2A30">
        <w:rPr>
          <w:rFonts w:ascii="Arial" w:hAnsi="Arial" w:cs="Arial"/>
          <w:sz w:val="32"/>
          <w:szCs w:val="32"/>
        </w:rPr>
        <w:br w:type="page"/>
      </w:r>
    </w:p>
    <w:p w14:paraId="7B15A5BC" w14:textId="5A0492DA" w:rsidR="00AB771B" w:rsidRPr="001C5CD1" w:rsidRDefault="00AB771B" w:rsidP="008B5A30">
      <w:pPr>
        <w:pStyle w:val="Heading2"/>
      </w:pPr>
      <w:r w:rsidRPr="001C5CD1">
        <w:t>Appendix S6: Permutation tests</w:t>
      </w:r>
    </w:p>
    <w:p w14:paraId="44D7118D" w14:textId="1E234460" w:rsidR="00395594" w:rsidRPr="00AE02EE" w:rsidRDefault="00395594" w:rsidP="00395594">
      <w:pPr>
        <w:rPr>
          <w:rFonts w:ascii="Arial" w:hAnsi="Arial" w:cs="Arial"/>
          <w:sz w:val="22"/>
          <w:szCs w:val="22"/>
        </w:rPr>
      </w:pPr>
      <w:r w:rsidRPr="00AE02EE">
        <w:rPr>
          <w:rFonts w:ascii="Arial" w:hAnsi="Arial" w:cs="Arial"/>
          <w:sz w:val="22"/>
          <w:szCs w:val="22"/>
        </w:rPr>
        <w:t xml:space="preserve">HA and LF pairwise fitness </w:t>
      </w:r>
      <w:r w:rsidR="00B8012E" w:rsidRPr="00AE02EE">
        <w:rPr>
          <w:rFonts w:ascii="Arial" w:hAnsi="Arial" w:cs="Arial"/>
          <w:sz w:val="22"/>
          <w:szCs w:val="22"/>
        </w:rPr>
        <w:t xml:space="preserve">involving the same home/local population and site (e.g., </w:t>
      </w:r>
      <w:proofErr w:type="spellStart"/>
      <w:r w:rsidR="00B8012E" w:rsidRPr="00AE02EE">
        <w:rPr>
          <w:rFonts w:ascii="Arial" w:hAnsi="Arial" w:cs="Arial"/>
          <w:sz w:val="22"/>
          <w:szCs w:val="22"/>
        </w:rPr>
        <w:t>HA</w:t>
      </w:r>
      <w:r w:rsidR="00B8012E" w:rsidRPr="001C5CD1">
        <w:rPr>
          <w:rFonts w:ascii="Arial" w:hAnsi="Arial" w:cs="Arial"/>
          <w:i/>
          <w:iCs/>
          <w:sz w:val="22"/>
          <w:szCs w:val="22"/>
          <w:vertAlign w:val="subscript"/>
        </w:rPr>
        <w:t>i</w:t>
      </w:r>
      <w:r w:rsidR="0008165A" w:rsidRPr="00AE02EE">
        <w:rPr>
          <w:rFonts w:ascii="Arial" w:hAnsi="Arial" w:cs="Arial"/>
          <w:i/>
          <w:iCs/>
          <w:sz w:val="22"/>
          <w:szCs w:val="22"/>
          <w:vertAlign w:val="subscript"/>
        </w:rPr>
        <w:t>,</w:t>
      </w:r>
      <w:r w:rsidR="00B8012E" w:rsidRPr="001C5CD1">
        <w:rPr>
          <w:rFonts w:ascii="Arial" w:hAnsi="Arial" w:cs="Arial"/>
          <w:i/>
          <w:iCs/>
          <w:sz w:val="22"/>
          <w:szCs w:val="22"/>
          <w:vertAlign w:val="subscript"/>
        </w:rPr>
        <w:t>j</w:t>
      </w:r>
      <w:proofErr w:type="spellEnd"/>
      <w:r w:rsidR="00B8012E" w:rsidRPr="00AE02EE">
        <w:rPr>
          <w:rFonts w:ascii="Arial" w:hAnsi="Arial" w:cs="Arial"/>
          <w:sz w:val="22"/>
          <w:szCs w:val="22"/>
        </w:rPr>
        <w:t>/</w:t>
      </w:r>
      <w:proofErr w:type="spellStart"/>
      <w:r w:rsidR="00B8012E" w:rsidRPr="00AE02EE">
        <w:rPr>
          <w:rFonts w:ascii="Arial" w:hAnsi="Arial" w:cs="Arial"/>
          <w:sz w:val="22"/>
          <w:szCs w:val="22"/>
        </w:rPr>
        <w:t>LF</w:t>
      </w:r>
      <w:r w:rsidR="00B8012E" w:rsidRPr="001C5CD1">
        <w:rPr>
          <w:rFonts w:ascii="Arial" w:hAnsi="Arial" w:cs="Arial"/>
          <w:i/>
          <w:iCs/>
          <w:sz w:val="22"/>
          <w:szCs w:val="22"/>
          <w:vertAlign w:val="subscript"/>
        </w:rPr>
        <w:t>i</w:t>
      </w:r>
      <w:r w:rsidR="0008165A" w:rsidRPr="00AE02EE">
        <w:rPr>
          <w:rFonts w:ascii="Arial" w:hAnsi="Arial" w:cs="Arial"/>
          <w:i/>
          <w:iCs/>
          <w:sz w:val="22"/>
          <w:szCs w:val="22"/>
          <w:vertAlign w:val="subscript"/>
        </w:rPr>
        <w:t>,</w:t>
      </w:r>
      <w:r w:rsidR="00B8012E" w:rsidRPr="001C5CD1">
        <w:rPr>
          <w:rFonts w:ascii="Arial" w:hAnsi="Arial" w:cs="Arial"/>
          <w:i/>
          <w:iCs/>
          <w:sz w:val="22"/>
          <w:szCs w:val="22"/>
          <w:vertAlign w:val="subscript"/>
        </w:rPr>
        <w:t>j</w:t>
      </w:r>
      <w:proofErr w:type="spellEnd"/>
      <w:r w:rsidR="00B8012E" w:rsidRPr="001C5CD1">
        <w:rPr>
          <w:rFonts w:ascii="Arial" w:hAnsi="Arial" w:cs="Arial"/>
          <w:i/>
          <w:iCs/>
          <w:sz w:val="22"/>
          <w:szCs w:val="22"/>
          <w:vertAlign w:val="subscript"/>
        </w:rPr>
        <w:t xml:space="preserve"> </w:t>
      </w:r>
      <w:r w:rsidR="00B8012E" w:rsidRPr="00AE02EE">
        <w:rPr>
          <w:rFonts w:ascii="Arial" w:hAnsi="Arial" w:cs="Arial"/>
          <w:sz w:val="22"/>
          <w:szCs w:val="22"/>
        </w:rPr>
        <w:t xml:space="preserve">and </w:t>
      </w:r>
      <w:proofErr w:type="spellStart"/>
      <w:r w:rsidR="00B8012E" w:rsidRPr="00AE02EE">
        <w:rPr>
          <w:rFonts w:ascii="Arial" w:hAnsi="Arial" w:cs="Arial"/>
          <w:sz w:val="22"/>
          <w:szCs w:val="22"/>
        </w:rPr>
        <w:t>HA</w:t>
      </w:r>
      <w:r w:rsidR="00B8012E" w:rsidRPr="001C5CD1">
        <w:rPr>
          <w:rFonts w:ascii="Arial" w:hAnsi="Arial" w:cs="Arial"/>
          <w:i/>
          <w:iCs/>
          <w:sz w:val="22"/>
          <w:szCs w:val="22"/>
          <w:vertAlign w:val="subscript"/>
        </w:rPr>
        <w:t>i</w:t>
      </w:r>
      <w:r w:rsidR="0008165A" w:rsidRPr="00AE02EE">
        <w:rPr>
          <w:rFonts w:ascii="Arial" w:hAnsi="Arial" w:cs="Arial"/>
          <w:i/>
          <w:iCs/>
          <w:sz w:val="22"/>
          <w:szCs w:val="22"/>
          <w:vertAlign w:val="subscript"/>
        </w:rPr>
        <w:t>,</w:t>
      </w:r>
      <w:r w:rsidR="00B8012E" w:rsidRPr="001C5CD1">
        <w:rPr>
          <w:rFonts w:ascii="Arial" w:hAnsi="Arial" w:cs="Arial"/>
          <w:i/>
          <w:iCs/>
          <w:sz w:val="22"/>
          <w:szCs w:val="22"/>
          <w:vertAlign w:val="subscript"/>
        </w:rPr>
        <w:t>k</w:t>
      </w:r>
      <w:proofErr w:type="spellEnd"/>
      <w:r w:rsidR="00B8012E" w:rsidRPr="00AE02EE">
        <w:rPr>
          <w:rFonts w:ascii="Arial" w:hAnsi="Arial" w:cs="Arial"/>
          <w:sz w:val="22"/>
          <w:szCs w:val="22"/>
        </w:rPr>
        <w:t>/</w:t>
      </w:r>
      <w:proofErr w:type="spellStart"/>
      <w:r w:rsidR="00B8012E" w:rsidRPr="00AE02EE">
        <w:rPr>
          <w:rFonts w:ascii="Arial" w:hAnsi="Arial" w:cs="Arial"/>
          <w:sz w:val="22"/>
          <w:szCs w:val="22"/>
        </w:rPr>
        <w:t>LF</w:t>
      </w:r>
      <w:r w:rsidR="00B8012E" w:rsidRPr="001C5CD1">
        <w:rPr>
          <w:rFonts w:ascii="Arial" w:hAnsi="Arial" w:cs="Arial"/>
          <w:i/>
          <w:iCs/>
          <w:sz w:val="22"/>
          <w:szCs w:val="22"/>
          <w:vertAlign w:val="subscript"/>
        </w:rPr>
        <w:t>i</w:t>
      </w:r>
      <w:r w:rsidR="0008165A" w:rsidRPr="001C5CD1">
        <w:rPr>
          <w:rFonts w:ascii="Arial" w:hAnsi="Arial" w:cs="Arial"/>
          <w:i/>
          <w:iCs/>
          <w:sz w:val="22"/>
          <w:szCs w:val="22"/>
          <w:vertAlign w:val="subscript"/>
        </w:rPr>
        <w:t>,</w:t>
      </w:r>
      <w:r w:rsidR="00B8012E" w:rsidRPr="001C5CD1">
        <w:rPr>
          <w:rFonts w:ascii="Arial" w:hAnsi="Arial" w:cs="Arial"/>
          <w:i/>
          <w:iCs/>
          <w:sz w:val="22"/>
          <w:szCs w:val="22"/>
          <w:vertAlign w:val="subscript"/>
        </w:rPr>
        <w:t>k</w:t>
      </w:r>
      <w:proofErr w:type="spellEnd"/>
      <w:r w:rsidR="00B8012E" w:rsidRPr="00AE02EE">
        <w:rPr>
          <w:rFonts w:ascii="Arial" w:hAnsi="Arial" w:cs="Arial"/>
          <w:sz w:val="22"/>
          <w:szCs w:val="22"/>
        </w:rPr>
        <w:t xml:space="preserve">) </w:t>
      </w:r>
      <w:r w:rsidRPr="00AE02EE">
        <w:rPr>
          <w:rFonts w:ascii="Arial" w:hAnsi="Arial" w:cs="Arial"/>
          <w:sz w:val="22"/>
          <w:szCs w:val="22"/>
        </w:rPr>
        <w:t>are not independent of each other because they are calculated in reference to the same measurement of home (</w:t>
      </w:r>
      <m:oMath>
        <m:sSub>
          <m:sSubPr>
            <m:ctrlPr>
              <w:rPr>
                <w:rFonts w:ascii="Cambria Math" w:hAnsi="Cambria Math" w:cs="Arial"/>
                <w:i/>
                <w:sz w:val="22"/>
                <w:szCs w:val="22"/>
              </w:rPr>
            </m:ctrlPr>
          </m:sSubPr>
          <m:e>
            <m:r>
              <w:rPr>
                <w:rFonts w:ascii="Cambria Math" w:hAnsi="Cambria Math" w:cs="Arial"/>
                <w:sz w:val="22"/>
                <w:szCs w:val="22"/>
              </w:rPr>
              <m:t>φ</m:t>
            </m:r>
          </m:e>
          <m:sub>
            <m:r>
              <w:rPr>
                <w:rFonts w:ascii="Cambria Math" w:hAnsi="Cambria Math" w:cs="Arial"/>
                <w:sz w:val="22"/>
                <w:szCs w:val="22"/>
              </w:rPr>
              <m:t>i,i</m:t>
            </m:r>
          </m:sub>
        </m:sSub>
        <m:r>
          <w:rPr>
            <w:rFonts w:ascii="Cambria Math" w:hAnsi="Cambria Math" w:cs="Arial"/>
            <w:sz w:val="22"/>
            <w:szCs w:val="22"/>
          </w:rPr>
          <m:t>)</m:t>
        </m:r>
      </m:oMath>
      <w:r w:rsidRPr="00AE02EE">
        <w:rPr>
          <w:rFonts w:ascii="Arial" w:hAnsi="Arial" w:cs="Arial"/>
          <w:sz w:val="22"/>
          <w:szCs w:val="22"/>
        </w:rPr>
        <w:t xml:space="preserve"> or local fitness (</w:t>
      </w:r>
      <m:oMath>
        <m:sSub>
          <m:sSubPr>
            <m:ctrlPr>
              <w:rPr>
                <w:rFonts w:ascii="Cambria Math" w:hAnsi="Cambria Math" w:cs="Arial"/>
                <w:i/>
                <w:sz w:val="22"/>
                <w:szCs w:val="22"/>
              </w:rPr>
            </m:ctrlPr>
          </m:sSubPr>
          <m:e>
            <m:r>
              <w:rPr>
                <w:rFonts w:ascii="Cambria Math" w:hAnsi="Cambria Math" w:cs="Arial"/>
                <w:sz w:val="22"/>
                <w:szCs w:val="22"/>
              </w:rPr>
              <m:t>φ'</m:t>
            </m:r>
          </m:e>
          <m:sub>
            <m:r>
              <w:rPr>
                <w:rFonts w:ascii="Cambria Math" w:hAnsi="Cambria Math" w:cs="Arial"/>
                <w:sz w:val="22"/>
                <w:szCs w:val="22"/>
              </w:rPr>
              <m:t>i,i</m:t>
            </m:r>
          </m:sub>
        </m:sSub>
        <m:r>
          <w:rPr>
            <w:rFonts w:ascii="Cambria Math" w:hAnsi="Cambria Math" w:cs="Arial"/>
            <w:sz w:val="22"/>
            <w:szCs w:val="22"/>
          </w:rPr>
          <m:t>)</m:t>
        </m:r>
      </m:oMath>
      <w:r w:rsidRPr="00AE02EE">
        <w:rPr>
          <w:rFonts w:ascii="Arial" w:hAnsi="Arial" w:cs="Arial"/>
          <w:sz w:val="22"/>
          <w:szCs w:val="22"/>
        </w:rPr>
        <w:t>. To account for this non-independence in analyses of the drivers of pairwise fitness differences, we performed permutation tests where we randomly shuffled the absolute first-year fitness (</w:t>
      </w:r>
      <w:r w:rsidR="00B8012E" w:rsidRPr="00AE02EE">
        <w:rPr>
          <w:rFonts w:ascii="Arial" w:hAnsi="Arial" w:cs="Arial"/>
          <w:i/>
          <w:iCs/>
          <w:sz w:val="22"/>
          <w:szCs w:val="22"/>
        </w:rPr>
        <w:t>W</w:t>
      </w:r>
      <w:r w:rsidRPr="00AE02EE">
        <w:rPr>
          <w:rFonts w:ascii="Arial" w:hAnsi="Arial" w:cs="Arial"/>
          <w:sz w:val="22"/>
          <w:szCs w:val="22"/>
        </w:rPr>
        <w:t>) for each source-site combination without replacement within each cohort. We then repeated the calculations of site- and population-wise relative fitness (Eq. 1, Eq. S1), pairwise fitness contrasts (Eq. 2, Eq. S2), and mean local adaptation (Eq. 3, Eq. S3) as described above</w:t>
      </w:r>
      <w:r w:rsidR="00AB771B" w:rsidRPr="00AE02EE">
        <w:rPr>
          <w:rFonts w:ascii="Arial" w:hAnsi="Arial" w:cs="Arial"/>
          <w:sz w:val="22"/>
          <w:szCs w:val="22"/>
        </w:rPr>
        <w:t>,</w:t>
      </w:r>
      <w:r w:rsidRPr="00AE02EE">
        <w:rPr>
          <w:rFonts w:ascii="Arial" w:hAnsi="Arial" w:cs="Arial"/>
          <w:sz w:val="22"/>
          <w:szCs w:val="22"/>
        </w:rPr>
        <w:t xml:space="preserve"> using the randomized values. </w:t>
      </w:r>
    </w:p>
    <w:p w14:paraId="09C92452" w14:textId="77777777" w:rsidR="00395594" w:rsidRPr="00AE02EE" w:rsidRDefault="00395594" w:rsidP="00395594">
      <w:pPr>
        <w:rPr>
          <w:rFonts w:ascii="Arial" w:hAnsi="Arial" w:cs="Arial"/>
          <w:sz w:val="22"/>
          <w:szCs w:val="22"/>
        </w:rPr>
      </w:pPr>
    </w:p>
    <w:p w14:paraId="1D8AC5C8" w14:textId="1E47417B" w:rsidR="000B2104" w:rsidRDefault="00395594" w:rsidP="00FB2A30">
      <w:pPr>
        <w:rPr>
          <w:rFonts w:ascii="Arial" w:hAnsi="Arial" w:cs="Arial"/>
          <w:sz w:val="22"/>
          <w:szCs w:val="22"/>
        </w:rPr>
      </w:pPr>
      <w:r w:rsidRPr="00AE02EE">
        <w:rPr>
          <w:rFonts w:ascii="Arial" w:hAnsi="Arial" w:cs="Arial"/>
          <w:sz w:val="22"/>
          <w:szCs w:val="22"/>
        </w:rPr>
        <w:t xml:space="preserve">We used the resulting randomized </w:t>
      </w:r>
      <w:r w:rsidR="00B8012E" w:rsidRPr="00AE02EE">
        <w:rPr>
          <w:rFonts w:ascii="Arial" w:hAnsi="Arial" w:cs="Arial"/>
          <w:sz w:val="22"/>
          <w:szCs w:val="22"/>
        </w:rPr>
        <w:t xml:space="preserve">estimates </w:t>
      </w:r>
      <w:r w:rsidRPr="00AE02EE">
        <w:rPr>
          <w:rFonts w:ascii="Arial" w:hAnsi="Arial" w:cs="Arial"/>
          <w:sz w:val="22"/>
          <w:szCs w:val="22"/>
        </w:rPr>
        <w:t xml:space="preserve">to repeat downstream analyses </w:t>
      </w:r>
      <w:r w:rsidR="00B8012E" w:rsidRPr="00AE02EE">
        <w:rPr>
          <w:rFonts w:ascii="Arial" w:hAnsi="Arial" w:cs="Arial"/>
          <w:sz w:val="22"/>
          <w:szCs w:val="22"/>
        </w:rPr>
        <w:t>for the three questions</w:t>
      </w:r>
      <w:r w:rsidRPr="00AE02EE">
        <w:rPr>
          <w:rFonts w:ascii="Arial" w:hAnsi="Arial" w:cs="Arial"/>
          <w:sz w:val="22"/>
          <w:szCs w:val="22"/>
        </w:rPr>
        <w:t xml:space="preserve">. We repeated the randomization process 5,000 times and extracted the </w:t>
      </w:r>
      <w:r w:rsidRPr="00AE02EE">
        <w:rPr>
          <w:rFonts w:ascii="Arial" w:hAnsi="Arial" w:cs="Arial"/>
          <w:i/>
          <w:sz w:val="22"/>
          <w:szCs w:val="22"/>
        </w:rPr>
        <w:t xml:space="preserve">F </w:t>
      </w:r>
      <w:r w:rsidRPr="00AE02EE">
        <w:rPr>
          <w:rFonts w:ascii="Arial" w:hAnsi="Arial" w:cs="Arial"/>
          <w:iCs/>
          <w:sz w:val="22"/>
          <w:szCs w:val="22"/>
        </w:rPr>
        <w:t xml:space="preserve">statistic for each effect of interest in each downstream model. We then compared the empirical </w:t>
      </w:r>
      <w:r w:rsidRPr="00AE02EE">
        <w:rPr>
          <w:rFonts w:ascii="Arial" w:hAnsi="Arial" w:cs="Arial"/>
          <w:i/>
          <w:sz w:val="22"/>
          <w:szCs w:val="22"/>
        </w:rPr>
        <w:t xml:space="preserve">F </w:t>
      </w:r>
      <w:r w:rsidRPr="00AE02EE">
        <w:rPr>
          <w:rFonts w:ascii="Arial" w:hAnsi="Arial" w:cs="Arial"/>
          <w:iCs/>
          <w:sz w:val="22"/>
          <w:szCs w:val="22"/>
        </w:rPr>
        <w:t xml:space="preserve">statistic for each effect of interest to the distribution of </w:t>
      </w:r>
      <w:r w:rsidRPr="00AE02EE">
        <w:rPr>
          <w:rFonts w:ascii="Arial" w:hAnsi="Arial" w:cs="Arial"/>
          <w:i/>
          <w:iCs/>
          <w:sz w:val="22"/>
          <w:szCs w:val="22"/>
        </w:rPr>
        <w:t xml:space="preserve">F </w:t>
      </w:r>
      <w:r w:rsidRPr="00AE02EE">
        <w:rPr>
          <w:rFonts w:ascii="Arial" w:hAnsi="Arial" w:cs="Arial"/>
          <w:sz w:val="22"/>
          <w:szCs w:val="22"/>
        </w:rPr>
        <w:t xml:space="preserve">values generated in the 5,000 randomizations, and assessed significance based on whether the observed </w:t>
      </w:r>
      <w:r w:rsidRPr="00AE02EE">
        <w:rPr>
          <w:rFonts w:ascii="Arial" w:hAnsi="Arial" w:cs="Arial"/>
          <w:i/>
          <w:iCs/>
          <w:sz w:val="22"/>
          <w:szCs w:val="22"/>
        </w:rPr>
        <w:t>F</w:t>
      </w:r>
      <w:r w:rsidRPr="00AE02EE">
        <w:rPr>
          <w:rFonts w:ascii="Arial" w:hAnsi="Arial" w:cs="Arial"/>
          <w:sz w:val="22"/>
          <w:szCs w:val="22"/>
        </w:rPr>
        <w:t xml:space="preserve"> exceeded the cutoff for the upper 5% tail of the permuted distribution (i.e., </w:t>
      </w:r>
      <w:r w:rsidRPr="00AE02EE">
        <w:rPr>
          <w:rFonts w:ascii="Arial" w:hAnsi="Arial" w:cs="Arial"/>
          <w:sz w:val="22"/>
          <w:szCs w:val="22"/>
        </w:rPr>
        <w:sym w:font="Symbol" w:char="F061"/>
      </w:r>
      <w:r w:rsidRPr="00AE02EE">
        <w:rPr>
          <w:rFonts w:ascii="Arial" w:hAnsi="Arial" w:cs="Arial"/>
          <w:sz w:val="22"/>
          <w:szCs w:val="22"/>
        </w:rPr>
        <w:t xml:space="preserve"> = 0.05).</w:t>
      </w:r>
      <w:r w:rsidR="00381235" w:rsidRPr="00AE02EE" w:rsidDel="00381235">
        <w:rPr>
          <w:rFonts w:ascii="Arial" w:hAnsi="Arial" w:cs="Arial"/>
          <w:sz w:val="22"/>
          <w:szCs w:val="22"/>
        </w:rPr>
        <w:t xml:space="preserve"> </w:t>
      </w:r>
    </w:p>
    <w:p w14:paraId="2EA7CB60" w14:textId="35270CC1" w:rsidR="00844C86" w:rsidRDefault="00844C86" w:rsidP="00FB2A30">
      <w:pPr>
        <w:rPr>
          <w:rFonts w:ascii="Arial" w:hAnsi="Arial" w:cs="Arial"/>
          <w:sz w:val="22"/>
          <w:szCs w:val="22"/>
        </w:rPr>
      </w:pPr>
    </w:p>
    <w:p w14:paraId="36212254" w14:textId="1FC19C7B" w:rsidR="00844C86" w:rsidRDefault="00844C86" w:rsidP="00FB2A30">
      <w:pPr>
        <w:rPr>
          <w:rFonts w:ascii="Arial" w:hAnsi="Arial" w:cs="Arial"/>
          <w:sz w:val="22"/>
          <w:szCs w:val="22"/>
        </w:rPr>
      </w:pPr>
    </w:p>
    <w:p w14:paraId="619CDE1E" w14:textId="7421FFF4" w:rsidR="00844C86" w:rsidRDefault="00844C86" w:rsidP="00FB2A30">
      <w:pPr>
        <w:rPr>
          <w:rFonts w:ascii="Arial" w:hAnsi="Arial" w:cs="Arial"/>
          <w:sz w:val="22"/>
          <w:szCs w:val="22"/>
        </w:rPr>
      </w:pPr>
    </w:p>
    <w:p w14:paraId="576528E7" w14:textId="420BFFF3" w:rsidR="00844C86" w:rsidRDefault="00844C86" w:rsidP="00FB2A30">
      <w:pPr>
        <w:rPr>
          <w:rFonts w:ascii="Arial" w:hAnsi="Arial" w:cs="Arial"/>
          <w:sz w:val="22"/>
          <w:szCs w:val="22"/>
        </w:rPr>
      </w:pPr>
    </w:p>
    <w:p w14:paraId="316E0CE6" w14:textId="77777777" w:rsidR="00844C86" w:rsidRPr="008D2240" w:rsidRDefault="00844C86" w:rsidP="00844C86">
      <w:pPr>
        <w:rPr>
          <w:rFonts w:ascii="Arial" w:hAnsi="Arial" w:cs="Arial"/>
          <w:b/>
          <w:bCs/>
          <w:sz w:val="22"/>
          <w:szCs w:val="22"/>
        </w:rPr>
      </w:pPr>
      <w:r w:rsidRPr="008D2240">
        <w:rPr>
          <w:rFonts w:ascii="Arial" w:hAnsi="Arial" w:cs="Arial"/>
          <w:b/>
          <w:bCs/>
          <w:sz w:val="22"/>
          <w:szCs w:val="22"/>
        </w:rPr>
        <w:t>References appearing in the supporting information</w:t>
      </w:r>
    </w:p>
    <w:p w14:paraId="65F1B0C3" w14:textId="77777777" w:rsidR="00844C86" w:rsidRPr="008D2240" w:rsidRDefault="00844C86" w:rsidP="00844C86">
      <w:pPr>
        <w:rPr>
          <w:rFonts w:ascii="Arial" w:hAnsi="Arial" w:cs="Arial"/>
          <w:sz w:val="22"/>
          <w:szCs w:val="22"/>
        </w:rPr>
      </w:pPr>
    </w:p>
    <w:p w14:paraId="0417278C" w14:textId="77777777" w:rsidR="00844C86" w:rsidRPr="00A74C68" w:rsidRDefault="00844C86" w:rsidP="00844C86">
      <w:pPr>
        <w:ind w:left="720" w:hanging="720"/>
        <w:rPr>
          <w:rFonts w:ascii="Arial" w:hAnsi="Arial" w:cs="Arial"/>
          <w:color w:val="000000" w:themeColor="text1"/>
          <w:sz w:val="22"/>
          <w:szCs w:val="22"/>
        </w:rPr>
      </w:pPr>
      <w:r w:rsidRPr="00A74C68">
        <w:rPr>
          <w:rFonts w:ascii="Arial" w:hAnsi="Arial" w:cs="Arial"/>
          <w:sz w:val="22"/>
          <w:szCs w:val="22"/>
        </w:rPr>
        <w:t>Aggarwal, C.</w:t>
      </w:r>
      <w:r>
        <w:rPr>
          <w:rFonts w:ascii="Arial" w:hAnsi="Arial" w:cs="Arial"/>
          <w:sz w:val="22"/>
          <w:szCs w:val="22"/>
        </w:rPr>
        <w:t xml:space="preserve"> </w:t>
      </w:r>
      <w:r w:rsidRPr="00A74C68">
        <w:rPr>
          <w:rFonts w:ascii="Arial" w:hAnsi="Arial" w:cs="Arial"/>
          <w:sz w:val="22"/>
          <w:szCs w:val="22"/>
        </w:rPr>
        <w:t>C., Hinneburg, A., Keim, D.</w:t>
      </w:r>
      <w:r>
        <w:rPr>
          <w:rFonts w:ascii="Arial" w:hAnsi="Arial" w:cs="Arial"/>
          <w:sz w:val="22"/>
          <w:szCs w:val="22"/>
        </w:rPr>
        <w:t xml:space="preserve"> </w:t>
      </w:r>
      <w:r w:rsidRPr="00A74C68">
        <w:rPr>
          <w:rFonts w:ascii="Arial" w:hAnsi="Arial" w:cs="Arial"/>
          <w:sz w:val="22"/>
          <w:szCs w:val="22"/>
        </w:rPr>
        <w:t xml:space="preserve">A. (2001). On the </w:t>
      </w:r>
      <w:r>
        <w:rPr>
          <w:rFonts w:ascii="Arial" w:hAnsi="Arial" w:cs="Arial"/>
          <w:sz w:val="22"/>
          <w:szCs w:val="22"/>
        </w:rPr>
        <w:t>s</w:t>
      </w:r>
      <w:r w:rsidRPr="00A74C68">
        <w:rPr>
          <w:rFonts w:ascii="Arial" w:hAnsi="Arial" w:cs="Arial"/>
          <w:sz w:val="22"/>
          <w:szCs w:val="22"/>
        </w:rPr>
        <w:t xml:space="preserve">urprising </w:t>
      </w:r>
      <w:r>
        <w:rPr>
          <w:rFonts w:ascii="Arial" w:hAnsi="Arial" w:cs="Arial"/>
          <w:sz w:val="22"/>
          <w:szCs w:val="22"/>
        </w:rPr>
        <w:t>b</w:t>
      </w:r>
      <w:r w:rsidRPr="00A74C68">
        <w:rPr>
          <w:rFonts w:ascii="Arial" w:hAnsi="Arial" w:cs="Arial"/>
          <w:sz w:val="22"/>
          <w:szCs w:val="22"/>
        </w:rPr>
        <w:t xml:space="preserve">ehavior of </w:t>
      </w:r>
      <w:r>
        <w:rPr>
          <w:rFonts w:ascii="Arial" w:hAnsi="Arial" w:cs="Arial"/>
          <w:sz w:val="22"/>
          <w:szCs w:val="22"/>
        </w:rPr>
        <w:t>d</w:t>
      </w:r>
      <w:r w:rsidRPr="00A74C68">
        <w:rPr>
          <w:rFonts w:ascii="Arial" w:hAnsi="Arial" w:cs="Arial"/>
          <w:sz w:val="22"/>
          <w:szCs w:val="22"/>
        </w:rPr>
        <w:t xml:space="preserve">istance </w:t>
      </w:r>
      <w:r>
        <w:rPr>
          <w:rFonts w:ascii="Arial" w:hAnsi="Arial" w:cs="Arial"/>
          <w:sz w:val="22"/>
          <w:szCs w:val="22"/>
        </w:rPr>
        <w:t>m</w:t>
      </w:r>
      <w:r w:rsidRPr="00A74C68">
        <w:rPr>
          <w:rFonts w:ascii="Arial" w:hAnsi="Arial" w:cs="Arial"/>
          <w:sz w:val="22"/>
          <w:szCs w:val="22"/>
        </w:rPr>
        <w:t xml:space="preserve">etrics in </w:t>
      </w:r>
      <w:r>
        <w:rPr>
          <w:rFonts w:ascii="Arial" w:hAnsi="Arial" w:cs="Arial"/>
          <w:sz w:val="22"/>
          <w:szCs w:val="22"/>
        </w:rPr>
        <w:t>h</w:t>
      </w:r>
      <w:r w:rsidRPr="00A74C68">
        <w:rPr>
          <w:rFonts w:ascii="Arial" w:hAnsi="Arial" w:cs="Arial"/>
          <w:sz w:val="22"/>
          <w:szCs w:val="22"/>
        </w:rPr>
        <w:t xml:space="preserve">igh </w:t>
      </w:r>
      <w:r>
        <w:rPr>
          <w:rFonts w:ascii="Arial" w:hAnsi="Arial" w:cs="Arial"/>
          <w:sz w:val="22"/>
          <w:szCs w:val="22"/>
        </w:rPr>
        <w:t>d</w:t>
      </w:r>
      <w:r w:rsidRPr="00A74C68">
        <w:rPr>
          <w:rFonts w:ascii="Arial" w:hAnsi="Arial" w:cs="Arial"/>
          <w:sz w:val="22"/>
          <w:szCs w:val="22"/>
        </w:rPr>
        <w:t xml:space="preserve">imensional </w:t>
      </w:r>
      <w:r>
        <w:rPr>
          <w:rFonts w:ascii="Arial" w:hAnsi="Arial" w:cs="Arial"/>
          <w:sz w:val="22"/>
          <w:szCs w:val="22"/>
        </w:rPr>
        <w:t>s</w:t>
      </w:r>
      <w:r w:rsidRPr="00A74C68">
        <w:rPr>
          <w:rFonts w:ascii="Arial" w:hAnsi="Arial" w:cs="Arial"/>
          <w:sz w:val="22"/>
          <w:szCs w:val="22"/>
        </w:rPr>
        <w:t xml:space="preserve">pace. </w:t>
      </w:r>
      <w:r w:rsidRPr="00A74C68">
        <w:rPr>
          <w:rFonts w:ascii="Arial" w:hAnsi="Arial" w:cs="Arial"/>
          <w:i/>
          <w:iCs/>
          <w:sz w:val="22"/>
          <w:szCs w:val="22"/>
        </w:rPr>
        <w:t>In</w:t>
      </w:r>
      <w:r w:rsidRPr="00A74C68">
        <w:rPr>
          <w:rFonts w:ascii="Arial" w:hAnsi="Arial" w:cs="Arial"/>
          <w:sz w:val="22"/>
          <w:szCs w:val="22"/>
        </w:rPr>
        <w:t>: Van den Bussche, J., Vianu, V. (</w:t>
      </w:r>
      <w:proofErr w:type="gramStart"/>
      <w:r w:rsidRPr="00A74C68">
        <w:rPr>
          <w:rFonts w:ascii="Arial" w:hAnsi="Arial" w:cs="Arial"/>
          <w:sz w:val="22"/>
          <w:szCs w:val="22"/>
        </w:rPr>
        <w:t>eds</w:t>
      </w:r>
      <w:proofErr w:type="gramEnd"/>
      <w:r w:rsidRPr="00A74C68">
        <w:rPr>
          <w:rFonts w:ascii="Arial" w:hAnsi="Arial" w:cs="Arial"/>
          <w:sz w:val="22"/>
          <w:szCs w:val="22"/>
        </w:rPr>
        <w:t xml:space="preserve">) Database Theory — ICDT 2001. ICDT 2001. Lecture Notes in Computer Science, vol 1973. Springer, Berlin, Heidelberg. </w:t>
      </w:r>
      <w:hyperlink r:id="rId9" w:history="1">
        <w:r w:rsidRPr="00632C62">
          <w:rPr>
            <w:rStyle w:val="Hyperlink"/>
            <w:rFonts w:ascii="Arial" w:hAnsi="Arial" w:cs="Arial"/>
            <w:sz w:val="22"/>
            <w:szCs w:val="22"/>
          </w:rPr>
          <w:t>https://doi.org/10.1007/3-540-44503-X_27</w:t>
        </w:r>
      </w:hyperlink>
      <w:r>
        <w:rPr>
          <w:rFonts w:ascii="Arial" w:hAnsi="Arial" w:cs="Arial"/>
          <w:sz w:val="22"/>
          <w:szCs w:val="22"/>
        </w:rPr>
        <w:t xml:space="preserve"> </w:t>
      </w:r>
    </w:p>
    <w:p w14:paraId="0754DF42" w14:textId="77777777" w:rsidR="00844C86" w:rsidRDefault="00844C86" w:rsidP="00844C86">
      <w:pPr>
        <w:ind w:left="720" w:hanging="720"/>
        <w:rPr>
          <w:rFonts w:ascii="Arial" w:hAnsi="Arial" w:cs="Arial"/>
          <w:color w:val="000000" w:themeColor="text1"/>
          <w:sz w:val="22"/>
          <w:szCs w:val="22"/>
        </w:rPr>
      </w:pPr>
    </w:p>
    <w:p w14:paraId="5E059FB2" w14:textId="77777777" w:rsidR="00844C86" w:rsidRPr="00224568" w:rsidRDefault="00844C86" w:rsidP="00844C86">
      <w:pPr>
        <w:ind w:left="720" w:hanging="720"/>
        <w:rPr>
          <w:rFonts w:ascii="Arial" w:hAnsi="Arial" w:cs="Arial"/>
          <w:color w:val="000000" w:themeColor="text1"/>
          <w:sz w:val="22"/>
          <w:szCs w:val="22"/>
        </w:rPr>
      </w:pPr>
      <w:r w:rsidRPr="00224568">
        <w:rPr>
          <w:rFonts w:ascii="Arial" w:hAnsi="Arial" w:cs="Arial"/>
          <w:color w:val="000000" w:themeColor="text1"/>
          <w:sz w:val="22"/>
          <w:szCs w:val="22"/>
        </w:rPr>
        <w:t xml:space="preserve">Caswell, H. (2001) </w:t>
      </w:r>
      <w:r w:rsidRPr="00224568">
        <w:rPr>
          <w:rFonts w:ascii="Arial" w:hAnsi="Arial" w:cs="Arial"/>
          <w:i/>
          <w:iCs/>
          <w:color w:val="000000" w:themeColor="text1"/>
          <w:sz w:val="22"/>
          <w:szCs w:val="22"/>
        </w:rPr>
        <w:t xml:space="preserve">Matrix Population Models: Construction, Analysis, and Interpretation. </w:t>
      </w:r>
      <w:r w:rsidRPr="00224568">
        <w:rPr>
          <w:rFonts w:ascii="Arial" w:hAnsi="Arial" w:cs="Arial"/>
          <w:color w:val="000000" w:themeColor="text1"/>
          <w:sz w:val="22"/>
          <w:szCs w:val="22"/>
        </w:rPr>
        <w:t>United Kingdom: Sinauer Associates.</w:t>
      </w:r>
    </w:p>
    <w:p w14:paraId="18CC5CC3" w14:textId="77777777" w:rsidR="00844C86" w:rsidRPr="008D2240" w:rsidRDefault="00844C86" w:rsidP="00844C86">
      <w:pPr>
        <w:rPr>
          <w:rFonts w:ascii="Arial" w:hAnsi="Arial" w:cs="Arial"/>
          <w:sz w:val="22"/>
          <w:szCs w:val="22"/>
        </w:rPr>
      </w:pPr>
    </w:p>
    <w:p w14:paraId="730F6A4C" w14:textId="77777777" w:rsidR="00844C86" w:rsidRPr="008D2240" w:rsidRDefault="00844C86" w:rsidP="00844C86">
      <w:pPr>
        <w:ind w:left="720" w:hanging="720"/>
        <w:rPr>
          <w:rFonts w:ascii="Arial" w:hAnsi="Arial" w:cs="Arial"/>
          <w:iCs/>
          <w:sz w:val="22"/>
          <w:szCs w:val="22"/>
        </w:rPr>
      </w:pPr>
      <w:r w:rsidRPr="008D2240">
        <w:rPr>
          <w:rFonts w:ascii="Arial" w:hAnsi="Arial" w:cs="Arial"/>
          <w:sz w:val="22"/>
          <w:szCs w:val="22"/>
        </w:rPr>
        <w:t xml:space="preserve">Guneralp, B. (2007) </w:t>
      </w:r>
      <w:proofErr w:type="gramStart"/>
      <w:r w:rsidRPr="008D2240">
        <w:rPr>
          <w:rFonts w:ascii="Arial" w:hAnsi="Arial" w:cs="Arial"/>
          <w:sz w:val="22"/>
          <w:szCs w:val="22"/>
        </w:rPr>
        <w:t>An</w:t>
      </w:r>
      <w:proofErr w:type="gramEnd"/>
      <w:r w:rsidRPr="008D2240">
        <w:rPr>
          <w:rFonts w:ascii="Arial" w:hAnsi="Arial" w:cs="Arial"/>
          <w:sz w:val="22"/>
          <w:szCs w:val="22"/>
        </w:rPr>
        <w:t xml:space="preserve"> improved formal approach to demographic loop analysis. </w:t>
      </w:r>
      <w:r w:rsidRPr="008D2240">
        <w:rPr>
          <w:rFonts w:ascii="Arial" w:hAnsi="Arial" w:cs="Arial"/>
          <w:i/>
          <w:sz w:val="22"/>
          <w:szCs w:val="22"/>
        </w:rPr>
        <w:t xml:space="preserve">Ecology </w:t>
      </w:r>
      <w:r w:rsidRPr="008D2240">
        <w:rPr>
          <w:rFonts w:ascii="Arial" w:hAnsi="Arial" w:cs="Arial"/>
          <w:iCs/>
          <w:sz w:val="22"/>
          <w:szCs w:val="22"/>
        </w:rPr>
        <w:t>88: 2124-2131.</w:t>
      </w:r>
    </w:p>
    <w:p w14:paraId="316DCE10" w14:textId="77777777" w:rsidR="00844C86" w:rsidRPr="008D2240" w:rsidRDefault="00844C86" w:rsidP="00844C86">
      <w:pPr>
        <w:ind w:left="720" w:hanging="720"/>
        <w:rPr>
          <w:rFonts w:ascii="Arial" w:hAnsi="Arial" w:cs="Arial"/>
          <w:iCs/>
          <w:sz w:val="22"/>
          <w:szCs w:val="22"/>
        </w:rPr>
      </w:pPr>
    </w:p>
    <w:p w14:paraId="5C86F761" w14:textId="77777777" w:rsidR="00844C86" w:rsidRPr="008D2240" w:rsidRDefault="00844C86" w:rsidP="00844C86">
      <w:pPr>
        <w:ind w:left="720" w:hanging="720"/>
        <w:rPr>
          <w:rFonts w:ascii="Arial" w:hAnsi="Arial" w:cs="Arial"/>
          <w:sz w:val="22"/>
          <w:szCs w:val="22"/>
        </w:rPr>
      </w:pPr>
      <w:proofErr w:type="gramStart"/>
      <w:r w:rsidRPr="008D2240">
        <w:rPr>
          <w:rFonts w:ascii="Arial" w:hAnsi="Arial" w:cs="Arial"/>
          <w:sz w:val="22"/>
          <w:szCs w:val="22"/>
        </w:rPr>
        <w:t>van</w:t>
      </w:r>
      <w:proofErr w:type="gramEnd"/>
      <w:r w:rsidRPr="008D2240">
        <w:rPr>
          <w:rFonts w:ascii="Arial" w:hAnsi="Arial" w:cs="Arial"/>
          <w:sz w:val="22"/>
          <w:szCs w:val="22"/>
        </w:rPr>
        <w:t xml:space="preserve"> Groenendael, J., de Kroon, H.</w:t>
      </w:r>
      <w:r>
        <w:rPr>
          <w:rFonts w:ascii="Arial" w:hAnsi="Arial" w:cs="Arial"/>
          <w:sz w:val="22"/>
          <w:szCs w:val="22"/>
        </w:rPr>
        <w:t>,</w:t>
      </w:r>
      <w:r w:rsidRPr="008D2240">
        <w:rPr>
          <w:rFonts w:ascii="Arial" w:hAnsi="Arial" w:cs="Arial"/>
          <w:sz w:val="22"/>
          <w:szCs w:val="22"/>
        </w:rPr>
        <w:t xml:space="preserve"> Kalisz, S. </w:t>
      </w:r>
      <w:r>
        <w:rPr>
          <w:rFonts w:ascii="Arial" w:hAnsi="Arial" w:cs="Arial"/>
          <w:sz w:val="22"/>
          <w:szCs w:val="22"/>
        </w:rPr>
        <w:t>&amp;</w:t>
      </w:r>
      <w:r w:rsidRPr="008D2240">
        <w:rPr>
          <w:rFonts w:ascii="Arial" w:hAnsi="Arial" w:cs="Arial"/>
          <w:sz w:val="22"/>
          <w:szCs w:val="22"/>
        </w:rPr>
        <w:t xml:space="preserve"> Tuljapurkar</w:t>
      </w:r>
      <w:r>
        <w:rPr>
          <w:rFonts w:ascii="Arial" w:hAnsi="Arial" w:cs="Arial"/>
          <w:sz w:val="22"/>
          <w:szCs w:val="22"/>
        </w:rPr>
        <w:t xml:space="preserve">, </w:t>
      </w:r>
      <w:r w:rsidRPr="008D2240">
        <w:rPr>
          <w:rFonts w:ascii="Arial" w:hAnsi="Arial" w:cs="Arial"/>
          <w:sz w:val="22"/>
          <w:szCs w:val="22"/>
        </w:rPr>
        <w:t xml:space="preserve">S. (1994) Loop analysis: evaluating life history pathways in population projection matrices. </w:t>
      </w:r>
      <w:r w:rsidRPr="008D2240">
        <w:rPr>
          <w:rStyle w:val="Emphasis"/>
          <w:rFonts w:ascii="Arial" w:hAnsi="Arial" w:cs="Arial"/>
          <w:sz w:val="22"/>
          <w:szCs w:val="22"/>
        </w:rPr>
        <w:t>Ecology</w:t>
      </w:r>
      <w:r w:rsidRPr="008D2240">
        <w:rPr>
          <w:rFonts w:ascii="Arial" w:hAnsi="Arial" w:cs="Arial"/>
          <w:sz w:val="22"/>
          <w:szCs w:val="22"/>
        </w:rPr>
        <w:t xml:space="preserve"> </w:t>
      </w:r>
      <w:r w:rsidRPr="008D2240">
        <w:rPr>
          <w:rStyle w:val="Emphasis"/>
          <w:rFonts w:ascii="Arial" w:hAnsi="Arial" w:cs="Arial"/>
          <w:i w:val="0"/>
          <w:iCs w:val="0"/>
          <w:sz w:val="22"/>
          <w:szCs w:val="22"/>
        </w:rPr>
        <w:t>75</w:t>
      </w:r>
      <w:r w:rsidRPr="008D2240">
        <w:rPr>
          <w:rFonts w:ascii="Arial" w:hAnsi="Arial" w:cs="Arial"/>
          <w:sz w:val="22"/>
          <w:szCs w:val="22"/>
        </w:rPr>
        <w:t>: 2410-2415.</w:t>
      </w:r>
    </w:p>
    <w:p w14:paraId="40CD2D96" w14:textId="77777777" w:rsidR="00844C86" w:rsidRPr="008D2240" w:rsidRDefault="00844C86" w:rsidP="00844C86">
      <w:pPr>
        <w:ind w:left="720" w:hanging="720"/>
        <w:rPr>
          <w:rFonts w:ascii="Arial" w:hAnsi="Arial" w:cs="Arial"/>
          <w:sz w:val="22"/>
          <w:szCs w:val="22"/>
        </w:rPr>
      </w:pPr>
    </w:p>
    <w:p w14:paraId="6166E47E" w14:textId="1A5ABC2B" w:rsidR="00844C86" w:rsidRPr="0033087D" w:rsidRDefault="00844C86" w:rsidP="00844C86">
      <w:pPr>
        <w:rPr>
          <w:rFonts w:ascii="Arial" w:eastAsia="Arial" w:hAnsi="Arial" w:cs="Arial"/>
          <w:sz w:val="22"/>
          <w:szCs w:val="22"/>
          <w:lang w:val="en"/>
        </w:rPr>
      </w:pPr>
      <w:r w:rsidRPr="008D2240">
        <w:rPr>
          <w:rFonts w:ascii="Arial" w:hAnsi="Arial" w:cs="Arial"/>
          <w:sz w:val="22"/>
          <w:szCs w:val="22"/>
        </w:rPr>
        <w:t xml:space="preserve">Wardle, G. M. (1998) </w:t>
      </w:r>
      <w:proofErr w:type="gramStart"/>
      <w:r w:rsidRPr="008D2240">
        <w:rPr>
          <w:rFonts w:ascii="Arial" w:hAnsi="Arial" w:cs="Arial"/>
          <w:sz w:val="22"/>
          <w:szCs w:val="22"/>
        </w:rPr>
        <w:t>A</w:t>
      </w:r>
      <w:proofErr w:type="gramEnd"/>
      <w:r w:rsidRPr="008D2240">
        <w:rPr>
          <w:rFonts w:ascii="Arial" w:hAnsi="Arial" w:cs="Arial"/>
          <w:sz w:val="22"/>
          <w:szCs w:val="22"/>
        </w:rPr>
        <w:t xml:space="preserve"> graph theory approach to demographic loop analysis. </w:t>
      </w:r>
      <w:r w:rsidRPr="008D2240">
        <w:rPr>
          <w:rFonts w:ascii="Arial" w:hAnsi="Arial" w:cs="Arial"/>
          <w:i/>
          <w:iCs/>
          <w:sz w:val="22"/>
          <w:szCs w:val="22"/>
        </w:rPr>
        <w:t xml:space="preserve">Ecology </w:t>
      </w:r>
      <w:r w:rsidRPr="008D2240">
        <w:rPr>
          <w:rFonts w:ascii="Arial" w:hAnsi="Arial" w:cs="Arial"/>
          <w:sz w:val="22"/>
          <w:szCs w:val="22"/>
        </w:rPr>
        <w:t>79: 2539-2549.</w:t>
      </w:r>
      <w:bookmarkStart w:id="6" w:name="_GoBack"/>
      <w:bookmarkEnd w:id="6"/>
    </w:p>
    <w:sectPr w:rsidR="00844C86" w:rsidRPr="0033087D" w:rsidSect="001C5CD1">
      <w:headerReference w:type="default" r:id="rId10"/>
      <w:footerReference w:type="even" r:id="rId11"/>
      <w:footerReference w:type="default" r:id="rId12"/>
      <w:pgSz w:w="12240" w:h="15840"/>
      <w:pgMar w:top="1440" w:right="1440" w:bottom="1440" w:left="1440" w:header="720" w:footer="720" w:gutter="0"/>
      <w:lnNumType w:countBy="1" w:restart="continuou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C5D3F" w14:textId="77777777" w:rsidR="00386DEE" w:rsidRDefault="00386DEE" w:rsidP="002E6FB6">
      <w:r>
        <w:separator/>
      </w:r>
    </w:p>
  </w:endnote>
  <w:endnote w:type="continuationSeparator" w:id="0">
    <w:p w14:paraId="26A72C88" w14:textId="77777777" w:rsidR="00386DEE" w:rsidRDefault="00386DEE" w:rsidP="002E6FB6">
      <w:r>
        <w:continuationSeparator/>
      </w:r>
    </w:p>
  </w:endnote>
  <w:endnote w:type="continuationNotice" w:id="1">
    <w:p w14:paraId="7BD0D2C4" w14:textId="77777777" w:rsidR="00386DEE" w:rsidRDefault="00386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rdo">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444266091"/>
      <w:docPartObj>
        <w:docPartGallery w:val="Page Numbers (Bottom of Page)"/>
        <w:docPartUnique/>
      </w:docPartObj>
    </w:sdtPr>
    <w:sdtEndPr>
      <w:rPr>
        <w:rStyle w:val="PageNumber"/>
      </w:rPr>
    </w:sdtEndPr>
    <w:sdtContent>
      <w:p w14:paraId="6610A78D" w14:textId="0C3ACC18" w:rsidR="00740CC4" w:rsidRDefault="00740CC4" w:rsidP="00A3546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B73CF8" w14:textId="77777777" w:rsidR="00740CC4" w:rsidRDefault="00740C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71900992"/>
      <w:docPartObj>
        <w:docPartGallery w:val="Page Numbers (Bottom of Page)"/>
        <w:docPartUnique/>
      </w:docPartObj>
    </w:sdtPr>
    <w:sdtEndPr>
      <w:rPr>
        <w:rStyle w:val="PageNumber"/>
      </w:rPr>
    </w:sdtEndPr>
    <w:sdtContent>
      <w:p w14:paraId="0FFA5DFD" w14:textId="06FC38A6" w:rsidR="00740CC4" w:rsidRDefault="00740CC4" w:rsidP="00A3546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803B32">
          <w:rPr>
            <w:rStyle w:val="PageNumber"/>
            <w:noProof/>
          </w:rPr>
          <w:t>10</w:t>
        </w:r>
        <w:r>
          <w:rPr>
            <w:rStyle w:val="PageNumber"/>
          </w:rPr>
          <w:fldChar w:fldCharType="end"/>
        </w:r>
      </w:p>
    </w:sdtContent>
  </w:sdt>
  <w:p w14:paraId="36ECED84" w14:textId="77777777" w:rsidR="00FE0BF7" w:rsidRDefault="00FE0BF7" w:rsidP="00740CC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60C21" w14:textId="77777777" w:rsidR="00386DEE" w:rsidRDefault="00386DEE" w:rsidP="002E6FB6">
      <w:r>
        <w:separator/>
      </w:r>
    </w:p>
  </w:footnote>
  <w:footnote w:type="continuationSeparator" w:id="0">
    <w:p w14:paraId="5DACFFC3" w14:textId="77777777" w:rsidR="00386DEE" w:rsidRDefault="00386DEE" w:rsidP="002E6FB6">
      <w:r>
        <w:continuationSeparator/>
      </w:r>
    </w:p>
  </w:footnote>
  <w:footnote w:type="continuationNotice" w:id="1">
    <w:p w14:paraId="43167D99" w14:textId="77777777" w:rsidR="00386DEE" w:rsidRDefault="00386DE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842" w14:textId="77777777" w:rsidR="00D54572" w:rsidRDefault="00D54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A3059"/>
    <w:multiLevelType w:val="multilevel"/>
    <w:tmpl w:val="6C3EF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8292F35"/>
    <w:multiLevelType w:val="multilevel"/>
    <w:tmpl w:val="7F568B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4626CC"/>
    <w:multiLevelType w:val="hybridMultilevel"/>
    <w:tmpl w:val="1186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41544D"/>
    <w:multiLevelType w:val="hybridMultilevel"/>
    <w:tmpl w:val="BBBEE2D2"/>
    <w:lvl w:ilvl="0" w:tplc="5478DEBA">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C2856"/>
    <w:multiLevelType w:val="multilevel"/>
    <w:tmpl w:val="6C3EF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C3F2F2C"/>
    <w:multiLevelType w:val="multilevel"/>
    <w:tmpl w:val="7686552C"/>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264EB7"/>
    <w:multiLevelType w:val="multilevel"/>
    <w:tmpl w:val="6C3EFD8A"/>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7" w15:restartNumberingAfterBreak="0">
    <w:nsid w:val="32E10D21"/>
    <w:multiLevelType w:val="hybridMultilevel"/>
    <w:tmpl w:val="DC681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67B0A"/>
    <w:multiLevelType w:val="multilevel"/>
    <w:tmpl w:val="0CF6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7301A8"/>
    <w:multiLevelType w:val="multilevel"/>
    <w:tmpl w:val="5EE6F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E767FD8"/>
    <w:multiLevelType w:val="hybridMultilevel"/>
    <w:tmpl w:val="BB8A1574"/>
    <w:lvl w:ilvl="0" w:tplc="58900A48">
      <w:start w:val="9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102BB7"/>
    <w:multiLevelType w:val="multilevel"/>
    <w:tmpl w:val="A600D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9F75109"/>
    <w:multiLevelType w:val="multilevel"/>
    <w:tmpl w:val="287219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A6306F8"/>
    <w:multiLevelType w:val="multilevel"/>
    <w:tmpl w:val="6C3EF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B87357E"/>
    <w:multiLevelType w:val="hybridMultilevel"/>
    <w:tmpl w:val="B094B50E"/>
    <w:lvl w:ilvl="0" w:tplc="915045EA">
      <w:start w:val="1"/>
      <w:numFmt w:val="decimal"/>
      <w:lvlText w:val="%1."/>
      <w:lvlJc w:val="left"/>
      <w:pPr>
        <w:ind w:left="1020" w:hanging="360"/>
      </w:pPr>
    </w:lvl>
    <w:lvl w:ilvl="1" w:tplc="8DAEBF46">
      <w:start w:val="1"/>
      <w:numFmt w:val="decimal"/>
      <w:lvlText w:val="%2."/>
      <w:lvlJc w:val="left"/>
      <w:pPr>
        <w:ind w:left="1020" w:hanging="360"/>
      </w:pPr>
    </w:lvl>
    <w:lvl w:ilvl="2" w:tplc="870AF1DC">
      <w:start w:val="1"/>
      <w:numFmt w:val="decimal"/>
      <w:lvlText w:val="%3."/>
      <w:lvlJc w:val="left"/>
      <w:pPr>
        <w:ind w:left="1020" w:hanging="360"/>
      </w:pPr>
    </w:lvl>
    <w:lvl w:ilvl="3" w:tplc="33C80934">
      <w:start w:val="1"/>
      <w:numFmt w:val="decimal"/>
      <w:lvlText w:val="%4."/>
      <w:lvlJc w:val="left"/>
      <w:pPr>
        <w:ind w:left="1020" w:hanging="360"/>
      </w:pPr>
    </w:lvl>
    <w:lvl w:ilvl="4" w:tplc="8B1E69D8">
      <w:start w:val="1"/>
      <w:numFmt w:val="decimal"/>
      <w:lvlText w:val="%5."/>
      <w:lvlJc w:val="left"/>
      <w:pPr>
        <w:ind w:left="1020" w:hanging="360"/>
      </w:pPr>
    </w:lvl>
    <w:lvl w:ilvl="5" w:tplc="D9CAA334">
      <w:start w:val="1"/>
      <w:numFmt w:val="decimal"/>
      <w:lvlText w:val="%6."/>
      <w:lvlJc w:val="left"/>
      <w:pPr>
        <w:ind w:left="1020" w:hanging="360"/>
      </w:pPr>
    </w:lvl>
    <w:lvl w:ilvl="6" w:tplc="8E167EBC">
      <w:start w:val="1"/>
      <w:numFmt w:val="decimal"/>
      <w:lvlText w:val="%7."/>
      <w:lvlJc w:val="left"/>
      <w:pPr>
        <w:ind w:left="1020" w:hanging="360"/>
      </w:pPr>
    </w:lvl>
    <w:lvl w:ilvl="7" w:tplc="687E133E">
      <w:start w:val="1"/>
      <w:numFmt w:val="decimal"/>
      <w:lvlText w:val="%8."/>
      <w:lvlJc w:val="left"/>
      <w:pPr>
        <w:ind w:left="1020" w:hanging="360"/>
      </w:pPr>
    </w:lvl>
    <w:lvl w:ilvl="8" w:tplc="727EE774">
      <w:start w:val="1"/>
      <w:numFmt w:val="decimal"/>
      <w:lvlText w:val="%9."/>
      <w:lvlJc w:val="left"/>
      <w:pPr>
        <w:ind w:left="1020" w:hanging="360"/>
      </w:pPr>
    </w:lvl>
  </w:abstractNum>
  <w:abstractNum w:abstractNumId="15" w15:restartNumberingAfterBreak="0">
    <w:nsid w:val="4CC90C0A"/>
    <w:multiLevelType w:val="hybridMultilevel"/>
    <w:tmpl w:val="2A9CF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89271A"/>
    <w:multiLevelType w:val="hybridMultilevel"/>
    <w:tmpl w:val="A5A05A4C"/>
    <w:lvl w:ilvl="0" w:tplc="1B5A9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1E2FAC"/>
    <w:multiLevelType w:val="multilevel"/>
    <w:tmpl w:val="2C1CA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04E4AF9"/>
    <w:multiLevelType w:val="hybridMultilevel"/>
    <w:tmpl w:val="8BE69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F3F3B"/>
    <w:multiLevelType w:val="hybridMultilevel"/>
    <w:tmpl w:val="768655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A5716B"/>
    <w:multiLevelType w:val="hybridMultilevel"/>
    <w:tmpl w:val="BA444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C6416B"/>
    <w:multiLevelType w:val="multilevel"/>
    <w:tmpl w:val="D3806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AB0A1E"/>
    <w:multiLevelType w:val="multilevel"/>
    <w:tmpl w:val="BA44449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1404EB"/>
    <w:multiLevelType w:val="multilevel"/>
    <w:tmpl w:val="AEC44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DC2465"/>
    <w:multiLevelType w:val="multilevel"/>
    <w:tmpl w:val="6C3EF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77A36741"/>
    <w:multiLevelType w:val="multilevel"/>
    <w:tmpl w:val="6C3EF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78385AAD"/>
    <w:multiLevelType w:val="hybridMultilevel"/>
    <w:tmpl w:val="8236CF84"/>
    <w:lvl w:ilvl="0" w:tplc="B0682554">
      <w:numFmt w:val="bullet"/>
      <w:lvlText w:val="-"/>
      <w:lvlJc w:val="left"/>
      <w:pPr>
        <w:ind w:left="720" w:hanging="360"/>
      </w:pPr>
      <w:rPr>
        <w:rFonts w:ascii="Arial" w:eastAsia="Arial"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55D8F"/>
    <w:multiLevelType w:val="hybridMultilevel"/>
    <w:tmpl w:val="F3EE8A1C"/>
    <w:lvl w:ilvl="0" w:tplc="469E75E2">
      <w:start w:val="1"/>
      <w:numFmt w:val="decimal"/>
      <w:lvlText w:val="(Q%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2"/>
  </w:num>
  <w:num w:numId="2">
    <w:abstractNumId w:val="1"/>
  </w:num>
  <w:num w:numId="3">
    <w:abstractNumId w:val="9"/>
  </w:num>
  <w:num w:numId="4">
    <w:abstractNumId w:val="4"/>
  </w:num>
  <w:num w:numId="5">
    <w:abstractNumId w:val="11"/>
  </w:num>
  <w:num w:numId="6">
    <w:abstractNumId w:val="17"/>
  </w:num>
  <w:num w:numId="7">
    <w:abstractNumId w:val="15"/>
  </w:num>
  <w:num w:numId="8">
    <w:abstractNumId w:val="25"/>
  </w:num>
  <w:num w:numId="9">
    <w:abstractNumId w:val="13"/>
  </w:num>
  <w:num w:numId="10">
    <w:abstractNumId w:val="20"/>
  </w:num>
  <w:num w:numId="11">
    <w:abstractNumId w:val="0"/>
  </w:num>
  <w:num w:numId="12">
    <w:abstractNumId w:val="27"/>
  </w:num>
  <w:num w:numId="13">
    <w:abstractNumId w:val="24"/>
  </w:num>
  <w:num w:numId="14">
    <w:abstractNumId w:val="6"/>
  </w:num>
  <w:num w:numId="15">
    <w:abstractNumId w:val="16"/>
  </w:num>
  <w:num w:numId="16">
    <w:abstractNumId w:val="18"/>
  </w:num>
  <w:num w:numId="17">
    <w:abstractNumId w:val="19"/>
  </w:num>
  <w:num w:numId="18">
    <w:abstractNumId w:val="7"/>
  </w:num>
  <w:num w:numId="19">
    <w:abstractNumId w:val="26"/>
  </w:num>
  <w:num w:numId="20">
    <w:abstractNumId w:val="22"/>
  </w:num>
  <w:num w:numId="21">
    <w:abstractNumId w:val="10"/>
  </w:num>
  <w:num w:numId="22">
    <w:abstractNumId w:val="2"/>
  </w:num>
  <w:num w:numId="23">
    <w:abstractNumId w:val="8"/>
  </w:num>
  <w:num w:numId="24">
    <w:abstractNumId w:val="3"/>
  </w:num>
  <w:num w:numId="25">
    <w:abstractNumId w:val="23"/>
  </w:num>
  <w:num w:numId="26">
    <w:abstractNumId w:val="21"/>
  </w:num>
  <w:num w:numId="27">
    <w:abstractNumId w:val="5"/>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5D5"/>
    <w:rsid w:val="00002596"/>
    <w:rsid w:val="00002EFD"/>
    <w:rsid w:val="00003956"/>
    <w:rsid w:val="000043BE"/>
    <w:rsid w:val="00005335"/>
    <w:rsid w:val="0000562C"/>
    <w:rsid w:val="000061F5"/>
    <w:rsid w:val="00006D52"/>
    <w:rsid w:val="0000797C"/>
    <w:rsid w:val="00007ECB"/>
    <w:rsid w:val="0001088A"/>
    <w:rsid w:val="00011B1B"/>
    <w:rsid w:val="00011EAD"/>
    <w:rsid w:val="0001360F"/>
    <w:rsid w:val="0001379C"/>
    <w:rsid w:val="00013C5D"/>
    <w:rsid w:val="00015153"/>
    <w:rsid w:val="00015A99"/>
    <w:rsid w:val="00015EF6"/>
    <w:rsid w:val="0001741F"/>
    <w:rsid w:val="00020528"/>
    <w:rsid w:val="00020F09"/>
    <w:rsid w:val="00022D6A"/>
    <w:rsid w:val="0002454D"/>
    <w:rsid w:val="00025231"/>
    <w:rsid w:val="00026076"/>
    <w:rsid w:val="00026BF9"/>
    <w:rsid w:val="00030943"/>
    <w:rsid w:val="00030DBC"/>
    <w:rsid w:val="00030FA0"/>
    <w:rsid w:val="00032199"/>
    <w:rsid w:val="00032F63"/>
    <w:rsid w:val="00033054"/>
    <w:rsid w:val="00033D2B"/>
    <w:rsid w:val="0003547B"/>
    <w:rsid w:val="000355B8"/>
    <w:rsid w:val="000366B9"/>
    <w:rsid w:val="000402E0"/>
    <w:rsid w:val="00040FF5"/>
    <w:rsid w:val="00041798"/>
    <w:rsid w:val="00041DC2"/>
    <w:rsid w:val="000421CE"/>
    <w:rsid w:val="0004598C"/>
    <w:rsid w:val="00046ABC"/>
    <w:rsid w:val="0004747C"/>
    <w:rsid w:val="000477C8"/>
    <w:rsid w:val="00047F24"/>
    <w:rsid w:val="0005118E"/>
    <w:rsid w:val="0005151D"/>
    <w:rsid w:val="00051782"/>
    <w:rsid w:val="00051CAD"/>
    <w:rsid w:val="00051DB8"/>
    <w:rsid w:val="0005392F"/>
    <w:rsid w:val="00054619"/>
    <w:rsid w:val="000550A5"/>
    <w:rsid w:val="0005656B"/>
    <w:rsid w:val="00057120"/>
    <w:rsid w:val="00057598"/>
    <w:rsid w:val="00060248"/>
    <w:rsid w:val="000618DA"/>
    <w:rsid w:val="00061C2D"/>
    <w:rsid w:val="000621BA"/>
    <w:rsid w:val="000657F7"/>
    <w:rsid w:val="000663B6"/>
    <w:rsid w:val="000707A8"/>
    <w:rsid w:val="000707F7"/>
    <w:rsid w:val="00071E55"/>
    <w:rsid w:val="0007203B"/>
    <w:rsid w:val="0007458B"/>
    <w:rsid w:val="0007632E"/>
    <w:rsid w:val="000763F7"/>
    <w:rsid w:val="0007798C"/>
    <w:rsid w:val="00077DEB"/>
    <w:rsid w:val="00080CFD"/>
    <w:rsid w:val="0008165A"/>
    <w:rsid w:val="000827CD"/>
    <w:rsid w:val="000832A7"/>
    <w:rsid w:val="00084E17"/>
    <w:rsid w:val="0008502E"/>
    <w:rsid w:val="000871C8"/>
    <w:rsid w:val="000902E7"/>
    <w:rsid w:val="00090EC8"/>
    <w:rsid w:val="00091CD6"/>
    <w:rsid w:val="00091D71"/>
    <w:rsid w:val="000923E0"/>
    <w:rsid w:val="00092AE4"/>
    <w:rsid w:val="000935DF"/>
    <w:rsid w:val="00094B15"/>
    <w:rsid w:val="00095D9A"/>
    <w:rsid w:val="000973EF"/>
    <w:rsid w:val="00097535"/>
    <w:rsid w:val="000A0720"/>
    <w:rsid w:val="000A1062"/>
    <w:rsid w:val="000A1BB2"/>
    <w:rsid w:val="000A46E5"/>
    <w:rsid w:val="000A4C6A"/>
    <w:rsid w:val="000A50DC"/>
    <w:rsid w:val="000A53B6"/>
    <w:rsid w:val="000A54E7"/>
    <w:rsid w:val="000A5647"/>
    <w:rsid w:val="000A5C56"/>
    <w:rsid w:val="000A5DCE"/>
    <w:rsid w:val="000A7205"/>
    <w:rsid w:val="000A7DCA"/>
    <w:rsid w:val="000B0EA4"/>
    <w:rsid w:val="000B10CD"/>
    <w:rsid w:val="000B114D"/>
    <w:rsid w:val="000B12A5"/>
    <w:rsid w:val="000B2104"/>
    <w:rsid w:val="000B31CB"/>
    <w:rsid w:val="000B37A7"/>
    <w:rsid w:val="000B4407"/>
    <w:rsid w:val="000B4D7C"/>
    <w:rsid w:val="000B4DEE"/>
    <w:rsid w:val="000B5207"/>
    <w:rsid w:val="000B552E"/>
    <w:rsid w:val="000B69E0"/>
    <w:rsid w:val="000B6A81"/>
    <w:rsid w:val="000B7165"/>
    <w:rsid w:val="000B7EA5"/>
    <w:rsid w:val="000C0E03"/>
    <w:rsid w:val="000C0EAC"/>
    <w:rsid w:val="000C1292"/>
    <w:rsid w:val="000C164D"/>
    <w:rsid w:val="000C3424"/>
    <w:rsid w:val="000C402D"/>
    <w:rsid w:val="000C6765"/>
    <w:rsid w:val="000C6F56"/>
    <w:rsid w:val="000D0256"/>
    <w:rsid w:val="000D0A89"/>
    <w:rsid w:val="000D0EF3"/>
    <w:rsid w:val="000D1450"/>
    <w:rsid w:val="000D155D"/>
    <w:rsid w:val="000D1771"/>
    <w:rsid w:val="000D1CB7"/>
    <w:rsid w:val="000D1E26"/>
    <w:rsid w:val="000D2B08"/>
    <w:rsid w:val="000D35C5"/>
    <w:rsid w:val="000D3810"/>
    <w:rsid w:val="000D406C"/>
    <w:rsid w:val="000D7E2E"/>
    <w:rsid w:val="000E0F61"/>
    <w:rsid w:val="000E2BC7"/>
    <w:rsid w:val="000E2DD6"/>
    <w:rsid w:val="000E37A1"/>
    <w:rsid w:val="000E3892"/>
    <w:rsid w:val="000E3F44"/>
    <w:rsid w:val="000E438C"/>
    <w:rsid w:val="000E4E96"/>
    <w:rsid w:val="000E6017"/>
    <w:rsid w:val="000E6FDB"/>
    <w:rsid w:val="000E764B"/>
    <w:rsid w:val="000E7827"/>
    <w:rsid w:val="000F074B"/>
    <w:rsid w:val="000F0C35"/>
    <w:rsid w:val="000F1063"/>
    <w:rsid w:val="000F1230"/>
    <w:rsid w:val="000F257C"/>
    <w:rsid w:val="000F2734"/>
    <w:rsid w:val="000F29B9"/>
    <w:rsid w:val="000F2C5E"/>
    <w:rsid w:val="000F34BD"/>
    <w:rsid w:val="000F3B17"/>
    <w:rsid w:val="000F4F1B"/>
    <w:rsid w:val="000F545E"/>
    <w:rsid w:val="000F6206"/>
    <w:rsid w:val="000F6577"/>
    <w:rsid w:val="000F66CE"/>
    <w:rsid w:val="000F6D96"/>
    <w:rsid w:val="000F71D0"/>
    <w:rsid w:val="000F74A6"/>
    <w:rsid w:val="001006A5"/>
    <w:rsid w:val="0010224F"/>
    <w:rsid w:val="00102391"/>
    <w:rsid w:val="001044AE"/>
    <w:rsid w:val="0010451C"/>
    <w:rsid w:val="00105EF1"/>
    <w:rsid w:val="00105F11"/>
    <w:rsid w:val="001060A5"/>
    <w:rsid w:val="00107387"/>
    <w:rsid w:val="001073E6"/>
    <w:rsid w:val="00107C80"/>
    <w:rsid w:val="00110150"/>
    <w:rsid w:val="00110B0A"/>
    <w:rsid w:val="00111382"/>
    <w:rsid w:val="00111DAE"/>
    <w:rsid w:val="0011416C"/>
    <w:rsid w:val="001147BD"/>
    <w:rsid w:val="0011494E"/>
    <w:rsid w:val="00114A0F"/>
    <w:rsid w:val="00116C0B"/>
    <w:rsid w:val="00116D65"/>
    <w:rsid w:val="00117482"/>
    <w:rsid w:val="00117DA3"/>
    <w:rsid w:val="0012068D"/>
    <w:rsid w:val="00120EFC"/>
    <w:rsid w:val="00120FBB"/>
    <w:rsid w:val="00121E36"/>
    <w:rsid w:val="001228A2"/>
    <w:rsid w:val="00122D33"/>
    <w:rsid w:val="00125002"/>
    <w:rsid w:val="00125242"/>
    <w:rsid w:val="0012569B"/>
    <w:rsid w:val="001257C9"/>
    <w:rsid w:val="00126BAA"/>
    <w:rsid w:val="00127742"/>
    <w:rsid w:val="00130803"/>
    <w:rsid w:val="00130F24"/>
    <w:rsid w:val="0013145A"/>
    <w:rsid w:val="0013225E"/>
    <w:rsid w:val="00132658"/>
    <w:rsid w:val="0013322E"/>
    <w:rsid w:val="001338E4"/>
    <w:rsid w:val="001348B7"/>
    <w:rsid w:val="00135704"/>
    <w:rsid w:val="00135B96"/>
    <w:rsid w:val="00136B68"/>
    <w:rsid w:val="00137B07"/>
    <w:rsid w:val="0014052A"/>
    <w:rsid w:val="001405F4"/>
    <w:rsid w:val="001408FC"/>
    <w:rsid w:val="00140B85"/>
    <w:rsid w:val="00140DD9"/>
    <w:rsid w:val="0014343F"/>
    <w:rsid w:val="00143830"/>
    <w:rsid w:val="00143C41"/>
    <w:rsid w:val="001465CC"/>
    <w:rsid w:val="001477BF"/>
    <w:rsid w:val="00147DFD"/>
    <w:rsid w:val="0015117F"/>
    <w:rsid w:val="001537BA"/>
    <w:rsid w:val="001539FB"/>
    <w:rsid w:val="00153DA5"/>
    <w:rsid w:val="0015474A"/>
    <w:rsid w:val="00154D1A"/>
    <w:rsid w:val="00155E74"/>
    <w:rsid w:val="00156188"/>
    <w:rsid w:val="0015700B"/>
    <w:rsid w:val="001577BB"/>
    <w:rsid w:val="00160A93"/>
    <w:rsid w:val="00164D7C"/>
    <w:rsid w:val="0016541A"/>
    <w:rsid w:val="00165945"/>
    <w:rsid w:val="00165CC0"/>
    <w:rsid w:val="00165CE3"/>
    <w:rsid w:val="001660AE"/>
    <w:rsid w:val="0016687D"/>
    <w:rsid w:val="0016787C"/>
    <w:rsid w:val="00170852"/>
    <w:rsid w:val="00170D54"/>
    <w:rsid w:val="001710FC"/>
    <w:rsid w:val="00173185"/>
    <w:rsid w:val="001733E0"/>
    <w:rsid w:val="00174B9A"/>
    <w:rsid w:val="00177023"/>
    <w:rsid w:val="00181213"/>
    <w:rsid w:val="00181B7A"/>
    <w:rsid w:val="00184419"/>
    <w:rsid w:val="0018566A"/>
    <w:rsid w:val="00186EF3"/>
    <w:rsid w:val="001870FD"/>
    <w:rsid w:val="00190AC7"/>
    <w:rsid w:val="001914C7"/>
    <w:rsid w:val="001917BE"/>
    <w:rsid w:val="00192331"/>
    <w:rsid w:val="0019307E"/>
    <w:rsid w:val="001939F5"/>
    <w:rsid w:val="001942E4"/>
    <w:rsid w:val="00194E89"/>
    <w:rsid w:val="001950EE"/>
    <w:rsid w:val="00195A82"/>
    <w:rsid w:val="001960C7"/>
    <w:rsid w:val="0019610A"/>
    <w:rsid w:val="0019636D"/>
    <w:rsid w:val="001967CE"/>
    <w:rsid w:val="0019795A"/>
    <w:rsid w:val="001A0C7C"/>
    <w:rsid w:val="001A10FD"/>
    <w:rsid w:val="001A13D0"/>
    <w:rsid w:val="001A15AC"/>
    <w:rsid w:val="001A15B6"/>
    <w:rsid w:val="001A200C"/>
    <w:rsid w:val="001A4EDD"/>
    <w:rsid w:val="001A50AA"/>
    <w:rsid w:val="001A57F7"/>
    <w:rsid w:val="001A7626"/>
    <w:rsid w:val="001B06D0"/>
    <w:rsid w:val="001B19E6"/>
    <w:rsid w:val="001B1A61"/>
    <w:rsid w:val="001B2ABC"/>
    <w:rsid w:val="001B2EC2"/>
    <w:rsid w:val="001B46CF"/>
    <w:rsid w:val="001B5840"/>
    <w:rsid w:val="001B6181"/>
    <w:rsid w:val="001B6700"/>
    <w:rsid w:val="001B6D27"/>
    <w:rsid w:val="001B7521"/>
    <w:rsid w:val="001C113B"/>
    <w:rsid w:val="001C1DFE"/>
    <w:rsid w:val="001C2481"/>
    <w:rsid w:val="001C3917"/>
    <w:rsid w:val="001C3BCD"/>
    <w:rsid w:val="001C44E4"/>
    <w:rsid w:val="001C4A0B"/>
    <w:rsid w:val="001C5CD1"/>
    <w:rsid w:val="001C6878"/>
    <w:rsid w:val="001C6983"/>
    <w:rsid w:val="001D07EF"/>
    <w:rsid w:val="001D0BEF"/>
    <w:rsid w:val="001D0EC9"/>
    <w:rsid w:val="001D1EA2"/>
    <w:rsid w:val="001D2012"/>
    <w:rsid w:val="001D2B2F"/>
    <w:rsid w:val="001D430C"/>
    <w:rsid w:val="001D57EC"/>
    <w:rsid w:val="001D59AA"/>
    <w:rsid w:val="001D5EA9"/>
    <w:rsid w:val="001D6B1C"/>
    <w:rsid w:val="001D731C"/>
    <w:rsid w:val="001E306B"/>
    <w:rsid w:val="001E3807"/>
    <w:rsid w:val="001E3D17"/>
    <w:rsid w:val="001E408A"/>
    <w:rsid w:val="001E590C"/>
    <w:rsid w:val="001E612E"/>
    <w:rsid w:val="001E61AF"/>
    <w:rsid w:val="001E6B88"/>
    <w:rsid w:val="001F050E"/>
    <w:rsid w:val="001F0775"/>
    <w:rsid w:val="001F185A"/>
    <w:rsid w:val="001F1AC0"/>
    <w:rsid w:val="001F217C"/>
    <w:rsid w:val="001F324F"/>
    <w:rsid w:val="001F35EF"/>
    <w:rsid w:val="001F36D5"/>
    <w:rsid w:val="001F39FF"/>
    <w:rsid w:val="001F3BA3"/>
    <w:rsid w:val="001F3C60"/>
    <w:rsid w:val="001F4DED"/>
    <w:rsid w:val="001F5932"/>
    <w:rsid w:val="001F5E7D"/>
    <w:rsid w:val="001F6553"/>
    <w:rsid w:val="00200324"/>
    <w:rsid w:val="002004CC"/>
    <w:rsid w:val="00200BDE"/>
    <w:rsid w:val="002016E6"/>
    <w:rsid w:val="00201C33"/>
    <w:rsid w:val="002023BD"/>
    <w:rsid w:val="0020293C"/>
    <w:rsid w:val="00203B22"/>
    <w:rsid w:val="00204110"/>
    <w:rsid w:val="002049EF"/>
    <w:rsid w:val="0020549F"/>
    <w:rsid w:val="00205920"/>
    <w:rsid w:val="00205C65"/>
    <w:rsid w:val="002062BF"/>
    <w:rsid w:val="002109A4"/>
    <w:rsid w:val="002118C5"/>
    <w:rsid w:val="002122D5"/>
    <w:rsid w:val="0021231A"/>
    <w:rsid w:val="00212EA2"/>
    <w:rsid w:val="00213643"/>
    <w:rsid w:val="002142C9"/>
    <w:rsid w:val="0021616D"/>
    <w:rsid w:val="002161DC"/>
    <w:rsid w:val="0021690A"/>
    <w:rsid w:val="00216FB0"/>
    <w:rsid w:val="002176F4"/>
    <w:rsid w:val="0022090D"/>
    <w:rsid w:val="00220A9C"/>
    <w:rsid w:val="00220E49"/>
    <w:rsid w:val="0022146A"/>
    <w:rsid w:val="0022330F"/>
    <w:rsid w:val="00223A7C"/>
    <w:rsid w:val="00224568"/>
    <w:rsid w:val="00224763"/>
    <w:rsid w:val="00224EFF"/>
    <w:rsid w:val="002250DD"/>
    <w:rsid w:val="0022512B"/>
    <w:rsid w:val="0022591B"/>
    <w:rsid w:val="0022601E"/>
    <w:rsid w:val="00226BE3"/>
    <w:rsid w:val="002279CF"/>
    <w:rsid w:val="00227C5B"/>
    <w:rsid w:val="002301C5"/>
    <w:rsid w:val="0023121B"/>
    <w:rsid w:val="00231799"/>
    <w:rsid w:val="00233BE9"/>
    <w:rsid w:val="002341C4"/>
    <w:rsid w:val="00234365"/>
    <w:rsid w:val="002351F8"/>
    <w:rsid w:val="00235626"/>
    <w:rsid w:val="00235EF3"/>
    <w:rsid w:val="00237297"/>
    <w:rsid w:val="002376D7"/>
    <w:rsid w:val="002415BD"/>
    <w:rsid w:val="00242CB7"/>
    <w:rsid w:val="00243EB6"/>
    <w:rsid w:val="00243F08"/>
    <w:rsid w:val="0024412D"/>
    <w:rsid w:val="00245937"/>
    <w:rsid w:val="00245DD6"/>
    <w:rsid w:val="002461F9"/>
    <w:rsid w:val="002479B3"/>
    <w:rsid w:val="00250D09"/>
    <w:rsid w:val="002517D8"/>
    <w:rsid w:val="00251806"/>
    <w:rsid w:val="00251B42"/>
    <w:rsid w:val="00251C0A"/>
    <w:rsid w:val="00252521"/>
    <w:rsid w:val="00253471"/>
    <w:rsid w:val="0025411A"/>
    <w:rsid w:val="0025452F"/>
    <w:rsid w:val="002546EF"/>
    <w:rsid w:val="00255A6C"/>
    <w:rsid w:val="00256F81"/>
    <w:rsid w:val="00262A65"/>
    <w:rsid w:val="00262E68"/>
    <w:rsid w:val="00262F15"/>
    <w:rsid w:val="00263107"/>
    <w:rsid w:val="00263706"/>
    <w:rsid w:val="002650EC"/>
    <w:rsid w:val="0026530D"/>
    <w:rsid w:val="002675A8"/>
    <w:rsid w:val="00267D38"/>
    <w:rsid w:val="002700B7"/>
    <w:rsid w:val="00270189"/>
    <w:rsid w:val="00271026"/>
    <w:rsid w:val="0027195C"/>
    <w:rsid w:val="00274843"/>
    <w:rsid w:val="00274A1F"/>
    <w:rsid w:val="00274E81"/>
    <w:rsid w:val="002755D4"/>
    <w:rsid w:val="00276977"/>
    <w:rsid w:val="00276A29"/>
    <w:rsid w:val="00276E9C"/>
    <w:rsid w:val="00280C38"/>
    <w:rsid w:val="00281430"/>
    <w:rsid w:val="00281895"/>
    <w:rsid w:val="00282299"/>
    <w:rsid w:val="00282389"/>
    <w:rsid w:val="00282694"/>
    <w:rsid w:val="002828DC"/>
    <w:rsid w:val="00282B3B"/>
    <w:rsid w:val="002832B6"/>
    <w:rsid w:val="00283D6C"/>
    <w:rsid w:val="002841AB"/>
    <w:rsid w:val="002852CA"/>
    <w:rsid w:val="00285CFB"/>
    <w:rsid w:val="002906B5"/>
    <w:rsid w:val="00290932"/>
    <w:rsid w:val="00291D3B"/>
    <w:rsid w:val="002924B8"/>
    <w:rsid w:val="00293C45"/>
    <w:rsid w:val="002950F3"/>
    <w:rsid w:val="0029676A"/>
    <w:rsid w:val="0029758D"/>
    <w:rsid w:val="00297B0C"/>
    <w:rsid w:val="00297DAD"/>
    <w:rsid w:val="002A01C1"/>
    <w:rsid w:val="002A08B6"/>
    <w:rsid w:val="002A0B2B"/>
    <w:rsid w:val="002A16D3"/>
    <w:rsid w:val="002A192A"/>
    <w:rsid w:val="002A25B0"/>
    <w:rsid w:val="002A29F0"/>
    <w:rsid w:val="002A4998"/>
    <w:rsid w:val="002A4B68"/>
    <w:rsid w:val="002A4CE9"/>
    <w:rsid w:val="002A650F"/>
    <w:rsid w:val="002A69DE"/>
    <w:rsid w:val="002A74EE"/>
    <w:rsid w:val="002B18AF"/>
    <w:rsid w:val="002B3CD5"/>
    <w:rsid w:val="002B4D91"/>
    <w:rsid w:val="002B59F3"/>
    <w:rsid w:val="002B5A70"/>
    <w:rsid w:val="002B7B2C"/>
    <w:rsid w:val="002C0A6E"/>
    <w:rsid w:val="002C1319"/>
    <w:rsid w:val="002C1BEE"/>
    <w:rsid w:val="002C4431"/>
    <w:rsid w:val="002C4815"/>
    <w:rsid w:val="002C492B"/>
    <w:rsid w:val="002C4F98"/>
    <w:rsid w:val="002C5250"/>
    <w:rsid w:val="002C5B55"/>
    <w:rsid w:val="002C638D"/>
    <w:rsid w:val="002C6457"/>
    <w:rsid w:val="002D0585"/>
    <w:rsid w:val="002D0AC1"/>
    <w:rsid w:val="002D155A"/>
    <w:rsid w:val="002D18B5"/>
    <w:rsid w:val="002D1C8E"/>
    <w:rsid w:val="002D3B50"/>
    <w:rsid w:val="002D4D72"/>
    <w:rsid w:val="002D5171"/>
    <w:rsid w:val="002D612F"/>
    <w:rsid w:val="002D78FC"/>
    <w:rsid w:val="002E0A14"/>
    <w:rsid w:val="002E0E25"/>
    <w:rsid w:val="002E11D5"/>
    <w:rsid w:val="002E1462"/>
    <w:rsid w:val="002E15C3"/>
    <w:rsid w:val="002E1938"/>
    <w:rsid w:val="002E1C23"/>
    <w:rsid w:val="002E2C0F"/>
    <w:rsid w:val="002E2FEE"/>
    <w:rsid w:val="002E3944"/>
    <w:rsid w:val="002E4DDF"/>
    <w:rsid w:val="002E4DF8"/>
    <w:rsid w:val="002E5A88"/>
    <w:rsid w:val="002E5BB6"/>
    <w:rsid w:val="002E6FB6"/>
    <w:rsid w:val="002E6FDE"/>
    <w:rsid w:val="002F268D"/>
    <w:rsid w:val="002F29B7"/>
    <w:rsid w:val="002F2CD9"/>
    <w:rsid w:val="002F31AB"/>
    <w:rsid w:val="002F45CD"/>
    <w:rsid w:val="002F4A6D"/>
    <w:rsid w:val="002F5136"/>
    <w:rsid w:val="002F662D"/>
    <w:rsid w:val="002F6FB8"/>
    <w:rsid w:val="002F7AE4"/>
    <w:rsid w:val="00300221"/>
    <w:rsid w:val="003004C0"/>
    <w:rsid w:val="00301198"/>
    <w:rsid w:val="00301213"/>
    <w:rsid w:val="00302D20"/>
    <w:rsid w:val="0030380B"/>
    <w:rsid w:val="00303BBD"/>
    <w:rsid w:val="00304E26"/>
    <w:rsid w:val="00305569"/>
    <w:rsid w:val="00305A1C"/>
    <w:rsid w:val="003069E7"/>
    <w:rsid w:val="00311664"/>
    <w:rsid w:val="00311EFA"/>
    <w:rsid w:val="003131E3"/>
    <w:rsid w:val="00313A99"/>
    <w:rsid w:val="00313F08"/>
    <w:rsid w:val="00316088"/>
    <w:rsid w:val="00316662"/>
    <w:rsid w:val="003166A7"/>
    <w:rsid w:val="00320E3E"/>
    <w:rsid w:val="00321431"/>
    <w:rsid w:val="003214AD"/>
    <w:rsid w:val="0032189F"/>
    <w:rsid w:val="00321C09"/>
    <w:rsid w:val="0032210B"/>
    <w:rsid w:val="003224B3"/>
    <w:rsid w:val="00322989"/>
    <w:rsid w:val="003229AD"/>
    <w:rsid w:val="003231D6"/>
    <w:rsid w:val="00324618"/>
    <w:rsid w:val="00324BB8"/>
    <w:rsid w:val="00324FD8"/>
    <w:rsid w:val="003252E8"/>
    <w:rsid w:val="0032587C"/>
    <w:rsid w:val="0032590B"/>
    <w:rsid w:val="00326D6D"/>
    <w:rsid w:val="00327580"/>
    <w:rsid w:val="00327E2F"/>
    <w:rsid w:val="00327FA3"/>
    <w:rsid w:val="0033057B"/>
    <w:rsid w:val="0033085B"/>
    <w:rsid w:val="0033087D"/>
    <w:rsid w:val="00331AA7"/>
    <w:rsid w:val="003338AF"/>
    <w:rsid w:val="00333B8C"/>
    <w:rsid w:val="003344D8"/>
    <w:rsid w:val="003350EC"/>
    <w:rsid w:val="00340C00"/>
    <w:rsid w:val="00340C62"/>
    <w:rsid w:val="00340D0A"/>
    <w:rsid w:val="00341F21"/>
    <w:rsid w:val="003421D3"/>
    <w:rsid w:val="00342A1B"/>
    <w:rsid w:val="00342E5F"/>
    <w:rsid w:val="00344202"/>
    <w:rsid w:val="0034453D"/>
    <w:rsid w:val="0034480C"/>
    <w:rsid w:val="00344957"/>
    <w:rsid w:val="00344A18"/>
    <w:rsid w:val="00345E4D"/>
    <w:rsid w:val="003461ED"/>
    <w:rsid w:val="00346478"/>
    <w:rsid w:val="00346B68"/>
    <w:rsid w:val="003502FD"/>
    <w:rsid w:val="00352230"/>
    <w:rsid w:val="00352394"/>
    <w:rsid w:val="0035239B"/>
    <w:rsid w:val="00352DF7"/>
    <w:rsid w:val="00352FA4"/>
    <w:rsid w:val="003544E8"/>
    <w:rsid w:val="003546E9"/>
    <w:rsid w:val="003562D1"/>
    <w:rsid w:val="0035677D"/>
    <w:rsid w:val="0035709D"/>
    <w:rsid w:val="003571FD"/>
    <w:rsid w:val="00360AD8"/>
    <w:rsid w:val="003610AB"/>
    <w:rsid w:val="00361366"/>
    <w:rsid w:val="00361A16"/>
    <w:rsid w:val="00362806"/>
    <w:rsid w:val="003643B2"/>
    <w:rsid w:val="003645DA"/>
    <w:rsid w:val="00364B5E"/>
    <w:rsid w:val="00365C26"/>
    <w:rsid w:val="00365EDA"/>
    <w:rsid w:val="00366225"/>
    <w:rsid w:val="00366F0F"/>
    <w:rsid w:val="00370BF4"/>
    <w:rsid w:val="003710C9"/>
    <w:rsid w:val="00371107"/>
    <w:rsid w:val="003713A8"/>
    <w:rsid w:val="00371694"/>
    <w:rsid w:val="00371C86"/>
    <w:rsid w:val="00374B6B"/>
    <w:rsid w:val="00375314"/>
    <w:rsid w:val="00376706"/>
    <w:rsid w:val="00376C24"/>
    <w:rsid w:val="00377833"/>
    <w:rsid w:val="00381235"/>
    <w:rsid w:val="0038124D"/>
    <w:rsid w:val="00381E9D"/>
    <w:rsid w:val="00383DC9"/>
    <w:rsid w:val="00384EF9"/>
    <w:rsid w:val="00385A1B"/>
    <w:rsid w:val="00386C24"/>
    <w:rsid w:val="00386DEE"/>
    <w:rsid w:val="003872EB"/>
    <w:rsid w:val="003906DC"/>
    <w:rsid w:val="003906FD"/>
    <w:rsid w:val="00390BBB"/>
    <w:rsid w:val="00390DBB"/>
    <w:rsid w:val="00391BC3"/>
    <w:rsid w:val="00392034"/>
    <w:rsid w:val="00394D01"/>
    <w:rsid w:val="00395594"/>
    <w:rsid w:val="00397156"/>
    <w:rsid w:val="0039768C"/>
    <w:rsid w:val="00397BE8"/>
    <w:rsid w:val="00397F8A"/>
    <w:rsid w:val="003A049C"/>
    <w:rsid w:val="003A07EE"/>
    <w:rsid w:val="003A152A"/>
    <w:rsid w:val="003A1DC5"/>
    <w:rsid w:val="003A2282"/>
    <w:rsid w:val="003A394D"/>
    <w:rsid w:val="003A3EBC"/>
    <w:rsid w:val="003A4363"/>
    <w:rsid w:val="003A43D5"/>
    <w:rsid w:val="003A4780"/>
    <w:rsid w:val="003A4A42"/>
    <w:rsid w:val="003A5A0D"/>
    <w:rsid w:val="003A5DFC"/>
    <w:rsid w:val="003A6630"/>
    <w:rsid w:val="003A6F64"/>
    <w:rsid w:val="003B0257"/>
    <w:rsid w:val="003B0D77"/>
    <w:rsid w:val="003B0F31"/>
    <w:rsid w:val="003B2304"/>
    <w:rsid w:val="003B38D5"/>
    <w:rsid w:val="003B39D9"/>
    <w:rsid w:val="003B3C40"/>
    <w:rsid w:val="003B4A26"/>
    <w:rsid w:val="003B4A7A"/>
    <w:rsid w:val="003B5529"/>
    <w:rsid w:val="003B5BF1"/>
    <w:rsid w:val="003B6387"/>
    <w:rsid w:val="003C202C"/>
    <w:rsid w:val="003C35E9"/>
    <w:rsid w:val="003C4132"/>
    <w:rsid w:val="003C4662"/>
    <w:rsid w:val="003C6B95"/>
    <w:rsid w:val="003C72BC"/>
    <w:rsid w:val="003C72E4"/>
    <w:rsid w:val="003D00AA"/>
    <w:rsid w:val="003D0B23"/>
    <w:rsid w:val="003D2D3F"/>
    <w:rsid w:val="003D3BBC"/>
    <w:rsid w:val="003D472F"/>
    <w:rsid w:val="003D4F78"/>
    <w:rsid w:val="003D554E"/>
    <w:rsid w:val="003D611E"/>
    <w:rsid w:val="003D7F6E"/>
    <w:rsid w:val="003E0B64"/>
    <w:rsid w:val="003E172A"/>
    <w:rsid w:val="003E27F8"/>
    <w:rsid w:val="003E2BFD"/>
    <w:rsid w:val="003E39BC"/>
    <w:rsid w:val="003E3C7A"/>
    <w:rsid w:val="003E4849"/>
    <w:rsid w:val="003E5774"/>
    <w:rsid w:val="003E6E04"/>
    <w:rsid w:val="003E74DD"/>
    <w:rsid w:val="003E7704"/>
    <w:rsid w:val="003F031F"/>
    <w:rsid w:val="003F21A0"/>
    <w:rsid w:val="003F2C79"/>
    <w:rsid w:val="003F33C0"/>
    <w:rsid w:val="003F33DE"/>
    <w:rsid w:val="003F3C79"/>
    <w:rsid w:val="003F499F"/>
    <w:rsid w:val="003F50FE"/>
    <w:rsid w:val="003F53BF"/>
    <w:rsid w:val="003F6357"/>
    <w:rsid w:val="003F6F78"/>
    <w:rsid w:val="003F7333"/>
    <w:rsid w:val="003F76D4"/>
    <w:rsid w:val="0040079F"/>
    <w:rsid w:val="00401170"/>
    <w:rsid w:val="00401A29"/>
    <w:rsid w:val="00401AE7"/>
    <w:rsid w:val="00401F4E"/>
    <w:rsid w:val="00402326"/>
    <w:rsid w:val="00402597"/>
    <w:rsid w:val="004025B1"/>
    <w:rsid w:val="00402D0D"/>
    <w:rsid w:val="004031D4"/>
    <w:rsid w:val="00403689"/>
    <w:rsid w:val="004037D5"/>
    <w:rsid w:val="004051FE"/>
    <w:rsid w:val="004053C8"/>
    <w:rsid w:val="004055F1"/>
    <w:rsid w:val="00405B4F"/>
    <w:rsid w:val="004073F1"/>
    <w:rsid w:val="00410C53"/>
    <w:rsid w:val="00410ED6"/>
    <w:rsid w:val="00413294"/>
    <w:rsid w:val="00413358"/>
    <w:rsid w:val="004138E2"/>
    <w:rsid w:val="004146FA"/>
    <w:rsid w:val="00416C5D"/>
    <w:rsid w:val="00417A26"/>
    <w:rsid w:val="004202E9"/>
    <w:rsid w:val="00420C89"/>
    <w:rsid w:val="00421EAF"/>
    <w:rsid w:val="00422289"/>
    <w:rsid w:val="00422796"/>
    <w:rsid w:val="00423145"/>
    <w:rsid w:val="004233B0"/>
    <w:rsid w:val="00423972"/>
    <w:rsid w:val="00423BB0"/>
    <w:rsid w:val="0042487A"/>
    <w:rsid w:val="00424903"/>
    <w:rsid w:val="00424CC3"/>
    <w:rsid w:val="0042536E"/>
    <w:rsid w:val="00426200"/>
    <w:rsid w:val="00426D9E"/>
    <w:rsid w:val="0043001A"/>
    <w:rsid w:val="0043050F"/>
    <w:rsid w:val="0043088F"/>
    <w:rsid w:val="00430D91"/>
    <w:rsid w:val="004342B1"/>
    <w:rsid w:val="00434473"/>
    <w:rsid w:val="00434C9C"/>
    <w:rsid w:val="00435455"/>
    <w:rsid w:val="004367C2"/>
    <w:rsid w:val="0044050F"/>
    <w:rsid w:val="00441FE4"/>
    <w:rsid w:val="004421E6"/>
    <w:rsid w:val="004427A2"/>
    <w:rsid w:val="00443C30"/>
    <w:rsid w:val="00443E82"/>
    <w:rsid w:val="004443C7"/>
    <w:rsid w:val="00444551"/>
    <w:rsid w:val="00445341"/>
    <w:rsid w:val="00445B89"/>
    <w:rsid w:val="00445DFF"/>
    <w:rsid w:val="004461C9"/>
    <w:rsid w:val="004463C7"/>
    <w:rsid w:val="00446BCC"/>
    <w:rsid w:val="00446E2A"/>
    <w:rsid w:val="00447528"/>
    <w:rsid w:val="004504E5"/>
    <w:rsid w:val="004509F3"/>
    <w:rsid w:val="00454211"/>
    <w:rsid w:val="0045448A"/>
    <w:rsid w:val="004549E2"/>
    <w:rsid w:val="00456EFA"/>
    <w:rsid w:val="004573AE"/>
    <w:rsid w:val="004617BD"/>
    <w:rsid w:val="004617E4"/>
    <w:rsid w:val="00461C8C"/>
    <w:rsid w:val="00462E38"/>
    <w:rsid w:val="00463332"/>
    <w:rsid w:val="0046374F"/>
    <w:rsid w:val="004639E4"/>
    <w:rsid w:val="00463D35"/>
    <w:rsid w:val="004666C9"/>
    <w:rsid w:val="0046790C"/>
    <w:rsid w:val="00467F8E"/>
    <w:rsid w:val="004708FE"/>
    <w:rsid w:val="004727C3"/>
    <w:rsid w:val="00473549"/>
    <w:rsid w:val="00473829"/>
    <w:rsid w:val="00475547"/>
    <w:rsid w:val="0047607B"/>
    <w:rsid w:val="0047659C"/>
    <w:rsid w:val="00477D19"/>
    <w:rsid w:val="00481CC6"/>
    <w:rsid w:val="0048238D"/>
    <w:rsid w:val="004823A1"/>
    <w:rsid w:val="00482725"/>
    <w:rsid w:val="00482ACE"/>
    <w:rsid w:val="00484961"/>
    <w:rsid w:val="004865C9"/>
    <w:rsid w:val="004865D9"/>
    <w:rsid w:val="004903C1"/>
    <w:rsid w:val="004907A6"/>
    <w:rsid w:val="004912D0"/>
    <w:rsid w:val="00491450"/>
    <w:rsid w:val="004927C2"/>
    <w:rsid w:val="00493012"/>
    <w:rsid w:val="00495F19"/>
    <w:rsid w:val="004A101E"/>
    <w:rsid w:val="004A10A8"/>
    <w:rsid w:val="004A1AE8"/>
    <w:rsid w:val="004A3FC5"/>
    <w:rsid w:val="004A40EC"/>
    <w:rsid w:val="004A583D"/>
    <w:rsid w:val="004A5D1D"/>
    <w:rsid w:val="004A62C1"/>
    <w:rsid w:val="004B039F"/>
    <w:rsid w:val="004B1F2B"/>
    <w:rsid w:val="004B37D3"/>
    <w:rsid w:val="004B4029"/>
    <w:rsid w:val="004B417C"/>
    <w:rsid w:val="004B45C6"/>
    <w:rsid w:val="004B4625"/>
    <w:rsid w:val="004B4EA2"/>
    <w:rsid w:val="004B4F0F"/>
    <w:rsid w:val="004B5A14"/>
    <w:rsid w:val="004B5EB3"/>
    <w:rsid w:val="004B6D4E"/>
    <w:rsid w:val="004B722D"/>
    <w:rsid w:val="004C0675"/>
    <w:rsid w:val="004C12A1"/>
    <w:rsid w:val="004C1393"/>
    <w:rsid w:val="004C1438"/>
    <w:rsid w:val="004C16D1"/>
    <w:rsid w:val="004C3633"/>
    <w:rsid w:val="004C3B34"/>
    <w:rsid w:val="004C4F87"/>
    <w:rsid w:val="004C5C2F"/>
    <w:rsid w:val="004C781C"/>
    <w:rsid w:val="004C79D2"/>
    <w:rsid w:val="004D010F"/>
    <w:rsid w:val="004D1040"/>
    <w:rsid w:val="004D1C04"/>
    <w:rsid w:val="004D32B0"/>
    <w:rsid w:val="004D4D39"/>
    <w:rsid w:val="004D617D"/>
    <w:rsid w:val="004D704A"/>
    <w:rsid w:val="004D771A"/>
    <w:rsid w:val="004D7E30"/>
    <w:rsid w:val="004E1044"/>
    <w:rsid w:val="004E1783"/>
    <w:rsid w:val="004E1B3A"/>
    <w:rsid w:val="004E23AB"/>
    <w:rsid w:val="004E349F"/>
    <w:rsid w:val="004E3ABD"/>
    <w:rsid w:val="004E3BD3"/>
    <w:rsid w:val="004E469E"/>
    <w:rsid w:val="004E47C4"/>
    <w:rsid w:val="004E4A3A"/>
    <w:rsid w:val="004E520E"/>
    <w:rsid w:val="004E56D5"/>
    <w:rsid w:val="004E61B2"/>
    <w:rsid w:val="004E6DE7"/>
    <w:rsid w:val="004F0663"/>
    <w:rsid w:val="004F1497"/>
    <w:rsid w:val="004F2A41"/>
    <w:rsid w:val="004F3155"/>
    <w:rsid w:val="004F433A"/>
    <w:rsid w:val="004F4A13"/>
    <w:rsid w:val="004F5B0F"/>
    <w:rsid w:val="004F5F83"/>
    <w:rsid w:val="004F7726"/>
    <w:rsid w:val="00501210"/>
    <w:rsid w:val="0050230A"/>
    <w:rsid w:val="00502421"/>
    <w:rsid w:val="00502464"/>
    <w:rsid w:val="00502718"/>
    <w:rsid w:val="00503ECC"/>
    <w:rsid w:val="00504FE3"/>
    <w:rsid w:val="005051EF"/>
    <w:rsid w:val="00513115"/>
    <w:rsid w:val="00513202"/>
    <w:rsid w:val="00513EB2"/>
    <w:rsid w:val="0051492C"/>
    <w:rsid w:val="00514B3C"/>
    <w:rsid w:val="005173D3"/>
    <w:rsid w:val="0051750A"/>
    <w:rsid w:val="005178DB"/>
    <w:rsid w:val="00521772"/>
    <w:rsid w:val="005241B5"/>
    <w:rsid w:val="005241C2"/>
    <w:rsid w:val="005254A7"/>
    <w:rsid w:val="00525E6F"/>
    <w:rsid w:val="005267DA"/>
    <w:rsid w:val="00527534"/>
    <w:rsid w:val="0053038D"/>
    <w:rsid w:val="00530D01"/>
    <w:rsid w:val="005318C6"/>
    <w:rsid w:val="00532940"/>
    <w:rsid w:val="00532BE3"/>
    <w:rsid w:val="005333DE"/>
    <w:rsid w:val="00533672"/>
    <w:rsid w:val="00536580"/>
    <w:rsid w:val="0053674D"/>
    <w:rsid w:val="00537C59"/>
    <w:rsid w:val="00541851"/>
    <w:rsid w:val="00541B3B"/>
    <w:rsid w:val="0054204C"/>
    <w:rsid w:val="00542696"/>
    <w:rsid w:val="00543F5C"/>
    <w:rsid w:val="00544595"/>
    <w:rsid w:val="00544751"/>
    <w:rsid w:val="00544A4F"/>
    <w:rsid w:val="00544A5E"/>
    <w:rsid w:val="00544D91"/>
    <w:rsid w:val="005453FA"/>
    <w:rsid w:val="00545588"/>
    <w:rsid w:val="00545A44"/>
    <w:rsid w:val="00545A5B"/>
    <w:rsid w:val="00546AAB"/>
    <w:rsid w:val="00546E01"/>
    <w:rsid w:val="00547925"/>
    <w:rsid w:val="00547A6B"/>
    <w:rsid w:val="0055452D"/>
    <w:rsid w:val="0055490B"/>
    <w:rsid w:val="00554DB3"/>
    <w:rsid w:val="00555160"/>
    <w:rsid w:val="00556DBA"/>
    <w:rsid w:val="00557115"/>
    <w:rsid w:val="00557597"/>
    <w:rsid w:val="005579D5"/>
    <w:rsid w:val="005607CB"/>
    <w:rsid w:val="00560D28"/>
    <w:rsid w:val="00561A33"/>
    <w:rsid w:val="00562684"/>
    <w:rsid w:val="00563D59"/>
    <w:rsid w:val="00564177"/>
    <w:rsid w:val="00564530"/>
    <w:rsid w:val="00567B59"/>
    <w:rsid w:val="0057147C"/>
    <w:rsid w:val="005714F9"/>
    <w:rsid w:val="00573069"/>
    <w:rsid w:val="00575461"/>
    <w:rsid w:val="00575B4F"/>
    <w:rsid w:val="00577AED"/>
    <w:rsid w:val="00582425"/>
    <w:rsid w:val="00582A76"/>
    <w:rsid w:val="00583B3D"/>
    <w:rsid w:val="0058405F"/>
    <w:rsid w:val="005844B6"/>
    <w:rsid w:val="00584ADC"/>
    <w:rsid w:val="00587BB8"/>
    <w:rsid w:val="005903B8"/>
    <w:rsid w:val="00590BB1"/>
    <w:rsid w:val="00590F84"/>
    <w:rsid w:val="005919EF"/>
    <w:rsid w:val="00591A55"/>
    <w:rsid w:val="00591C71"/>
    <w:rsid w:val="00592AF6"/>
    <w:rsid w:val="00593558"/>
    <w:rsid w:val="00593DE7"/>
    <w:rsid w:val="005948CC"/>
    <w:rsid w:val="00594B26"/>
    <w:rsid w:val="005953C0"/>
    <w:rsid w:val="00595794"/>
    <w:rsid w:val="005A0D8E"/>
    <w:rsid w:val="005A18EE"/>
    <w:rsid w:val="005A3D25"/>
    <w:rsid w:val="005A50EF"/>
    <w:rsid w:val="005A5A95"/>
    <w:rsid w:val="005A775A"/>
    <w:rsid w:val="005A78ED"/>
    <w:rsid w:val="005B1876"/>
    <w:rsid w:val="005B3DFE"/>
    <w:rsid w:val="005B4311"/>
    <w:rsid w:val="005B4CCC"/>
    <w:rsid w:val="005B4E9A"/>
    <w:rsid w:val="005B547E"/>
    <w:rsid w:val="005B5CFC"/>
    <w:rsid w:val="005B6462"/>
    <w:rsid w:val="005B7480"/>
    <w:rsid w:val="005B7C65"/>
    <w:rsid w:val="005C1592"/>
    <w:rsid w:val="005C2350"/>
    <w:rsid w:val="005C2BB6"/>
    <w:rsid w:val="005C2FA0"/>
    <w:rsid w:val="005C3636"/>
    <w:rsid w:val="005C4818"/>
    <w:rsid w:val="005C5A9E"/>
    <w:rsid w:val="005C5F0C"/>
    <w:rsid w:val="005C655F"/>
    <w:rsid w:val="005C6F40"/>
    <w:rsid w:val="005C7B55"/>
    <w:rsid w:val="005D038D"/>
    <w:rsid w:val="005D174A"/>
    <w:rsid w:val="005D3ABB"/>
    <w:rsid w:val="005D414F"/>
    <w:rsid w:val="005D4340"/>
    <w:rsid w:val="005D561C"/>
    <w:rsid w:val="005D6EEA"/>
    <w:rsid w:val="005D74B5"/>
    <w:rsid w:val="005D74BF"/>
    <w:rsid w:val="005D7ACC"/>
    <w:rsid w:val="005E0EE1"/>
    <w:rsid w:val="005E216C"/>
    <w:rsid w:val="005E2285"/>
    <w:rsid w:val="005E3442"/>
    <w:rsid w:val="005E4992"/>
    <w:rsid w:val="005E5CB2"/>
    <w:rsid w:val="005E5D84"/>
    <w:rsid w:val="005E646C"/>
    <w:rsid w:val="005E6921"/>
    <w:rsid w:val="005E6F99"/>
    <w:rsid w:val="005E70DF"/>
    <w:rsid w:val="005E7262"/>
    <w:rsid w:val="005F003C"/>
    <w:rsid w:val="005F184C"/>
    <w:rsid w:val="005F1953"/>
    <w:rsid w:val="005F1CA8"/>
    <w:rsid w:val="005F213F"/>
    <w:rsid w:val="005F2ED4"/>
    <w:rsid w:val="005F4B89"/>
    <w:rsid w:val="005F5446"/>
    <w:rsid w:val="005F58C8"/>
    <w:rsid w:val="005F6B74"/>
    <w:rsid w:val="005F73B8"/>
    <w:rsid w:val="00600ABC"/>
    <w:rsid w:val="00600D26"/>
    <w:rsid w:val="00600E62"/>
    <w:rsid w:val="0060363F"/>
    <w:rsid w:val="00603BC6"/>
    <w:rsid w:val="00603E42"/>
    <w:rsid w:val="00603EDC"/>
    <w:rsid w:val="006040A6"/>
    <w:rsid w:val="0060629E"/>
    <w:rsid w:val="00607204"/>
    <w:rsid w:val="00607870"/>
    <w:rsid w:val="006078B9"/>
    <w:rsid w:val="00607D36"/>
    <w:rsid w:val="00611074"/>
    <w:rsid w:val="00611692"/>
    <w:rsid w:val="00612015"/>
    <w:rsid w:val="006124F9"/>
    <w:rsid w:val="0061259A"/>
    <w:rsid w:val="0061295F"/>
    <w:rsid w:val="00612C3A"/>
    <w:rsid w:val="00613093"/>
    <w:rsid w:val="006135EF"/>
    <w:rsid w:val="00613728"/>
    <w:rsid w:val="006149F4"/>
    <w:rsid w:val="0061549A"/>
    <w:rsid w:val="00615D0E"/>
    <w:rsid w:val="00615F59"/>
    <w:rsid w:val="00616357"/>
    <w:rsid w:val="0062188D"/>
    <w:rsid w:val="0062215D"/>
    <w:rsid w:val="00622CEB"/>
    <w:rsid w:val="00623FC0"/>
    <w:rsid w:val="0062429B"/>
    <w:rsid w:val="00625327"/>
    <w:rsid w:val="00625960"/>
    <w:rsid w:val="006259D7"/>
    <w:rsid w:val="00627B52"/>
    <w:rsid w:val="00630783"/>
    <w:rsid w:val="00630976"/>
    <w:rsid w:val="00630A77"/>
    <w:rsid w:val="0063162A"/>
    <w:rsid w:val="00632AE5"/>
    <w:rsid w:val="00632B6F"/>
    <w:rsid w:val="00634167"/>
    <w:rsid w:val="006345FD"/>
    <w:rsid w:val="006356CA"/>
    <w:rsid w:val="00637C41"/>
    <w:rsid w:val="0064050F"/>
    <w:rsid w:val="0064058A"/>
    <w:rsid w:val="00640638"/>
    <w:rsid w:val="006410B0"/>
    <w:rsid w:val="006415AB"/>
    <w:rsid w:val="00641A7B"/>
    <w:rsid w:val="0064248E"/>
    <w:rsid w:val="00642EDD"/>
    <w:rsid w:val="0064393B"/>
    <w:rsid w:val="00643FDB"/>
    <w:rsid w:val="00644C1C"/>
    <w:rsid w:val="0064585E"/>
    <w:rsid w:val="00645EEE"/>
    <w:rsid w:val="0064777A"/>
    <w:rsid w:val="0064795C"/>
    <w:rsid w:val="00647AEC"/>
    <w:rsid w:val="00647E82"/>
    <w:rsid w:val="006511AD"/>
    <w:rsid w:val="00652790"/>
    <w:rsid w:val="00652C68"/>
    <w:rsid w:val="00652CD8"/>
    <w:rsid w:val="0065391D"/>
    <w:rsid w:val="0065419D"/>
    <w:rsid w:val="00656AE3"/>
    <w:rsid w:val="00656BE3"/>
    <w:rsid w:val="00656C63"/>
    <w:rsid w:val="00661B20"/>
    <w:rsid w:val="00665389"/>
    <w:rsid w:val="00666652"/>
    <w:rsid w:val="00667097"/>
    <w:rsid w:val="00670BFE"/>
    <w:rsid w:val="00670D6B"/>
    <w:rsid w:val="006710AA"/>
    <w:rsid w:val="00671658"/>
    <w:rsid w:val="006716B5"/>
    <w:rsid w:val="006720ED"/>
    <w:rsid w:val="0067286E"/>
    <w:rsid w:val="0067339E"/>
    <w:rsid w:val="00673BBD"/>
    <w:rsid w:val="006747C2"/>
    <w:rsid w:val="0067587F"/>
    <w:rsid w:val="00676213"/>
    <w:rsid w:val="006762D6"/>
    <w:rsid w:val="0067658D"/>
    <w:rsid w:val="00676D38"/>
    <w:rsid w:val="006772F9"/>
    <w:rsid w:val="00682594"/>
    <w:rsid w:val="006825C4"/>
    <w:rsid w:val="00682707"/>
    <w:rsid w:val="006830E2"/>
    <w:rsid w:val="0068460A"/>
    <w:rsid w:val="00686BE5"/>
    <w:rsid w:val="00686D86"/>
    <w:rsid w:val="0068792E"/>
    <w:rsid w:val="0069091D"/>
    <w:rsid w:val="006909B5"/>
    <w:rsid w:val="00690A6D"/>
    <w:rsid w:val="00690E86"/>
    <w:rsid w:val="0069110E"/>
    <w:rsid w:val="006916AE"/>
    <w:rsid w:val="00691B4E"/>
    <w:rsid w:val="00693118"/>
    <w:rsid w:val="00693900"/>
    <w:rsid w:val="00694EAF"/>
    <w:rsid w:val="00695C46"/>
    <w:rsid w:val="00696400"/>
    <w:rsid w:val="0069741C"/>
    <w:rsid w:val="00697E5E"/>
    <w:rsid w:val="006A04DB"/>
    <w:rsid w:val="006A0AB6"/>
    <w:rsid w:val="006A2033"/>
    <w:rsid w:val="006A21E9"/>
    <w:rsid w:val="006A23F8"/>
    <w:rsid w:val="006A2AA8"/>
    <w:rsid w:val="006A4B86"/>
    <w:rsid w:val="006A50E3"/>
    <w:rsid w:val="006B0AA5"/>
    <w:rsid w:val="006B0F4A"/>
    <w:rsid w:val="006B10DE"/>
    <w:rsid w:val="006B1268"/>
    <w:rsid w:val="006B149A"/>
    <w:rsid w:val="006B27FF"/>
    <w:rsid w:val="006B3874"/>
    <w:rsid w:val="006B3D6D"/>
    <w:rsid w:val="006B44A4"/>
    <w:rsid w:val="006B44C0"/>
    <w:rsid w:val="006B45B9"/>
    <w:rsid w:val="006B585E"/>
    <w:rsid w:val="006B6AD8"/>
    <w:rsid w:val="006B75D9"/>
    <w:rsid w:val="006B777C"/>
    <w:rsid w:val="006C0438"/>
    <w:rsid w:val="006C0F49"/>
    <w:rsid w:val="006C0F98"/>
    <w:rsid w:val="006C2066"/>
    <w:rsid w:val="006C20F1"/>
    <w:rsid w:val="006C2655"/>
    <w:rsid w:val="006C30B2"/>
    <w:rsid w:val="006C5586"/>
    <w:rsid w:val="006C6B5D"/>
    <w:rsid w:val="006C7A6C"/>
    <w:rsid w:val="006C7A84"/>
    <w:rsid w:val="006D0107"/>
    <w:rsid w:val="006D0916"/>
    <w:rsid w:val="006D119D"/>
    <w:rsid w:val="006D3009"/>
    <w:rsid w:val="006D3033"/>
    <w:rsid w:val="006D312D"/>
    <w:rsid w:val="006D3995"/>
    <w:rsid w:val="006D3EB5"/>
    <w:rsid w:val="006D4AD3"/>
    <w:rsid w:val="006D5119"/>
    <w:rsid w:val="006D63FD"/>
    <w:rsid w:val="006D64ED"/>
    <w:rsid w:val="006D6961"/>
    <w:rsid w:val="006D75E0"/>
    <w:rsid w:val="006D7754"/>
    <w:rsid w:val="006D7EC8"/>
    <w:rsid w:val="006E0561"/>
    <w:rsid w:val="006E11E9"/>
    <w:rsid w:val="006E1577"/>
    <w:rsid w:val="006E15C6"/>
    <w:rsid w:val="006E177F"/>
    <w:rsid w:val="006E2CDF"/>
    <w:rsid w:val="006E368D"/>
    <w:rsid w:val="006E3708"/>
    <w:rsid w:val="006E3B1B"/>
    <w:rsid w:val="006E44DF"/>
    <w:rsid w:val="006E4992"/>
    <w:rsid w:val="006E599E"/>
    <w:rsid w:val="006E714E"/>
    <w:rsid w:val="006F06B8"/>
    <w:rsid w:val="006F08BE"/>
    <w:rsid w:val="006F14D2"/>
    <w:rsid w:val="006F294F"/>
    <w:rsid w:val="006F3A6C"/>
    <w:rsid w:val="006F47C2"/>
    <w:rsid w:val="006F49BC"/>
    <w:rsid w:val="006F5188"/>
    <w:rsid w:val="006F54B1"/>
    <w:rsid w:val="006F5969"/>
    <w:rsid w:val="006F59A6"/>
    <w:rsid w:val="006F6314"/>
    <w:rsid w:val="006F6F20"/>
    <w:rsid w:val="0070008D"/>
    <w:rsid w:val="007008EC"/>
    <w:rsid w:val="00700944"/>
    <w:rsid w:val="00702EC6"/>
    <w:rsid w:val="00703D10"/>
    <w:rsid w:val="00703E13"/>
    <w:rsid w:val="007046C8"/>
    <w:rsid w:val="007046FA"/>
    <w:rsid w:val="00706588"/>
    <w:rsid w:val="007068D8"/>
    <w:rsid w:val="00706CBB"/>
    <w:rsid w:val="00707B8C"/>
    <w:rsid w:val="00710145"/>
    <w:rsid w:val="0071051E"/>
    <w:rsid w:val="0071068F"/>
    <w:rsid w:val="00710A77"/>
    <w:rsid w:val="0071198D"/>
    <w:rsid w:val="00712E29"/>
    <w:rsid w:val="00714140"/>
    <w:rsid w:val="00716D95"/>
    <w:rsid w:val="007176F8"/>
    <w:rsid w:val="00717DA2"/>
    <w:rsid w:val="00717F0C"/>
    <w:rsid w:val="00720B78"/>
    <w:rsid w:val="00720ED2"/>
    <w:rsid w:val="0072104C"/>
    <w:rsid w:val="0072271E"/>
    <w:rsid w:val="00723A5E"/>
    <w:rsid w:val="00724226"/>
    <w:rsid w:val="007269D9"/>
    <w:rsid w:val="007271CE"/>
    <w:rsid w:val="00727B5F"/>
    <w:rsid w:val="00727D4B"/>
    <w:rsid w:val="00730E4E"/>
    <w:rsid w:val="007313AD"/>
    <w:rsid w:val="00732616"/>
    <w:rsid w:val="00732A98"/>
    <w:rsid w:val="0073326C"/>
    <w:rsid w:val="0073510D"/>
    <w:rsid w:val="007357A1"/>
    <w:rsid w:val="00737831"/>
    <w:rsid w:val="00737F4F"/>
    <w:rsid w:val="007403ED"/>
    <w:rsid w:val="00740CC4"/>
    <w:rsid w:val="00742952"/>
    <w:rsid w:val="00742D4A"/>
    <w:rsid w:val="00742DB9"/>
    <w:rsid w:val="0074369B"/>
    <w:rsid w:val="007439BC"/>
    <w:rsid w:val="00743C24"/>
    <w:rsid w:val="00744545"/>
    <w:rsid w:val="00744C9A"/>
    <w:rsid w:val="00744F71"/>
    <w:rsid w:val="00746D5F"/>
    <w:rsid w:val="007471B6"/>
    <w:rsid w:val="007536AC"/>
    <w:rsid w:val="00753937"/>
    <w:rsid w:val="00753DC4"/>
    <w:rsid w:val="007546BB"/>
    <w:rsid w:val="00754F5E"/>
    <w:rsid w:val="00755AC4"/>
    <w:rsid w:val="00756A54"/>
    <w:rsid w:val="00756BA9"/>
    <w:rsid w:val="00757713"/>
    <w:rsid w:val="0075797C"/>
    <w:rsid w:val="00757EE2"/>
    <w:rsid w:val="00757FB3"/>
    <w:rsid w:val="00761552"/>
    <w:rsid w:val="00761C0D"/>
    <w:rsid w:val="00763735"/>
    <w:rsid w:val="00764076"/>
    <w:rsid w:val="0076508C"/>
    <w:rsid w:val="00765AE4"/>
    <w:rsid w:val="0076628C"/>
    <w:rsid w:val="00766449"/>
    <w:rsid w:val="0076715E"/>
    <w:rsid w:val="00767C2D"/>
    <w:rsid w:val="007706D5"/>
    <w:rsid w:val="00770B5E"/>
    <w:rsid w:val="0077254C"/>
    <w:rsid w:val="00772EDB"/>
    <w:rsid w:val="00773143"/>
    <w:rsid w:val="00774F3D"/>
    <w:rsid w:val="007759B4"/>
    <w:rsid w:val="00776327"/>
    <w:rsid w:val="007766AF"/>
    <w:rsid w:val="0077683E"/>
    <w:rsid w:val="00781DCB"/>
    <w:rsid w:val="0078222A"/>
    <w:rsid w:val="00782A6D"/>
    <w:rsid w:val="0078447B"/>
    <w:rsid w:val="00784DA0"/>
    <w:rsid w:val="00786383"/>
    <w:rsid w:val="007866EA"/>
    <w:rsid w:val="00786B17"/>
    <w:rsid w:val="0078726B"/>
    <w:rsid w:val="007876AC"/>
    <w:rsid w:val="00787A92"/>
    <w:rsid w:val="00787B76"/>
    <w:rsid w:val="00787DE9"/>
    <w:rsid w:val="00787FD5"/>
    <w:rsid w:val="00790922"/>
    <w:rsid w:val="00791588"/>
    <w:rsid w:val="00791F26"/>
    <w:rsid w:val="00793FFC"/>
    <w:rsid w:val="0079477B"/>
    <w:rsid w:val="00795067"/>
    <w:rsid w:val="00796CA3"/>
    <w:rsid w:val="0079799A"/>
    <w:rsid w:val="007A003B"/>
    <w:rsid w:val="007A046A"/>
    <w:rsid w:val="007A3069"/>
    <w:rsid w:val="007A4B2D"/>
    <w:rsid w:val="007A528B"/>
    <w:rsid w:val="007A55F5"/>
    <w:rsid w:val="007A60AA"/>
    <w:rsid w:val="007A683C"/>
    <w:rsid w:val="007A794A"/>
    <w:rsid w:val="007A7F82"/>
    <w:rsid w:val="007B40E0"/>
    <w:rsid w:val="007B46C4"/>
    <w:rsid w:val="007B4CFE"/>
    <w:rsid w:val="007B4DEF"/>
    <w:rsid w:val="007B52BA"/>
    <w:rsid w:val="007B64CB"/>
    <w:rsid w:val="007B69D6"/>
    <w:rsid w:val="007B6EAC"/>
    <w:rsid w:val="007B7565"/>
    <w:rsid w:val="007B799E"/>
    <w:rsid w:val="007C0F8C"/>
    <w:rsid w:val="007C4335"/>
    <w:rsid w:val="007C4A4C"/>
    <w:rsid w:val="007C7136"/>
    <w:rsid w:val="007C738E"/>
    <w:rsid w:val="007D09EC"/>
    <w:rsid w:val="007D3E88"/>
    <w:rsid w:val="007D465C"/>
    <w:rsid w:val="007D49C0"/>
    <w:rsid w:val="007D4C51"/>
    <w:rsid w:val="007D5F12"/>
    <w:rsid w:val="007D6D80"/>
    <w:rsid w:val="007D6E1B"/>
    <w:rsid w:val="007E056A"/>
    <w:rsid w:val="007E0CC2"/>
    <w:rsid w:val="007E0EDB"/>
    <w:rsid w:val="007E173A"/>
    <w:rsid w:val="007E18D6"/>
    <w:rsid w:val="007E3B6C"/>
    <w:rsid w:val="007E4630"/>
    <w:rsid w:val="007E4A44"/>
    <w:rsid w:val="007E6000"/>
    <w:rsid w:val="007E635A"/>
    <w:rsid w:val="007E70E4"/>
    <w:rsid w:val="007F3021"/>
    <w:rsid w:val="007F3530"/>
    <w:rsid w:val="007F421E"/>
    <w:rsid w:val="007F433C"/>
    <w:rsid w:val="007F47F8"/>
    <w:rsid w:val="007F4A35"/>
    <w:rsid w:val="007F5073"/>
    <w:rsid w:val="007F5078"/>
    <w:rsid w:val="007F530A"/>
    <w:rsid w:val="007F5A47"/>
    <w:rsid w:val="007F5BF1"/>
    <w:rsid w:val="007F765E"/>
    <w:rsid w:val="007F7B69"/>
    <w:rsid w:val="007F7C37"/>
    <w:rsid w:val="007F7E7A"/>
    <w:rsid w:val="00800C9B"/>
    <w:rsid w:val="008010AC"/>
    <w:rsid w:val="00801862"/>
    <w:rsid w:val="00801B28"/>
    <w:rsid w:val="00801BDB"/>
    <w:rsid w:val="00802196"/>
    <w:rsid w:val="0080237B"/>
    <w:rsid w:val="0080300A"/>
    <w:rsid w:val="0080394E"/>
    <w:rsid w:val="00803B32"/>
    <w:rsid w:val="00804225"/>
    <w:rsid w:val="008046D2"/>
    <w:rsid w:val="00804A4C"/>
    <w:rsid w:val="00804A67"/>
    <w:rsid w:val="00805D2B"/>
    <w:rsid w:val="0081076A"/>
    <w:rsid w:val="00810908"/>
    <w:rsid w:val="00810B9B"/>
    <w:rsid w:val="008125AB"/>
    <w:rsid w:val="00813170"/>
    <w:rsid w:val="00814DF4"/>
    <w:rsid w:val="00815189"/>
    <w:rsid w:val="008154D2"/>
    <w:rsid w:val="0081557C"/>
    <w:rsid w:val="00815960"/>
    <w:rsid w:val="00817777"/>
    <w:rsid w:val="0082092A"/>
    <w:rsid w:val="00821576"/>
    <w:rsid w:val="00821A2F"/>
    <w:rsid w:val="00822A66"/>
    <w:rsid w:val="008231B6"/>
    <w:rsid w:val="0082346F"/>
    <w:rsid w:val="008234B3"/>
    <w:rsid w:val="00823826"/>
    <w:rsid w:val="00824A67"/>
    <w:rsid w:val="00824ABD"/>
    <w:rsid w:val="008253EF"/>
    <w:rsid w:val="0082587A"/>
    <w:rsid w:val="008272D6"/>
    <w:rsid w:val="008279D2"/>
    <w:rsid w:val="008314FF"/>
    <w:rsid w:val="00831CDD"/>
    <w:rsid w:val="00831DC1"/>
    <w:rsid w:val="00832828"/>
    <w:rsid w:val="00832899"/>
    <w:rsid w:val="008338A7"/>
    <w:rsid w:val="00834CAD"/>
    <w:rsid w:val="008351E3"/>
    <w:rsid w:val="00835845"/>
    <w:rsid w:val="00835CA0"/>
    <w:rsid w:val="00836399"/>
    <w:rsid w:val="00836E77"/>
    <w:rsid w:val="00837576"/>
    <w:rsid w:val="00837B2F"/>
    <w:rsid w:val="00841783"/>
    <w:rsid w:val="00841C0C"/>
    <w:rsid w:val="0084209F"/>
    <w:rsid w:val="00842145"/>
    <w:rsid w:val="008422E1"/>
    <w:rsid w:val="00842894"/>
    <w:rsid w:val="008434DC"/>
    <w:rsid w:val="008445B7"/>
    <w:rsid w:val="00844707"/>
    <w:rsid w:val="00844C86"/>
    <w:rsid w:val="00845AD4"/>
    <w:rsid w:val="0084603E"/>
    <w:rsid w:val="00846221"/>
    <w:rsid w:val="00847A20"/>
    <w:rsid w:val="00847BE8"/>
    <w:rsid w:val="00847C03"/>
    <w:rsid w:val="00851C9B"/>
    <w:rsid w:val="00851E56"/>
    <w:rsid w:val="008520AF"/>
    <w:rsid w:val="00855A9E"/>
    <w:rsid w:val="00857135"/>
    <w:rsid w:val="00857284"/>
    <w:rsid w:val="00857D0E"/>
    <w:rsid w:val="008603C8"/>
    <w:rsid w:val="0086040F"/>
    <w:rsid w:val="008611E5"/>
    <w:rsid w:val="008613D4"/>
    <w:rsid w:val="00862049"/>
    <w:rsid w:val="00862C0E"/>
    <w:rsid w:val="00862E73"/>
    <w:rsid w:val="00862F9C"/>
    <w:rsid w:val="00863140"/>
    <w:rsid w:val="00863434"/>
    <w:rsid w:val="0086450F"/>
    <w:rsid w:val="008679A3"/>
    <w:rsid w:val="00867F74"/>
    <w:rsid w:val="008704C3"/>
    <w:rsid w:val="008709A8"/>
    <w:rsid w:val="008714D1"/>
    <w:rsid w:val="00871FAB"/>
    <w:rsid w:val="008731BA"/>
    <w:rsid w:val="00874D0E"/>
    <w:rsid w:val="008758C8"/>
    <w:rsid w:val="00876711"/>
    <w:rsid w:val="0087685B"/>
    <w:rsid w:val="00876E6A"/>
    <w:rsid w:val="00876FF8"/>
    <w:rsid w:val="00877624"/>
    <w:rsid w:val="00880775"/>
    <w:rsid w:val="00880EC8"/>
    <w:rsid w:val="00880FE8"/>
    <w:rsid w:val="00881266"/>
    <w:rsid w:val="00881C19"/>
    <w:rsid w:val="00881CA4"/>
    <w:rsid w:val="00881E43"/>
    <w:rsid w:val="00882D38"/>
    <w:rsid w:val="0088314F"/>
    <w:rsid w:val="0088332D"/>
    <w:rsid w:val="00883590"/>
    <w:rsid w:val="008838EE"/>
    <w:rsid w:val="00883DBC"/>
    <w:rsid w:val="00884E77"/>
    <w:rsid w:val="0088690A"/>
    <w:rsid w:val="00886FC5"/>
    <w:rsid w:val="008879F5"/>
    <w:rsid w:val="0089361F"/>
    <w:rsid w:val="00893F16"/>
    <w:rsid w:val="00894911"/>
    <w:rsid w:val="008952CB"/>
    <w:rsid w:val="008958E0"/>
    <w:rsid w:val="00896B61"/>
    <w:rsid w:val="008A0626"/>
    <w:rsid w:val="008A15FB"/>
    <w:rsid w:val="008A2119"/>
    <w:rsid w:val="008A3AAD"/>
    <w:rsid w:val="008A3D91"/>
    <w:rsid w:val="008A6585"/>
    <w:rsid w:val="008A7496"/>
    <w:rsid w:val="008B0587"/>
    <w:rsid w:val="008B05CA"/>
    <w:rsid w:val="008B1EF9"/>
    <w:rsid w:val="008B308F"/>
    <w:rsid w:val="008B33B3"/>
    <w:rsid w:val="008B57CF"/>
    <w:rsid w:val="008B5A30"/>
    <w:rsid w:val="008B5E90"/>
    <w:rsid w:val="008B695F"/>
    <w:rsid w:val="008B716A"/>
    <w:rsid w:val="008C4743"/>
    <w:rsid w:val="008C4D02"/>
    <w:rsid w:val="008C4E66"/>
    <w:rsid w:val="008C52C6"/>
    <w:rsid w:val="008C554B"/>
    <w:rsid w:val="008C579F"/>
    <w:rsid w:val="008C5E62"/>
    <w:rsid w:val="008C64F3"/>
    <w:rsid w:val="008C755C"/>
    <w:rsid w:val="008D1DE7"/>
    <w:rsid w:val="008D2725"/>
    <w:rsid w:val="008D2EAA"/>
    <w:rsid w:val="008D3E61"/>
    <w:rsid w:val="008D3F21"/>
    <w:rsid w:val="008D5795"/>
    <w:rsid w:val="008D5BB3"/>
    <w:rsid w:val="008D634E"/>
    <w:rsid w:val="008D7A24"/>
    <w:rsid w:val="008E07A7"/>
    <w:rsid w:val="008E1757"/>
    <w:rsid w:val="008E1918"/>
    <w:rsid w:val="008E1DCE"/>
    <w:rsid w:val="008E2B94"/>
    <w:rsid w:val="008E4162"/>
    <w:rsid w:val="008E483A"/>
    <w:rsid w:val="008E4C9E"/>
    <w:rsid w:val="008E4CD9"/>
    <w:rsid w:val="008E5432"/>
    <w:rsid w:val="008E60B9"/>
    <w:rsid w:val="008E6A58"/>
    <w:rsid w:val="008E6FE7"/>
    <w:rsid w:val="008E7FA5"/>
    <w:rsid w:val="008F2045"/>
    <w:rsid w:val="008F5658"/>
    <w:rsid w:val="008F5B10"/>
    <w:rsid w:val="008F69FB"/>
    <w:rsid w:val="008F6B07"/>
    <w:rsid w:val="008F7184"/>
    <w:rsid w:val="008F76AA"/>
    <w:rsid w:val="009024CA"/>
    <w:rsid w:val="009037B6"/>
    <w:rsid w:val="00904652"/>
    <w:rsid w:val="0090613B"/>
    <w:rsid w:val="00906F05"/>
    <w:rsid w:val="00906F36"/>
    <w:rsid w:val="009077BC"/>
    <w:rsid w:val="0090788E"/>
    <w:rsid w:val="00907F16"/>
    <w:rsid w:val="00910354"/>
    <w:rsid w:val="009104E6"/>
    <w:rsid w:val="00910EF2"/>
    <w:rsid w:val="00911DA3"/>
    <w:rsid w:val="00912E60"/>
    <w:rsid w:val="00913BAB"/>
    <w:rsid w:val="00913F0B"/>
    <w:rsid w:val="009141BE"/>
    <w:rsid w:val="00914E71"/>
    <w:rsid w:val="0091598C"/>
    <w:rsid w:val="0091602F"/>
    <w:rsid w:val="0091646D"/>
    <w:rsid w:val="00916DAE"/>
    <w:rsid w:val="0091701A"/>
    <w:rsid w:val="0091705B"/>
    <w:rsid w:val="009177AE"/>
    <w:rsid w:val="00917A82"/>
    <w:rsid w:val="009221B0"/>
    <w:rsid w:val="009227B0"/>
    <w:rsid w:val="00922B08"/>
    <w:rsid w:val="00922D68"/>
    <w:rsid w:val="009238A9"/>
    <w:rsid w:val="00923E96"/>
    <w:rsid w:val="00924C47"/>
    <w:rsid w:val="009250B8"/>
    <w:rsid w:val="009262F0"/>
    <w:rsid w:val="0092640C"/>
    <w:rsid w:val="00932091"/>
    <w:rsid w:val="00932652"/>
    <w:rsid w:val="009340AE"/>
    <w:rsid w:val="00934C99"/>
    <w:rsid w:val="0093656D"/>
    <w:rsid w:val="0093674A"/>
    <w:rsid w:val="00937B20"/>
    <w:rsid w:val="00940193"/>
    <w:rsid w:val="009405B0"/>
    <w:rsid w:val="00941439"/>
    <w:rsid w:val="00941777"/>
    <w:rsid w:val="00941ED2"/>
    <w:rsid w:val="00942000"/>
    <w:rsid w:val="00943E25"/>
    <w:rsid w:val="00943EA8"/>
    <w:rsid w:val="00945FA9"/>
    <w:rsid w:val="00946945"/>
    <w:rsid w:val="00946B12"/>
    <w:rsid w:val="00950923"/>
    <w:rsid w:val="0095147B"/>
    <w:rsid w:val="009527DE"/>
    <w:rsid w:val="0095297A"/>
    <w:rsid w:val="009529B9"/>
    <w:rsid w:val="009540A2"/>
    <w:rsid w:val="00954331"/>
    <w:rsid w:val="00954370"/>
    <w:rsid w:val="009548BB"/>
    <w:rsid w:val="00955131"/>
    <w:rsid w:val="009554F2"/>
    <w:rsid w:val="00955F58"/>
    <w:rsid w:val="009568A7"/>
    <w:rsid w:val="009573C7"/>
    <w:rsid w:val="00957471"/>
    <w:rsid w:val="00957C13"/>
    <w:rsid w:val="00960064"/>
    <w:rsid w:val="00960BF5"/>
    <w:rsid w:val="00960EA6"/>
    <w:rsid w:val="009625F0"/>
    <w:rsid w:val="00963037"/>
    <w:rsid w:val="00963603"/>
    <w:rsid w:val="0096442E"/>
    <w:rsid w:val="009650EC"/>
    <w:rsid w:val="00965BE1"/>
    <w:rsid w:val="009664B2"/>
    <w:rsid w:val="00966CAA"/>
    <w:rsid w:val="00966EFD"/>
    <w:rsid w:val="009672F3"/>
    <w:rsid w:val="00967396"/>
    <w:rsid w:val="00967E73"/>
    <w:rsid w:val="00970471"/>
    <w:rsid w:val="00970897"/>
    <w:rsid w:val="00970A2D"/>
    <w:rsid w:val="00970B0C"/>
    <w:rsid w:val="00970FFC"/>
    <w:rsid w:val="009713ED"/>
    <w:rsid w:val="0097142A"/>
    <w:rsid w:val="00972724"/>
    <w:rsid w:val="00972B40"/>
    <w:rsid w:val="00973275"/>
    <w:rsid w:val="009733EE"/>
    <w:rsid w:val="00973F41"/>
    <w:rsid w:val="00974433"/>
    <w:rsid w:val="00974A1B"/>
    <w:rsid w:val="00976C51"/>
    <w:rsid w:val="009776A5"/>
    <w:rsid w:val="00977830"/>
    <w:rsid w:val="0098024F"/>
    <w:rsid w:val="00980E31"/>
    <w:rsid w:val="009817C1"/>
    <w:rsid w:val="00981975"/>
    <w:rsid w:val="00982AF9"/>
    <w:rsid w:val="009830F8"/>
    <w:rsid w:val="009832E5"/>
    <w:rsid w:val="0098360C"/>
    <w:rsid w:val="00987340"/>
    <w:rsid w:val="009903D1"/>
    <w:rsid w:val="00991A25"/>
    <w:rsid w:val="00993188"/>
    <w:rsid w:val="00995580"/>
    <w:rsid w:val="009955B6"/>
    <w:rsid w:val="00995A3C"/>
    <w:rsid w:val="00996285"/>
    <w:rsid w:val="00996353"/>
    <w:rsid w:val="0099688A"/>
    <w:rsid w:val="009979C1"/>
    <w:rsid w:val="009A00C1"/>
    <w:rsid w:val="009A1D76"/>
    <w:rsid w:val="009A2402"/>
    <w:rsid w:val="009A35DB"/>
    <w:rsid w:val="009A37CA"/>
    <w:rsid w:val="009A3855"/>
    <w:rsid w:val="009A398C"/>
    <w:rsid w:val="009A3A57"/>
    <w:rsid w:val="009A6048"/>
    <w:rsid w:val="009A6909"/>
    <w:rsid w:val="009A73EC"/>
    <w:rsid w:val="009A7829"/>
    <w:rsid w:val="009B0097"/>
    <w:rsid w:val="009B04B6"/>
    <w:rsid w:val="009B0636"/>
    <w:rsid w:val="009B06B5"/>
    <w:rsid w:val="009B0AF6"/>
    <w:rsid w:val="009B0BED"/>
    <w:rsid w:val="009B16A1"/>
    <w:rsid w:val="009B2995"/>
    <w:rsid w:val="009B3614"/>
    <w:rsid w:val="009B3E30"/>
    <w:rsid w:val="009B43B1"/>
    <w:rsid w:val="009B580B"/>
    <w:rsid w:val="009B5AE2"/>
    <w:rsid w:val="009B5D2A"/>
    <w:rsid w:val="009B6611"/>
    <w:rsid w:val="009B7FA3"/>
    <w:rsid w:val="009C236F"/>
    <w:rsid w:val="009C3449"/>
    <w:rsid w:val="009C379D"/>
    <w:rsid w:val="009C6407"/>
    <w:rsid w:val="009C642D"/>
    <w:rsid w:val="009D1CDE"/>
    <w:rsid w:val="009D23D6"/>
    <w:rsid w:val="009D2BB1"/>
    <w:rsid w:val="009D56FF"/>
    <w:rsid w:val="009D5EB5"/>
    <w:rsid w:val="009D5EF9"/>
    <w:rsid w:val="009D79FF"/>
    <w:rsid w:val="009D7E36"/>
    <w:rsid w:val="009E1DB0"/>
    <w:rsid w:val="009E2639"/>
    <w:rsid w:val="009E2FCF"/>
    <w:rsid w:val="009E38E7"/>
    <w:rsid w:val="009E4BCC"/>
    <w:rsid w:val="009E4C53"/>
    <w:rsid w:val="009E633D"/>
    <w:rsid w:val="009E7166"/>
    <w:rsid w:val="009E7279"/>
    <w:rsid w:val="009E7CA2"/>
    <w:rsid w:val="009F0149"/>
    <w:rsid w:val="009F2089"/>
    <w:rsid w:val="009F29CB"/>
    <w:rsid w:val="009F2C06"/>
    <w:rsid w:val="009F3C08"/>
    <w:rsid w:val="009F4655"/>
    <w:rsid w:val="009F4752"/>
    <w:rsid w:val="009F4ABF"/>
    <w:rsid w:val="009F5949"/>
    <w:rsid w:val="009F5B2B"/>
    <w:rsid w:val="009F6563"/>
    <w:rsid w:val="009F6807"/>
    <w:rsid w:val="009F74E7"/>
    <w:rsid w:val="009F7E4D"/>
    <w:rsid w:val="00A0004A"/>
    <w:rsid w:val="00A00089"/>
    <w:rsid w:val="00A00473"/>
    <w:rsid w:val="00A008B1"/>
    <w:rsid w:val="00A00BCA"/>
    <w:rsid w:val="00A01132"/>
    <w:rsid w:val="00A0116A"/>
    <w:rsid w:val="00A02797"/>
    <w:rsid w:val="00A02852"/>
    <w:rsid w:val="00A030EF"/>
    <w:rsid w:val="00A03365"/>
    <w:rsid w:val="00A03569"/>
    <w:rsid w:val="00A035B2"/>
    <w:rsid w:val="00A03792"/>
    <w:rsid w:val="00A0425C"/>
    <w:rsid w:val="00A049FF"/>
    <w:rsid w:val="00A05330"/>
    <w:rsid w:val="00A05544"/>
    <w:rsid w:val="00A05D0D"/>
    <w:rsid w:val="00A11D43"/>
    <w:rsid w:val="00A1264C"/>
    <w:rsid w:val="00A1486B"/>
    <w:rsid w:val="00A150B7"/>
    <w:rsid w:val="00A15E07"/>
    <w:rsid w:val="00A20163"/>
    <w:rsid w:val="00A205A7"/>
    <w:rsid w:val="00A20B39"/>
    <w:rsid w:val="00A2157C"/>
    <w:rsid w:val="00A219B5"/>
    <w:rsid w:val="00A2303B"/>
    <w:rsid w:val="00A23981"/>
    <w:rsid w:val="00A252F5"/>
    <w:rsid w:val="00A25349"/>
    <w:rsid w:val="00A253D0"/>
    <w:rsid w:val="00A25770"/>
    <w:rsid w:val="00A257B0"/>
    <w:rsid w:val="00A257BC"/>
    <w:rsid w:val="00A26D73"/>
    <w:rsid w:val="00A27256"/>
    <w:rsid w:val="00A301E1"/>
    <w:rsid w:val="00A30D3A"/>
    <w:rsid w:val="00A3289E"/>
    <w:rsid w:val="00A32BB3"/>
    <w:rsid w:val="00A33760"/>
    <w:rsid w:val="00A34E3D"/>
    <w:rsid w:val="00A367D6"/>
    <w:rsid w:val="00A3751E"/>
    <w:rsid w:val="00A3753F"/>
    <w:rsid w:val="00A40EFD"/>
    <w:rsid w:val="00A41980"/>
    <w:rsid w:val="00A41F16"/>
    <w:rsid w:val="00A432E4"/>
    <w:rsid w:val="00A444EE"/>
    <w:rsid w:val="00A44684"/>
    <w:rsid w:val="00A44E52"/>
    <w:rsid w:val="00A454AB"/>
    <w:rsid w:val="00A4627C"/>
    <w:rsid w:val="00A50568"/>
    <w:rsid w:val="00A50A72"/>
    <w:rsid w:val="00A515F6"/>
    <w:rsid w:val="00A5203A"/>
    <w:rsid w:val="00A52C73"/>
    <w:rsid w:val="00A52DA4"/>
    <w:rsid w:val="00A53BD3"/>
    <w:rsid w:val="00A54166"/>
    <w:rsid w:val="00A5533E"/>
    <w:rsid w:val="00A575A6"/>
    <w:rsid w:val="00A61733"/>
    <w:rsid w:val="00A61D59"/>
    <w:rsid w:val="00A63882"/>
    <w:rsid w:val="00A63907"/>
    <w:rsid w:val="00A64BD4"/>
    <w:rsid w:val="00A651A1"/>
    <w:rsid w:val="00A65BAA"/>
    <w:rsid w:val="00A6659C"/>
    <w:rsid w:val="00A676BE"/>
    <w:rsid w:val="00A70118"/>
    <w:rsid w:val="00A716AA"/>
    <w:rsid w:val="00A71D20"/>
    <w:rsid w:val="00A728F5"/>
    <w:rsid w:val="00A732A4"/>
    <w:rsid w:val="00A746C5"/>
    <w:rsid w:val="00A74C5D"/>
    <w:rsid w:val="00A753AF"/>
    <w:rsid w:val="00A758C9"/>
    <w:rsid w:val="00A80CF4"/>
    <w:rsid w:val="00A8109A"/>
    <w:rsid w:val="00A810FD"/>
    <w:rsid w:val="00A81F4F"/>
    <w:rsid w:val="00A8267D"/>
    <w:rsid w:val="00A83A71"/>
    <w:rsid w:val="00A83B2A"/>
    <w:rsid w:val="00A85690"/>
    <w:rsid w:val="00A85856"/>
    <w:rsid w:val="00A85BF3"/>
    <w:rsid w:val="00A86529"/>
    <w:rsid w:val="00A86B72"/>
    <w:rsid w:val="00A873FC"/>
    <w:rsid w:val="00A9102D"/>
    <w:rsid w:val="00A93442"/>
    <w:rsid w:val="00A9346C"/>
    <w:rsid w:val="00A955BE"/>
    <w:rsid w:val="00A9612F"/>
    <w:rsid w:val="00A966A0"/>
    <w:rsid w:val="00AA00A4"/>
    <w:rsid w:val="00AA0B8F"/>
    <w:rsid w:val="00AA12D9"/>
    <w:rsid w:val="00AA145A"/>
    <w:rsid w:val="00AA19F2"/>
    <w:rsid w:val="00AA34DC"/>
    <w:rsid w:val="00AA4480"/>
    <w:rsid w:val="00AA478D"/>
    <w:rsid w:val="00AA4F4D"/>
    <w:rsid w:val="00AA5112"/>
    <w:rsid w:val="00AA543F"/>
    <w:rsid w:val="00AA5459"/>
    <w:rsid w:val="00AA57E5"/>
    <w:rsid w:val="00AA5A41"/>
    <w:rsid w:val="00AA6299"/>
    <w:rsid w:val="00AA7625"/>
    <w:rsid w:val="00AB0485"/>
    <w:rsid w:val="00AB1925"/>
    <w:rsid w:val="00AB22D6"/>
    <w:rsid w:val="00AB256B"/>
    <w:rsid w:val="00AB261C"/>
    <w:rsid w:val="00AB2A0D"/>
    <w:rsid w:val="00AB2CBE"/>
    <w:rsid w:val="00AB43B1"/>
    <w:rsid w:val="00AB4DB0"/>
    <w:rsid w:val="00AB5088"/>
    <w:rsid w:val="00AB5753"/>
    <w:rsid w:val="00AB5846"/>
    <w:rsid w:val="00AB5995"/>
    <w:rsid w:val="00AB6A6E"/>
    <w:rsid w:val="00AB771B"/>
    <w:rsid w:val="00AC1935"/>
    <w:rsid w:val="00AC1A68"/>
    <w:rsid w:val="00AC278E"/>
    <w:rsid w:val="00AC314B"/>
    <w:rsid w:val="00AC31AE"/>
    <w:rsid w:val="00AC7ED0"/>
    <w:rsid w:val="00AD066C"/>
    <w:rsid w:val="00AD097A"/>
    <w:rsid w:val="00AD0CA8"/>
    <w:rsid w:val="00AD1586"/>
    <w:rsid w:val="00AD19EE"/>
    <w:rsid w:val="00AD2569"/>
    <w:rsid w:val="00AD414B"/>
    <w:rsid w:val="00AD5260"/>
    <w:rsid w:val="00AD5547"/>
    <w:rsid w:val="00AD5B58"/>
    <w:rsid w:val="00AD5CA9"/>
    <w:rsid w:val="00AD6B06"/>
    <w:rsid w:val="00AD76CB"/>
    <w:rsid w:val="00AE0124"/>
    <w:rsid w:val="00AE02EE"/>
    <w:rsid w:val="00AE17B5"/>
    <w:rsid w:val="00AE17F4"/>
    <w:rsid w:val="00AE2757"/>
    <w:rsid w:val="00AE2E90"/>
    <w:rsid w:val="00AE4423"/>
    <w:rsid w:val="00AE533F"/>
    <w:rsid w:val="00AE5DF5"/>
    <w:rsid w:val="00AE7767"/>
    <w:rsid w:val="00AF01D0"/>
    <w:rsid w:val="00AF0405"/>
    <w:rsid w:val="00AF06EC"/>
    <w:rsid w:val="00AF252D"/>
    <w:rsid w:val="00AF2BF1"/>
    <w:rsid w:val="00AF3E3C"/>
    <w:rsid w:val="00AF45D7"/>
    <w:rsid w:val="00AF4894"/>
    <w:rsid w:val="00AF558F"/>
    <w:rsid w:val="00AF5724"/>
    <w:rsid w:val="00AF6785"/>
    <w:rsid w:val="00AF7948"/>
    <w:rsid w:val="00AF799D"/>
    <w:rsid w:val="00B00209"/>
    <w:rsid w:val="00B01884"/>
    <w:rsid w:val="00B02C18"/>
    <w:rsid w:val="00B04269"/>
    <w:rsid w:val="00B044C0"/>
    <w:rsid w:val="00B048CD"/>
    <w:rsid w:val="00B055FE"/>
    <w:rsid w:val="00B07699"/>
    <w:rsid w:val="00B07D3E"/>
    <w:rsid w:val="00B101D7"/>
    <w:rsid w:val="00B10537"/>
    <w:rsid w:val="00B10D0E"/>
    <w:rsid w:val="00B11C92"/>
    <w:rsid w:val="00B138F7"/>
    <w:rsid w:val="00B143D3"/>
    <w:rsid w:val="00B14EDB"/>
    <w:rsid w:val="00B159EA"/>
    <w:rsid w:val="00B15BBC"/>
    <w:rsid w:val="00B170D3"/>
    <w:rsid w:val="00B17628"/>
    <w:rsid w:val="00B20216"/>
    <w:rsid w:val="00B226A6"/>
    <w:rsid w:val="00B228E6"/>
    <w:rsid w:val="00B230BC"/>
    <w:rsid w:val="00B23111"/>
    <w:rsid w:val="00B23707"/>
    <w:rsid w:val="00B23F3B"/>
    <w:rsid w:val="00B24BD6"/>
    <w:rsid w:val="00B258AA"/>
    <w:rsid w:val="00B27526"/>
    <w:rsid w:val="00B27F5B"/>
    <w:rsid w:val="00B31DFB"/>
    <w:rsid w:val="00B31F80"/>
    <w:rsid w:val="00B32E50"/>
    <w:rsid w:val="00B338ED"/>
    <w:rsid w:val="00B33BD0"/>
    <w:rsid w:val="00B350D0"/>
    <w:rsid w:val="00B355AD"/>
    <w:rsid w:val="00B37476"/>
    <w:rsid w:val="00B40028"/>
    <w:rsid w:val="00B407EA"/>
    <w:rsid w:val="00B40F6E"/>
    <w:rsid w:val="00B41C0F"/>
    <w:rsid w:val="00B4227A"/>
    <w:rsid w:val="00B42B26"/>
    <w:rsid w:val="00B43F58"/>
    <w:rsid w:val="00B444CA"/>
    <w:rsid w:val="00B45DE2"/>
    <w:rsid w:val="00B4658E"/>
    <w:rsid w:val="00B46FEE"/>
    <w:rsid w:val="00B475B8"/>
    <w:rsid w:val="00B507C0"/>
    <w:rsid w:val="00B507D0"/>
    <w:rsid w:val="00B51703"/>
    <w:rsid w:val="00B52598"/>
    <w:rsid w:val="00B52707"/>
    <w:rsid w:val="00B53784"/>
    <w:rsid w:val="00B541E7"/>
    <w:rsid w:val="00B54B8E"/>
    <w:rsid w:val="00B55466"/>
    <w:rsid w:val="00B56010"/>
    <w:rsid w:val="00B56155"/>
    <w:rsid w:val="00B56623"/>
    <w:rsid w:val="00B577DC"/>
    <w:rsid w:val="00B57B5F"/>
    <w:rsid w:val="00B6255C"/>
    <w:rsid w:val="00B6321B"/>
    <w:rsid w:val="00B63C93"/>
    <w:rsid w:val="00B64A93"/>
    <w:rsid w:val="00B64E25"/>
    <w:rsid w:val="00B66E74"/>
    <w:rsid w:val="00B675D4"/>
    <w:rsid w:val="00B67681"/>
    <w:rsid w:val="00B704F5"/>
    <w:rsid w:val="00B71097"/>
    <w:rsid w:val="00B716C4"/>
    <w:rsid w:val="00B71DF4"/>
    <w:rsid w:val="00B7275D"/>
    <w:rsid w:val="00B73319"/>
    <w:rsid w:val="00B7402F"/>
    <w:rsid w:val="00B752DB"/>
    <w:rsid w:val="00B75A83"/>
    <w:rsid w:val="00B8012E"/>
    <w:rsid w:val="00B805B8"/>
    <w:rsid w:val="00B80958"/>
    <w:rsid w:val="00B8155F"/>
    <w:rsid w:val="00B81939"/>
    <w:rsid w:val="00B82A3A"/>
    <w:rsid w:val="00B86C93"/>
    <w:rsid w:val="00B86D12"/>
    <w:rsid w:val="00B871D4"/>
    <w:rsid w:val="00B8752C"/>
    <w:rsid w:val="00B91D17"/>
    <w:rsid w:val="00B91DF8"/>
    <w:rsid w:val="00B920EB"/>
    <w:rsid w:val="00B92B9A"/>
    <w:rsid w:val="00B92F18"/>
    <w:rsid w:val="00B930D8"/>
    <w:rsid w:val="00B93CEA"/>
    <w:rsid w:val="00B94313"/>
    <w:rsid w:val="00B9466D"/>
    <w:rsid w:val="00B953F4"/>
    <w:rsid w:val="00B961CD"/>
    <w:rsid w:val="00BA17D9"/>
    <w:rsid w:val="00BA183C"/>
    <w:rsid w:val="00BA2037"/>
    <w:rsid w:val="00BA27A8"/>
    <w:rsid w:val="00BA6637"/>
    <w:rsid w:val="00BA711E"/>
    <w:rsid w:val="00BA76FE"/>
    <w:rsid w:val="00BB0952"/>
    <w:rsid w:val="00BB0F7D"/>
    <w:rsid w:val="00BB1468"/>
    <w:rsid w:val="00BB16F4"/>
    <w:rsid w:val="00BB1C11"/>
    <w:rsid w:val="00BB1FE3"/>
    <w:rsid w:val="00BB2922"/>
    <w:rsid w:val="00BB2D08"/>
    <w:rsid w:val="00BB397F"/>
    <w:rsid w:val="00BB4D9E"/>
    <w:rsid w:val="00BB633A"/>
    <w:rsid w:val="00BB645A"/>
    <w:rsid w:val="00BB66F1"/>
    <w:rsid w:val="00BB6FB1"/>
    <w:rsid w:val="00BC0009"/>
    <w:rsid w:val="00BC0E75"/>
    <w:rsid w:val="00BC125B"/>
    <w:rsid w:val="00BC1A9A"/>
    <w:rsid w:val="00BC2644"/>
    <w:rsid w:val="00BC2669"/>
    <w:rsid w:val="00BC2EE9"/>
    <w:rsid w:val="00BC3591"/>
    <w:rsid w:val="00BC3C87"/>
    <w:rsid w:val="00BC3E6E"/>
    <w:rsid w:val="00BC5B05"/>
    <w:rsid w:val="00BC6BE7"/>
    <w:rsid w:val="00BC7516"/>
    <w:rsid w:val="00BC7D89"/>
    <w:rsid w:val="00BD0292"/>
    <w:rsid w:val="00BD04D4"/>
    <w:rsid w:val="00BD0578"/>
    <w:rsid w:val="00BD1891"/>
    <w:rsid w:val="00BD1938"/>
    <w:rsid w:val="00BD1A56"/>
    <w:rsid w:val="00BD24ED"/>
    <w:rsid w:val="00BD33E2"/>
    <w:rsid w:val="00BD3F6E"/>
    <w:rsid w:val="00BD443B"/>
    <w:rsid w:val="00BD5199"/>
    <w:rsid w:val="00BD54F2"/>
    <w:rsid w:val="00BD5D6E"/>
    <w:rsid w:val="00BD6A80"/>
    <w:rsid w:val="00BD7A89"/>
    <w:rsid w:val="00BE11B7"/>
    <w:rsid w:val="00BE1FB6"/>
    <w:rsid w:val="00BE2ADF"/>
    <w:rsid w:val="00BE358A"/>
    <w:rsid w:val="00BE3CBF"/>
    <w:rsid w:val="00BE4DEF"/>
    <w:rsid w:val="00BE536E"/>
    <w:rsid w:val="00BE5C21"/>
    <w:rsid w:val="00BE76BD"/>
    <w:rsid w:val="00BE78C2"/>
    <w:rsid w:val="00BE7CAC"/>
    <w:rsid w:val="00BF1292"/>
    <w:rsid w:val="00BF135A"/>
    <w:rsid w:val="00BF275E"/>
    <w:rsid w:val="00BF33DD"/>
    <w:rsid w:val="00BF6097"/>
    <w:rsid w:val="00BF6F27"/>
    <w:rsid w:val="00C00062"/>
    <w:rsid w:val="00C003EE"/>
    <w:rsid w:val="00C006FC"/>
    <w:rsid w:val="00C00AB8"/>
    <w:rsid w:val="00C00CA1"/>
    <w:rsid w:val="00C011D0"/>
    <w:rsid w:val="00C011F4"/>
    <w:rsid w:val="00C029F9"/>
    <w:rsid w:val="00C02E05"/>
    <w:rsid w:val="00C0318B"/>
    <w:rsid w:val="00C034B2"/>
    <w:rsid w:val="00C040EE"/>
    <w:rsid w:val="00C041BF"/>
    <w:rsid w:val="00C04AD5"/>
    <w:rsid w:val="00C04C07"/>
    <w:rsid w:val="00C04ECF"/>
    <w:rsid w:val="00C0669B"/>
    <w:rsid w:val="00C137A8"/>
    <w:rsid w:val="00C13D63"/>
    <w:rsid w:val="00C14DC3"/>
    <w:rsid w:val="00C16210"/>
    <w:rsid w:val="00C167CD"/>
    <w:rsid w:val="00C17CDE"/>
    <w:rsid w:val="00C20B30"/>
    <w:rsid w:val="00C21A7A"/>
    <w:rsid w:val="00C22EED"/>
    <w:rsid w:val="00C246B4"/>
    <w:rsid w:val="00C24F1E"/>
    <w:rsid w:val="00C268BB"/>
    <w:rsid w:val="00C272B9"/>
    <w:rsid w:val="00C27DB5"/>
    <w:rsid w:val="00C30598"/>
    <w:rsid w:val="00C323C3"/>
    <w:rsid w:val="00C330A8"/>
    <w:rsid w:val="00C347AD"/>
    <w:rsid w:val="00C350A1"/>
    <w:rsid w:val="00C351A8"/>
    <w:rsid w:val="00C35429"/>
    <w:rsid w:val="00C35A32"/>
    <w:rsid w:val="00C3757F"/>
    <w:rsid w:val="00C37665"/>
    <w:rsid w:val="00C379E0"/>
    <w:rsid w:val="00C37C43"/>
    <w:rsid w:val="00C40D87"/>
    <w:rsid w:val="00C40E9E"/>
    <w:rsid w:val="00C418A9"/>
    <w:rsid w:val="00C42E60"/>
    <w:rsid w:val="00C4304B"/>
    <w:rsid w:val="00C4349B"/>
    <w:rsid w:val="00C437E2"/>
    <w:rsid w:val="00C4385C"/>
    <w:rsid w:val="00C43B96"/>
    <w:rsid w:val="00C4507D"/>
    <w:rsid w:val="00C4572A"/>
    <w:rsid w:val="00C45DAC"/>
    <w:rsid w:val="00C46EC1"/>
    <w:rsid w:val="00C47011"/>
    <w:rsid w:val="00C47E55"/>
    <w:rsid w:val="00C47FE0"/>
    <w:rsid w:val="00C5049A"/>
    <w:rsid w:val="00C51041"/>
    <w:rsid w:val="00C5192B"/>
    <w:rsid w:val="00C51EAA"/>
    <w:rsid w:val="00C51F90"/>
    <w:rsid w:val="00C54CEF"/>
    <w:rsid w:val="00C551D9"/>
    <w:rsid w:val="00C56E02"/>
    <w:rsid w:val="00C56F1F"/>
    <w:rsid w:val="00C57677"/>
    <w:rsid w:val="00C579CC"/>
    <w:rsid w:val="00C60D8F"/>
    <w:rsid w:val="00C60DE2"/>
    <w:rsid w:val="00C63BAA"/>
    <w:rsid w:val="00C63D04"/>
    <w:rsid w:val="00C64A82"/>
    <w:rsid w:val="00C65092"/>
    <w:rsid w:val="00C6574C"/>
    <w:rsid w:val="00C6734A"/>
    <w:rsid w:val="00C7076C"/>
    <w:rsid w:val="00C70E3F"/>
    <w:rsid w:val="00C713E2"/>
    <w:rsid w:val="00C71603"/>
    <w:rsid w:val="00C726A2"/>
    <w:rsid w:val="00C73E4B"/>
    <w:rsid w:val="00C75172"/>
    <w:rsid w:val="00C75EE3"/>
    <w:rsid w:val="00C7649F"/>
    <w:rsid w:val="00C76539"/>
    <w:rsid w:val="00C771E0"/>
    <w:rsid w:val="00C77267"/>
    <w:rsid w:val="00C7741C"/>
    <w:rsid w:val="00C776DB"/>
    <w:rsid w:val="00C77EF3"/>
    <w:rsid w:val="00C80FB7"/>
    <w:rsid w:val="00C812DA"/>
    <w:rsid w:val="00C81AE2"/>
    <w:rsid w:val="00C82E4C"/>
    <w:rsid w:val="00C85C63"/>
    <w:rsid w:val="00C8610C"/>
    <w:rsid w:val="00C86446"/>
    <w:rsid w:val="00C866AA"/>
    <w:rsid w:val="00C86B1D"/>
    <w:rsid w:val="00C907B1"/>
    <w:rsid w:val="00C91156"/>
    <w:rsid w:val="00C914A3"/>
    <w:rsid w:val="00C92286"/>
    <w:rsid w:val="00C95134"/>
    <w:rsid w:val="00C957E0"/>
    <w:rsid w:val="00C96135"/>
    <w:rsid w:val="00CA075F"/>
    <w:rsid w:val="00CA08C6"/>
    <w:rsid w:val="00CA1262"/>
    <w:rsid w:val="00CA13F4"/>
    <w:rsid w:val="00CA1CAD"/>
    <w:rsid w:val="00CA5E34"/>
    <w:rsid w:val="00CA65BD"/>
    <w:rsid w:val="00CB0811"/>
    <w:rsid w:val="00CB127D"/>
    <w:rsid w:val="00CB1E86"/>
    <w:rsid w:val="00CB3E91"/>
    <w:rsid w:val="00CB4751"/>
    <w:rsid w:val="00CB52A3"/>
    <w:rsid w:val="00CB5848"/>
    <w:rsid w:val="00CB7316"/>
    <w:rsid w:val="00CB78D7"/>
    <w:rsid w:val="00CB7DDE"/>
    <w:rsid w:val="00CC24BB"/>
    <w:rsid w:val="00CC294F"/>
    <w:rsid w:val="00CC749E"/>
    <w:rsid w:val="00CC7DF5"/>
    <w:rsid w:val="00CD080D"/>
    <w:rsid w:val="00CD149C"/>
    <w:rsid w:val="00CD2136"/>
    <w:rsid w:val="00CD4E1B"/>
    <w:rsid w:val="00CD6958"/>
    <w:rsid w:val="00CD70C0"/>
    <w:rsid w:val="00CD7458"/>
    <w:rsid w:val="00CE015C"/>
    <w:rsid w:val="00CE0238"/>
    <w:rsid w:val="00CE0E87"/>
    <w:rsid w:val="00CE1212"/>
    <w:rsid w:val="00CE1DC9"/>
    <w:rsid w:val="00CE1F70"/>
    <w:rsid w:val="00CE2B17"/>
    <w:rsid w:val="00CE39FB"/>
    <w:rsid w:val="00CE3D02"/>
    <w:rsid w:val="00CE423B"/>
    <w:rsid w:val="00CE56A4"/>
    <w:rsid w:val="00CE6A7B"/>
    <w:rsid w:val="00CE7D84"/>
    <w:rsid w:val="00CF0A7E"/>
    <w:rsid w:val="00CF0E83"/>
    <w:rsid w:val="00CF184B"/>
    <w:rsid w:val="00CF19DF"/>
    <w:rsid w:val="00CF1C06"/>
    <w:rsid w:val="00CF214C"/>
    <w:rsid w:val="00CF23C6"/>
    <w:rsid w:val="00CF29AC"/>
    <w:rsid w:val="00CF37DE"/>
    <w:rsid w:val="00CF3A51"/>
    <w:rsid w:val="00CF3AEC"/>
    <w:rsid w:val="00CF3C91"/>
    <w:rsid w:val="00CF3D61"/>
    <w:rsid w:val="00CF4F57"/>
    <w:rsid w:val="00CF5015"/>
    <w:rsid w:val="00CF5098"/>
    <w:rsid w:val="00CF58C8"/>
    <w:rsid w:val="00CF6807"/>
    <w:rsid w:val="00CF71BB"/>
    <w:rsid w:val="00D0154A"/>
    <w:rsid w:val="00D028FD"/>
    <w:rsid w:val="00D02C32"/>
    <w:rsid w:val="00D0394F"/>
    <w:rsid w:val="00D03A86"/>
    <w:rsid w:val="00D05C54"/>
    <w:rsid w:val="00D06565"/>
    <w:rsid w:val="00D06831"/>
    <w:rsid w:val="00D073FB"/>
    <w:rsid w:val="00D078F3"/>
    <w:rsid w:val="00D07961"/>
    <w:rsid w:val="00D12292"/>
    <w:rsid w:val="00D14480"/>
    <w:rsid w:val="00D14574"/>
    <w:rsid w:val="00D15FCE"/>
    <w:rsid w:val="00D168F4"/>
    <w:rsid w:val="00D17C96"/>
    <w:rsid w:val="00D20491"/>
    <w:rsid w:val="00D204C1"/>
    <w:rsid w:val="00D212DA"/>
    <w:rsid w:val="00D21820"/>
    <w:rsid w:val="00D21D8F"/>
    <w:rsid w:val="00D236CC"/>
    <w:rsid w:val="00D247BD"/>
    <w:rsid w:val="00D26143"/>
    <w:rsid w:val="00D27B39"/>
    <w:rsid w:val="00D27D65"/>
    <w:rsid w:val="00D30A01"/>
    <w:rsid w:val="00D30A20"/>
    <w:rsid w:val="00D30C30"/>
    <w:rsid w:val="00D31858"/>
    <w:rsid w:val="00D31A4D"/>
    <w:rsid w:val="00D3310B"/>
    <w:rsid w:val="00D33412"/>
    <w:rsid w:val="00D3551F"/>
    <w:rsid w:val="00D36C2C"/>
    <w:rsid w:val="00D4014A"/>
    <w:rsid w:val="00D419FB"/>
    <w:rsid w:val="00D41EE2"/>
    <w:rsid w:val="00D43B65"/>
    <w:rsid w:val="00D457F6"/>
    <w:rsid w:val="00D4718C"/>
    <w:rsid w:val="00D47BAF"/>
    <w:rsid w:val="00D5061F"/>
    <w:rsid w:val="00D50763"/>
    <w:rsid w:val="00D5097C"/>
    <w:rsid w:val="00D5244D"/>
    <w:rsid w:val="00D52DCF"/>
    <w:rsid w:val="00D538CB"/>
    <w:rsid w:val="00D54401"/>
    <w:rsid w:val="00D54572"/>
    <w:rsid w:val="00D5508A"/>
    <w:rsid w:val="00D562ED"/>
    <w:rsid w:val="00D57712"/>
    <w:rsid w:val="00D57DF7"/>
    <w:rsid w:val="00D60C04"/>
    <w:rsid w:val="00D60D32"/>
    <w:rsid w:val="00D62219"/>
    <w:rsid w:val="00D630E7"/>
    <w:rsid w:val="00D639C2"/>
    <w:rsid w:val="00D6530F"/>
    <w:rsid w:val="00D65E92"/>
    <w:rsid w:val="00D671CE"/>
    <w:rsid w:val="00D673C2"/>
    <w:rsid w:val="00D677AB"/>
    <w:rsid w:val="00D67BDB"/>
    <w:rsid w:val="00D70EA0"/>
    <w:rsid w:val="00D71CF5"/>
    <w:rsid w:val="00D71FE9"/>
    <w:rsid w:val="00D73964"/>
    <w:rsid w:val="00D73F98"/>
    <w:rsid w:val="00D74772"/>
    <w:rsid w:val="00D754BF"/>
    <w:rsid w:val="00D76A23"/>
    <w:rsid w:val="00D76C18"/>
    <w:rsid w:val="00D7773A"/>
    <w:rsid w:val="00D8022D"/>
    <w:rsid w:val="00D80429"/>
    <w:rsid w:val="00D8094C"/>
    <w:rsid w:val="00D824C6"/>
    <w:rsid w:val="00D8259C"/>
    <w:rsid w:val="00D82A69"/>
    <w:rsid w:val="00D8390C"/>
    <w:rsid w:val="00D84657"/>
    <w:rsid w:val="00D85CF3"/>
    <w:rsid w:val="00D86B8D"/>
    <w:rsid w:val="00D918CD"/>
    <w:rsid w:val="00D9377F"/>
    <w:rsid w:val="00D93F67"/>
    <w:rsid w:val="00D944A6"/>
    <w:rsid w:val="00D948DE"/>
    <w:rsid w:val="00D9573C"/>
    <w:rsid w:val="00D96335"/>
    <w:rsid w:val="00D96E00"/>
    <w:rsid w:val="00D96F25"/>
    <w:rsid w:val="00D972AD"/>
    <w:rsid w:val="00D97CB5"/>
    <w:rsid w:val="00DA0A34"/>
    <w:rsid w:val="00DA0B29"/>
    <w:rsid w:val="00DA2CA8"/>
    <w:rsid w:val="00DA2EE8"/>
    <w:rsid w:val="00DA3297"/>
    <w:rsid w:val="00DA3BEA"/>
    <w:rsid w:val="00DA4932"/>
    <w:rsid w:val="00DA6259"/>
    <w:rsid w:val="00DA66CE"/>
    <w:rsid w:val="00DA6779"/>
    <w:rsid w:val="00DA682E"/>
    <w:rsid w:val="00DB1D1F"/>
    <w:rsid w:val="00DB1D70"/>
    <w:rsid w:val="00DB280F"/>
    <w:rsid w:val="00DB30E3"/>
    <w:rsid w:val="00DB317A"/>
    <w:rsid w:val="00DB3427"/>
    <w:rsid w:val="00DB3C54"/>
    <w:rsid w:val="00DB4262"/>
    <w:rsid w:val="00DB6121"/>
    <w:rsid w:val="00DB68DD"/>
    <w:rsid w:val="00DB755D"/>
    <w:rsid w:val="00DB7562"/>
    <w:rsid w:val="00DB7F5F"/>
    <w:rsid w:val="00DC0AE1"/>
    <w:rsid w:val="00DC0F51"/>
    <w:rsid w:val="00DC141F"/>
    <w:rsid w:val="00DC14AF"/>
    <w:rsid w:val="00DC1696"/>
    <w:rsid w:val="00DC33D9"/>
    <w:rsid w:val="00DC37B0"/>
    <w:rsid w:val="00DC3A29"/>
    <w:rsid w:val="00DC3CEF"/>
    <w:rsid w:val="00DC4E6F"/>
    <w:rsid w:val="00DC6980"/>
    <w:rsid w:val="00DC72B7"/>
    <w:rsid w:val="00DD414F"/>
    <w:rsid w:val="00DD4292"/>
    <w:rsid w:val="00DD56C7"/>
    <w:rsid w:val="00DD5BA4"/>
    <w:rsid w:val="00DD5DBD"/>
    <w:rsid w:val="00DD64A6"/>
    <w:rsid w:val="00DD6812"/>
    <w:rsid w:val="00DD7DD4"/>
    <w:rsid w:val="00DE0C46"/>
    <w:rsid w:val="00DE1149"/>
    <w:rsid w:val="00DE13AF"/>
    <w:rsid w:val="00DE1BA7"/>
    <w:rsid w:val="00DE1E44"/>
    <w:rsid w:val="00DE2F16"/>
    <w:rsid w:val="00DE3623"/>
    <w:rsid w:val="00DE4725"/>
    <w:rsid w:val="00DE4CCA"/>
    <w:rsid w:val="00DE4DE9"/>
    <w:rsid w:val="00DE4E6D"/>
    <w:rsid w:val="00DE6737"/>
    <w:rsid w:val="00DF05D5"/>
    <w:rsid w:val="00DF423C"/>
    <w:rsid w:val="00DF46D2"/>
    <w:rsid w:val="00DF5052"/>
    <w:rsid w:val="00DF5069"/>
    <w:rsid w:val="00DF6019"/>
    <w:rsid w:val="00DF648E"/>
    <w:rsid w:val="00DF6B5B"/>
    <w:rsid w:val="00DF6EB9"/>
    <w:rsid w:val="00DF7433"/>
    <w:rsid w:val="00E003A4"/>
    <w:rsid w:val="00E0218D"/>
    <w:rsid w:val="00E0273A"/>
    <w:rsid w:val="00E03453"/>
    <w:rsid w:val="00E03E6D"/>
    <w:rsid w:val="00E03ED4"/>
    <w:rsid w:val="00E041AB"/>
    <w:rsid w:val="00E045C8"/>
    <w:rsid w:val="00E0494A"/>
    <w:rsid w:val="00E05755"/>
    <w:rsid w:val="00E06A32"/>
    <w:rsid w:val="00E07B81"/>
    <w:rsid w:val="00E1078F"/>
    <w:rsid w:val="00E10A36"/>
    <w:rsid w:val="00E11064"/>
    <w:rsid w:val="00E11A4C"/>
    <w:rsid w:val="00E13617"/>
    <w:rsid w:val="00E13A63"/>
    <w:rsid w:val="00E13CEA"/>
    <w:rsid w:val="00E15CA7"/>
    <w:rsid w:val="00E164C0"/>
    <w:rsid w:val="00E1714B"/>
    <w:rsid w:val="00E1732D"/>
    <w:rsid w:val="00E2003F"/>
    <w:rsid w:val="00E21399"/>
    <w:rsid w:val="00E232BE"/>
    <w:rsid w:val="00E23D8C"/>
    <w:rsid w:val="00E23E5D"/>
    <w:rsid w:val="00E2426F"/>
    <w:rsid w:val="00E243D4"/>
    <w:rsid w:val="00E255A5"/>
    <w:rsid w:val="00E25A65"/>
    <w:rsid w:val="00E25CE4"/>
    <w:rsid w:val="00E2678E"/>
    <w:rsid w:val="00E268D0"/>
    <w:rsid w:val="00E27290"/>
    <w:rsid w:val="00E2776D"/>
    <w:rsid w:val="00E27A54"/>
    <w:rsid w:val="00E30BD9"/>
    <w:rsid w:val="00E30FA5"/>
    <w:rsid w:val="00E330C3"/>
    <w:rsid w:val="00E340AD"/>
    <w:rsid w:val="00E348AB"/>
    <w:rsid w:val="00E363CC"/>
    <w:rsid w:val="00E36979"/>
    <w:rsid w:val="00E37BC2"/>
    <w:rsid w:val="00E37D52"/>
    <w:rsid w:val="00E410C5"/>
    <w:rsid w:val="00E42179"/>
    <w:rsid w:val="00E427A4"/>
    <w:rsid w:val="00E46831"/>
    <w:rsid w:val="00E46AE4"/>
    <w:rsid w:val="00E47206"/>
    <w:rsid w:val="00E50529"/>
    <w:rsid w:val="00E50E38"/>
    <w:rsid w:val="00E516A2"/>
    <w:rsid w:val="00E5376F"/>
    <w:rsid w:val="00E53C79"/>
    <w:rsid w:val="00E5577B"/>
    <w:rsid w:val="00E557CE"/>
    <w:rsid w:val="00E55854"/>
    <w:rsid w:val="00E55C87"/>
    <w:rsid w:val="00E57018"/>
    <w:rsid w:val="00E57C28"/>
    <w:rsid w:val="00E60BC1"/>
    <w:rsid w:val="00E6130C"/>
    <w:rsid w:val="00E61557"/>
    <w:rsid w:val="00E61C08"/>
    <w:rsid w:val="00E628A5"/>
    <w:rsid w:val="00E6438E"/>
    <w:rsid w:val="00E64954"/>
    <w:rsid w:val="00E64E45"/>
    <w:rsid w:val="00E6512B"/>
    <w:rsid w:val="00E664C2"/>
    <w:rsid w:val="00E6768A"/>
    <w:rsid w:val="00E703E6"/>
    <w:rsid w:val="00E70730"/>
    <w:rsid w:val="00E708A7"/>
    <w:rsid w:val="00E710CD"/>
    <w:rsid w:val="00E727C5"/>
    <w:rsid w:val="00E72949"/>
    <w:rsid w:val="00E7305D"/>
    <w:rsid w:val="00E73539"/>
    <w:rsid w:val="00E73ACC"/>
    <w:rsid w:val="00E73E62"/>
    <w:rsid w:val="00E745AD"/>
    <w:rsid w:val="00E75064"/>
    <w:rsid w:val="00E75093"/>
    <w:rsid w:val="00E77388"/>
    <w:rsid w:val="00E80164"/>
    <w:rsid w:val="00E80590"/>
    <w:rsid w:val="00E81B93"/>
    <w:rsid w:val="00E81BE9"/>
    <w:rsid w:val="00E8264E"/>
    <w:rsid w:val="00E83AFA"/>
    <w:rsid w:val="00E8475E"/>
    <w:rsid w:val="00E84793"/>
    <w:rsid w:val="00E85020"/>
    <w:rsid w:val="00E85ABA"/>
    <w:rsid w:val="00E863D1"/>
    <w:rsid w:val="00E90C75"/>
    <w:rsid w:val="00E91437"/>
    <w:rsid w:val="00E9171F"/>
    <w:rsid w:val="00E92623"/>
    <w:rsid w:val="00E9449C"/>
    <w:rsid w:val="00E94803"/>
    <w:rsid w:val="00E94DFC"/>
    <w:rsid w:val="00E97944"/>
    <w:rsid w:val="00EA04B6"/>
    <w:rsid w:val="00EA0849"/>
    <w:rsid w:val="00EA0A2D"/>
    <w:rsid w:val="00EA1198"/>
    <w:rsid w:val="00EA1874"/>
    <w:rsid w:val="00EA1CFE"/>
    <w:rsid w:val="00EA21D9"/>
    <w:rsid w:val="00EA2B93"/>
    <w:rsid w:val="00EA304A"/>
    <w:rsid w:val="00EA4226"/>
    <w:rsid w:val="00EA5A9F"/>
    <w:rsid w:val="00EA5C47"/>
    <w:rsid w:val="00EA6763"/>
    <w:rsid w:val="00EA67D4"/>
    <w:rsid w:val="00EA745B"/>
    <w:rsid w:val="00EB0DC5"/>
    <w:rsid w:val="00EB1544"/>
    <w:rsid w:val="00EB2BBC"/>
    <w:rsid w:val="00EB31EE"/>
    <w:rsid w:val="00EB4C7E"/>
    <w:rsid w:val="00EB520F"/>
    <w:rsid w:val="00EB572C"/>
    <w:rsid w:val="00EB60E0"/>
    <w:rsid w:val="00EB6BB0"/>
    <w:rsid w:val="00EC0304"/>
    <w:rsid w:val="00EC03B2"/>
    <w:rsid w:val="00EC0CA3"/>
    <w:rsid w:val="00EC3C63"/>
    <w:rsid w:val="00EC4BA2"/>
    <w:rsid w:val="00EC5D0D"/>
    <w:rsid w:val="00EC6D70"/>
    <w:rsid w:val="00EC744D"/>
    <w:rsid w:val="00EC7BA4"/>
    <w:rsid w:val="00EC7C96"/>
    <w:rsid w:val="00ED09B6"/>
    <w:rsid w:val="00ED22C7"/>
    <w:rsid w:val="00ED2386"/>
    <w:rsid w:val="00ED2754"/>
    <w:rsid w:val="00ED2916"/>
    <w:rsid w:val="00ED2A27"/>
    <w:rsid w:val="00ED366A"/>
    <w:rsid w:val="00ED3D9A"/>
    <w:rsid w:val="00ED48B8"/>
    <w:rsid w:val="00ED6A1E"/>
    <w:rsid w:val="00EE082D"/>
    <w:rsid w:val="00EE1CC6"/>
    <w:rsid w:val="00EE206E"/>
    <w:rsid w:val="00EE3671"/>
    <w:rsid w:val="00EE394B"/>
    <w:rsid w:val="00EE3D1C"/>
    <w:rsid w:val="00EE773B"/>
    <w:rsid w:val="00EF18EF"/>
    <w:rsid w:val="00EF199E"/>
    <w:rsid w:val="00EF2137"/>
    <w:rsid w:val="00EF26DE"/>
    <w:rsid w:val="00EF2906"/>
    <w:rsid w:val="00EF381D"/>
    <w:rsid w:val="00EF5C5E"/>
    <w:rsid w:val="00EF6F3A"/>
    <w:rsid w:val="00EF788E"/>
    <w:rsid w:val="00F00028"/>
    <w:rsid w:val="00F001A2"/>
    <w:rsid w:val="00F0051D"/>
    <w:rsid w:val="00F016C6"/>
    <w:rsid w:val="00F0178D"/>
    <w:rsid w:val="00F020DD"/>
    <w:rsid w:val="00F02C29"/>
    <w:rsid w:val="00F03ABB"/>
    <w:rsid w:val="00F047FF"/>
    <w:rsid w:val="00F05B61"/>
    <w:rsid w:val="00F05CB3"/>
    <w:rsid w:val="00F05FAA"/>
    <w:rsid w:val="00F0657E"/>
    <w:rsid w:val="00F07928"/>
    <w:rsid w:val="00F079E8"/>
    <w:rsid w:val="00F07E9D"/>
    <w:rsid w:val="00F100E0"/>
    <w:rsid w:val="00F105AA"/>
    <w:rsid w:val="00F10AB0"/>
    <w:rsid w:val="00F11C09"/>
    <w:rsid w:val="00F11D16"/>
    <w:rsid w:val="00F139A7"/>
    <w:rsid w:val="00F206C4"/>
    <w:rsid w:val="00F20ABE"/>
    <w:rsid w:val="00F21FD1"/>
    <w:rsid w:val="00F225DC"/>
    <w:rsid w:val="00F24FAB"/>
    <w:rsid w:val="00F26AF7"/>
    <w:rsid w:val="00F26F60"/>
    <w:rsid w:val="00F26FB0"/>
    <w:rsid w:val="00F301E2"/>
    <w:rsid w:val="00F318B2"/>
    <w:rsid w:val="00F31EAF"/>
    <w:rsid w:val="00F32036"/>
    <w:rsid w:val="00F320E3"/>
    <w:rsid w:val="00F32349"/>
    <w:rsid w:val="00F32507"/>
    <w:rsid w:val="00F337C5"/>
    <w:rsid w:val="00F33E29"/>
    <w:rsid w:val="00F37D4D"/>
    <w:rsid w:val="00F40408"/>
    <w:rsid w:val="00F41DD2"/>
    <w:rsid w:val="00F42224"/>
    <w:rsid w:val="00F42C55"/>
    <w:rsid w:val="00F44F49"/>
    <w:rsid w:val="00F45F82"/>
    <w:rsid w:val="00F46133"/>
    <w:rsid w:val="00F46B0C"/>
    <w:rsid w:val="00F47F7D"/>
    <w:rsid w:val="00F50F5A"/>
    <w:rsid w:val="00F523F3"/>
    <w:rsid w:val="00F5241A"/>
    <w:rsid w:val="00F534B6"/>
    <w:rsid w:val="00F53962"/>
    <w:rsid w:val="00F53D64"/>
    <w:rsid w:val="00F54C44"/>
    <w:rsid w:val="00F5565E"/>
    <w:rsid w:val="00F605F3"/>
    <w:rsid w:val="00F608C6"/>
    <w:rsid w:val="00F632FC"/>
    <w:rsid w:val="00F63BBB"/>
    <w:rsid w:val="00F641D8"/>
    <w:rsid w:val="00F641F3"/>
    <w:rsid w:val="00F648CF"/>
    <w:rsid w:val="00F64B56"/>
    <w:rsid w:val="00F655BD"/>
    <w:rsid w:val="00F668D1"/>
    <w:rsid w:val="00F67E2D"/>
    <w:rsid w:val="00F70565"/>
    <w:rsid w:val="00F71BC4"/>
    <w:rsid w:val="00F71C47"/>
    <w:rsid w:val="00F727A7"/>
    <w:rsid w:val="00F72CBF"/>
    <w:rsid w:val="00F73299"/>
    <w:rsid w:val="00F74013"/>
    <w:rsid w:val="00F74622"/>
    <w:rsid w:val="00F774D9"/>
    <w:rsid w:val="00F77E9A"/>
    <w:rsid w:val="00F8004A"/>
    <w:rsid w:val="00F818B0"/>
    <w:rsid w:val="00F82904"/>
    <w:rsid w:val="00F82EEC"/>
    <w:rsid w:val="00F83B35"/>
    <w:rsid w:val="00F851A2"/>
    <w:rsid w:val="00F85409"/>
    <w:rsid w:val="00F854BC"/>
    <w:rsid w:val="00F854F1"/>
    <w:rsid w:val="00F85B35"/>
    <w:rsid w:val="00F87A62"/>
    <w:rsid w:val="00F90D13"/>
    <w:rsid w:val="00F91DCB"/>
    <w:rsid w:val="00F92D9C"/>
    <w:rsid w:val="00F9362F"/>
    <w:rsid w:val="00F94F48"/>
    <w:rsid w:val="00F97015"/>
    <w:rsid w:val="00F97C2A"/>
    <w:rsid w:val="00FA114E"/>
    <w:rsid w:val="00FA15B5"/>
    <w:rsid w:val="00FA256F"/>
    <w:rsid w:val="00FA28A1"/>
    <w:rsid w:val="00FA4011"/>
    <w:rsid w:val="00FA4C47"/>
    <w:rsid w:val="00FA58C4"/>
    <w:rsid w:val="00FB044D"/>
    <w:rsid w:val="00FB04D0"/>
    <w:rsid w:val="00FB0A19"/>
    <w:rsid w:val="00FB113D"/>
    <w:rsid w:val="00FB12B6"/>
    <w:rsid w:val="00FB280D"/>
    <w:rsid w:val="00FB2A30"/>
    <w:rsid w:val="00FB3CCC"/>
    <w:rsid w:val="00FB3DA5"/>
    <w:rsid w:val="00FB44C2"/>
    <w:rsid w:val="00FB52F9"/>
    <w:rsid w:val="00FB62FA"/>
    <w:rsid w:val="00FB66F5"/>
    <w:rsid w:val="00FB67B8"/>
    <w:rsid w:val="00FB6C9D"/>
    <w:rsid w:val="00FC0DF9"/>
    <w:rsid w:val="00FC1214"/>
    <w:rsid w:val="00FC18A4"/>
    <w:rsid w:val="00FC1982"/>
    <w:rsid w:val="00FC1FAF"/>
    <w:rsid w:val="00FC200E"/>
    <w:rsid w:val="00FC2A5B"/>
    <w:rsid w:val="00FC4315"/>
    <w:rsid w:val="00FC4695"/>
    <w:rsid w:val="00FC5385"/>
    <w:rsid w:val="00FC55E0"/>
    <w:rsid w:val="00FD0672"/>
    <w:rsid w:val="00FD0AB0"/>
    <w:rsid w:val="00FD0CE3"/>
    <w:rsid w:val="00FD11CB"/>
    <w:rsid w:val="00FD1835"/>
    <w:rsid w:val="00FD207F"/>
    <w:rsid w:val="00FD5A35"/>
    <w:rsid w:val="00FD5C97"/>
    <w:rsid w:val="00FD62D3"/>
    <w:rsid w:val="00FD69C1"/>
    <w:rsid w:val="00FD74F5"/>
    <w:rsid w:val="00FD78C8"/>
    <w:rsid w:val="00FE0BF7"/>
    <w:rsid w:val="00FE0D5F"/>
    <w:rsid w:val="00FE1D35"/>
    <w:rsid w:val="00FE250C"/>
    <w:rsid w:val="00FE2ABF"/>
    <w:rsid w:val="00FE3138"/>
    <w:rsid w:val="00FE334E"/>
    <w:rsid w:val="00FE34DA"/>
    <w:rsid w:val="00FE4C70"/>
    <w:rsid w:val="00FE5BC5"/>
    <w:rsid w:val="00FE5F43"/>
    <w:rsid w:val="00FE6903"/>
    <w:rsid w:val="00FE6B1C"/>
    <w:rsid w:val="00FE729B"/>
    <w:rsid w:val="00FE7AE3"/>
    <w:rsid w:val="00FE7E8F"/>
    <w:rsid w:val="00FF10B1"/>
    <w:rsid w:val="00FF1734"/>
    <w:rsid w:val="00FF20F2"/>
    <w:rsid w:val="00FF29A1"/>
    <w:rsid w:val="00FF3661"/>
    <w:rsid w:val="00FF3E70"/>
    <w:rsid w:val="00FF3FBC"/>
    <w:rsid w:val="00FF46F6"/>
    <w:rsid w:val="00FF549A"/>
    <w:rsid w:val="00FF6292"/>
    <w:rsid w:val="00FF6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30DF6"/>
  <w15:docId w15:val="{9EE7BF33-6E65-984A-A8C5-5818DE509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772"/>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pPr>
      <w:keepNext/>
      <w:keepLines/>
      <w:spacing w:before="400" w:after="120" w:line="276" w:lineRule="auto"/>
      <w:outlineLvl w:val="0"/>
    </w:pPr>
    <w:rPr>
      <w:rFonts w:ascii="Arial" w:eastAsia="Arial" w:hAnsi="Arial" w:cs="Arial"/>
      <w:sz w:val="40"/>
      <w:szCs w:val="40"/>
      <w:lang w:val="en"/>
    </w:rPr>
  </w:style>
  <w:style w:type="paragraph" w:styleId="Heading2">
    <w:name w:val="heading 2"/>
    <w:basedOn w:val="Normal"/>
    <w:next w:val="Normal"/>
    <w:link w:val="Heading2Char"/>
    <w:uiPriority w:val="9"/>
    <w:unhideWhenUsed/>
    <w:qFormat/>
    <w:pPr>
      <w:keepNext/>
      <w:keepLines/>
      <w:spacing w:before="360" w:after="120" w:line="276" w:lineRule="auto"/>
      <w:outlineLvl w:val="1"/>
    </w:pPr>
    <w:rPr>
      <w:rFonts w:ascii="Arial" w:eastAsia="Arial" w:hAnsi="Arial" w:cs="Arial"/>
      <w:sz w:val="32"/>
      <w:szCs w:val="32"/>
      <w:lang w:val="en"/>
    </w:rPr>
  </w:style>
  <w:style w:type="paragraph" w:styleId="Heading3">
    <w:name w:val="heading 3"/>
    <w:basedOn w:val="Normal"/>
    <w:next w:val="Normal"/>
    <w:link w:val="Heading3Char"/>
    <w:uiPriority w:val="9"/>
    <w:unhideWhenUsed/>
    <w:qFormat/>
    <w:pPr>
      <w:keepNext/>
      <w:keepLines/>
      <w:spacing w:before="320" w:after="80" w:line="276" w:lineRule="auto"/>
      <w:outlineLvl w:val="2"/>
    </w:pPr>
    <w:rPr>
      <w:rFonts w:ascii="Arial" w:eastAsia="Arial" w:hAnsi="Arial" w:cs="Arial"/>
      <w:color w:val="434343"/>
      <w:sz w:val="28"/>
      <w:szCs w:val="28"/>
      <w:lang w:val="en"/>
    </w:rPr>
  </w:style>
  <w:style w:type="paragraph" w:styleId="Heading4">
    <w:name w:val="heading 4"/>
    <w:basedOn w:val="Normal"/>
    <w:next w:val="Normal"/>
    <w:link w:val="Heading4Char"/>
    <w:uiPriority w:val="9"/>
    <w:unhideWhenUsed/>
    <w:qFormat/>
    <w:pPr>
      <w:keepNext/>
      <w:keepLines/>
      <w:spacing w:before="280" w:after="80" w:line="276" w:lineRule="auto"/>
      <w:outlineLvl w:val="3"/>
    </w:pPr>
    <w:rPr>
      <w:rFonts w:ascii="Arial" w:eastAsia="Arial" w:hAnsi="Arial" w:cs="Arial"/>
      <w:color w:val="666666"/>
      <w:lang w:val="en"/>
    </w:rPr>
  </w:style>
  <w:style w:type="paragraph" w:styleId="Heading5">
    <w:name w:val="heading 5"/>
    <w:basedOn w:val="Normal"/>
    <w:next w:val="Normal"/>
    <w:link w:val="Heading5Char"/>
    <w:uiPriority w:val="9"/>
    <w:unhideWhenUsed/>
    <w:qFormat/>
    <w:pPr>
      <w:keepNext/>
      <w:keepLines/>
      <w:spacing w:before="240" w:after="80" w:line="276" w:lineRule="auto"/>
      <w:outlineLvl w:val="4"/>
    </w:pPr>
    <w:rPr>
      <w:rFonts w:ascii="Arial" w:eastAsia="Arial" w:hAnsi="Arial" w:cs="Arial"/>
      <w:color w:val="666666"/>
      <w:sz w:val="22"/>
      <w:szCs w:val="22"/>
      <w:lang w:val="en"/>
    </w:rPr>
  </w:style>
  <w:style w:type="paragraph" w:styleId="Heading6">
    <w:name w:val="heading 6"/>
    <w:basedOn w:val="Normal"/>
    <w:next w:val="Normal"/>
    <w:link w:val="Heading6Char"/>
    <w:uiPriority w:val="9"/>
    <w:semiHidden/>
    <w:unhideWhenUsed/>
    <w:qFormat/>
    <w:pPr>
      <w:keepNext/>
      <w:keepLines/>
      <w:spacing w:before="240" w:after="80" w:line="276" w:lineRule="auto"/>
      <w:outlineLvl w:val="5"/>
    </w:pPr>
    <w:rPr>
      <w:rFonts w:ascii="Arial" w:eastAsia="Arial" w:hAnsi="Arial" w:cs="Arial"/>
      <w:i/>
      <w:color w:val="666666"/>
      <w:sz w:val="22"/>
      <w:szCs w:val="22"/>
      <w:lang w:val="en"/>
    </w:rPr>
  </w:style>
  <w:style w:type="paragraph" w:styleId="Heading7">
    <w:name w:val="heading 7"/>
    <w:basedOn w:val="Normal"/>
    <w:next w:val="Normal"/>
    <w:link w:val="Heading7Char"/>
    <w:uiPriority w:val="9"/>
    <w:semiHidden/>
    <w:unhideWhenUsed/>
    <w:qFormat/>
    <w:rsid w:val="000B21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21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21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line="276" w:lineRule="auto"/>
    </w:pPr>
    <w:rPr>
      <w:rFonts w:ascii="Arial" w:eastAsia="Arial" w:hAnsi="Arial" w:cs="Arial"/>
      <w:sz w:val="52"/>
      <w:szCs w:val="52"/>
      <w:lang w:val="en"/>
    </w:rPr>
  </w:style>
  <w:style w:type="paragraph" w:styleId="Subtitle">
    <w:name w:val="Subtitle"/>
    <w:basedOn w:val="Normal"/>
    <w:next w:val="Normal"/>
    <w:link w:val="SubtitleChar"/>
    <w:uiPriority w:val="11"/>
    <w:qFormat/>
    <w:pPr>
      <w:keepNext/>
      <w:keepLines/>
      <w:spacing w:after="320" w:line="276" w:lineRule="auto"/>
    </w:pPr>
    <w:rPr>
      <w:rFonts w:ascii="Arial" w:eastAsia="Arial" w:hAnsi="Arial" w:cs="Arial"/>
      <w:color w:val="666666"/>
      <w:sz w:val="30"/>
      <w:szCs w:val="30"/>
      <w:lang w:val="en"/>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rPr>
      <w:rFonts w:ascii="Arial" w:eastAsia="Arial" w:hAnsi="Arial" w:cs="Arial"/>
      <w:sz w:val="20"/>
      <w:szCs w:val="20"/>
      <w:lang w:val="en"/>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93656D"/>
    <w:pPr>
      <w:spacing w:line="276" w:lineRule="auto"/>
      <w:ind w:left="720"/>
      <w:contextualSpacing/>
    </w:pPr>
    <w:rPr>
      <w:rFonts w:ascii="Arial" w:eastAsia="Arial" w:hAnsi="Arial" w:cs="Arial"/>
      <w:sz w:val="22"/>
      <w:szCs w:val="22"/>
      <w:lang w:val="en"/>
    </w:rPr>
  </w:style>
  <w:style w:type="paragraph" w:styleId="Revision">
    <w:name w:val="Revision"/>
    <w:hidden/>
    <w:uiPriority w:val="99"/>
    <w:semiHidden/>
    <w:rsid w:val="00376C24"/>
    <w:pPr>
      <w:spacing w:line="240" w:lineRule="auto"/>
    </w:pPr>
  </w:style>
  <w:style w:type="character" w:styleId="Emphasis">
    <w:name w:val="Emphasis"/>
    <w:basedOn w:val="DefaultParagraphFont"/>
    <w:uiPriority w:val="20"/>
    <w:qFormat/>
    <w:rsid w:val="00376C24"/>
    <w:rPr>
      <w:i/>
      <w:iCs/>
    </w:rPr>
  </w:style>
  <w:style w:type="character" w:customStyle="1" w:styleId="c-mrkdwnhighlight">
    <w:name w:val="c-mrkdwn__highlight"/>
    <w:basedOn w:val="DefaultParagraphFont"/>
    <w:rsid w:val="00376C24"/>
  </w:style>
  <w:style w:type="paragraph" w:styleId="CommentSubject">
    <w:name w:val="annotation subject"/>
    <w:basedOn w:val="CommentText"/>
    <w:next w:val="CommentText"/>
    <w:link w:val="CommentSubjectChar"/>
    <w:uiPriority w:val="99"/>
    <w:semiHidden/>
    <w:unhideWhenUsed/>
    <w:rsid w:val="00F46B0C"/>
    <w:rPr>
      <w:b/>
      <w:bCs/>
    </w:rPr>
  </w:style>
  <w:style w:type="character" w:customStyle="1" w:styleId="CommentSubjectChar">
    <w:name w:val="Comment Subject Char"/>
    <w:basedOn w:val="CommentTextChar"/>
    <w:link w:val="CommentSubject"/>
    <w:uiPriority w:val="99"/>
    <w:semiHidden/>
    <w:rsid w:val="00F46B0C"/>
    <w:rPr>
      <w:b/>
      <w:bCs/>
      <w:sz w:val="20"/>
      <w:szCs w:val="20"/>
    </w:rPr>
  </w:style>
  <w:style w:type="paragraph" w:styleId="Header">
    <w:name w:val="header"/>
    <w:basedOn w:val="Normal"/>
    <w:link w:val="HeaderChar"/>
    <w:uiPriority w:val="99"/>
    <w:unhideWhenUsed/>
    <w:rsid w:val="002E6FB6"/>
    <w:pPr>
      <w:tabs>
        <w:tab w:val="center" w:pos="4680"/>
        <w:tab w:val="right" w:pos="9360"/>
      </w:tabs>
    </w:pPr>
    <w:rPr>
      <w:rFonts w:ascii="Arial" w:eastAsia="Arial" w:hAnsi="Arial" w:cs="Arial"/>
      <w:sz w:val="22"/>
      <w:szCs w:val="22"/>
      <w:lang w:val="en"/>
    </w:rPr>
  </w:style>
  <w:style w:type="character" w:customStyle="1" w:styleId="HeaderChar">
    <w:name w:val="Header Char"/>
    <w:basedOn w:val="DefaultParagraphFont"/>
    <w:link w:val="Header"/>
    <w:uiPriority w:val="99"/>
    <w:rsid w:val="002E6FB6"/>
  </w:style>
  <w:style w:type="paragraph" w:styleId="Footer">
    <w:name w:val="footer"/>
    <w:basedOn w:val="Normal"/>
    <w:link w:val="FooterChar"/>
    <w:uiPriority w:val="99"/>
    <w:unhideWhenUsed/>
    <w:rsid w:val="002E6FB6"/>
    <w:pPr>
      <w:tabs>
        <w:tab w:val="center" w:pos="4680"/>
        <w:tab w:val="right" w:pos="9360"/>
      </w:tabs>
    </w:pPr>
    <w:rPr>
      <w:rFonts w:ascii="Arial" w:eastAsia="Arial" w:hAnsi="Arial" w:cs="Arial"/>
      <w:sz w:val="22"/>
      <w:szCs w:val="22"/>
      <w:lang w:val="en"/>
    </w:rPr>
  </w:style>
  <w:style w:type="character" w:customStyle="1" w:styleId="FooterChar">
    <w:name w:val="Footer Char"/>
    <w:basedOn w:val="DefaultParagraphFont"/>
    <w:link w:val="Footer"/>
    <w:uiPriority w:val="99"/>
    <w:rsid w:val="002E6FB6"/>
  </w:style>
  <w:style w:type="paragraph" w:customStyle="1" w:styleId="msonormal0">
    <w:name w:val="msonormal"/>
    <w:basedOn w:val="Normal"/>
    <w:rsid w:val="00582425"/>
    <w:pPr>
      <w:spacing w:before="100" w:beforeAutospacing="1" w:after="100" w:afterAutospacing="1"/>
    </w:pPr>
  </w:style>
  <w:style w:type="paragraph" w:customStyle="1" w:styleId="oa1">
    <w:name w:val="oa1"/>
    <w:basedOn w:val="Normal"/>
    <w:rsid w:val="00582425"/>
    <w:pPr>
      <w:spacing w:before="100" w:beforeAutospacing="1" w:after="100" w:afterAutospacing="1"/>
      <w:jc w:val="center"/>
    </w:pPr>
  </w:style>
  <w:style w:type="paragraph" w:customStyle="1" w:styleId="oa2">
    <w:name w:val="oa2"/>
    <w:basedOn w:val="Normal"/>
    <w:rsid w:val="00582425"/>
    <w:pPr>
      <w:spacing w:before="100" w:beforeAutospacing="1" w:after="100" w:afterAutospacing="1"/>
    </w:pPr>
  </w:style>
  <w:style w:type="paragraph" w:customStyle="1" w:styleId="oa3">
    <w:name w:val="oa3"/>
    <w:basedOn w:val="Normal"/>
    <w:rsid w:val="00582425"/>
    <w:pPr>
      <w:spacing w:before="100" w:beforeAutospacing="1" w:after="100" w:afterAutospacing="1"/>
      <w:jc w:val="right"/>
    </w:pPr>
  </w:style>
  <w:style w:type="paragraph" w:styleId="NormalWeb">
    <w:name w:val="Normal (Web)"/>
    <w:basedOn w:val="Normal"/>
    <w:uiPriority w:val="99"/>
    <w:unhideWhenUsed/>
    <w:rsid w:val="00582425"/>
    <w:pPr>
      <w:spacing w:before="100" w:beforeAutospacing="1" w:after="100" w:afterAutospacing="1"/>
    </w:pPr>
  </w:style>
  <w:style w:type="table" w:styleId="PlainTable2">
    <w:name w:val="Plain Table 2"/>
    <w:basedOn w:val="TableNormal"/>
    <w:uiPriority w:val="42"/>
    <w:rsid w:val="00582425"/>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laceholderText">
    <w:name w:val="Placeholder Text"/>
    <w:basedOn w:val="DefaultParagraphFont"/>
    <w:uiPriority w:val="99"/>
    <w:semiHidden/>
    <w:rsid w:val="007E635A"/>
    <w:rPr>
      <w:color w:val="808080"/>
    </w:rPr>
  </w:style>
  <w:style w:type="table" w:styleId="TableGrid">
    <w:name w:val="Table Grid"/>
    <w:basedOn w:val="TableNormal"/>
    <w:uiPriority w:val="39"/>
    <w:rsid w:val="008125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DefaultParagraphFont"/>
    <w:rsid w:val="00454211"/>
  </w:style>
  <w:style w:type="character" w:styleId="LineNumber">
    <w:name w:val="line number"/>
    <w:basedOn w:val="DefaultParagraphFont"/>
    <w:uiPriority w:val="99"/>
    <w:semiHidden/>
    <w:unhideWhenUsed/>
    <w:rsid w:val="00E13A63"/>
  </w:style>
  <w:style w:type="character" w:styleId="Hyperlink">
    <w:name w:val="Hyperlink"/>
    <w:basedOn w:val="DefaultParagraphFont"/>
    <w:uiPriority w:val="99"/>
    <w:unhideWhenUsed/>
    <w:rsid w:val="00744C9A"/>
    <w:rPr>
      <w:color w:val="0000FF" w:themeColor="hyperlink"/>
      <w:u w:val="single"/>
    </w:rPr>
  </w:style>
  <w:style w:type="character" w:customStyle="1" w:styleId="UnresolvedMention">
    <w:name w:val="Unresolved Mention"/>
    <w:basedOn w:val="DefaultParagraphFont"/>
    <w:uiPriority w:val="99"/>
    <w:semiHidden/>
    <w:unhideWhenUsed/>
    <w:rsid w:val="00744C9A"/>
    <w:rPr>
      <w:color w:val="605E5C"/>
      <w:shd w:val="clear" w:color="auto" w:fill="E1DFDD"/>
    </w:rPr>
  </w:style>
  <w:style w:type="character" w:customStyle="1" w:styleId="Heading1Char">
    <w:name w:val="Heading 1 Char"/>
    <w:basedOn w:val="DefaultParagraphFont"/>
    <w:link w:val="Heading1"/>
    <w:uiPriority w:val="9"/>
    <w:rsid w:val="002B4D91"/>
    <w:rPr>
      <w:sz w:val="40"/>
      <w:szCs w:val="40"/>
    </w:rPr>
  </w:style>
  <w:style w:type="character" w:customStyle="1" w:styleId="Heading2Char">
    <w:name w:val="Heading 2 Char"/>
    <w:basedOn w:val="DefaultParagraphFont"/>
    <w:link w:val="Heading2"/>
    <w:uiPriority w:val="9"/>
    <w:rsid w:val="002B4D91"/>
    <w:rPr>
      <w:sz w:val="32"/>
      <w:szCs w:val="32"/>
    </w:rPr>
  </w:style>
  <w:style w:type="character" w:customStyle="1" w:styleId="Heading3Char">
    <w:name w:val="Heading 3 Char"/>
    <w:basedOn w:val="DefaultParagraphFont"/>
    <w:link w:val="Heading3"/>
    <w:uiPriority w:val="9"/>
    <w:rsid w:val="002B4D91"/>
    <w:rPr>
      <w:color w:val="434343"/>
      <w:sz w:val="28"/>
      <w:szCs w:val="28"/>
    </w:rPr>
  </w:style>
  <w:style w:type="character" w:customStyle="1" w:styleId="Heading4Char">
    <w:name w:val="Heading 4 Char"/>
    <w:basedOn w:val="DefaultParagraphFont"/>
    <w:link w:val="Heading4"/>
    <w:uiPriority w:val="9"/>
    <w:rsid w:val="002B4D91"/>
    <w:rPr>
      <w:color w:val="666666"/>
      <w:sz w:val="24"/>
      <w:szCs w:val="24"/>
    </w:rPr>
  </w:style>
  <w:style w:type="character" w:customStyle="1" w:styleId="Heading5Char">
    <w:name w:val="Heading 5 Char"/>
    <w:basedOn w:val="DefaultParagraphFont"/>
    <w:link w:val="Heading5"/>
    <w:uiPriority w:val="9"/>
    <w:rsid w:val="002B4D91"/>
    <w:rPr>
      <w:color w:val="666666"/>
    </w:rPr>
  </w:style>
  <w:style w:type="character" w:customStyle="1" w:styleId="Heading6Char">
    <w:name w:val="Heading 6 Char"/>
    <w:basedOn w:val="DefaultParagraphFont"/>
    <w:link w:val="Heading6"/>
    <w:uiPriority w:val="9"/>
    <w:semiHidden/>
    <w:rsid w:val="002B4D91"/>
    <w:rPr>
      <w:i/>
      <w:color w:val="666666"/>
    </w:rPr>
  </w:style>
  <w:style w:type="character" w:customStyle="1" w:styleId="TitleChar">
    <w:name w:val="Title Char"/>
    <w:basedOn w:val="DefaultParagraphFont"/>
    <w:link w:val="Title"/>
    <w:uiPriority w:val="10"/>
    <w:rsid w:val="002B4D91"/>
    <w:rPr>
      <w:sz w:val="52"/>
      <w:szCs w:val="52"/>
    </w:rPr>
  </w:style>
  <w:style w:type="character" w:customStyle="1" w:styleId="SubtitleChar">
    <w:name w:val="Subtitle Char"/>
    <w:basedOn w:val="DefaultParagraphFont"/>
    <w:link w:val="Subtitle"/>
    <w:uiPriority w:val="11"/>
    <w:rsid w:val="002B4D91"/>
    <w:rPr>
      <w:color w:val="666666"/>
      <w:sz w:val="30"/>
      <w:szCs w:val="30"/>
    </w:rPr>
  </w:style>
  <w:style w:type="numbering" w:customStyle="1" w:styleId="CurrentList1">
    <w:name w:val="Current List1"/>
    <w:uiPriority w:val="99"/>
    <w:rsid w:val="007F530A"/>
    <w:pPr>
      <w:numPr>
        <w:numId w:val="20"/>
      </w:numPr>
    </w:pPr>
  </w:style>
  <w:style w:type="character" w:styleId="FollowedHyperlink">
    <w:name w:val="FollowedHyperlink"/>
    <w:basedOn w:val="DefaultParagraphFont"/>
    <w:uiPriority w:val="99"/>
    <w:semiHidden/>
    <w:unhideWhenUsed/>
    <w:rsid w:val="008272D6"/>
    <w:rPr>
      <w:color w:val="800080" w:themeColor="followedHyperlink"/>
      <w:u w:val="single"/>
    </w:rPr>
  </w:style>
  <w:style w:type="table" w:styleId="PlainTable5">
    <w:name w:val="Plain Table 5"/>
    <w:basedOn w:val="TableNormal"/>
    <w:uiPriority w:val="45"/>
    <w:rsid w:val="004D771A"/>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D771A"/>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4D771A"/>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4D771A"/>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pubyear">
    <w:name w:val="pubyear"/>
    <w:basedOn w:val="DefaultParagraphFont"/>
    <w:rsid w:val="0073510D"/>
  </w:style>
  <w:style w:type="character" w:customStyle="1" w:styleId="author">
    <w:name w:val="author"/>
    <w:basedOn w:val="DefaultParagraphFont"/>
    <w:rsid w:val="0073510D"/>
  </w:style>
  <w:style w:type="character" w:customStyle="1" w:styleId="articletitle">
    <w:name w:val="articletitle"/>
    <w:basedOn w:val="DefaultParagraphFont"/>
    <w:rsid w:val="0073510D"/>
  </w:style>
  <w:style w:type="character" w:customStyle="1" w:styleId="vol">
    <w:name w:val="vol"/>
    <w:basedOn w:val="DefaultParagraphFont"/>
    <w:rsid w:val="0073510D"/>
  </w:style>
  <w:style w:type="character" w:customStyle="1" w:styleId="pagefirst">
    <w:name w:val="pagefirst"/>
    <w:basedOn w:val="DefaultParagraphFont"/>
    <w:rsid w:val="0073510D"/>
  </w:style>
  <w:style w:type="character" w:customStyle="1" w:styleId="pagelast">
    <w:name w:val="pagelast"/>
    <w:basedOn w:val="DefaultParagraphFont"/>
    <w:rsid w:val="0073510D"/>
  </w:style>
  <w:style w:type="character" w:customStyle="1" w:styleId="markedcontent">
    <w:name w:val="markedcontent"/>
    <w:basedOn w:val="DefaultParagraphFont"/>
    <w:rsid w:val="007046C8"/>
  </w:style>
  <w:style w:type="paragraph" w:customStyle="1" w:styleId="p1">
    <w:name w:val="p1"/>
    <w:basedOn w:val="Normal"/>
    <w:rsid w:val="00F632FC"/>
    <w:pPr>
      <w:spacing w:before="100" w:beforeAutospacing="1" w:after="100" w:afterAutospacing="1"/>
    </w:pPr>
  </w:style>
  <w:style w:type="character" w:customStyle="1" w:styleId="contentpasted0">
    <w:name w:val="contentpasted0"/>
    <w:basedOn w:val="DefaultParagraphFont"/>
    <w:rsid w:val="00F632FC"/>
  </w:style>
  <w:style w:type="character" w:customStyle="1" w:styleId="contentpasted1">
    <w:name w:val="contentpasted1"/>
    <w:basedOn w:val="DefaultParagraphFont"/>
    <w:rsid w:val="00F632FC"/>
  </w:style>
  <w:style w:type="character" w:customStyle="1" w:styleId="contentpasted2">
    <w:name w:val="contentpasted2"/>
    <w:basedOn w:val="DefaultParagraphFont"/>
    <w:rsid w:val="00F632FC"/>
  </w:style>
  <w:style w:type="character" w:styleId="PageNumber">
    <w:name w:val="page number"/>
    <w:basedOn w:val="DefaultParagraphFont"/>
    <w:uiPriority w:val="99"/>
    <w:semiHidden/>
    <w:unhideWhenUsed/>
    <w:rsid w:val="00740CC4"/>
  </w:style>
  <w:style w:type="character" w:styleId="Strong">
    <w:name w:val="Strong"/>
    <w:basedOn w:val="DefaultParagraphFont"/>
    <w:uiPriority w:val="22"/>
    <w:qFormat/>
    <w:rsid w:val="00740CC4"/>
    <w:rPr>
      <w:b/>
      <w:bCs/>
    </w:rPr>
  </w:style>
  <w:style w:type="numbering" w:customStyle="1" w:styleId="CurrentList2">
    <w:name w:val="Current List2"/>
    <w:uiPriority w:val="99"/>
    <w:rsid w:val="00881C19"/>
    <w:pPr>
      <w:numPr>
        <w:numId w:val="27"/>
      </w:numPr>
    </w:pPr>
  </w:style>
  <w:style w:type="paragraph" w:styleId="BodyText">
    <w:name w:val="Body Text"/>
    <w:basedOn w:val="Normal"/>
    <w:link w:val="BodyTextChar"/>
    <w:uiPriority w:val="1"/>
    <w:qFormat/>
    <w:rsid w:val="00842894"/>
    <w:pPr>
      <w:widowControl w:val="0"/>
      <w:autoSpaceDE w:val="0"/>
      <w:autoSpaceDN w:val="0"/>
      <w:ind w:left="330"/>
    </w:pPr>
    <w:rPr>
      <w:rFonts w:ascii="Arial" w:eastAsia="Arial" w:hAnsi="Arial" w:cs="Arial"/>
      <w:sz w:val="22"/>
      <w:szCs w:val="22"/>
    </w:rPr>
  </w:style>
  <w:style w:type="character" w:customStyle="1" w:styleId="BodyTextChar">
    <w:name w:val="Body Text Char"/>
    <w:basedOn w:val="DefaultParagraphFont"/>
    <w:link w:val="BodyText"/>
    <w:uiPriority w:val="1"/>
    <w:rsid w:val="00842894"/>
    <w:rPr>
      <w:lang w:val="en-US"/>
    </w:rPr>
  </w:style>
  <w:style w:type="character" w:customStyle="1" w:styleId="authors-list-item">
    <w:name w:val="authors-list-item"/>
    <w:basedOn w:val="DefaultParagraphFont"/>
    <w:rsid w:val="00410ED6"/>
  </w:style>
  <w:style w:type="character" w:customStyle="1" w:styleId="comma">
    <w:name w:val="comma"/>
    <w:basedOn w:val="DefaultParagraphFont"/>
    <w:rsid w:val="00410ED6"/>
  </w:style>
  <w:style w:type="character" w:customStyle="1" w:styleId="author-sup-separator">
    <w:name w:val="author-sup-separator"/>
    <w:basedOn w:val="DefaultParagraphFont"/>
    <w:rsid w:val="00410ED6"/>
  </w:style>
  <w:style w:type="character" w:customStyle="1" w:styleId="react-xocs-alternative-link">
    <w:name w:val="react-xocs-alternative-link"/>
    <w:basedOn w:val="DefaultParagraphFont"/>
    <w:rsid w:val="0042536E"/>
  </w:style>
  <w:style w:type="character" w:customStyle="1" w:styleId="given-name">
    <w:name w:val="given-name"/>
    <w:basedOn w:val="DefaultParagraphFont"/>
    <w:rsid w:val="0042536E"/>
  </w:style>
  <w:style w:type="character" w:customStyle="1" w:styleId="text">
    <w:name w:val="text"/>
    <w:basedOn w:val="DefaultParagraphFont"/>
    <w:rsid w:val="0042536E"/>
  </w:style>
  <w:style w:type="character" w:customStyle="1" w:styleId="author-ref">
    <w:name w:val="author-ref"/>
    <w:basedOn w:val="DefaultParagraphFont"/>
    <w:rsid w:val="0042536E"/>
  </w:style>
  <w:style w:type="character" w:customStyle="1" w:styleId="Heading7Char">
    <w:name w:val="Heading 7 Char"/>
    <w:basedOn w:val="DefaultParagraphFont"/>
    <w:link w:val="Heading7"/>
    <w:uiPriority w:val="9"/>
    <w:semiHidden/>
    <w:rsid w:val="000B2104"/>
    <w:rPr>
      <w:rFonts w:ascii="Times New Roman" w:eastAsiaTheme="majorEastAsia" w:hAnsi="Times New Roman" w:cstheme="majorBidi"/>
      <w:color w:val="595959" w:themeColor="text1" w:themeTint="A6"/>
      <w:sz w:val="24"/>
      <w:szCs w:val="24"/>
      <w:lang w:val="en-US"/>
    </w:rPr>
  </w:style>
  <w:style w:type="character" w:customStyle="1" w:styleId="Heading8Char">
    <w:name w:val="Heading 8 Char"/>
    <w:basedOn w:val="DefaultParagraphFont"/>
    <w:link w:val="Heading8"/>
    <w:uiPriority w:val="9"/>
    <w:semiHidden/>
    <w:rsid w:val="000B2104"/>
    <w:rPr>
      <w:rFonts w:ascii="Times New Roman" w:eastAsiaTheme="majorEastAsia" w:hAnsi="Times New Roman" w:cstheme="majorBidi"/>
      <w:i/>
      <w:iCs/>
      <w:color w:val="272727" w:themeColor="text1" w:themeTint="D8"/>
      <w:sz w:val="24"/>
      <w:szCs w:val="24"/>
      <w:lang w:val="en-US"/>
    </w:rPr>
  </w:style>
  <w:style w:type="character" w:customStyle="1" w:styleId="Heading9Char">
    <w:name w:val="Heading 9 Char"/>
    <w:basedOn w:val="DefaultParagraphFont"/>
    <w:link w:val="Heading9"/>
    <w:uiPriority w:val="9"/>
    <w:semiHidden/>
    <w:rsid w:val="000B2104"/>
    <w:rPr>
      <w:rFonts w:ascii="Times New Roman" w:eastAsiaTheme="majorEastAsia" w:hAnsi="Times New Roman" w:cstheme="majorBidi"/>
      <w:color w:val="272727" w:themeColor="text1" w:themeTint="D8"/>
      <w:sz w:val="24"/>
      <w:szCs w:val="24"/>
      <w:lang w:val="en-US"/>
    </w:rPr>
  </w:style>
  <w:style w:type="paragraph" w:styleId="Quote">
    <w:name w:val="Quote"/>
    <w:basedOn w:val="Normal"/>
    <w:next w:val="Normal"/>
    <w:link w:val="QuoteChar"/>
    <w:uiPriority w:val="29"/>
    <w:qFormat/>
    <w:rsid w:val="000B210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B2104"/>
    <w:rPr>
      <w:rFonts w:ascii="Times New Roman" w:eastAsia="Times New Roman" w:hAnsi="Times New Roman" w:cs="Times New Roman"/>
      <w:i/>
      <w:iCs/>
      <w:color w:val="404040" w:themeColor="text1" w:themeTint="BF"/>
      <w:sz w:val="24"/>
      <w:szCs w:val="24"/>
      <w:lang w:val="en-US"/>
    </w:rPr>
  </w:style>
  <w:style w:type="character" w:styleId="IntenseEmphasis">
    <w:name w:val="Intense Emphasis"/>
    <w:basedOn w:val="DefaultParagraphFont"/>
    <w:uiPriority w:val="21"/>
    <w:qFormat/>
    <w:rsid w:val="000B2104"/>
    <w:rPr>
      <w:i/>
      <w:iCs/>
      <w:color w:val="365F91" w:themeColor="accent1" w:themeShade="BF"/>
    </w:rPr>
  </w:style>
  <w:style w:type="paragraph" w:styleId="IntenseQuote">
    <w:name w:val="Intense Quote"/>
    <w:basedOn w:val="Normal"/>
    <w:next w:val="Normal"/>
    <w:link w:val="IntenseQuoteChar"/>
    <w:uiPriority w:val="30"/>
    <w:qFormat/>
    <w:rsid w:val="000B210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B2104"/>
    <w:rPr>
      <w:rFonts w:ascii="Times New Roman" w:eastAsia="Times New Roman" w:hAnsi="Times New Roman" w:cs="Times New Roman"/>
      <w:i/>
      <w:iCs/>
      <w:color w:val="365F91" w:themeColor="accent1" w:themeShade="BF"/>
      <w:sz w:val="24"/>
      <w:szCs w:val="24"/>
      <w:lang w:val="en-US"/>
    </w:rPr>
  </w:style>
  <w:style w:type="character" w:styleId="IntenseReference">
    <w:name w:val="Intense Reference"/>
    <w:basedOn w:val="DefaultParagraphFont"/>
    <w:uiPriority w:val="32"/>
    <w:qFormat/>
    <w:rsid w:val="000B210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19412">
      <w:bodyDiv w:val="1"/>
      <w:marLeft w:val="0"/>
      <w:marRight w:val="0"/>
      <w:marTop w:val="0"/>
      <w:marBottom w:val="0"/>
      <w:divBdr>
        <w:top w:val="none" w:sz="0" w:space="0" w:color="auto"/>
        <w:left w:val="none" w:sz="0" w:space="0" w:color="auto"/>
        <w:bottom w:val="none" w:sz="0" w:space="0" w:color="auto"/>
        <w:right w:val="none" w:sz="0" w:space="0" w:color="auto"/>
      </w:divBdr>
    </w:div>
    <w:div w:id="307824987">
      <w:bodyDiv w:val="1"/>
      <w:marLeft w:val="0"/>
      <w:marRight w:val="0"/>
      <w:marTop w:val="0"/>
      <w:marBottom w:val="0"/>
      <w:divBdr>
        <w:top w:val="none" w:sz="0" w:space="0" w:color="auto"/>
        <w:left w:val="none" w:sz="0" w:space="0" w:color="auto"/>
        <w:bottom w:val="none" w:sz="0" w:space="0" w:color="auto"/>
        <w:right w:val="none" w:sz="0" w:space="0" w:color="auto"/>
      </w:divBdr>
    </w:div>
    <w:div w:id="604338812">
      <w:bodyDiv w:val="1"/>
      <w:marLeft w:val="0"/>
      <w:marRight w:val="0"/>
      <w:marTop w:val="0"/>
      <w:marBottom w:val="0"/>
      <w:divBdr>
        <w:top w:val="none" w:sz="0" w:space="0" w:color="auto"/>
        <w:left w:val="none" w:sz="0" w:space="0" w:color="auto"/>
        <w:bottom w:val="none" w:sz="0" w:space="0" w:color="auto"/>
        <w:right w:val="none" w:sz="0" w:space="0" w:color="auto"/>
      </w:divBdr>
    </w:div>
    <w:div w:id="675576000">
      <w:bodyDiv w:val="1"/>
      <w:marLeft w:val="0"/>
      <w:marRight w:val="0"/>
      <w:marTop w:val="0"/>
      <w:marBottom w:val="0"/>
      <w:divBdr>
        <w:top w:val="none" w:sz="0" w:space="0" w:color="auto"/>
        <w:left w:val="none" w:sz="0" w:space="0" w:color="auto"/>
        <w:bottom w:val="none" w:sz="0" w:space="0" w:color="auto"/>
        <w:right w:val="none" w:sz="0" w:space="0" w:color="auto"/>
      </w:divBdr>
    </w:div>
    <w:div w:id="868104102">
      <w:bodyDiv w:val="1"/>
      <w:marLeft w:val="0"/>
      <w:marRight w:val="0"/>
      <w:marTop w:val="0"/>
      <w:marBottom w:val="0"/>
      <w:divBdr>
        <w:top w:val="none" w:sz="0" w:space="0" w:color="auto"/>
        <w:left w:val="none" w:sz="0" w:space="0" w:color="auto"/>
        <w:bottom w:val="none" w:sz="0" w:space="0" w:color="auto"/>
        <w:right w:val="none" w:sz="0" w:space="0" w:color="auto"/>
      </w:divBdr>
    </w:div>
    <w:div w:id="890114251">
      <w:bodyDiv w:val="1"/>
      <w:marLeft w:val="0"/>
      <w:marRight w:val="0"/>
      <w:marTop w:val="0"/>
      <w:marBottom w:val="0"/>
      <w:divBdr>
        <w:top w:val="none" w:sz="0" w:space="0" w:color="auto"/>
        <w:left w:val="none" w:sz="0" w:space="0" w:color="auto"/>
        <w:bottom w:val="none" w:sz="0" w:space="0" w:color="auto"/>
        <w:right w:val="none" w:sz="0" w:space="0" w:color="auto"/>
      </w:divBdr>
    </w:div>
    <w:div w:id="939870529">
      <w:bodyDiv w:val="1"/>
      <w:marLeft w:val="0"/>
      <w:marRight w:val="0"/>
      <w:marTop w:val="0"/>
      <w:marBottom w:val="0"/>
      <w:divBdr>
        <w:top w:val="none" w:sz="0" w:space="0" w:color="auto"/>
        <w:left w:val="none" w:sz="0" w:space="0" w:color="auto"/>
        <w:bottom w:val="none" w:sz="0" w:space="0" w:color="auto"/>
        <w:right w:val="none" w:sz="0" w:space="0" w:color="auto"/>
      </w:divBdr>
    </w:div>
    <w:div w:id="1059281513">
      <w:bodyDiv w:val="1"/>
      <w:marLeft w:val="0"/>
      <w:marRight w:val="0"/>
      <w:marTop w:val="0"/>
      <w:marBottom w:val="0"/>
      <w:divBdr>
        <w:top w:val="none" w:sz="0" w:space="0" w:color="auto"/>
        <w:left w:val="none" w:sz="0" w:space="0" w:color="auto"/>
        <w:bottom w:val="none" w:sz="0" w:space="0" w:color="auto"/>
        <w:right w:val="none" w:sz="0" w:space="0" w:color="auto"/>
      </w:divBdr>
    </w:div>
    <w:div w:id="1098673072">
      <w:bodyDiv w:val="1"/>
      <w:marLeft w:val="0"/>
      <w:marRight w:val="0"/>
      <w:marTop w:val="0"/>
      <w:marBottom w:val="0"/>
      <w:divBdr>
        <w:top w:val="none" w:sz="0" w:space="0" w:color="auto"/>
        <w:left w:val="none" w:sz="0" w:space="0" w:color="auto"/>
        <w:bottom w:val="none" w:sz="0" w:space="0" w:color="auto"/>
        <w:right w:val="none" w:sz="0" w:space="0" w:color="auto"/>
      </w:divBdr>
    </w:div>
    <w:div w:id="1159227890">
      <w:bodyDiv w:val="1"/>
      <w:marLeft w:val="0"/>
      <w:marRight w:val="0"/>
      <w:marTop w:val="0"/>
      <w:marBottom w:val="0"/>
      <w:divBdr>
        <w:top w:val="none" w:sz="0" w:space="0" w:color="auto"/>
        <w:left w:val="none" w:sz="0" w:space="0" w:color="auto"/>
        <w:bottom w:val="none" w:sz="0" w:space="0" w:color="auto"/>
        <w:right w:val="none" w:sz="0" w:space="0" w:color="auto"/>
      </w:divBdr>
    </w:div>
    <w:div w:id="1291284828">
      <w:bodyDiv w:val="1"/>
      <w:marLeft w:val="0"/>
      <w:marRight w:val="0"/>
      <w:marTop w:val="0"/>
      <w:marBottom w:val="0"/>
      <w:divBdr>
        <w:top w:val="none" w:sz="0" w:space="0" w:color="auto"/>
        <w:left w:val="none" w:sz="0" w:space="0" w:color="auto"/>
        <w:bottom w:val="none" w:sz="0" w:space="0" w:color="auto"/>
        <w:right w:val="none" w:sz="0" w:space="0" w:color="auto"/>
      </w:divBdr>
      <w:divsChild>
        <w:div w:id="494414256">
          <w:marLeft w:val="0"/>
          <w:marRight w:val="0"/>
          <w:marTop w:val="0"/>
          <w:marBottom w:val="0"/>
          <w:divBdr>
            <w:top w:val="none" w:sz="0" w:space="0" w:color="auto"/>
            <w:left w:val="none" w:sz="0" w:space="0" w:color="auto"/>
            <w:bottom w:val="none" w:sz="0" w:space="0" w:color="auto"/>
            <w:right w:val="none" w:sz="0" w:space="0" w:color="auto"/>
          </w:divBdr>
          <w:divsChild>
            <w:div w:id="408118767">
              <w:marLeft w:val="0"/>
              <w:marRight w:val="0"/>
              <w:marTop w:val="0"/>
              <w:marBottom w:val="0"/>
              <w:divBdr>
                <w:top w:val="none" w:sz="0" w:space="0" w:color="auto"/>
                <w:left w:val="none" w:sz="0" w:space="0" w:color="auto"/>
                <w:bottom w:val="none" w:sz="0" w:space="0" w:color="auto"/>
                <w:right w:val="none" w:sz="0" w:space="0" w:color="auto"/>
              </w:divBdr>
            </w:div>
          </w:divsChild>
        </w:div>
        <w:div w:id="431629436">
          <w:marLeft w:val="0"/>
          <w:marRight w:val="0"/>
          <w:marTop w:val="0"/>
          <w:marBottom w:val="0"/>
          <w:divBdr>
            <w:top w:val="none" w:sz="0" w:space="0" w:color="auto"/>
            <w:left w:val="none" w:sz="0" w:space="0" w:color="auto"/>
            <w:bottom w:val="none" w:sz="0" w:space="0" w:color="auto"/>
            <w:right w:val="none" w:sz="0" w:space="0" w:color="auto"/>
          </w:divBdr>
          <w:divsChild>
            <w:div w:id="156834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057444">
      <w:bodyDiv w:val="1"/>
      <w:marLeft w:val="0"/>
      <w:marRight w:val="0"/>
      <w:marTop w:val="0"/>
      <w:marBottom w:val="0"/>
      <w:divBdr>
        <w:top w:val="none" w:sz="0" w:space="0" w:color="auto"/>
        <w:left w:val="none" w:sz="0" w:space="0" w:color="auto"/>
        <w:bottom w:val="none" w:sz="0" w:space="0" w:color="auto"/>
        <w:right w:val="none" w:sz="0" w:space="0" w:color="auto"/>
      </w:divBdr>
    </w:div>
    <w:div w:id="1406221353">
      <w:bodyDiv w:val="1"/>
      <w:marLeft w:val="0"/>
      <w:marRight w:val="0"/>
      <w:marTop w:val="0"/>
      <w:marBottom w:val="0"/>
      <w:divBdr>
        <w:top w:val="none" w:sz="0" w:space="0" w:color="auto"/>
        <w:left w:val="none" w:sz="0" w:space="0" w:color="auto"/>
        <w:bottom w:val="none" w:sz="0" w:space="0" w:color="auto"/>
        <w:right w:val="none" w:sz="0" w:space="0" w:color="auto"/>
      </w:divBdr>
    </w:div>
    <w:div w:id="1409186010">
      <w:bodyDiv w:val="1"/>
      <w:marLeft w:val="0"/>
      <w:marRight w:val="0"/>
      <w:marTop w:val="0"/>
      <w:marBottom w:val="0"/>
      <w:divBdr>
        <w:top w:val="none" w:sz="0" w:space="0" w:color="auto"/>
        <w:left w:val="none" w:sz="0" w:space="0" w:color="auto"/>
        <w:bottom w:val="none" w:sz="0" w:space="0" w:color="auto"/>
        <w:right w:val="none" w:sz="0" w:space="0" w:color="auto"/>
      </w:divBdr>
    </w:div>
    <w:div w:id="1450398713">
      <w:bodyDiv w:val="1"/>
      <w:marLeft w:val="0"/>
      <w:marRight w:val="0"/>
      <w:marTop w:val="0"/>
      <w:marBottom w:val="0"/>
      <w:divBdr>
        <w:top w:val="none" w:sz="0" w:space="0" w:color="auto"/>
        <w:left w:val="none" w:sz="0" w:space="0" w:color="auto"/>
        <w:bottom w:val="none" w:sz="0" w:space="0" w:color="auto"/>
        <w:right w:val="none" w:sz="0" w:space="0" w:color="auto"/>
      </w:divBdr>
    </w:div>
    <w:div w:id="1486892502">
      <w:bodyDiv w:val="1"/>
      <w:marLeft w:val="0"/>
      <w:marRight w:val="0"/>
      <w:marTop w:val="0"/>
      <w:marBottom w:val="0"/>
      <w:divBdr>
        <w:top w:val="none" w:sz="0" w:space="0" w:color="auto"/>
        <w:left w:val="none" w:sz="0" w:space="0" w:color="auto"/>
        <w:bottom w:val="none" w:sz="0" w:space="0" w:color="auto"/>
        <w:right w:val="none" w:sz="0" w:space="0" w:color="auto"/>
      </w:divBdr>
    </w:div>
    <w:div w:id="1737582098">
      <w:bodyDiv w:val="1"/>
      <w:marLeft w:val="0"/>
      <w:marRight w:val="0"/>
      <w:marTop w:val="0"/>
      <w:marBottom w:val="0"/>
      <w:divBdr>
        <w:top w:val="none" w:sz="0" w:space="0" w:color="auto"/>
        <w:left w:val="none" w:sz="0" w:space="0" w:color="auto"/>
        <w:bottom w:val="none" w:sz="0" w:space="0" w:color="auto"/>
        <w:right w:val="none" w:sz="0" w:space="0" w:color="auto"/>
      </w:divBdr>
    </w:div>
    <w:div w:id="1745834745">
      <w:bodyDiv w:val="1"/>
      <w:marLeft w:val="0"/>
      <w:marRight w:val="0"/>
      <w:marTop w:val="0"/>
      <w:marBottom w:val="0"/>
      <w:divBdr>
        <w:top w:val="none" w:sz="0" w:space="0" w:color="auto"/>
        <w:left w:val="none" w:sz="0" w:space="0" w:color="auto"/>
        <w:bottom w:val="none" w:sz="0" w:space="0" w:color="auto"/>
        <w:right w:val="none" w:sz="0" w:space="0" w:color="auto"/>
      </w:divBdr>
    </w:div>
    <w:div w:id="1817795154">
      <w:bodyDiv w:val="1"/>
      <w:marLeft w:val="0"/>
      <w:marRight w:val="0"/>
      <w:marTop w:val="0"/>
      <w:marBottom w:val="0"/>
      <w:divBdr>
        <w:top w:val="none" w:sz="0" w:space="0" w:color="auto"/>
        <w:left w:val="none" w:sz="0" w:space="0" w:color="auto"/>
        <w:bottom w:val="none" w:sz="0" w:space="0" w:color="auto"/>
        <w:right w:val="none" w:sz="0" w:space="0" w:color="auto"/>
      </w:divBdr>
    </w:div>
    <w:div w:id="1908227503">
      <w:bodyDiv w:val="1"/>
      <w:marLeft w:val="0"/>
      <w:marRight w:val="0"/>
      <w:marTop w:val="0"/>
      <w:marBottom w:val="0"/>
      <w:divBdr>
        <w:top w:val="none" w:sz="0" w:space="0" w:color="auto"/>
        <w:left w:val="none" w:sz="0" w:space="0" w:color="auto"/>
        <w:bottom w:val="none" w:sz="0" w:space="0" w:color="auto"/>
        <w:right w:val="none" w:sz="0" w:space="0" w:color="auto"/>
      </w:divBdr>
    </w:div>
    <w:div w:id="1911580489">
      <w:bodyDiv w:val="1"/>
      <w:marLeft w:val="0"/>
      <w:marRight w:val="0"/>
      <w:marTop w:val="0"/>
      <w:marBottom w:val="0"/>
      <w:divBdr>
        <w:top w:val="none" w:sz="0" w:space="0" w:color="auto"/>
        <w:left w:val="none" w:sz="0" w:space="0" w:color="auto"/>
        <w:bottom w:val="none" w:sz="0" w:space="0" w:color="auto"/>
        <w:right w:val="none" w:sz="0" w:space="0" w:color="auto"/>
      </w:divBdr>
    </w:div>
    <w:div w:id="2007246698">
      <w:bodyDiv w:val="1"/>
      <w:marLeft w:val="0"/>
      <w:marRight w:val="0"/>
      <w:marTop w:val="0"/>
      <w:marBottom w:val="0"/>
      <w:divBdr>
        <w:top w:val="none" w:sz="0" w:space="0" w:color="auto"/>
        <w:left w:val="none" w:sz="0" w:space="0" w:color="auto"/>
        <w:bottom w:val="none" w:sz="0" w:space="0" w:color="auto"/>
        <w:right w:val="none" w:sz="0" w:space="0" w:color="auto"/>
      </w:divBdr>
    </w:div>
    <w:div w:id="2099715249">
      <w:bodyDiv w:val="1"/>
      <w:marLeft w:val="0"/>
      <w:marRight w:val="0"/>
      <w:marTop w:val="0"/>
      <w:marBottom w:val="0"/>
      <w:divBdr>
        <w:top w:val="none" w:sz="0" w:space="0" w:color="auto"/>
        <w:left w:val="none" w:sz="0" w:space="0" w:color="auto"/>
        <w:bottom w:val="none" w:sz="0" w:space="0" w:color="auto"/>
        <w:right w:val="none" w:sz="0" w:space="0" w:color="auto"/>
      </w:divBdr>
      <w:divsChild>
        <w:div w:id="798306342">
          <w:marLeft w:val="0"/>
          <w:marRight w:val="0"/>
          <w:marTop w:val="0"/>
          <w:marBottom w:val="0"/>
          <w:divBdr>
            <w:top w:val="none" w:sz="0" w:space="0" w:color="auto"/>
            <w:left w:val="none" w:sz="0" w:space="0" w:color="auto"/>
            <w:bottom w:val="none" w:sz="0" w:space="0" w:color="auto"/>
            <w:right w:val="none" w:sz="0" w:space="0" w:color="auto"/>
          </w:divBdr>
        </w:div>
        <w:div w:id="921640122">
          <w:marLeft w:val="0"/>
          <w:marRight w:val="0"/>
          <w:marTop w:val="0"/>
          <w:marBottom w:val="0"/>
          <w:divBdr>
            <w:top w:val="none" w:sz="0" w:space="0" w:color="auto"/>
            <w:left w:val="none" w:sz="0" w:space="0" w:color="auto"/>
            <w:bottom w:val="none" w:sz="0" w:space="0" w:color="auto"/>
            <w:right w:val="none" w:sz="0" w:space="0" w:color="auto"/>
          </w:divBdr>
        </w:div>
        <w:div w:id="405762225">
          <w:marLeft w:val="0"/>
          <w:marRight w:val="0"/>
          <w:marTop w:val="0"/>
          <w:marBottom w:val="0"/>
          <w:divBdr>
            <w:top w:val="none" w:sz="0" w:space="0" w:color="auto"/>
            <w:left w:val="none" w:sz="0" w:space="0" w:color="auto"/>
            <w:bottom w:val="none" w:sz="0" w:space="0" w:color="auto"/>
            <w:right w:val="none" w:sz="0" w:space="0" w:color="auto"/>
          </w:divBdr>
        </w:div>
        <w:div w:id="140098352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eller@umn.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1007/3-540-44503-X_2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10418-5A92-41B8-ABF4-D38491D5D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12</Pages>
  <Words>4146</Words>
  <Characters>23633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E502294</cp:lastModifiedBy>
  <cp:revision>7</cp:revision>
  <cp:lastPrinted>2024-07-17T02:30:00Z</cp:lastPrinted>
  <dcterms:created xsi:type="dcterms:W3CDTF">2024-10-26T16:33:00Z</dcterms:created>
  <dcterms:modified xsi:type="dcterms:W3CDTF">2025-01-17T16:41:00Z</dcterms:modified>
</cp:coreProperties>
</file>