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83D39" w14:textId="77777777" w:rsidR="00FA1481" w:rsidRDefault="00664A12" w:rsidP="00E40896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noProof/>
          <w:sz w:val="36"/>
          <w:szCs w:val="36"/>
        </w:rPr>
        <w:drawing>
          <wp:inline distT="0" distB="0" distL="0" distR="0" wp14:anchorId="6720CD11" wp14:editId="7067F797">
            <wp:extent cx="3200400" cy="609600"/>
            <wp:effectExtent l="0" t="0" r="0" b="0"/>
            <wp:docPr id="1" name="Picture 1" descr="agu_pubart-white_reduc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gu_pubart-white_reduc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184DA" w14:textId="76E0F59C" w:rsidR="00CE6EAA" w:rsidRPr="00195156" w:rsidRDefault="00195156" w:rsidP="00FF3503">
      <w:pPr>
        <w:spacing w:before="100" w:beforeAutospacing="1" w:after="100" w:afterAutospacing="1"/>
        <w:jc w:val="center"/>
        <w:rPr>
          <w:rFonts w:ascii="Myriad Pro" w:hAnsi="Myriad Pro"/>
          <w:i/>
          <w:sz w:val="22"/>
          <w:szCs w:val="22"/>
        </w:rPr>
      </w:pPr>
      <w:r>
        <w:rPr>
          <w:rFonts w:ascii="Myriad Pro" w:hAnsi="Myriad Pro"/>
          <w:i/>
          <w:sz w:val="22"/>
          <w:szCs w:val="22"/>
        </w:rPr>
        <w:t>G</w:t>
      </w:r>
      <w:r w:rsidRPr="00195156">
        <w:rPr>
          <w:rFonts w:ascii="Myriad Pro" w:hAnsi="Myriad Pro"/>
          <w:i/>
          <w:sz w:val="22"/>
          <w:szCs w:val="22"/>
          <w:vertAlign w:val="superscript"/>
        </w:rPr>
        <w:t>3</w:t>
      </w:r>
      <w:r>
        <w:rPr>
          <w:rFonts w:ascii="Myriad Pro" w:hAnsi="Myriad Pro"/>
          <w:i/>
          <w:sz w:val="22"/>
          <w:szCs w:val="22"/>
        </w:rPr>
        <w:t xml:space="preserve"> Geochemistry, Geophysics, Geosystems</w:t>
      </w:r>
    </w:p>
    <w:p w14:paraId="2CB29489" w14:textId="77777777" w:rsidR="00FF3503" w:rsidRPr="00CE6EAA" w:rsidRDefault="00FF3503" w:rsidP="00FF3503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  <w:r w:rsidRPr="00CE6EAA">
        <w:rPr>
          <w:rFonts w:ascii="Myriad Pro" w:hAnsi="Myriad Pro"/>
          <w:sz w:val="22"/>
          <w:szCs w:val="22"/>
        </w:rPr>
        <w:t>Supporting Information for</w:t>
      </w:r>
    </w:p>
    <w:p w14:paraId="07E88B25" w14:textId="77777777" w:rsidR="00195156" w:rsidRDefault="00195156" w:rsidP="00FF3503">
      <w:pPr>
        <w:spacing w:before="100" w:beforeAutospacing="1" w:after="100" w:afterAutospacing="1"/>
        <w:jc w:val="center"/>
        <w:rPr>
          <w:rFonts w:ascii="Myriad Pro" w:hAnsi="Myriad Pro"/>
          <w:b/>
          <w:sz w:val="22"/>
          <w:szCs w:val="22"/>
        </w:rPr>
      </w:pPr>
      <w:r w:rsidRPr="00195156">
        <w:rPr>
          <w:rFonts w:ascii="Myriad Pro" w:hAnsi="Myriad Pro"/>
          <w:b/>
          <w:sz w:val="22"/>
          <w:szCs w:val="22"/>
        </w:rPr>
        <w:t>Modeling the measurement: Δ</w:t>
      </w:r>
      <w:r w:rsidRPr="00195156">
        <w:rPr>
          <w:rFonts w:ascii="Myriad Pro" w:hAnsi="Myriad Pro"/>
          <w:b/>
          <w:sz w:val="22"/>
          <w:szCs w:val="22"/>
          <w:vertAlign w:val="subscript"/>
        </w:rPr>
        <w:t>47</w:t>
      </w:r>
      <w:r w:rsidRPr="00195156">
        <w:rPr>
          <w:rFonts w:ascii="Myriad Pro" w:hAnsi="Myriad Pro"/>
          <w:b/>
          <w:sz w:val="22"/>
          <w:szCs w:val="22"/>
        </w:rPr>
        <w:t xml:space="preserve">, corrections and absolute ratios for reference materials. </w:t>
      </w:r>
    </w:p>
    <w:p w14:paraId="42FFC78E" w14:textId="2D39C341" w:rsidR="00FF3503" w:rsidRDefault="00195156" w:rsidP="00FF3503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  <w:r w:rsidRPr="00195156">
        <w:rPr>
          <w:rFonts w:ascii="Myriad Pro" w:hAnsi="Myriad Pro"/>
          <w:sz w:val="22"/>
          <w:szCs w:val="22"/>
        </w:rPr>
        <w:t>Gerard Olack</w:t>
      </w:r>
      <w:r w:rsidRPr="00195156">
        <w:rPr>
          <w:rFonts w:ascii="Myriad Pro" w:hAnsi="Myriad Pro"/>
          <w:sz w:val="22"/>
          <w:szCs w:val="22"/>
          <w:vertAlign w:val="superscript"/>
        </w:rPr>
        <w:t>1</w:t>
      </w:r>
      <w:r w:rsidRPr="00195156">
        <w:rPr>
          <w:rFonts w:ascii="Myriad Pro" w:hAnsi="Myriad Pro"/>
          <w:sz w:val="22"/>
          <w:szCs w:val="22"/>
        </w:rPr>
        <w:t xml:space="preserve"> and Albert S. Colman</w:t>
      </w:r>
      <w:r w:rsidRPr="00195156">
        <w:rPr>
          <w:rFonts w:ascii="Myriad Pro" w:hAnsi="Myriad Pro"/>
          <w:sz w:val="22"/>
          <w:szCs w:val="22"/>
          <w:vertAlign w:val="superscript"/>
        </w:rPr>
        <w:t>1</w:t>
      </w:r>
    </w:p>
    <w:p w14:paraId="69976EF8" w14:textId="7AB18F95" w:rsidR="00B77E40" w:rsidRPr="00B77E40" w:rsidRDefault="00195156" w:rsidP="00FF3503">
      <w:pPr>
        <w:spacing w:before="100" w:beforeAutospacing="1" w:after="100" w:afterAutospacing="1"/>
        <w:jc w:val="center"/>
        <w:rPr>
          <w:rFonts w:ascii="Myriad Pro" w:hAnsi="Myriad Pro"/>
          <w:sz w:val="18"/>
          <w:szCs w:val="18"/>
        </w:rPr>
      </w:pPr>
      <w:r w:rsidRPr="00195156">
        <w:rPr>
          <w:rFonts w:ascii="Myriad Pro" w:hAnsi="Myriad Pro"/>
          <w:sz w:val="18"/>
          <w:szCs w:val="18"/>
          <w:vertAlign w:val="superscript"/>
        </w:rPr>
        <w:t>1</w:t>
      </w:r>
      <w:r w:rsidRPr="00195156">
        <w:rPr>
          <w:rFonts w:ascii="Myriad Pro" w:hAnsi="Myriad Pro"/>
          <w:sz w:val="18"/>
          <w:szCs w:val="18"/>
        </w:rPr>
        <w:t>University of Chicago, Chicago, IL</w:t>
      </w:r>
    </w:p>
    <w:p w14:paraId="71891EDF" w14:textId="77777777" w:rsidR="00094365" w:rsidRPr="00CE6EAA" w:rsidRDefault="00A50033" w:rsidP="00825950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  <w:r w:rsidRPr="00CE6EAA" w:rsidDel="00A50033">
        <w:rPr>
          <w:rFonts w:ascii="Myriad Pro" w:hAnsi="Myriad Pro"/>
          <w:sz w:val="22"/>
          <w:szCs w:val="22"/>
        </w:rPr>
        <w:t xml:space="preserve"> </w:t>
      </w:r>
    </w:p>
    <w:p w14:paraId="347237BD" w14:textId="77777777" w:rsidR="00094365" w:rsidRPr="00CE6EAA" w:rsidRDefault="00094365" w:rsidP="000B2E64">
      <w:pPr>
        <w:spacing w:before="100" w:beforeAutospacing="1" w:after="100" w:afterAutospacing="1"/>
        <w:jc w:val="center"/>
        <w:rPr>
          <w:rFonts w:ascii="Myriad Pro" w:hAnsi="Myriad Pro"/>
          <w:sz w:val="22"/>
          <w:szCs w:val="22"/>
        </w:rPr>
      </w:pPr>
    </w:p>
    <w:p w14:paraId="1CD128B3" w14:textId="77777777" w:rsidR="00111843" w:rsidRDefault="00111843" w:rsidP="00111843">
      <w:pPr>
        <w:rPr>
          <w:rFonts w:ascii="Myriad Pro" w:hAnsi="Myriad Pro"/>
          <w:b/>
        </w:rPr>
      </w:pPr>
      <w:r w:rsidRPr="00CE6EAA">
        <w:rPr>
          <w:rFonts w:ascii="Myriad Pro" w:hAnsi="Myriad Pro"/>
          <w:b/>
        </w:rPr>
        <w:t>Contents of this file</w:t>
      </w:r>
      <w:r w:rsidR="00E43D2D">
        <w:rPr>
          <w:rFonts w:ascii="Myriad Pro" w:hAnsi="Myriad Pro"/>
          <w:b/>
        </w:rPr>
        <w:t xml:space="preserve"> </w:t>
      </w:r>
    </w:p>
    <w:p w14:paraId="1F13291B" w14:textId="77777777" w:rsidR="00E43D2D" w:rsidRPr="00E40896" w:rsidRDefault="00E43D2D" w:rsidP="00111843">
      <w:pPr>
        <w:rPr>
          <w:rFonts w:ascii="Myriad Pro" w:hAnsi="Myriad Pro"/>
        </w:rPr>
      </w:pPr>
    </w:p>
    <w:p w14:paraId="10640459" w14:textId="5091AE93" w:rsidR="00111843" w:rsidRPr="00CE6EAA" w:rsidRDefault="00111843" w:rsidP="00111843">
      <w:pPr>
        <w:ind w:left="720"/>
        <w:rPr>
          <w:rFonts w:ascii="Myriad Pro" w:hAnsi="Myriad Pro"/>
          <w:sz w:val="22"/>
          <w:szCs w:val="22"/>
        </w:rPr>
      </w:pPr>
      <w:r w:rsidRPr="00CE6EAA">
        <w:rPr>
          <w:rFonts w:ascii="Myriad Pro" w:hAnsi="Myriad Pro"/>
          <w:sz w:val="22"/>
          <w:szCs w:val="22"/>
        </w:rPr>
        <w:t xml:space="preserve">Figure S1 </w:t>
      </w:r>
    </w:p>
    <w:p w14:paraId="0363B503" w14:textId="77777777" w:rsidR="00111843" w:rsidRPr="00E40896" w:rsidRDefault="00111843" w:rsidP="00111843">
      <w:pPr>
        <w:ind w:left="720"/>
        <w:rPr>
          <w:rFonts w:ascii="Myriad Pro" w:hAnsi="Myriad Pro"/>
        </w:rPr>
      </w:pPr>
    </w:p>
    <w:p w14:paraId="2323E638" w14:textId="77777777" w:rsidR="00111843" w:rsidRPr="00CE6EAA" w:rsidRDefault="00111843" w:rsidP="00111843">
      <w:pPr>
        <w:rPr>
          <w:rFonts w:ascii="Myriad Pro" w:hAnsi="Myriad Pro"/>
          <w:b/>
        </w:rPr>
      </w:pPr>
      <w:r w:rsidRPr="00CE6EAA">
        <w:rPr>
          <w:rFonts w:ascii="Myriad Pro" w:hAnsi="Myriad Pro"/>
          <w:b/>
        </w:rPr>
        <w:t>Additional Supporting Information (Files uploaded separately)</w:t>
      </w:r>
    </w:p>
    <w:p w14:paraId="3343B9AD" w14:textId="77777777" w:rsidR="00111843" w:rsidRPr="00E40896" w:rsidRDefault="00111843" w:rsidP="00111843">
      <w:pPr>
        <w:rPr>
          <w:rFonts w:ascii="Myriad Pro Light" w:hAnsi="Myriad Pro Light"/>
          <w:b/>
        </w:rPr>
      </w:pPr>
    </w:p>
    <w:p w14:paraId="795CD27E" w14:textId="68F36C1E" w:rsidR="00111843" w:rsidRPr="00195156" w:rsidRDefault="00195156" w:rsidP="00195156">
      <w:pPr>
        <w:pStyle w:val="ListParagraph"/>
        <w:numPr>
          <w:ilvl w:val="0"/>
          <w:numId w:val="14"/>
        </w:numPr>
        <w:rPr>
          <w:szCs w:val="24"/>
        </w:rPr>
      </w:pPr>
      <w:r w:rsidRPr="00195156">
        <w:rPr>
          <w:szCs w:val="24"/>
        </w:rPr>
        <w:t>Supplementa</w:t>
      </w:r>
      <w:r>
        <w:rPr>
          <w:szCs w:val="24"/>
        </w:rPr>
        <w:t>1</w:t>
      </w:r>
      <w:r w:rsidRPr="00195156">
        <w:rPr>
          <w:szCs w:val="24"/>
        </w:rPr>
        <w:t xml:space="preserve"> Material </w:t>
      </w:r>
      <w:r>
        <w:rPr>
          <w:szCs w:val="24"/>
        </w:rPr>
        <w:t>1: Excel model, matrix</w:t>
      </w:r>
    </w:p>
    <w:p w14:paraId="79B29BDB" w14:textId="7AF1DF05" w:rsidR="00195156" w:rsidRPr="00195156" w:rsidRDefault="00195156" w:rsidP="00195156">
      <w:pPr>
        <w:pStyle w:val="ListParagraph"/>
        <w:numPr>
          <w:ilvl w:val="0"/>
          <w:numId w:val="14"/>
        </w:numPr>
        <w:rPr>
          <w:szCs w:val="24"/>
        </w:rPr>
      </w:pPr>
      <w:r w:rsidRPr="00195156">
        <w:rPr>
          <w:szCs w:val="24"/>
        </w:rPr>
        <w:t>Supplementa</w:t>
      </w:r>
      <w:r>
        <w:rPr>
          <w:szCs w:val="24"/>
        </w:rPr>
        <w:t>1</w:t>
      </w:r>
      <w:r w:rsidRPr="00195156">
        <w:rPr>
          <w:szCs w:val="24"/>
        </w:rPr>
        <w:t xml:space="preserve"> Material </w:t>
      </w:r>
      <w:r>
        <w:rPr>
          <w:szCs w:val="24"/>
        </w:rPr>
        <w:t>2</w:t>
      </w:r>
      <w:r>
        <w:rPr>
          <w:szCs w:val="24"/>
        </w:rPr>
        <w:t xml:space="preserve">: Excel model, </w:t>
      </w:r>
      <w:r>
        <w:rPr>
          <w:szCs w:val="24"/>
        </w:rPr>
        <w:t xml:space="preserve">sample </w:t>
      </w:r>
      <w:r w:rsidR="002E367D">
        <w:rPr>
          <w:szCs w:val="24"/>
        </w:rPr>
        <w:t>fitting</w:t>
      </w:r>
    </w:p>
    <w:p w14:paraId="3E3F9683" w14:textId="77777777" w:rsidR="00195156" w:rsidRPr="00195156" w:rsidRDefault="00195156" w:rsidP="002E367D">
      <w:pPr>
        <w:pStyle w:val="ListParagraph"/>
        <w:ind w:left="1080"/>
        <w:rPr>
          <w:rFonts w:ascii="Myriad Pro" w:hAnsi="Myriad Pro"/>
          <w:b/>
          <w:bCs/>
          <w:szCs w:val="24"/>
        </w:rPr>
      </w:pPr>
    </w:p>
    <w:p w14:paraId="79042C92" w14:textId="77777777" w:rsidR="00FF3503" w:rsidRPr="00CE6EAA" w:rsidRDefault="00FF3503" w:rsidP="00FF3503">
      <w:pPr>
        <w:spacing w:before="100" w:beforeAutospacing="1" w:after="100" w:afterAutospacing="1"/>
        <w:rPr>
          <w:rFonts w:ascii="Myriad Pro" w:hAnsi="Myriad Pro"/>
          <w:b/>
          <w:szCs w:val="24"/>
        </w:rPr>
      </w:pPr>
      <w:r w:rsidRPr="00CE6EAA">
        <w:rPr>
          <w:rFonts w:ascii="Myriad Pro" w:hAnsi="Myriad Pro"/>
          <w:b/>
          <w:bCs/>
          <w:szCs w:val="24"/>
        </w:rPr>
        <w:t>Introduction</w:t>
      </w:r>
      <w:r w:rsidRPr="00CE6EAA">
        <w:rPr>
          <w:rFonts w:ascii="Myriad Pro" w:hAnsi="Myriad Pro"/>
          <w:b/>
          <w:szCs w:val="24"/>
        </w:rPr>
        <w:t xml:space="preserve"> </w:t>
      </w:r>
    </w:p>
    <w:p w14:paraId="19886F0B" w14:textId="7BA94307" w:rsidR="002C030F" w:rsidRPr="00E40896" w:rsidRDefault="002E367D">
      <w:pPr>
        <w:rPr>
          <w:rFonts w:ascii="Myriad Pro" w:hAnsi="Myriad Pro"/>
        </w:rPr>
      </w:pPr>
      <w:r w:rsidRPr="00A90E58">
        <w:rPr>
          <w:szCs w:val="24"/>
        </w:rPr>
        <w:t>Supporting information consists of a figure, listed below, and two Microsoft Excel files</w:t>
      </w:r>
      <w:r>
        <w:rPr>
          <w:szCs w:val="24"/>
        </w:rPr>
        <w:t xml:space="preserve"> containing our data processing model</w:t>
      </w:r>
      <w:r w:rsidRPr="00A90E58">
        <w:rPr>
          <w:szCs w:val="24"/>
        </w:rPr>
        <w:t>, uploaded separately</w:t>
      </w:r>
      <w:r>
        <w:rPr>
          <w:szCs w:val="24"/>
        </w:rPr>
        <w:t>, as Supplemental Material 1 and Supplemental Material 2</w:t>
      </w:r>
    </w:p>
    <w:p w14:paraId="2218C341" w14:textId="77777777" w:rsidR="00015F74" w:rsidRPr="00E40896" w:rsidRDefault="00015F74">
      <w:pPr>
        <w:rPr>
          <w:rFonts w:ascii="Myriad Pro" w:hAnsi="Myriad Pro"/>
          <w:b/>
        </w:rPr>
      </w:pPr>
    </w:p>
    <w:p w14:paraId="2B074851" w14:textId="77777777" w:rsidR="002C030F" w:rsidRPr="00E40896" w:rsidRDefault="002C030F">
      <w:pPr>
        <w:rPr>
          <w:rFonts w:ascii="Myriad Pro" w:hAnsi="Myriad Pro"/>
        </w:rPr>
      </w:pPr>
    </w:p>
    <w:p w14:paraId="516E0BA3" w14:textId="77777777" w:rsidR="0020183F" w:rsidRDefault="0020183F"/>
    <w:p w14:paraId="3C7A16EF" w14:textId="77777777" w:rsidR="009A5287" w:rsidRPr="00CE6EAA" w:rsidRDefault="009A5287" w:rsidP="00B9440A">
      <w:pPr>
        <w:pStyle w:val="SMText"/>
        <w:rPr>
          <w:rFonts w:ascii="Myriad Pro" w:hAnsi="Myriad Pro"/>
        </w:rPr>
      </w:pPr>
    </w:p>
    <w:p w14:paraId="32CE9E2D" w14:textId="4B045D16" w:rsidR="003E1980" w:rsidRPr="00CE6EAA" w:rsidRDefault="002E367D" w:rsidP="009A5287">
      <w:pPr>
        <w:pStyle w:val="SMcaption"/>
        <w:rPr>
          <w:rFonts w:ascii="Myriad Pro" w:hAnsi="Myriad Pro"/>
        </w:rPr>
      </w:pPr>
      <w:r>
        <w:rPr>
          <w:noProof/>
        </w:rPr>
        <w:lastRenderedPageBreak/>
        <w:drawing>
          <wp:inline distT="0" distB="0" distL="0" distR="0" wp14:anchorId="0173FA39" wp14:editId="0DA89D46">
            <wp:extent cx="3591560" cy="3277209"/>
            <wp:effectExtent l="0" t="0" r="8890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F66ABFD-3F00-4375-AFCA-24E9D5BA4E0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1E8C81E" w14:textId="77777777" w:rsidR="002E367D" w:rsidRPr="00A90E58" w:rsidRDefault="00227D86" w:rsidP="002E367D">
      <w:pPr>
        <w:rPr>
          <w:szCs w:val="24"/>
        </w:rPr>
      </w:pPr>
      <w:r w:rsidRPr="002E367D">
        <w:rPr>
          <w:rFonts w:ascii="Myriad Pro" w:hAnsi="Myriad Pro"/>
          <w:b/>
          <w:sz w:val="22"/>
          <w:szCs w:val="22"/>
        </w:rPr>
        <w:t>Figure S1</w:t>
      </w:r>
      <w:r w:rsidR="003E1980" w:rsidRPr="005314B5">
        <w:rPr>
          <w:rFonts w:ascii="Myriad Pro" w:hAnsi="Myriad Pro"/>
          <w:sz w:val="22"/>
          <w:szCs w:val="22"/>
        </w:rPr>
        <w:t xml:space="preserve">. </w:t>
      </w:r>
      <w:r w:rsidR="002E367D" w:rsidRPr="00A90E58">
        <w:rPr>
          <w:szCs w:val="24"/>
        </w:rPr>
        <w:t xml:space="preserve">Projecting </w:t>
      </w:r>
      <w:r w:rsidR="002E367D" w:rsidRPr="00A90E58">
        <w:rPr>
          <w:szCs w:val="24"/>
          <w:vertAlign w:val="superscript"/>
        </w:rPr>
        <w:t>47</w:t>
      </w:r>
      <w:r w:rsidR="002E367D" w:rsidRPr="00A90E58">
        <w:rPr>
          <w:szCs w:val="24"/>
          <w:lang w:val="el-GR"/>
        </w:rPr>
        <w:t>δ</w:t>
      </w:r>
      <w:r w:rsidR="002E367D" w:rsidRPr="00A90E58">
        <w:rPr>
          <w:szCs w:val="24"/>
        </w:rPr>
        <w:t>, (</w:t>
      </w:r>
      <w:r w:rsidR="002E367D" w:rsidRPr="00A90E58">
        <w:rPr>
          <w:szCs w:val="24"/>
          <w:lang w:val="el-GR"/>
        </w:rPr>
        <w:t>δ</w:t>
      </w:r>
      <w:r w:rsidR="002E367D" w:rsidRPr="00A90E58">
        <w:rPr>
          <w:szCs w:val="24"/>
          <w:vertAlign w:val="superscript"/>
        </w:rPr>
        <w:t>13</w:t>
      </w:r>
      <w:r w:rsidR="002E367D" w:rsidRPr="00A90E58">
        <w:rPr>
          <w:szCs w:val="24"/>
        </w:rPr>
        <w:t xml:space="preserve">C + </w:t>
      </w:r>
      <w:r w:rsidR="002E367D" w:rsidRPr="00A90E58">
        <w:rPr>
          <w:szCs w:val="24"/>
          <w:lang w:val="el-GR"/>
        </w:rPr>
        <w:t>δ</w:t>
      </w:r>
      <w:r w:rsidR="002E367D" w:rsidRPr="00A90E58">
        <w:rPr>
          <w:szCs w:val="24"/>
          <w:vertAlign w:val="superscript"/>
        </w:rPr>
        <w:t>18</w:t>
      </w:r>
      <w:r w:rsidR="002E367D" w:rsidRPr="00A90E58">
        <w:rPr>
          <w:szCs w:val="24"/>
        </w:rPr>
        <w:t>O), and (</w:t>
      </w:r>
      <w:r w:rsidR="002E367D" w:rsidRPr="00A90E58">
        <w:rPr>
          <w:szCs w:val="24"/>
          <w:lang w:val="el-GR"/>
        </w:rPr>
        <w:t>δ</w:t>
      </w:r>
      <w:r w:rsidR="002E367D" w:rsidRPr="00A90E58">
        <w:rPr>
          <w:szCs w:val="24"/>
          <w:vertAlign w:val="superscript"/>
        </w:rPr>
        <w:t>13</w:t>
      </w:r>
      <w:r w:rsidR="002E367D" w:rsidRPr="00A90E58">
        <w:rPr>
          <w:szCs w:val="24"/>
        </w:rPr>
        <w:t xml:space="preserve">C - </w:t>
      </w:r>
      <w:r w:rsidR="002E367D" w:rsidRPr="00A90E58">
        <w:rPr>
          <w:szCs w:val="24"/>
          <w:lang w:val="el-GR"/>
        </w:rPr>
        <w:t>δ</w:t>
      </w:r>
      <w:r w:rsidR="002E367D" w:rsidRPr="00A90E58">
        <w:rPr>
          <w:szCs w:val="24"/>
          <w:vertAlign w:val="superscript"/>
        </w:rPr>
        <w:t>18</w:t>
      </w:r>
      <w:r w:rsidR="002E367D" w:rsidRPr="00A90E58">
        <w:rPr>
          <w:szCs w:val="24"/>
        </w:rPr>
        <w:t xml:space="preserve">O) onto a </w:t>
      </w:r>
      <w:r w:rsidR="002E367D" w:rsidRPr="00A90E58">
        <w:rPr>
          <w:szCs w:val="24"/>
          <w:lang w:val="el-GR"/>
        </w:rPr>
        <w:t>δ</w:t>
      </w:r>
      <w:r w:rsidR="002E367D" w:rsidRPr="00A90E58">
        <w:rPr>
          <w:szCs w:val="24"/>
          <w:vertAlign w:val="superscript"/>
        </w:rPr>
        <w:t>13</w:t>
      </w:r>
      <w:r w:rsidR="002E367D" w:rsidRPr="00A90E58">
        <w:rPr>
          <w:szCs w:val="24"/>
        </w:rPr>
        <w:t xml:space="preserve">C and </w:t>
      </w:r>
      <w:r w:rsidR="002E367D" w:rsidRPr="00A90E58">
        <w:rPr>
          <w:szCs w:val="24"/>
          <w:lang w:val="el-GR"/>
        </w:rPr>
        <w:t>δ</w:t>
      </w:r>
      <w:r w:rsidR="002E367D" w:rsidRPr="00A90E58">
        <w:rPr>
          <w:szCs w:val="24"/>
          <w:vertAlign w:val="superscript"/>
        </w:rPr>
        <w:t>18</w:t>
      </w:r>
      <w:r w:rsidR="002E367D" w:rsidRPr="00A90E58">
        <w:rPr>
          <w:szCs w:val="24"/>
        </w:rPr>
        <w:t>O matrix</w:t>
      </w:r>
      <w:r w:rsidR="002E367D" w:rsidRPr="00A90E58">
        <w:rPr>
          <w:bCs/>
          <w:szCs w:val="24"/>
        </w:rPr>
        <w:t>. To stay at 0 (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13</w:t>
      </w:r>
      <w:r w:rsidR="002E367D" w:rsidRPr="00A90E58">
        <w:rPr>
          <w:bCs/>
          <w:szCs w:val="24"/>
        </w:rPr>
        <w:t>C</w:t>
      </w:r>
      <w:r w:rsidR="002E367D" w:rsidRPr="00A90E58">
        <w:rPr>
          <w:bCs/>
          <w:szCs w:val="24"/>
          <w:vertAlign w:val="subscript"/>
        </w:rPr>
        <w:t>VPDB</w:t>
      </w:r>
      <w:r w:rsidR="002E367D" w:rsidRPr="00A90E58">
        <w:rPr>
          <w:bCs/>
          <w:szCs w:val="24"/>
        </w:rPr>
        <w:t xml:space="preserve"> – 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18</w:t>
      </w:r>
      <w:r w:rsidR="002E367D" w:rsidRPr="00A90E58">
        <w:rPr>
          <w:bCs/>
          <w:szCs w:val="24"/>
        </w:rPr>
        <w:t>O</w:t>
      </w:r>
      <w:r w:rsidR="002E367D" w:rsidRPr="00A90E58">
        <w:rPr>
          <w:bCs/>
          <w:szCs w:val="24"/>
          <w:vertAlign w:val="subscript"/>
        </w:rPr>
        <w:t>VSMOW</w:t>
      </w:r>
      <w:r w:rsidR="002E367D" w:rsidRPr="00A90E58">
        <w:rPr>
          <w:bCs/>
          <w:szCs w:val="24"/>
        </w:rPr>
        <w:t>), (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13</w:t>
      </w:r>
      <w:r w:rsidR="002E367D" w:rsidRPr="00A90E58">
        <w:rPr>
          <w:bCs/>
          <w:szCs w:val="24"/>
        </w:rPr>
        <w:t>C</w:t>
      </w:r>
      <w:r w:rsidR="002E367D" w:rsidRPr="00A90E58">
        <w:rPr>
          <w:bCs/>
          <w:szCs w:val="24"/>
          <w:vertAlign w:val="subscript"/>
        </w:rPr>
        <w:t>VPDB</w:t>
      </w:r>
      <w:r w:rsidR="002E367D" w:rsidRPr="00A90E58">
        <w:rPr>
          <w:bCs/>
          <w:szCs w:val="24"/>
        </w:rPr>
        <w:t xml:space="preserve"> + 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18</w:t>
      </w:r>
      <w:r w:rsidR="002E367D" w:rsidRPr="00A90E58">
        <w:rPr>
          <w:bCs/>
          <w:szCs w:val="24"/>
        </w:rPr>
        <w:t>O</w:t>
      </w:r>
      <w:r w:rsidR="002E367D" w:rsidRPr="00A90E58">
        <w:rPr>
          <w:bCs/>
          <w:szCs w:val="24"/>
          <w:vertAlign w:val="subscript"/>
        </w:rPr>
        <w:t>VSMOW</w:t>
      </w:r>
      <w:r w:rsidR="002E367D" w:rsidRPr="00A90E58">
        <w:rPr>
          <w:bCs/>
          <w:szCs w:val="24"/>
        </w:rPr>
        <w:t xml:space="preserve">) axis will have to fall on the 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13</w:t>
      </w:r>
      <w:r w:rsidR="002E367D" w:rsidRPr="00A90E58">
        <w:rPr>
          <w:bCs/>
          <w:szCs w:val="24"/>
        </w:rPr>
        <w:t xml:space="preserve">C = 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18</w:t>
      </w:r>
      <w:r w:rsidR="002E367D" w:rsidRPr="00A90E58">
        <w:rPr>
          <w:bCs/>
          <w:szCs w:val="24"/>
        </w:rPr>
        <w:t xml:space="preserve">O line. </w:t>
      </w:r>
      <w:r w:rsidR="002E367D">
        <w:rPr>
          <w:bCs/>
          <w:szCs w:val="24"/>
        </w:rPr>
        <w:t>The</w:t>
      </w:r>
      <w:r w:rsidR="002E367D" w:rsidRPr="00A90E58">
        <w:rPr>
          <w:bCs/>
          <w:szCs w:val="24"/>
        </w:rPr>
        <w:t xml:space="preserve"> (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13</w:t>
      </w:r>
      <w:r w:rsidR="002E367D" w:rsidRPr="00A90E58">
        <w:rPr>
          <w:bCs/>
          <w:szCs w:val="24"/>
        </w:rPr>
        <w:t>C</w:t>
      </w:r>
      <w:r w:rsidR="002E367D" w:rsidRPr="00A90E58">
        <w:rPr>
          <w:bCs/>
          <w:szCs w:val="24"/>
          <w:vertAlign w:val="subscript"/>
        </w:rPr>
        <w:t>VPDB</w:t>
      </w:r>
      <w:r w:rsidR="002E367D" w:rsidRPr="00A90E58">
        <w:rPr>
          <w:bCs/>
          <w:szCs w:val="24"/>
        </w:rPr>
        <w:t xml:space="preserve"> – 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18</w:t>
      </w:r>
      <w:r w:rsidR="002E367D" w:rsidRPr="00A90E58">
        <w:rPr>
          <w:bCs/>
          <w:szCs w:val="24"/>
        </w:rPr>
        <w:t>O</w:t>
      </w:r>
      <w:r w:rsidR="002E367D" w:rsidRPr="00A90E58">
        <w:rPr>
          <w:bCs/>
          <w:szCs w:val="24"/>
          <w:vertAlign w:val="subscript"/>
        </w:rPr>
        <w:t>VSMOW</w:t>
      </w:r>
      <w:r w:rsidR="002E367D" w:rsidRPr="00A90E58">
        <w:rPr>
          <w:bCs/>
          <w:szCs w:val="24"/>
        </w:rPr>
        <w:t xml:space="preserve">) axis falls on the 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13</w:t>
      </w:r>
      <w:r w:rsidR="002E367D" w:rsidRPr="00A90E58">
        <w:rPr>
          <w:bCs/>
          <w:szCs w:val="24"/>
        </w:rPr>
        <w:t>C = -</w:t>
      </w:r>
      <w:r w:rsidR="002E367D" w:rsidRPr="00A90E58">
        <w:rPr>
          <w:bCs/>
          <w:szCs w:val="24"/>
          <w:lang w:val="el-GR"/>
        </w:rPr>
        <w:t>δ</w:t>
      </w:r>
      <w:r w:rsidR="002E367D" w:rsidRPr="00A90E58">
        <w:rPr>
          <w:bCs/>
          <w:szCs w:val="24"/>
          <w:vertAlign w:val="superscript"/>
        </w:rPr>
        <w:t>18</w:t>
      </w:r>
      <w:r w:rsidR="002E367D" w:rsidRPr="00A90E58">
        <w:rPr>
          <w:bCs/>
          <w:szCs w:val="24"/>
        </w:rPr>
        <w:t>O line</w:t>
      </w:r>
      <w:r w:rsidR="002E367D">
        <w:rPr>
          <w:bCs/>
          <w:szCs w:val="24"/>
        </w:rPr>
        <w:t xml:space="preserve">, by the same reasoning.  The endpoint values for the projected axes are given in parenthesis.  </w:t>
      </w:r>
    </w:p>
    <w:p w14:paraId="34CE76F8" w14:textId="48FBE0B8" w:rsidR="005314B5" w:rsidRDefault="005314B5" w:rsidP="002E367D">
      <w:pPr>
        <w:pStyle w:val="SMHeading"/>
        <w:rPr>
          <w:rFonts w:ascii="Myriad Pro" w:hAnsi="Myriad Pro"/>
          <w:sz w:val="22"/>
          <w:szCs w:val="22"/>
        </w:rPr>
      </w:pPr>
    </w:p>
    <w:p w14:paraId="39C68696" w14:textId="77777777" w:rsidR="00B968D7" w:rsidRDefault="00B968D7" w:rsidP="005314B5">
      <w:pPr>
        <w:pStyle w:val="SMcaption"/>
        <w:rPr>
          <w:rFonts w:ascii="Myriad Pro" w:hAnsi="Myriad Pro"/>
          <w:b/>
          <w:i/>
          <w:sz w:val="22"/>
          <w:szCs w:val="22"/>
        </w:rPr>
      </w:pPr>
    </w:p>
    <w:p w14:paraId="1025F539" w14:textId="77777777" w:rsidR="005314B5" w:rsidRDefault="005314B5" w:rsidP="005314B5">
      <w:pPr>
        <w:pStyle w:val="SMcaption"/>
        <w:rPr>
          <w:rFonts w:ascii="Myriad Pro" w:hAnsi="Myriad Pro"/>
          <w:b/>
          <w:i/>
          <w:sz w:val="22"/>
          <w:szCs w:val="22"/>
        </w:rPr>
      </w:pPr>
    </w:p>
    <w:p w14:paraId="5F310C21" w14:textId="7C09E2D9" w:rsidR="002E367D" w:rsidRPr="00A90E58" w:rsidRDefault="002E367D" w:rsidP="002E367D">
      <w:pPr>
        <w:ind w:left="720" w:hanging="720"/>
        <w:rPr>
          <w:szCs w:val="24"/>
        </w:rPr>
      </w:pPr>
      <w:r w:rsidRPr="002E367D">
        <w:rPr>
          <w:b/>
          <w:szCs w:val="24"/>
        </w:rPr>
        <w:t>Supplemental Material 1</w:t>
      </w:r>
      <w:r w:rsidRPr="00A90E58">
        <w:rPr>
          <w:szCs w:val="24"/>
        </w:rPr>
        <w:t xml:space="preserve">. This contains the model with the matrix of data used to generate figures 1 and 3 and generate the data used to make figure 2. </w:t>
      </w:r>
    </w:p>
    <w:p w14:paraId="77AB2726" w14:textId="07349FA3" w:rsidR="002E367D" w:rsidRPr="00A90E58" w:rsidRDefault="002E367D" w:rsidP="002E367D">
      <w:pPr>
        <w:ind w:left="720" w:hanging="720"/>
        <w:rPr>
          <w:szCs w:val="24"/>
        </w:rPr>
      </w:pPr>
      <w:r w:rsidRPr="002E367D">
        <w:rPr>
          <w:b/>
          <w:szCs w:val="24"/>
        </w:rPr>
        <w:t>Supplemental Material 2</w:t>
      </w:r>
      <w:r w:rsidRPr="00A90E58">
        <w:rPr>
          <w:szCs w:val="24"/>
        </w:rPr>
        <w:t>. This contains the model modified to account for individual amplitude differences, along with the experimental data (</w:t>
      </w:r>
      <w:proofErr w:type="spellStart"/>
      <w:r w:rsidRPr="00A90E58">
        <w:rPr>
          <w:szCs w:val="24"/>
        </w:rPr>
        <w:t>EG_data</w:t>
      </w:r>
      <w:proofErr w:type="spellEnd"/>
      <w:r w:rsidRPr="00A90E58">
        <w:rPr>
          <w:szCs w:val="24"/>
        </w:rPr>
        <w:t xml:space="preserve"> tab). This data and model system were used to generate data points for figures 4 through 6.</w:t>
      </w:r>
    </w:p>
    <w:p w14:paraId="7F792F84" w14:textId="77777777" w:rsidR="00B9440A" w:rsidRPr="00015F74" w:rsidRDefault="00B9440A" w:rsidP="00B9440A">
      <w:pPr>
        <w:pStyle w:val="SMcaption"/>
      </w:pPr>
    </w:p>
    <w:sectPr w:rsidR="00B9440A" w:rsidRPr="00015F74" w:rsidSect="00F125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9B1434" w14:textId="77777777" w:rsidR="00F745AC" w:rsidRDefault="00F745AC">
      <w:r>
        <w:separator/>
      </w:r>
    </w:p>
  </w:endnote>
  <w:endnote w:type="continuationSeparator" w:id="0">
    <w:p w14:paraId="4B8D44C1" w14:textId="77777777" w:rsidR="00F745AC" w:rsidRDefault="00F7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notTrueType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Myriad Pro Light">
    <w:altName w:val="Calibri"/>
    <w:charset w:val="00"/>
    <w:family w:val="auto"/>
    <w:pitch w:val="variable"/>
    <w:sig w:usb0="20000287" w:usb1="00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6102A" w14:textId="77777777" w:rsidR="001966FD" w:rsidRDefault="001966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8E7ED" w14:textId="77777777" w:rsidR="00F125EE" w:rsidRDefault="0011419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0134">
      <w:rPr>
        <w:noProof/>
      </w:rPr>
      <w:t>1</w:t>
    </w:r>
    <w:r>
      <w:fldChar w:fldCharType="end"/>
    </w:r>
  </w:p>
  <w:p w14:paraId="486656F3" w14:textId="77777777" w:rsidR="00F125EE" w:rsidRDefault="00F125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BBCA3" w14:textId="77777777" w:rsidR="001966FD" w:rsidRDefault="001966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12D9F" w14:textId="77777777" w:rsidR="00F745AC" w:rsidRDefault="00F745AC">
      <w:r>
        <w:separator/>
      </w:r>
    </w:p>
  </w:footnote>
  <w:footnote w:type="continuationSeparator" w:id="0">
    <w:p w14:paraId="2EF4CC01" w14:textId="77777777" w:rsidR="00F745AC" w:rsidRDefault="00F74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9EF6B" w14:textId="77777777" w:rsidR="001966FD" w:rsidRDefault="001966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23C1C" w14:textId="77777777" w:rsidR="003A2FD8" w:rsidRPr="005001AC" w:rsidRDefault="003A2FD8" w:rsidP="005001AC">
    <w:pPr>
      <w:jc w:val="right"/>
      <w:rPr>
        <w:sz w:val="20"/>
      </w:rPr>
    </w:pPr>
  </w:p>
  <w:p w14:paraId="18F8F636" w14:textId="77777777" w:rsidR="003A2FD8" w:rsidRDefault="003A2FD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7C5ADD" w14:textId="77777777" w:rsidR="001966FD" w:rsidRDefault="001966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D001E"/>
    <w:multiLevelType w:val="hybridMultilevel"/>
    <w:tmpl w:val="3EE2CB68"/>
    <w:lvl w:ilvl="0" w:tplc="DC705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901DB9"/>
    <w:multiLevelType w:val="hybridMultilevel"/>
    <w:tmpl w:val="00B6862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9D4332"/>
    <w:multiLevelType w:val="multilevel"/>
    <w:tmpl w:val="4ECEB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D37AC4"/>
    <w:multiLevelType w:val="hybridMultilevel"/>
    <w:tmpl w:val="F894C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30F"/>
    <w:rsid w:val="00015F74"/>
    <w:rsid w:val="00043571"/>
    <w:rsid w:val="00065EBD"/>
    <w:rsid w:val="00083B44"/>
    <w:rsid w:val="000850DC"/>
    <w:rsid w:val="00094365"/>
    <w:rsid w:val="000B2E64"/>
    <w:rsid w:val="000C2771"/>
    <w:rsid w:val="000D68BD"/>
    <w:rsid w:val="000F0DCE"/>
    <w:rsid w:val="00111843"/>
    <w:rsid w:val="00112C5B"/>
    <w:rsid w:val="00113908"/>
    <w:rsid w:val="00114193"/>
    <w:rsid w:val="001154E6"/>
    <w:rsid w:val="00115A38"/>
    <w:rsid w:val="0011687B"/>
    <w:rsid w:val="00124F82"/>
    <w:rsid w:val="001278E3"/>
    <w:rsid w:val="00130743"/>
    <w:rsid w:val="00130B50"/>
    <w:rsid w:val="0016337A"/>
    <w:rsid w:val="00164269"/>
    <w:rsid w:val="00195156"/>
    <w:rsid w:val="001966FD"/>
    <w:rsid w:val="00197826"/>
    <w:rsid w:val="001A1BDE"/>
    <w:rsid w:val="001C7B4E"/>
    <w:rsid w:val="001F0876"/>
    <w:rsid w:val="001F167C"/>
    <w:rsid w:val="001F5E91"/>
    <w:rsid w:val="0020183F"/>
    <w:rsid w:val="002077B9"/>
    <w:rsid w:val="00221C70"/>
    <w:rsid w:val="002251AF"/>
    <w:rsid w:val="00227D86"/>
    <w:rsid w:val="00243B68"/>
    <w:rsid w:val="00262D72"/>
    <w:rsid w:val="002800B6"/>
    <w:rsid w:val="002B35D4"/>
    <w:rsid w:val="002C030F"/>
    <w:rsid w:val="002E367D"/>
    <w:rsid w:val="002F3966"/>
    <w:rsid w:val="00320E2C"/>
    <w:rsid w:val="00331D75"/>
    <w:rsid w:val="00355362"/>
    <w:rsid w:val="00363E44"/>
    <w:rsid w:val="00395E86"/>
    <w:rsid w:val="003A2FD8"/>
    <w:rsid w:val="003B40E6"/>
    <w:rsid w:val="003C007A"/>
    <w:rsid w:val="003E1980"/>
    <w:rsid w:val="003F6E14"/>
    <w:rsid w:val="00405336"/>
    <w:rsid w:val="004568BC"/>
    <w:rsid w:val="004571D5"/>
    <w:rsid w:val="00462F1B"/>
    <w:rsid w:val="0046356B"/>
    <w:rsid w:val="00477182"/>
    <w:rsid w:val="004779CB"/>
    <w:rsid w:val="00481118"/>
    <w:rsid w:val="004B2481"/>
    <w:rsid w:val="004D2A8C"/>
    <w:rsid w:val="004E42D8"/>
    <w:rsid w:val="004E7BA2"/>
    <w:rsid w:val="004F16C1"/>
    <w:rsid w:val="004F7EDF"/>
    <w:rsid w:val="005001AC"/>
    <w:rsid w:val="00517016"/>
    <w:rsid w:val="00527D71"/>
    <w:rsid w:val="00527D84"/>
    <w:rsid w:val="005314B5"/>
    <w:rsid w:val="0054432F"/>
    <w:rsid w:val="00552C23"/>
    <w:rsid w:val="005607DD"/>
    <w:rsid w:val="00572DFF"/>
    <w:rsid w:val="005A558C"/>
    <w:rsid w:val="005B186E"/>
    <w:rsid w:val="005C6651"/>
    <w:rsid w:val="005D6D71"/>
    <w:rsid w:val="005E28F8"/>
    <w:rsid w:val="005E6513"/>
    <w:rsid w:val="00611F9E"/>
    <w:rsid w:val="006237D4"/>
    <w:rsid w:val="00651114"/>
    <w:rsid w:val="006622CF"/>
    <w:rsid w:val="00664A12"/>
    <w:rsid w:val="0066722B"/>
    <w:rsid w:val="00670299"/>
    <w:rsid w:val="0068469F"/>
    <w:rsid w:val="00691985"/>
    <w:rsid w:val="006962C1"/>
    <w:rsid w:val="006A1B64"/>
    <w:rsid w:val="006B03AD"/>
    <w:rsid w:val="006F602A"/>
    <w:rsid w:val="007108F5"/>
    <w:rsid w:val="00713AF2"/>
    <w:rsid w:val="00713E5B"/>
    <w:rsid w:val="007402FC"/>
    <w:rsid w:val="007411A1"/>
    <w:rsid w:val="007563F2"/>
    <w:rsid w:val="00764008"/>
    <w:rsid w:val="00807D35"/>
    <w:rsid w:val="008115D9"/>
    <w:rsid w:val="00825950"/>
    <w:rsid w:val="00885C9B"/>
    <w:rsid w:val="008927D0"/>
    <w:rsid w:val="008D5D2A"/>
    <w:rsid w:val="008E2CF1"/>
    <w:rsid w:val="008F08DC"/>
    <w:rsid w:val="008F5A8A"/>
    <w:rsid w:val="009055D1"/>
    <w:rsid w:val="00914B63"/>
    <w:rsid w:val="00922705"/>
    <w:rsid w:val="00924546"/>
    <w:rsid w:val="00932FE5"/>
    <w:rsid w:val="009354F3"/>
    <w:rsid w:val="009447DC"/>
    <w:rsid w:val="00961BA5"/>
    <w:rsid w:val="009743A9"/>
    <w:rsid w:val="00975720"/>
    <w:rsid w:val="009859A7"/>
    <w:rsid w:val="009A5287"/>
    <w:rsid w:val="009B2AC5"/>
    <w:rsid w:val="009B7984"/>
    <w:rsid w:val="009F4BED"/>
    <w:rsid w:val="009F7D93"/>
    <w:rsid w:val="00A276DF"/>
    <w:rsid w:val="00A3084A"/>
    <w:rsid w:val="00A3403B"/>
    <w:rsid w:val="00A50033"/>
    <w:rsid w:val="00A51A12"/>
    <w:rsid w:val="00A627D4"/>
    <w:rsid w:val="00A74DA2"/>
    <w:rsid w:val="00A92733"/>
    <w:rsid w:val="00AA76F3"/>
    <w:rsid w:val="00AC7DA6"/>
    <w:rsid w:val="00AD499C"/>
    <w:rsid w:val="00B30334"/>
    <w:rsid w:val="00B3147F"/>
    <w:rsid w:val="00B36869"/>
    <w:rsid w:val="00B43B31"/>
    <w:rsid w:val="00B47CFA"/>
    <w:rsid w:val="00B57F00"/>
    <w:rsid w:val="00B626CB"/>
    <w:rsid w:val="00B7560C"/>
    <w:rsid w:val="00B77E40"/>
    <w:rsid w:val="00B82C22"/>
    <w:rsid w:val="00B93DBA"/>
    <w:rsid w:val="00B9440A"/>
    <w:rsid w:val="00B952C1"/>
    <w:rsid w:val="00B968D7"/>
    <w:rsid w:val="00BA3953"/>
    <w:rsid w:val="00BB2D2A"/>
    <w:rsid w:val="00BC7537"/>
    <w:rsid w:val="00BD58CF"/>
    <w:rsid w:val="00BF1BEB"/>
    <w:rsid w:val="00BF1BF9"/>
    <w:rsid w:val="00C04CC1"/>
    <w:rsid w:val="00C071FC"/>
    <w:rsid w:val="00C22C02"/>
    <w:rsid w:val="00C27F6F"/>
    <w:rsid w:val="00C30E83"/>
    <w:rsid w:val="00C50C6D"/>
    <w:rsid w:val="00C600D9"/>
    <w:rsid w:val="00C634D7"/>
    <w:rsid w:val="00C73E09"/>
    <w:rsid w:val="00CC1384"/>
    <w:rsid w:val="00CD3720"/>
    <w:rsid w:val="00CE6EAA"/>
    <w:rsid w:val="00CF1848"/>
    <w:rsid w:val="00CF5C2F"/>
    <w:rsid w:val="00D04BCF"/>
    <w:rsid w:val="00D10134"/>
    <w:rsid w:val="00D143D9"/>
    <w:rsid w:val="00D4372A"/>
    <w:rsid w:val="00D60BB0"/>
    <w:rsid w:val="00D65708"/>
    <w:rsid w:val="00D8159F"/>
    <w:rsid w:val="00DD1D04"/>
    <w:rsid w:val="00DD79D7"/>
    <w:rsid w:val="00E20431"/>
    <w:rsid w:val="00E257C8"/>
    <w:rsid w:val="00E40896"/>
    <w:rsid w:val="00E43D2D"/>
    <w:rsid w:val="00E449CB"/>
    <w:rsid w:val="00E53F61"/>
    <w:rsid w:val="00E63760"/>
    <w:rsid w:val="00E64049"/>
    <w:rsid w:val="00E9773B"/>
    <w:rsid w:val="00EC13A3"/>
    <w:rsid w:val="00EC7C85"/>
    <w:rsid w:val="00ED69CA"/>
    <w:rsid w:val="00EE35AB"/>
    <w:rsid w:val="00EF25A3"/>
    <w:rsid w:val="00F125EE"/>
    <w:rsid w:val="00F12E98"/>
    <w:rsid w:val="00F22029"/>
    <w:rsid w:val="00F23E46"/>
    <w:rsid w:val="00F3515C"/>
    <w:rsid w:val="00F47BA3"/>
    <w:rsid w:val="00F56E67"/>
    <w:rsid w:val="00F630EA"/>
    <w:rsid w:val="00F6474F"/>
    <w:rsid w:val="00F7007E"/>
    <w:rsid w:val="00F73193"/>
    <w:rsid w:val="00F745AC"/>
    <w:rsid w:val="00F74F95"/>
    <w:rsid w:val="00F80705"/>
    <w:rsid w:val="00FA1481"/>
    <w:rsid w:val="00FB1C42"/>
    <w:rsid w:val="00FB32EC"/>
    <w:rsid w:val="00FF04E3"/>
    <w:rsid w:val="00FF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CD9FF7"/>
  <w15:chartTrackingRefBased/>
  <w15:docId w15:val="{70801E18-7CCF-4C88-A79C-4DFA6FFF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semiHidden="1"/>
    <w:lsdException w:name="annotation reference" w:semiHidden="1"/>
    <w:lsdException w:name="line number" w:semiHidden="1"/>
    <w:lsdException w:name="endnote reference" w:semiHidden="1"/>
    <w:lsdException w:name="Title" w:qFormat="1"/>
    <w:lsdException w:name="Subtitle" w:qFormat="1"/>
    <w:lsdException w:name="FollowedHyperlink" w:semiHidden="1"/>
    <w:lsdException w:name="Strong" w:semiHidden="1" w:uiPriority="22" w:qFormat="1"/>
    <w:lsdException w:name="Emphasis" w:semiHidden="1" w:qFormat="1"/>
    <w:lsdException w:name="Normal (Web)" w:uiPriority="99"/>
    <w:lsdException w:name="HTML Acronym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uiPriority w:val="99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paragraph" w:customStyle="1" w:styleId="body-copy-normal">
    <w:name w:val="body-copy-normal"/>
    <w:basedOn w:val="Normal"/>
    <w:rsid w:val="00FF3503"/>
    <w:pPr>
      <w:spacing w:before="100" w:beforeAutospacing="1" w:after="100" w:afterAutospacing="1"/>
    </w:pPr>
    <w:rPr>
      <w:szCs w:val="24"/>
    </w:rPr>
  </w:style>
  <w:style w:type="paragraph" w:customStyle="1" w:styleId="body-copy-ndent">
    <w:name w:val="body-copy-ndent"/>
    <w:basedOn w:val="Normal"/>
    <w:rsid w:val="00FF3503"/>
    <w:pPr>
      <w:spacing w:before="100" w:beforeAutospacing="1" w:after="100" w:afterAutospacing="1"/>
    </w:pPr>
    <w:rPr>
      <w:szCs w:val="24"/>
    </w:rPr>
  </w:style>
  <w:style w:type="character" w:styleId="Strong">
    <w:name w:val="Strong"/>
    <w:uiPriority w:val="22"/>
    <w:qFormat/>
    <w:rsid w:val="00FF3503"/>
    <w:rPr>
      <w:b/>
      <w:bCs/>
    </w:rPr>
  </w:style>
  <w:style w:type="character" w:styleId="CommentReference">
    <w:name w:val="annotation reference"/>
    <w:semiHidden/>
    <w:rsid w:val="002800B6"/>
    <w:rPr>
      <w:sz w:val="16"/>
      <w:szCs w:val="16"/>
    </w:rPr>
  </w:style>
  <w:style w:type="character" w:styleId="UnresolvedMention">
    <w:name w:val="Unresolved Mention"/>
    <w:basedOn w:val="DefaultParagraphFont"/>
    <w:rsid w:val="00E53F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erar\Dropbox\UoC253_D47\papers\17O-final\axes-plot.xlsx" TargetMode="Externa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074562554680662"/>
          <c:y val="5.1968820416740509E-2"/>
          <c:w val="0.84087729658792654"/>
          <c:h val="0.79304156747848376"/>
        </c:manualLayout>
      </c:layout>
      <c:scatterChart>
        <c:scatterStyle val="lineMarker"/>
        <c:varyColors val="0"/>
        <c:ser>
          <c:idx val="0"/>
          <c:order val="0"/>
          <c:tx>
            <c:strRef>
              <c:f>Sheet1!$C$2</c:f>
              <c:strCache>
                <c:ptCount val="1"/>
                <c:pt idx="0">
                  <c:v>18O</c:v>
                </c:pt>
              </c:strCache>
            </c:strRef>
          </c:tx>
          <c:spPr>
            <a:ln w="19050" cap="rnd">
              <a:solidFill>
                <a:schemeClr val="tx1"/>
              </a:solidFill>
              <a:prstDash val="dash"/>
              <a:round/>
            </a:ln>
            <a:effectLst/>
          </c:spPr>
          <c:marker>
            <c:symbol val="x"/>
            <c:size val="8"/>
            <c:spPr>
              <a:noFill/>
              <a:ln w="22225">
                <a:solidFill>
                  <a:schemeClr val="accent1"/>
                </a:solidFill>
              </a:ln>
              <a:effectLst/>
            </c:spPr>
          </c:marker>
          <c:xVal>
            <c:numRef>
              <c:f>Sheet1!$B$3:$B$13</c:f>
              <c:numCache>
                <c:formatCode>General</c:formatCode>
                <c:ptCount val="11"/>
                <c:pt idx="0">
                  <c:v>25</c:v>
                </c:pt>
                <c:pt idx="1">
                  <c:v>20</c:v>
                </c:pt>
                <c:pt idx="2">
                  <c:v>15</c:v>
                </c:pt>
                <c:pt idx="3">
                  <c:v>10</c:v>
                </c:pt>
                <c:pt idx="4">
                  <c:v>5</c:v>
                </c:pt>
                <c:pt idx="5">
                  <c:v>0</c:v>
                </c:pt>
                <c:pt idx="6">
                  <c:v>-5</c:v>
                </c:pt>
                <c:pt idx="7">
                  <c:v>-10</c:v>
                </c:pt>
                <c:pt idx="8">
                  <c:v>-15</c:v>
                </c:pt>
                <c:pt idx="9">
                  <c:v>-20</c:v>
                </c:pt>
                <c:pt idx="10">
                  <c:v>-25</c:v>
                </c:pt>
              </c:numCache>
            </c:numRef>
          </c:xVal>
          <c:yVal>
            <c:numRef>
              <c:f>Sheet1!$C$3:$C$13</c:f>
              <c:numCache>
                <c:formatCode>General</c:formatCode>
                <c:ptCount val="11"/>
                <c:pt idx="0">
                  <c:v>25</c:v>
                </c:pt>
                <c:pt idx="1">
                  <c:v>20</c:v>
                </c:pt>
                <c:pt idx="2">
                  <c:v>15</c:v>
                </c:pt>
                <c:pt idx="3">
                  <c:v>10</c:v>
                </c:pt>
                <c:pt idx="4">
                  <c:v>5</c:v>
                </c:pt>
                <c:pt idx="5">
                  <c:v>0</c:v>
                </c:pt>
                <c:pt idx="6">
                  <c:v>-5</c:v>
                </c:pt>
                <c:pt idx="7">
                  <c:v>-10</c:v>
                </c:pt>
                <c:pt idx="8">
                  <c:v>-15</c:v>
                </c:pt>
                <c:pt idx="9">
                  <c:v>-20</c:v>
                </c:pt>
                <c:pt idx="10">
                  <c:v>-25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F469-4FC5-AE80-D7AEDD080CC2}"/>
            </c:ext>
          </c:extLst>
        </c:ser>
        <c:ser>
          <c:idx val="1"/>
          <c:order val="1"/>
          <c:tx>
            <c:strRef>
              <c:f>Sheet1!$D$2</c:f>
              <c:strCache>
                <c:ptCount val="1"/>
                <c:pt idx="0">
                  <c:v> -18O</c:v>
                </c:pt>
              </c:strCache>
            </c:strRef>
          </c:tx>
          <c:spPr>
            <a:ln w="19050" cap="rnd">
              <a:solidFill>
                <a:schemeClr val="tx1"/>
              </a:solidFill>
              <a:prstDash val="dash"/>
              <a:round/>
            </a:ln>
            <a:effectLst/>
          </c:spPr>
          <c:marker>
            <c:symbol val="x"/>
            <c:size val="7"/>
            <c:spPr>
              <a:noFill/>
              <a:ln w="22225">
                <a:solidFill>
                  <a:schemeClr val="accent2"/>
                </a:solidFill>
              </a:ln>
              <a:effectLst/>
            </c:spPr>
          </c:marker>
          <c:xVal>
            <c:numRef>
              <c:f>Sheet1!$B$3:$B$13</c:f>
              <c:numCache>
                <c:formatCode>General</c:formatCode>
                <c:ptCount val="11"/>
                <c:pt idx="0">
                  <c:v>25</c:v>
                </c:pt>
                <c:pt idx="1">
                  <c:v>20</c:v>
                </c:pt>
                <c:pt idx="2">
                  <c:v>15</c:v>
                </c:pt>
                <c:pt idx="3">
                  <c:v>10</c:v>
                </c:pt>
                <c:pt idx="4">
                  <c:v>5</c:v>
                </c:pt>
                <c:pt idx="5">
                  <c:v>0</c:v>
                </c:pt>
                <c:pt idx="6">
                  <c:v>-5</c:v>
                </c:pt>
                <c:pt idx="7">
                  <c:v>-10</c:v>
                </c:pt>
                <c:pt idx="8">
                  <c:v>-15</c:v>
                </c:pt>
                <c:pt idx="9">
                  <c:v>-20</c:v>
                </c:pt>
                <c:pt idx="10">
                  <c:v>-25</c:v>
                </c:pt>
              </c:numCache>
            </c:numRef>
          </c:xVal>
          <c:yVal>
            <c:numRef>
              <c:f>Sheet1!$D$3:$D$13</c:f>
              <c:numCache>
                <c:formatCode>General</c:formatCode>
                <c:ptCount val="11"/>
                <c:pt idx="0">
                  <c:v>-25</c:v>
                </c:pt>
                <c:pt idx="1">
                  <c:v>-20</c:v>
                </c:pt>
                <c:pt idx="2">
                  <c:v>-15</c:v>
                </c:pt>
                <c:pt idx="3">
                  <c:v>-10</c:v>
                </c:pt>
                <c:pt idx="4">
                  <c:v>-5</c:v>
                </c:pt>
                <c:pt idx="5">
                  <c:v>0</c:v>
                </c:pt>
                <c:pt idx="6">
                  <c:v>5</c:v>
                </c:pt>
                <c:pt idx="7">
                  <c:v>10</c:v>
                </c:pt>
                <c:pt idx="8">
                  <c:v>15</c:v>
                </c:pt>
                <c:pt idx="9">
                  <c:v>20</c:v>
                </c:pt>
                <c:pt idx="10">
                  <c:v>25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F469-4FC5-AE80-D7AEDD080C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90390400"/>
        <c:axId val="390394664"/>
      </c:scatterChart>
      <c:valAx>
        <c:axId val="39039040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l-GR">
                    <a:solidFill>
                      <a:schemeClr val="tx1"/>
                    </a:solidFill>
                  </a:rPr>
                  <a:t>δ</a:t>
                </a:r>
                <a:r>
                  <a:rPr lang="en-US" baseline="30000">
                    <a:solidFill>
                      <a:schemeClr val="tx1"/>
                    </a:solidFill>
                  </a:rPr>
                  <a:t>13</a:t>
                </a:r>
                <a:r>
                  <a:rPr lang="en-US">
                    <a:solidFill>
                      <a:schemeClr val="tx1"/>
                    </a:solidFill>
                  </a:rPr>
                  <a:t>C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cross"/>
        <c:minorTickMark val="cross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0394664"/>
        <c:crosses val="autoZero"/>
        <c:crossBetween val="midCat"/>
        <c:minorUnit val="5"/>
      </c:valAx>
      <c:valAx>
        <c:axId val="3903946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l-GR" sz="1200" b="0" i="0" baseline="0">
                    <a:solidFill>
                      <a:schemeClr val="tx1"/>
                    </a:solidFill>
                    <a:effectLst/>
                  </a:rPr>
                  <a:t>δ</a:t>
                </a:r>
                <a:r>
                  <a:rPr lang="en-US" sz="1200" b="0" i="0" baseline="30000">
                    <a:solidFill>
                      <a:schemeClr val="tx1"/>
                    </a:solidFill>
                    <a:effectLst/>
                  </a:rPr>
                  <a:t>18</a:t>
                </a:r>
                <a:r>
                  <a:rPr lang="en-US" sz="1200" b="0" i="0" baseline="0">
                    <a:solidFill>
                      <a:schemeClr val="tx1"/>
                    </a:solidFill>
                    <a:effectLst/>
                  </a:rPr>
                  <a:t>O</a:t>
                </a:r>
                <a:endParaRPr lang="en-US" sz="1200">
                  <a:solidFill>
                    <a:schemeClr val="tx1"/>
                  </a:solidFill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0" i="0" u="none" strike="noStrike" kern="1200" baseline="0">
                  <a:solidFill>
                    <a:schemeClr val="tx1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cross"/>
        <c:minorTickMark val="cross"/>
        <c:tickLblPos val="low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0390400"/>
        <c:crosses val="autoZero"/>
        <c:crossBetween val="midCat"/>
        <c:minorUnit val="5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200"/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</cdr:x>
      <cdr:y>0.19124</cdr:y>
    </cdr:from>
    <cdr:to>
      <cdr:x>1</cdr:x>
      <cdr:y>0.26295</cdr:y>
    </cdr:to>
    <cdr:sp macro="" textlink="">
      <cdr:nvSpPr>
        <cdr:cNvPr id="2" name="TextBox 1">
          <a:extLst xmlns:a="http://schemas.openxmlformats.org/drawingml/2006/main">
            <a:ext uri="{FF2B5EF4-FFF2-40B4-BE49-F238E27FC236}">
              <a16:creationId xmlns:a16="http://schemas.microsoft.com/office/drawing/2014/main" id="{3486DA9F-C237-4F17-913C-F5E2DF5DA061}"/>
            </a:ext>
          </a:extLst>
        </cdr:cNvPr>
        <cdr:cNvSpPr txBox="1"/>
      </cdr:nvSpPr>
      <cdr:spPr>
        <a:xfrm xmlns:a="http://schemas.openxmlformats.org/drawingml/2006/main">
          <a:off x="3657600" y="685800"/>
          <a:ext cx="914400" cy="2571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en-US" sz="1100"/>
        </a:p>
      </cdr:txBody>
    </cdr:sp>
  </cdr:relSizeAnchor>
  <cdr:relSizeAnchor xmlns:cdr="http://schemas.openxmlformats.org/drawingml/2006/chartDrawing">
    <cdr:from>
      <cdr:x>0.8473</cdr:x>
      <cdr:y>0.14799</cdr:y>
    </cdr:from>
    <cdr:to>
      <cdr:x>0.97154</cdr:x>
      <cdr:y>0.21705</cdr:y>
    </cdr:to>
    <cdr:sp macro="" textlink="">
      <cdr:nvSpPr>
        <cdr:cNvPr id="3" name="TextBox 2">
          <a:extLst xmlns:a="http://schemas.openxmlformats.org/drawingml/2006/main">
            <a:ext uri="{FF2B5EF4-FFF2-40B4-BE49-F238E27FC236}">
              <a16:creationId xmlns:a16="http://schemas.microsoft.com/office/drawing/2014/main" id="{3C860893-EFBD-47B1-87E3-6B786187930D}"/>
            </a:ext>
          </a:extLst>
        </cdr:cNvPr>
        <cdr:cNvSpPr txBox="1"/>
      </cdr:nvSpPr>
      <cdr:spPr>
        <a:xfrm xmlns:a="http://schemas.openxmlformats.org/drawingml/2006/main">
          <a:off x="3043123" y="467617"/>
          <a:ext cx="446227" cy="2182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en-US" sz="1100"/>
            <a:t>(50,0)</a:t>
          </a:r>
        </a:p>
      </cdr:txBody>
    </cdr:sp>
  </cdr:relSizeAnchor>
  <cdr:relSizeAnchor xmlns:cdr="http://schemas.openxmlformats.org/drawingml/2006/chartDrawing">
    <cdr:from>
      <cdr:x>0.06605</cdr:x>
      <cdr:y>0.70748</cdr:y>
    </cdr:from>
    <cdr:to>
      <cdr:x>0.2159</cdr:x>
      <cdr:y>0.77654</cdr:y>
    </cdr:to>
    <cdr:sp macro="" textlink="">
      <cdr:nvSpPr>
        <cdr:cNvPr id="4" name="TextBox 1">
          <a:extLst xmlns:a="http://schemas.openxmlformats.org/drawingml/2006/main">
            <a:ext uri="{FF2B5EF4-FFF2-40B4-BE49-F238E27FC236}">
              <a16:creationId xmlns:a16="http://schemas.microsoft.com/office/drawing/2014/main" id="{BA8163C2-711D-4A1D-98D0-34441284197A}"/>
            </a:ext>
          </a:extLst>
        </cdr:cNvPr>
        <cdr:cNvSpPr txBox="1"/>
      </cdr:nvSpPr>
      <cdr:spPr>
        <a:xfrm xmlns:a="http://schemas.openxmlformats.org/drawingml/2006/main">
          <a:off x="237226" y="2235466"/>
          <a:ext cx="538185" cy="2182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(-50,0)</a:t>
          </a:r>
        </a:p>
      </cdr:txBody>
    </cdr:sp>
  </cdr:relSizeAnchor>
  <cdr:relSizeAnchor xmlns:cdr="http://schemas.openxmlformats.org/drawingml/2006/chartDrawing">
    <cdr:from>
      <cdr:x>0.09522</cdr:x>
      <cdr:y>0.1578</cdr:y>
    </cdr:from>
    <cdr:to>
      <cdr:x>0.20807</cdr:x>
      <cdr:y>0.22685</cdr:y>
    </cdr:to>
    <cdr:sp macro="" textlink="">
      <cdr:nvSpPr>
        <cdr:cNvPr id="5" name="TextBox 1">
          <a:extLst xmlns:a="http://schemas.openxmlformats.org/drawingml/2006/main">
            <a:ext uri="{FF2B5EF4-FFF2-40B4-BE49-F238E27FC236}">
              <a16:creationId xmlns:a16="http://schemas.microsoft.com/office/drawing/2014/main" id="{BA8163C2-711D-4A1D-98D0-34441284197A}"/>
            </a:ext>
          </a:extLst>
        </cdr:cNvPr>
        <cdr:cNvSpPr txBox="1"/>
      </cdr:nvSpPr>
      <cdr:spPr>
        <a:xfrm xmlns:a="http://schemas.openxmlformats.org/drawingml/2006/main">
          <a:off x="341986" y="498600"/>
          <a:ext cx="405308" cy="21818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(0,-50)</a:t>
          </a:r>
        </a:p>
      </cdr:txBody>
    </cdr:sp>
  </cdr:relSizeAnchor>
  <cdr:relSizeAnchor xmlns:cdr="http://schemas.openxmlformats.org/drawingml/2006/chartDrawing">
    <cdr:from>
      <cdr:x>0.85458</cdr:x>
      <cdr:y>0.71151</cdr:y>
    </cdr:from>
    <cdr:to>
      <cdr:x>0.97765</cdr:x>
      <cdr:y>0.78057</cdr:y>
    </cdr:to>
    <cdr:sp macro="" textlink="">
      <cdr:nvSpPr>
        <cdr:cNvPr id="6" name="TextBox 1">
          <a:extLst xmlns:a="http://schemas.openxmlformats.org/drawingml/2006/main">
            <a:ext uri="{FF2B5EF4-FFF2-40B4-BE49-F238E27FC236}">
              <a16:creationId xmlns:a16="http://schemas.microsoft.com/office/drawing/2014/main" id="{2894FFDC-EA18-4832-A18E-17B9B3460669}"/>
            </a:ext>
          </a:extLst>
        </cdr:cNvPr>
        <cdr:cNvSpPr txBox="1"/>
      </cdr:nvSpPr>
      <cdr:spPr>
        <a:xfrm xmlns:a="http://schemas.openxmlformats.org/drawingml/2006/main">
          <a:off x="3069274" y="2248201"/>
          <a:ext cx="442021" cy="2182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(0,50)</a:t>
          </a:r>
        </a:p>
      </cdr:txBody>
    </cdr:sp>
  </cdr:relSizeAnchor>
  <cdr:relSizeAnchor xmlns:cdr="http://schemas.openxmlformats.org/drawingml/2006/chartDrawing">
    <cdr:from>
      <cdr:x>0.56818</cdr:x>
      <cdr:y>0.03479</cdr:y>
    </cdr:from>
    <cdr:to>
      <cdr:x>0.93081</cdr:x>
      <cdr:y>0.09955</cdr:y>
    </cdr:to>
    <cdr:sp macro="" textlink="">
      <cdr:nvSpPr>
        <cdr:cNvPr id="7" name="TextBox 2">
          <a:extLst xmlns:a="http://schemas.openxmlformats.org/drawingml/2006/main">
            <a:ext uri="{FF2B5EF4-FFF2-40B4-BE49-F238E27FC236}">
              <a16:creationId xmlns:a16="http://schemas.microsoft.com/office/drawing/2014/main" id="{297534EF-7401-41A0-B4EE-3E0EA0833693}"/>
            </a:ext>
          </a:extLst>
        </cdr:cNvPr>
        <cdr:cNvSpPr txBox="1"/>
      </cdr:nvSpPr>
      <cdr:spPr>
        <a:xfrm xmlns:a="http://schemas.openxmlformats.org/drawingml/2006/main">
          <a:off x="2040662" y="109928"/>
          <a:ext cx="1302384" cy="204625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square" rtlCol="0" anchor="t">
          <a:no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 baseline="30000"/>
            <a:t>47</a:t>
          </a:r>
          <a:r>
            <a:rPr lang="el-GR" sz="1100"/>
            <a:t>δ</a:t>
          </a:r>
          <a:r>
            <a:rPr lang="en-US" sz="1100"/>
            <a:t> </a:t>
          </a:r>
          <a:r>
            <a:rPr lang="el-GR" sz="1100"/>
            <a:t>≈</a:t>
          </a:r>
          <a:r>
            <a:rPr lang="en-US" sz="1100"/>
            <a:t> (</a:t>
          </a:r>
          <a:r>
            <a:rPr lang="el-GR" sz="1100">
              <a:solidFill>
                <a:schemeClr val="tx1"/>
              </a:solidFill>
              <a:effectLst/>
              <a:latin typeface="+mn-lt"/>
              <a:ea typeface="+mn-ea"/>
              <a:cs typeface="+mn-cs"/>
            </a:rPr>
            <a:t>δ</a:t>
          </a:r>
          <a:r>
            <a:rPr lang="en-US" sz="1100" baseline="30000"/>
            <a:t>13</a:t>
          </a:r>
          <a:r>
            <a:rPr lang="en-US" sz="1100"/>
            <a:t>C + </a:t>
          </a:r>
          <a:r>
            <a:rPr lang="el-GR" sz="1100">
              <a:solidFill>
                <a:schemeClr val="tx1"/>
              </a:solidFill>
              <a:effectLst/>
              <a:latin typeface="+mn-lt"/>
              <a:ea typeface="+mn-ea"/>
              <a:cs typeface="+mn-cs"/>
            </a:rPr>
            <a:t>δ</a:t>
          </a:r>
          <a:r>
            <a:rPr lang="en-US" sz="1100" baseline="30000"/>
            <a:t>18</a:t>
          </a:r>
          <a:r>
            <a:rPr lang="en-US" sz="1100"/>
            <a:t>O)</a:t>
          </a:r>
        </a:p>
      </cdr:txBody>
    </cdr:sp>
  </cdr:relSizeAnchor>
  <cdr:relSizeAnchor xmlns:cdr="http://schemas.openxmlformats.org/drawingml/2006/chartDrawing">
    <cdr:from>
      <cdr:x>0.18773</cdr:x>
      <cdr:y>0.03236</cdr:y>
    </cdr:from>
    <cdr:to>
      <cdr:x>0.37249</cdr:x>
      <cdr:y>0.09978</cdr:y>
    </cdr:to>
    <cdr:sp macro="" textlink="">
      <cdr:nvSpPr>
        <cdr:cNvPr id="8" name="TextBox 3">
          <a:extLst xmlns:a="http://schemas.openxmlformats.org/drawingml/2006/main">
            <a:ext uri="{FF2B5EF4-FFF2-40B4-BE49-F238E27FC236}">
              <a16:creationId xmlns:a16="http://schemas.microsoft.com/office/drawing/2014/main" id="{E3B730F5-6B18-4C77-97D8-E7A438FF8928}"/>
            </a:ext>
          </a:extLst>
        </cdr:cNvPr>
        <cdr:cNvSpPr txBox="1"/>
      </cdr:nvSpPr>
      <cdr:spPr>
        <a:xfrm xmlns:a="http://schemas.openxmlformats.org/drawingml/2006/main">
          <a:off x="898525" y="127000"/>
          <a:ext cx="884345" cy="264560"/>
        </a:xfrm>
        <a:prstGeom xmlns:a="http://schemas.openxmlformats.org/drawingml/2006/main" prst="rect">
          <a:avLst/>
        </a:prstGeom>
        <a:noFill xmlns:a="http://schemas.openxmlformats.org/drawingml/2006/main"/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tx1"/>
        </a:fontRef>
      </cdr:style>
      <cdr:txBody>
        <a:bodyPr xmlns:a="http://schemas.openxmlformats.org/drawingml/2006/main" wrap="none" rtlCol="0" anchor="t">
          <a:spAutoFit/>
        </a:bodyPr>
        <a:lstStyle xmlns:a="http://schemas.openxmlformats.org/drawingml/2006/main">
          <a:lvl1pPr marL="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en-US" sz="1100"/>
            <a:t>(</a:t>
          </a:r>
          <a:r>
            <a:rPr lang="el-GR" sz="1100">
              <a:solidFill>
                <a:schemeClr val="tx1"/>
              </a:solidFill>
              <a:effectLst/>
              <a:latin typeface="+mn-lt"/>
              <a:ea typeface="+mn-ea"/>
              <a:cs typeface="+mn-cs"/>
            </a:rPr>
            <a:t>δ</a:t>
          </a:r>
          <a:r>
            <a:rPr lang="en-US" sz="1100" baseline="30000"/>
            <a:t>13</a:t>
          </a:r>
          <a:r>
            <a:rPr lang="en-US" sz="1100"/>
            <a:t>C - </a:t>
          </a:r>
          <a:r>
            <a:rPr lang="el-GR" sz="1100">
              <a:solidFill>
                <a:schemeClr val="tx1"/>
              </a:solidFill>
              <a:effectLst/>
              <a:latin typeface="+mn-lt"/>
              <a:ea typeface="+mn-ea"/>
              <a:cs typeface="+mn-cs"/>
            </a:rPr>
            <a:t>δ</a:t>
          </a:r>
          <a:r>
            <a:rPr lang="en-US" sz="1100" baseline="30000"/>
            <a:t>18</a:t>
          </a:r>
          <a:r>
            <a:rPr lang="en-US" sz="1100"/>
            <a:t>O)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subject/>
  <dc:creator>Brooks Hanson;Dawit Tegbaru;Brian Sedora</dc:creator>
  <cp:keywords/>
  <cp:lastModifiedBy>gerard olack</cp:lastModifiedBy>
  <cp:revision>2</cp:revision>
  <cp:lastPrinted>2014-09-30T16:49:00Z</cp:lastPrinted>
  <dcterms:created xsi:type="dcterms:W3CDTF">2019-05-22T05:37:00Z</dcterms:created>
  <dcterms:modified xsi:type="dcterms:W3CDTF">2019-05-22T05:37:00Z</dcterms:modified>
</cp:coreProperties>
</file>