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CA5079" w14:textId="77777777" w:rsidR="00031D4F" w:rsidRPr="00761313" w:rsidRDefault="00031D4F" w:rsidP="00031D4F">
      <w:pPr>
        <w:tabs>
          <w:tab w:val="left" w:pos="2160"/>
        </w:tabs>
        <w:spacing w:line="276" w:lineRule="auto"/>
        <w:outlineLvl w:val="0"/>
        <w:rPr>
          <w:rFonts w:ascii="Arial" w:hAnsi="Arial" w:cs="Arial"/>
          <w:b/>
          <w:sz w:val="22"/>
          <w:szCs w:val="22"/>
        </w:rPr>
      </w:pPr>
      <w:r w:rsidRPr="00761313">
        <w:rPr>
          <w:rFonts w:ascii="Arial" w:hAnsi="Arial" w:cs="Arial"/>
          <w:b/>
          <w:sz w:val="22"/>
          <w:szCs w:val="22"/>
        </w:rPr>
        <w:t xml:space="preserve">Title: </w:t>
      </w:r>
      <w:r w:rsidRPr="00761313">
        <w:rPr>
          <w:rFonts w:ascii="Arial" w:hAnsi="Arial" w:cs="Arial"/>
          <w:sz w:val="22"/>
          <w:szCs w:val="22"/>
        </w:rPr>
        <w:t>Evaluation of a Transitions Clinic to Bridge Emergency Department and Primary Care</w:t>
      </w:r>
    </w:p>
    <w:p w14:paraId="127E2B1F" w14:textId="77777777" w:rsidR="00031D4F" w:rsidRPr="00761313" w:rsidRDefault="00031D4F" w:rsidP="00031D4F">
      <w:pPr>
        <w:tabs>
          <w:tab w:val="left" w:pos="2160"/>
        </w:tabs>
        <w:spacing w:line="276" w:lineRule="auto"/>
        <w:outlineLvl w:val="0"/>
        <w:rPr>
          <w:rFonts w:ascii="Arial" w:hAnsi="Arial" w:cs="Arial"/>
          <w:b/>
          <w:sz w:val="22"/>
          <w:szCs w:val="22"/>
        </w:rPr>
      </w:pPr>
    </w:p>
    <w:p w14:paraId="0D48ECBA" w14:textId="77777777" w:rsidR="00031D4F" w:rsidRPr="00761313" w:rsidRDefault="00031D4F" w:rsidP="00031D4F">
      <w:pPr>
        <w:tabs>
          <w:tab w:val="left" w:pos="2160"/>
        </w:tabs>
        <w:spacing w:line="276" w:lineRule="auto"/>
        <w:outlineLvl w:val="0"/>
        <w:rPr>
          <w:rFonts w:ascii="Arial" w:hAnsi="Arial" w:cs="Arial"/>
          <w:b/>
          <w:sz w:val="22"/>
          <w:szCs w:val="22"/>
        </w:rPr>
      </w:pPr>
      <w:r w:rsidRPr="00761313">
        <w:rPr>
          <w:rFonts w:ascii="Arial" w:hAnsi="Arial" w:cs="Arial"/>
          <w:b/>
          <w:sz w:val="22"/>
          <w:szCs w:val="22"/>
        </w:rPr>
        <w:t xml:space="preserve">Running Title: </w:t>
      </w:r>
      <w:r w:rsidRPr="00761313">
        <w:rPr>
          <w:rFonts w:ascii="Arial" w:hAnsi="Arial" w:cs="Arial"/>
          <w:sz w:val="22"/>
          <w:szCs w:val="22"/>
        </w:rPr>
        <w:t>Evaluation of ED Care Transitions Clinic</w:t>
      </w:r>
    </w:p>
    <w:p w14:paraId="41AE5258" w14:textId="77777777" w:rsidR="00031D4F" w:rsidRPr="00761313" w:rsidRDefault="00031D4F" w:rsidP="00031D4F">
      <w:pPr>
        <w:tabs>
          <w:tab w:val="left" w:pos="2160"/>
        </w:tabs>
        <w:spacing w:line="276" w:lineRule="auto"/>
        <w:jc w:val="center"/>
        <w:outlineLvl w:val="0"/>
        <w:rPr>
          <w:rFonts w:ascii="Arial" w:hAnsi="Arial" w:cs="Arial"/>
          <w:b/>
          <w:sz w:val="22"/>
          <w:szCs w:val="22"/>
        </w:rPr>
      </w:pPr>
    </w:p>
    <w:p w14:paraId="5799CB57" w14:textId="77777777" w:rsidR="00031D4F" w:rsidRPr="00761313" w:rsidRDefault="00031D4F" w:rsidP="00031D4F">
      <w:pPr>
        <w:tabs>
          <w:tab w:val="left" w:pos="2160"/>
        </w:tabs>
        <w:spacing w:line="276" w:lineRule="auto"/>
        <w:outlineLvl w:val="0"/>
        <w:rPr>
          <w:rFonts w:ascii="Arial" w:hAnsi="Arial" w:cs="Arial"/>
          <w:bCs/>
          <w:sz w:val="22"/>
          <w:szCs w:val="22"/>
          <w:vertAlign w:val="superscript"/>
        </w:rPr>
      </w:pPr>
      <w:r w:rsidRPr="00761313">
        <w:rPr>
          <w:rFonts w:ascii="Arial" w:hAnsi="Arial" w:cs="Arial"/>
          <w:bCs/>
          <w:sz w:val="22"/>
          <w:szCs w:val="22"/>
        </w:rPr>
        <w:t>Authors: Amanda Zhang, AB</w:t>
      </w:r>
      <w:r w:rsidRPr="00761313">
        <w:rPr>
          <w:rFonts w:ascii="Arial" w:hAnsi="Arial" w:cs="Arial"/>
          <w:bCs/>
          <w:sz w:val="22"/>
          <w:szCs w:val="22"/>
          <w:vertAlign w:val="superscript"/>
        </w:rPr>
        <w:t>1</w:t>
      </w:r>
      <w:r w:rsidRPr="00761313">
        <w:rPr>
          <w:rFonts w:ascii="Arial" w:hAnsi="Arial" w:cs="Arial"/>
          <w:bCs/>
          <w:sz w:val="22"/>
          <w:szCs w:val="22"/>
        </w:rPr>
        <w:t xml:space="preserve">, </w:t>
      </w:r>
      <w:r w:rsidRPr="00761313">
        <w:rPr>
          <w:rFonts w:ascii="Arial" w:hAnsi="Arial" w:cs="Arial"/>
          <w:sz w:val="22"/>
          <w:szCs w:val="22"/>
        </w:rPr>
        <w:t>Thomas Spiegel, MD, MBA, MS</w:t>
      </w:r>
      <w:r w:rsidRPr="00761313">
        <w:rPr>
          <w:rFonts w:ascii="Arial" w:hAnsi="Arial" w:cs="Arial"/>
          <w:sz w:val="22"/>
          <w:szCs w:val="22"/>
          <w:vertAlign w:val="superscript"/>
        </w:rPr>
        <w:t>2</w:t>
      </w:r>
      <w:r w:rsidRPr="00761313">
        <w:rPr>
          <w:rFonts w:ascii="Arial" w:hAnsi="Arial" w:cs="Arial"/>
          <w:sz w:val="22"/>
          <w:szCs w:val="22"/>
        </w:rPr>
        <w:t>, Andrea Bundy, APN</w:t>
      </w:r>
      <w:r w:rsidRPr="00761313">
        <w:rPr>
          <w:rFonts w:ascii="Arial" w:hAnsi="Arial" w:cs="Arial"/>
          <w:sz w:val="22"/>
          <w:szCs w:val="22"/>
          <w:vertAlign w:val="superscript"/>
        </w:rPr>
        <w:t>3</w:t>
      </w:r>
      <w:r w:rsidRPr="00761313">
        <w:rPr>
          <w:rFonts w:ascii="Arial" w:hAnsi="Arial" w:cs="Arial"/>
          <w:sz w:val="22"/>
          <w:szCs w:val="22"/>
        </w:rPr>
        <w:t>, Kate Sullivan MBA</w:t>
      </w:r>
      <w:r w:rsidRPr="00761313">
        <w:rPr>
          <w:rFonts w:ascii="Arial" w:hAnsi="Arial" w:cs="Arial"/>
          <w:sz w:val="22"/>
          <w:szCs w:val="22"/>
          <w:vertAlign w:val="superscript"/>
        </w:rPr>
        <w:t>3</w:t>
      </w:r>
      <w:r w:rsidRPr="00761313">
        <w:rPr>
          <w:rFonts w:ascii="Arial" w:hAnsi="Arial" w:cs="Arial"/>
          <w:sz w:val="22"/>
          <w:szCs w:val="22"/>
        </w:rPr>
        <w:t xml:space="preserve">, </w:t>
      </w:r>
      <w:proofErr w:type="spellStart"/>
      <w:r w:rsidRPr="00761313">
        <w:rPr>
          <w:rFonts w:ascii="Arial" w:hAnsi="Arial" w:cs="Arial"/>
          <w:sz w:val="22"/>
          <w:szCs w:val="22"/>
        </w:rPr>
        <w:t>Geneatra</w:t>
      </w:r>
      <w:proofErr w:type="spellEnd"/>
      <w:r w:rsidRPr="00761313">
        <w:rPr>
          <w:rFonts w:ascii="Arial" w:hAnsi="Arial" w:cs="Arial"/>
          <w:sz w:val="22"/>
          <w:szCs w:val="22"/>
        </w:rPr>
        <w:t xml:space="preserve"> Green, BA</w:t>
      </w:r>
      <w:r w:rsidRPr="00761313">
        <w:rPr>
          <w:rFonts w:ascii="Arial" w:hAnsi="Arial" w:cs="Arial"/>
          <w:sz w:val="22"/>
          <w:szCs w:val="22"/>
          <w:vertAlign w:val="superscript"/>
        </w:rPr>
        <w:t>3</w:t>
      </w:r>
      <w:r w:rsidRPr="00761313">
        <w:rPr>
          <w:rFonts w:ascii="Arial" w:hAnsi="Arial" w:cs="Arial"/>
          <w:sz w:val="22"/>
          <w:szCs w:val="22"/>
        </w:rPr>
        <w:t>, Stephanie Chia BA</w:t>
      </w:r>
      <w:r w:rsidRPr="00761313">
        <w:rPr>
          <w:rFonts w:ascii="Arial" w:hAnsi="Arial" w:cs="Arial"/>
          <w:sz w:val="22"/>
          <w:szCs w:val="22"/>
          <w:vertAlign w:val="superscript"/>
        </w:rPr>
        <w:t>3</w:t>
      </w:r>
      <w:r w:rsidRPr="00761313">
        <w:rPr>
          <w:rFonts w:ascii="Arial" w:hAnsi="Arial" w:cs="Arial"/>
          <w:sz w:val="22"/>
          <w:szCs w:val="22"/>
        </w:rPr>
        <w:t>, Raj Krishnamurthy, MD</w:t>
      </w:r>
      <w:r w:rsidRPr="00761313">
        <w:rPr>
          <w:rFonts w:ascii="Arial" w:hAnsi="Arial" w:cs="Arial"/>
          <w:sz w:val="22"/>
          <w:szCs w:val="22"/>
          <w:vertAlign w:val="superscript"/>
        </w:rPr>
        <w:t>4</w:t>
      </w:r>
      <w:r w:rsidRPr="00761313">
        <w:rPr>
          <w:rFonts w:ascii="Arial" w:hAnsi="Arial" w:cs="Arial"/>
          <w:sz w:val="22"/>
          <w:szCs w:val="22"/>
        </w:rPr>
        <w:t>, Valerie G. Press, MD, MPH</w:t>
      </w:r>
      <w:r w:rsidRPr="00761313">
        <w:rPr>
          <w:rFonts w:ascii="Arial" w:hAnsi="Arial" w:cs="Arial"/>
          <w:bCs/>
          <w:sz w:val="22"/>
          <w:szCs w:val="22"/>
          <w:vertAlign w:val="superscript"/>
        </w:rPr>
        <w:t>3,4</w:t>
      </w:r>
    </w:p>
    <w:p w14:paraId="421AAC7C" w14:textId="77777777" w:rsidR="00031D4F" w:rsidRPr="00761313" w:rsidRDefault="00031D4F" w:rsidP="00031D4F">
      <w:pPr>
        <w:tabs>
          <w:tab w:val="left" w:pos="2160"/>
        </w:tabs>
        <w:spacing w:line="276" w:lineRule="auto"/>
        <w:jc w:val="center"/>
        <w:outlineLvl w:val="0"/>
        <w:rPr>
          <w:rFonts w:ascii="Arial" w:hAnsi="Arial" w:cs="Arial"/>
          <w:bCs/>
          <w:sz w:val="22"/>
          <w:szCs w:val="22"/>
        </w:rPr>
      </w:pPr>
    </w:p>
    <w:p w14:paraId="1457EFC2" w14:textId="77777777" w:rsidR="00031D4F" w:rsidRPr="00761313" w:rsidRDefault="00031D4F" w:rsidP="00031D4F">
      <w:pPr>
        <w:ind w:left="720"/>
        <w:rPr>
          <w:rFonts w:ascii="Arial" w:hAnsi="Arial" w:cs="Arial"/>
          <w:sz w:val="18"/>
          <w:szCs w:val="18"/>
        </w:rPr>
      </w:pPr>
      <w:r w:rsidRPr="00761313">
        <w:rPr>
          <w:rFonts w:ascii="Arial" w:hAnsi="Arial" w:cs="Arial"/>
          <w:sz w:val="18"/>
          <w:szCs w:val="18"/>
          <w:vertAlign w:val="superscript"/>
        </w:rPr>
        <w:t>1</w:t>
      </w:r>
      <w:r w:rsidRPr="00761313">
        <w:rPr>
          <w:rFonts w:ascii="Arial" w:hAnsi="Arial" w:cs="Arial"/>
          <w:sz w:val="18"/>
          <w:szCs w:val="18"/>
        </w:rPr>
        <w:t>Pritzker School of Medicine, University of Chicago, Chicago, IL, USA</w:t>
      </w:r>
    </w:p>
    <w:p w14:paraId="0C95AFBC" w14:textId="77777777" w:rsidR="00031D4F" w:rsidRPr="00761313" w:rsidRDefault="00031D4F" w:rsidP="00031D4F">
      <w:pPr>
        <w:ind w:left="720"/>
        <w:rPr>
          <w:rFonts w:ascii="Arial" w:hAnsi="Arial" w:cs="Arial"/>
          <w:sz w:val="18"/>
          <w:szCs w:val="18"/>
        </w:rPr>
      </w:pPr>
      <w:r w:rsidRPr="00761313">
        <w:rPr>
          <w:rFonts w:ascii="Arial" w:hAnsi="Arial" w:cs="Arial"/>
          <w:sz w:val="18"/>
          <w:szCs w:val="18"/>
          <w:vertAlign w:val="superscript"/>
        </w:rPr>
        <w:t>2</w:t>
      </w:r>
      <w:r w:rsidRPr="00761313">
        <w:rPr>
          <w:rFonts w:ascii="Arial" w:hAnsi="Arial" w:cs="Arial"/>
          <w:sz w:val="18"/>
          <w:szCs w:val="18"/>
        </w:rPr>
        <w:t>Department of Emergency Medicine, University of Chicago Medicine, Chicago, IL, USA</w:t>
      </w:r>
    </w:p>
    <w:p w14:paraId="658372FF" w14:textId="77777777" w:rsidR="00031D4F" w:rsidRPr="00761313" w:rsidRDefault="00031D4F" w:rsidP="00031D4F">
      <w:pPr>
        <w:ind w:left="720"/>
        <w:rPr>
          <w:rFonts w:ascii="Arial" w:hAnsi="Arial" w:cs="Arial"/>
          <w:sz w:val="18"/>
          <w:szCs w:val="18"/>
        </w:rPr>
      </w:pPr>
      <w:r w:rsidRPr="00761313">
        <w:rPr>
          <w:rFonts w:ascii="Arial" w:hAnsi="Arial" w:cs="Arial"/>
          <w:sz w:val="18"/>
          <w:szCs w:val="18"/>
          <w:vertAlign w:val="superscript"/>
        </w:rPr>
        <w:t>3</w:t>
      </w:r>
      <w:r w:rsidRPr="00761313">
        <w:rPr>
          <w:rFonts w:ascii="Arial" w:hAnsi="Arial" w:cs="Arial"/>
          <w:sz w:val="18"/>
          <w:szCs w:val="18"/>
        </w:rPr>
        <w:t>Center for Care Transformation, University of Chicago Medicine, Chicago, IL, USA</w:t>
      </w:r>
    </w:p>
    <w:p w14:paraId="60531601" w14:textId="77777777" w:rsidR="00031D4F" w:rsidRDefault="00031D4F">
      <w:pPr>
        <w:rPr>
          <w:rFonts w:ascii="Arial" w:hAnsi="Arial" w:cs="Arial"/>
          <w:b/>
          <w:bCs/>
          <w:sz w:val="22"/>
          <w:szCs w:val="22"/>
        </w:rPr>
      </w:pPr>
    </w:p>
    <w:p w14:paraId="7841072C" w14:textId="77777777" w:rsidR="00031D4F" w:rsidRDefault="00031D4F">
      <w:pPr>
        <w:rPr>
          <w:rFonts w:ascii="Arial" w:hAnsi="Arial" w:cs="Arial"/>
          <w:b/>
          <w:bCs/>
          <w:sz w:val="22"/>
          <w:szCs w:val="22"/>
        </w:rPr>
      </w:pPr>
    </w:p>
    <w:p w14:paraId="7FC23CC4" w14:textId="77777777" w:rsidR="00031D4F" w:rsidRDefault="00031D4F">
      <w:pPr>
        <w:rPr>
          <w:rFonts w:ascii="Arial" w:hAnsi="Arial" w:cs="Arial"/>
          <w:b/>
          <w:bCs/>
          <w:sz w:val="22"/>
          <w:szCs w:val="22"/>
        </w:rPr>
      </w:pPr>
    </w:p>
    <w:p w14:paraId="11755F00" w14:textId="71BD21AF" w:rsidR="00031D4F" w:rsidRDefault="00031D4F">
      <w:pPr>
        <w:rPr>
          <w:rFonts w:ascii="Arial" w:hAnsi="Arial" w:cs="Arial"/>
          <w:b/>
          <w:bCs/>
          <w:sz w:val="22"/>
          <w:szCs w:val="22"/>
        </w:rPr>
      </w:pPr>
      <w:r>
        <w:rPr>
          <w:rFonts w:ascii="Arial" w:hAnsi="Arial" w:cs="Arial"/>
          <w:b/>
          <w:bCs/>
          <w:sz w:val="22"/>
          <w:szCs w:val="22"/>
        </w:rPr>
        <w:t>Appendix Materials</w:t>
      </w:r>
      <w:r>
        <w:rPr>
          <w:rFonts w:ascii="Arial" w:hAnsi="Arial" w:cs="Arial"/>
          <w:b/>
          <w:bCs/>
          <w:sz w:val="22"/>
          <w:szCs w:val="22"/>
        </w:rPr>
        <w:br w:type="page"/>
      </w:r>
    </w:p>
    <w:p w14:paraId="0867A555" w14:textId="2FD820F7" w:rsidR="00031D4F" w:rsidRPr="00C26682" w:rsidRDefault="00031D4F" w:rsidP="00031D4F">
      <w:pPr>
        <w:spacing w:line="276" w:lineRule="auto"/>
        <w:rPr>
          <w:rFonts w:ascii="Arial" w:hAnsi="Arial" w:cs="Arial"/>
          <w:sz w:val="22"/>
          <w:szCs w:val="22"/>
        </w:rPr>
      </w:pPr>
      <w:r>
        <w:rPr>
          <w:rFonts w:ascii="Arial" w:hAnsi="Arial" w:cs="Arial"/>
          <w:b/>
          <w:bCs/>
          <w:sz w:val="22"/>
          <w:szCs w:val="22"/>
        </w:rPr>
        <w:lastRenderedPageBreak/>
        <w:t>Appendix Table 1</w:t>
      </w:r>
      <w:r w:rsidRPr="00407D5D">
        <w:rPr>
          <w:rFonts w:ascii="Arial" w:hAnsi="Arial" w:cs="Arial"/>
          <w:b/>
          <w:bCs/>
          <w:sz w:val="22"/>
          <w:szCs w:val="22"/>
        </w:rPr>
        <w:t>.</w:t>
      </w:r>
      <w:r>
        <w:rPr>
          <w:rFonts w:ascii="Arial" w:hAnsi="Arial" w:cs="Arial"/>
          <w:sz w:val="22"/>
          <w:szCs w:val="22"/>
        </w:rPr>
        <w:t xml:space="preserve"> CTC inclusion criteria</w:t>
      </w:r>
    </w:p>
    <w:tbl>
      <w:tblPr>
        <w:tblW w:w="9352" w:type="dxa"/>
        <w:tblCellMar>
          <w:top w:w="15" w:type="dxa"/>
          <w:left w:w="15" w:type="dxa"/>
          <w:bottom w:w="15" w:type="dxa"/>
          <w:right w:w="15" w:type="dxa"/>
        </w:tblCellMar>
        <w:tblLook w:val="04A0" w:firstRow="1" w:lastRow="0" w:firstColumn="1" w:lastColumn="0" w:noHBand="0" w:noVBand="1"/>
      </w:tblPr>
      <w:tblGrid>
        <w:gridCol w:w="2512"/>
        <w:gridCol w:w="6840"/>
      </w:tblGrid>
      <w:tr w:rsidR="00031D4F" w:rsidRPr="0021532A" w14:paraId="3D0E70F7" w14:textId="77777777" w:rsidTr="00195D2A">
        <w:trPr>
          <w:trHeight w:val="259"/>
          <w:tblHeader/>
        </w:trPr>
        <w:tc>
          <w:tcPr>
            <w:tcW w:w="2512" w:type="dxa"/>
            <w:tcBorders>
              <w:top w:val="single" w:sz="8" w:space="0" w:color="B7B7B7"/>
              <w:left w:val="single" w:sz="6" w:space="0" w:color="CCCCCC"/>
              <w:bottom w:val="single" w:sz="12" w:space="0" w:color="000000"/>
              <w:right w:val="single" w:sz="6" w:space="0" w:color="CCCCCC"/>
            </w:tcBorders>
            <w:tcMar>
              <w:top w:w="40" w:type="dxa"/>
              <w:left w:w="40" w:type="dxa"/>
              <w:bottom w:w="40" w:type="dxa"/>
              <w:right w:w="40" w:type="dxa"/>
            </w:tcMar>
            <w:vAlign w:val="bottom"/>
          </w:tcPr>
          <w:p w14:paraId="0B3E6508" w14:textId="77777777" w:rsidR="00031D4F" w:rsidRPr="00F27A5A" w:rsidRDefault="00031D4F" w:rsidP="00195D2A">
            <w:pPr>
              <w:rPr>
                <w:rFonts w:ascii="Arial" w:hAnsi="Arial" w:cs="Arial"/>
                <w:color w:val="000000"/>
                <w:sz w:val="20"/>
                <w:szCs w:val="20"/>
              </w:rPr>
            </w:pPr>
            <w:r>
              <w:rPr>
                <w:rFonts w:ascii="Arial" w:hAnsi="Arial" w:cs="Arial"/>
                <w:color w:val="000000"/>
                <w:sz w:val="20"/>
                <w:szCs w:val="20"/>
              </w:rPr>
              <w:t>Care type</w:t>
            </w:r>
          </w:p>
        </w:tc>
        <w:tc>
          <w:tcPr>
            <w:tcW w:w="6840" w:type="dxa"/>
            <w:tcBorders>
              <w:top w:val="single" w:sz="8" w:space="0" w:color="B7B7B7"/>
              <w:left w:val="single" w:sz="6" w:space="0" w:color="CCCCCC"/>
              <w:bottom w:val="single" w:sz="12" w:space="0" w:color="000000"/>
              <w:right w:val="single" w:sz="6" w:space="0" w:color="CCCCCC"/>
            </w:tcBorders>
            <w:tcMar>
              <w:top w:w="40" w:type="dxa"/>
              <w:left w:w="40" w:type="dxa"/>
              <w:bottom w:w="40" w:type="dxa"/>
              <w:right w:w="40" w:type="dxa"/>
            </w:tcMar>
            <w:vAlign w:val="bottom"/>
          </w:tcPr>
          <w:p w14:paraId="73B68B64" w14:textId="77777777" w:rsidR="00031D4F" w:rsidRPr="00735FFF" w:rsidRDefault="00031D4F" w:rsidP="00195D2A">
            <w:pPr>
              <w:jc w:val="center"/>
              <w:rPr>
                <w:rFonts w:ascii="Arial" w:hAnsi="Arial" w:cs="Arial"/>
                <w:color w:val="000000"/>
                <w:sz w:val="20"/>
                <w:szCs w:val="20"/>
              </w:rPr>
            </w:pPr>
            <w:r>
              <w:rPr>
                <w:rFonts w:ascii="Arial" w:hAnsi="Arial" w:cs="Arial"/>
                <w:color w:val="000000"/>
                <w:sz w:val="20"/>
                <w:szCs w:val="20"/>
              </w:rPr>
              <w:t>Referral reasons included</w:t>
            </w:r>
          </w:p>
        </w:tc>
      </w:tr>
      <w:tr w:rsidR="00031D4F" w:rsidRPr="0021532A" w14:paraId="14948C9A" w14:textId="77777777" w:rsidTr="00195D2A">
        <w:trPr>
          <w:trHeight w:val="259"/>
        </w:trPr>
        <w:tc>
          <w:tcPr>
            <w:tcW w:w="2512" w:type="dxa"/>
            <w:tcBorders>
              <w:top w:val="single" w:sz="12"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6E109476" w14:textId="77777777" w:rsidR="00031D4F" w:rsidRPr="00F27A5A" w:rsidRDefault="00031D4F" w:rsidP="00195D2A">
            <w:pPr>
              <w:rPr>
                <w:rFonts w:ascii="Arial" w:hAnsi="Arial" w:cs="Arial"/>
                <w:sz w:val="20"/>
                <w:szCs w:val="20"/>
              </w:rPr>
            </w:pPr>
            <w:r>
              <w:rPr>
                <w:rFonts w:ascii="Arial" w:hAnsi="Arial" w:cs="Arial"/>
                <w:color w:val="000000"/>
                <w:sz w:val="20"/>
                <w:szCs w:val="20"/>
              </w:rPr>
              <w:t>Wound care</w:t>
            </w:r>
          </w:p>
        </w:tc>
        <w:tc>
          <w:tcPr>
            <w:tcW w:w="6840" w:type="dxa"/>
            <w:tcBorders>
              <w:top w:val="single" w:sz="12"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0D1C5FD1" w14:textId="77777777" w:rsidR="00031D4F" w:rsidRPr="00F27A5A" w:rsidRDefault="00031D4F" w:rsidP="00195D2A">
            <w:pPr>
              <w:rPr>
                <w:rFonts w:ascii="Arial" w:hAnsi="Arial" w:cs="Arial"/>
                <w:sz w:val="20"/>
                <w:szCs w:val="20"/>
              </w:rPr>
            </w:pPr>
            <w:r>
              <w:rPr>
                <w:rFonts w:ascii="Arial" w:hAnsi="Arial" w:cs="Arial"/>
                <w:sz w:val="20"/>
                <w:szCs w:val="20"/>
              </w:rPr>
              <w:t>Suture/staple removal, wound NOS, abscess NOS, cellulitis, peritonsillar abscess, bite, epistaxis, pilonidal abscess, odontogenic abscess, traumatic, gangrene, burn, rash, hemorrhoid</w:t>
            </w:r>
          </w:p>
        </w:tc>
      </w:tr>
      <w:tr w:rsidR="00031D4F" w:rsidRPr="0021532A" w14:paraId="413AE8F8" w14:textId="77777777" w:rsidTr="00195D2A">
        <w:trPr>
          <w:trHeight w:val="259"/>
        </w:trPr>
        <w:tc>
          <w:tcPr>
            <w:tcW w:w="251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1E2A1DA" w14:textId="77777777" w:rsidR="00031D4F" w:rsidRPr="00F27A5A" w:rsidRDefault="00031D4F" w:rsidP="00195D2A">
            <w:pPr>
              <w:rPr>
                <w:rFonts w:ascii="Arial" w:hAnsi="Arial" w:cs="Arial"/>
                <w:color w:val="000000"/>
                <w:sz w:val="20"/>
                <w:szCs w:val="20"/>
              </w:rPr>
            </w:pPr>
            <w:r>
              <w:rPr>
                <w:rFonts w:ascii="Arial" w:hAnsi="Arial" w:cs="Arial"/>
                <w:color w:val="000000"/>
                <w:sz w:val="20"/>
                <w:szCs w:val="20"/>
              </w:rPr>
              <w:t>Clinical problem management</w:t>
            </w:r>
          </w:p>
        </w:tc>
        <w:tc>
          <w:tcPr>
            <w:tcW w:w="6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E67DAA0" w14:textId="77777777" w:rsidR="00031D4F" w:rsidRDefault="00031D4F" w:rsidP="00195D2A">
            <w:pPr>
              <w:rPr>
                <w:rFonts w:ascii="Arial" w:hAnsi="Arial" w:cs="Arial"/>
                <w:sz w:val="20"/>
                <w:szCs w:val="20"/>
              </w:rPr>
            </w:pPr>
            <w:r>
              <w:rPr>
                <w:rFonts w:ascii="Arial" w:hAnsi="Arial" w:cs="Arial"/>
                <w:sz w:val="20"/>
                <w:szCs w:val="20"/>
              </w:rPr>
              <w:t>hypertension, deep venous thrombosis/ pulmonary embolism, edema, chest pain, shortness of breath, heart failure, joint pain, abdominal pain, diabetes mellitus, ear infection, sexually transmitted infection, asthma, sore throat, chronic obstructive pulmonary disease, headache, cough, urinary tract infection, COVID, back pain, pain NOS, urinary retention, gynecological issue, dizziness, pneumonia, substance use, concussion, orthostatic hypotension, HIV, palpitations, gout, bloody diarrhea, weakness, atrial fibrillation, hernia</w:t>
            </w:r>
          </w:p>
        </w:tc>
      </w:tr>
      <w:tr w:rsidR="00031D4F" w:rsidRPr="0021532A" w14:paraId="3B3512F4" w14:textId="77777777" w:rsidTr="00195D2A">
        <w:trPr>
          <w:trHeight w:val="259"/>
        </w:trPr>
        <w:tc>
          <w:tcPr>
            <w:tcW w:w="251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C083874" w14:textId="77777777" w:rsidR="00031D4F" w:rsidRPr="00F27A5A" w:rsidRDefault="00031D4F" w:rsidP="00195D2A">
            <w:pPr>
              <w:rPr>
                <w:rFonts w:ascii="Arial" w:hAnsi="Arial" w:cs="Arial"/>
                <w:sz w:val="20"/>
                <w:szCs w:val="20"/>
              </w:rPr>
            </w:pPr>
            <w:r>
              <w:rPr>
                <w:rFonts w:ascii="Arial" w:hAnsi="Arial" w:cs="Arial"/>
                <w:color w:val="000000"/>
                <w:sz w:val="20"/>
                <w:szCs w:val="20"/>
              </w:rPr>
              <w:t>Lab follow-up</w:t>
            </w:r>
          </w:p>
        </w:tc>
        <w:tc>
          <w:tcPr>
            <w:tcW w:w="6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26A831F" w14:textId="77777777" w:rsidR="00031D4F" w:rsidRPr="00F27A5A" w:rsidRDefault="00031D4F" w:rsidP="00195D2A">
            <w:pPr>
              <w:rPr>
                <w:rFonts w:ascii="Arial" w:hAnsi="Arial" w:cs="Arial"/>
                <w:sz w:val="20"/>
                <w:szCs w:val="20"/>
              </w:rPr>
            </w:pPr>
            <w:r>
              <w:rPr>
                <w:rFonts w:ascii="Arial" w:hAnsi="Arial" w:cs="Arial"/>
                <w:sz w:val="20"/>
                <w:szCs w:val="20"/>
              </w:rPr>
              <w:t>Creatinine, Hgb, electrolytes, liver function testing, coagulation labs, hyponatremia, hyperglycemia, leukocytosis, lipase</w:t>
            </w:r>
          </w:p>
        </w:tc>
      </w:tr>
      <w:tr w:rsidR="00031D4F" w:rsidRPr="0021532A" w14:paraId="5C63D1AA" w14:textId="77777777" w:rsidTr="00195D2A">
        <w:trPr>
          <w:trHeight w:val="259"/>
        </w:trPr>
        <w:tc>
          <w:tcPr>
            <w:tcW w:w="251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E24FA8C" w14:textId="77777777" w:rsidR="00031D4F" w:rsidRPr="00F27A5A" w:rsidRDefault="00031D4F" w:rsidP="00195D2A">
            <w:pPr>
              <w:rPr>
                <w:rFonts w:ascii="Arial" w:hAnsi="Arial" w:cs="Arial"/>
                <w:sz w:val="20"/>
                <w:szCs w:val="20"/>
              </w:rPr>
            </w:pPr>
            <w:r>
              <w:rPr>
                <w:rFonts w:ascii="Arial" w:hAnsi="Arial" w:cs="Arial"/>
                <w:color w:val="000000"/>
                <w:sz w:val="20"/>
                <w:szCs w:val="20"/>
              </w:rPr>
              <w:t>Procedure</w:t>
            </w:r>
          </w:p>
        </w:tc>
        <w:tc>
          <w:tcPr>
            <w:tcW w:w="68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BACB9E1" w14:textId="77777777" w:rsidR="00031D4F" w:rsidRPr="00F27A5A" w:rsidRDefault="00031D4F" w:rsidP="00195D2A">
            <w:pPr>
              <w:rPr>
                <w:rFonts w:ascii="Arial" w:hAnsi="Arial" w:cs="Arial"/>
                <w:sz w:val="20"/>
                <w:szCs w:val="20"/>
              </w:rPr>
            </w:pPr>
            <w:r>
              <w:rPr>
                <w:rFonts w:ascii="Arial" w:hAnsi="Arial" w:cs="Arial"/>
                <w:sz w:val="20"/>
                <w:szCs w:val="20"/>
              </w:rPr>
              <w:t>Monoclonal antibody infusion, rabies vaccine administration, chests x-ray, x-ray extremities</w:t>
            </w:r>
          </w:p>
        </w:tc>
      </w:tr>
    </w:tbl>
    <w:p w14:paraId="7C6F5A5E" w14:textId="77777777" w:rsidR="00031D4F" w:rsidRDefault="00031D4F" w:rsidP="00031D4F">
      <w:pPr>
        <w:spacing w:line="276" w:lineRule="auto"/>
        <w:rPr>
          <w:rFonts w:ascii="Arial" w:hAnsi="Arial" w:cs="Arial"/>
          <w:b/>
          <w:bCs/>
          <w:sz w:val="22"/>
          <w:szCs w:val="22"/>
        </w:rPr>
      </w:pPr>
    </w:p>
    <w:p w14:paraId="07B75FE0" w14:textId="77777777" w:rsidR="00025BAF" w:rsidRDefault="002C5E29">
      <w:bookmarkStart w:id="0" w:name="_GoBack"/>
      <w:bookmarkEnd w:id="0"/>
    </w:p>
    <w:sectPr w:rsidR="00025BAF" w:rsidSect="00FA53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D4F"/>
    <w:rsid w:val="00031D4F"/>
    <w:rsid w:val="002C5E29"/>
    <w:rsid w:val="0050709D"/>
    <w:rsid w:val="00943C1F"/>
    <w:rsid w:val="00C33D37"/>
    <w:rsid w:val="00CF2BF2"/>
    <w:rsid w:val="00E208DD"/>
    <w:rsid w:val="00F80924"/>
    <w:rsid w:val="00FA53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38B77A3"/>
  <w15:chartTrackingRefBased/>
  <w15:docId w15:val="{AFB3ACFA-C7F3-DA4C-B20A-CA4EDD231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31D4F"/>
    <w:rPr>
      <w:rFonts w:ascii="Times New Roman" w:eastAsia="Times New Roman"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43C1F"/>
    <w:rPr>
      <w:sz w:val="18"/>
      <w:szCs w:val="18"/>
    </w:rPr>
  </w:style>
  <w:style w:type="character" w:customStyle="1" w:styleId="BalloonTextChar">
    <w:name w:val="Balloon Text Char"/>
    <w:basedOn w:val="DefaultParagraphFont"/>
    <w:link w:val="BalloonText"/>
    <w:uiPriority w:val="99"/>
    <w:semiHidden/>
    <w:rsid w:val="00943C1F"/>
    <w:rPr>
      <w:rFonts w:ascii="Times New Roman" w:eastAsia="Times New Roman" w:hAnsi="Times New Roman" w:cs="Times New Roman"/>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250</Words>
  <Characters>1427</Characters>
  <Application>Microsoft Office Word</Application>
  <DocSecurity>0</DocSecurity>
  <Lines>11</Lines>
  <Paragraphs>3</Paragraphs>
  <ScaleCrop>false</ScaleCrop>
  <Company/>
  <LinksUpToDate>false</LinksUpToDate>
  <CharactersWithSpaces>1674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2022-12-15T02:52:00Z</dcterms:created>
  <dcterms:modified xsi:type="dcterms:W3CDTF">2022-12-15T02:52:00Z</dcterms:modified>
</cp:coreProperties>
</file>