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11" w:rsidRPr="00243ED9" w:rsidRDefault="00004311" w:rsidP="00004311">
      <w:pPr>
        <w:spacing w:after="0" w:line="240" w:lineRule="auto"/>
        <w:rPr>
          <w:rFonts w:cs="Calibri"/>
          <w:b/>
          <w:sz w:val="20"/>
          <w:szCs w:val="20"/>
        </w:rPr>
      </w:pPr>
      <w:r w:rsidRPr="00243ED9">
        <w:rPr>
          <w:rFonts w:cs="Calibri"/>
          <w:b/>
          <w:sz w:val="20"/>
          <w:szCs w:val="20"/>
        </w:rPr>
        <w:t>S</w:t>
      </w:r>
      <w:r>
        <w:rPr>
          <w:rFonts w:cs="Calibri"/>
          <w:b/>
          <w:sz w:val="20"/>
          <w:szCs w:val="20"/>
        </w:rPr>
        <w:t xml:space="preserve">12 </w:t>
      </w:r>
      <w:r w:rsidRPr="00243ED9">
        <w:rPr>
          <w:rFonts w:cs="Calibri"/>
          <w:b/>
          <w:sz w:val="20"/>
          <w:szCs w:val="20"/>
        </w:rPr>
        <w:t xml:space="preserve">Table: Implication of identifying high-risk subjects based on PRS. </w:t>
      </w:r>
    </w:p>
    <w:p w:rsidR="000F18DC" w:rsidRDefault="000F18DC" w:rsidP="000F18DC">
      <w:pPr>
        <w:spacing w:after="0" w:line="240" w:lineRule="auto"/>
        <w:rPr>
          <w:rFonts w:cs="Calibri"/>
          <w:b/>
          <w:sz w:val="20"/>
          <w:szCs w:val="20"/>
        </w:rPr>
      </w:pPr>
    </w:p>
    <w:p w:rsidR="00004311" w:rsidRPr="000F18DC" w:rsidRDefault="00004311" w:rsidP="000F18DC">
      <w:pPr>
        <w:spacing w:after="0" w:line="240" w:lineRule="auto"/>
        <w:rPr>
          <w:rFonts w:cs="Calibri"/>
          <w:b/>
          <w:sz w:val="20"/>
          <w:szCs w:val="20"/>
        </w:rPr>
      </w:pPr>
      <w:r w:rsidRPr="000F18DC">
        <w:rPr>
          <w:rFonts w:cs="Calibri"/>
          <w:b/>
          <w:sz w:val="20"/>
          <w:szCs w:val="20"/>
        </w:rPr>
        <w:t>Type-2 diabetes</w:t>
      </w:r>
    </w:p>
    <w:tbl>
      <w:tblPr>
        <w:tblStyle w:val="TableGrid"/>
        <w:tblW w:w="0" w:type="auto"/>
        <w:tblLook w:val="04A0" w:firstRow="1" w:lastRow="0" w:firstColumn="1" w:lastColumn="0" w:noHBand="0" w:noVBand="1"/>
      </w:tblPr>
      <w:tblGrid>
        <w:gridCol w:w="409"/>
        <w:gridCol w:w="1760"/>
        <w:gridCol w:w="1646"/>
        <w:gridCol w:w="1871"/>
        <w:gridCol w:w="1646"/>
        <w:gridCol w:w="2244"/>
      </w:tblGrid>
      <w:tr w:rsidR="00004311" w:rsidRPr="008E6A2E" w:rsidTr="007C0C59">
        <w:tc>
          <w:tcPr>
            <w:tcW w:w="409" w:type="dxa"/>
            <w:vMerge w:val="restart"/>
          </w:tcPr>
          <w:p w:rsidR="00004311" w:rsidRPr="00243ED9" w:rsidRDefault="00004311" w:rsidP="007C0C59">
            <w:pPr>
              <w:rPr>
                <w:rFonts w:cs="Calibri"/>
                <w:sz w:val="20"/>
                <w:szCs w:val="20"/>
              </w:rPr>
            </w:pPr>
            <w:r>
              <w:rPr>
                <w:rFonts w:cs="Calibri"/>
                <w:sz w:val="20"/>
                <w:szCs w:val="20"/>
              </w:rPr>
              <w:t>k</w:t>
            </w:r>
          </w:p>
        </w:tc>
        <w:tc>
          <w:tcPr>
            <w:tcW w:w="6923" w:type="dxa"/>
            <w:gridSpan w:val="4"/>
          </w:tcPr>
          <w:p w:rsidR="00004311" w:rsidRPr="00243ED9" w:rsidRDefault="00004311" w:rsidP="007C0C59">
            <w:pPr>
              <w:jc w:val="center"/>
              <w:rPr>
                <w:rFonts w:cs="Calibri"/>
                <w:sz w:val="20"/>
                <w:szCs w:val="20"/>
              </w:rPr>
            </w:pPr>
            <w:r w:rsidRPr="00243ED9">
              <w:rPr>
                <w:rFonts w:cs="Calibri"/>
                <w:sz w:val="20"/>
                <w:szCs w:val="20"/>
              </w:rPr>
              <w:t>Number of samples (out of 1500 validation samples) with k-fold of population-average risk</w:t>
            </w:r>
          </w:p>
        </w:tc>
        <w:tc>
          <w:tcPr>
            <w:tcW w:w="2244" w:type="dxa"/>
          </w:tcPr>
          <w:p w:rsidR="00004311" w:rsidRPr="00243ED9" w:rsidRDefault="00004311" w:rsidP="007C0C59">
            <w:pPr>
              <w:jc w:val="center"/>
              <w:rPr>
                <w:rFonts w:cs="Calibri"/>
                <w:sz w:val="20"/>
                <w:szCs w:val="20"/>
              </w:rPr>
            </w:pPr>
            <w:r w:rsidRPr="00243ED9">
              <w:rPr>
                <w:rFonts w:cs="Calibri"/>
                <w:sz w:val="20"/>
                <w:szCs w:val="20"/>
              </w:rPr>
              <w:t>Ratio (best-PRS/standard-PRS)</w:t>
            </w:r>
          </w:p>
        </w:tc>
      </w:tr>
      <w:tr w:rsidR="00004311" w:rsidRPr="008E6A2E" w:rsidTr="007C0C59">
        <w:tc>
          <w:tcPr>
            <w:tcW w:w="409" w:type="dxa"/>
            <w:vMerge/>
          </w:tcPr>
          <w:p w:rsidR="00004311" w:rsidRPr="00243ED9" w:rsidRDefault="00004311" w:rsidP="007C0C59">
            <w:pPr>
              <w:rPr>
                <w:rFonts w:cs="Calibri"/>
                <w:sz w:val="20"/>
                <w:szCs w:val="20"/>
              </w:rPr>
            </w:pPr>
          </w:p>
        </w:tc>
        <w:tc>
          <w:tcPr>
            <w:tcW w:w="3406" w:type="dxa"/>
            <w:gridSpan w:val="2"/>
          </w:tcPr>
          <w:p w:rsidR="00004311" w:rsidRPr="00243ED9" w:rsidRDefault="00004311" w:rsidP="007C0C59">
            <w:pPr>
              <w:jc w:val="center"/>
              <w:rPr>
                <w:rFonts w:cs="Calibri"/>
                <w:sz w:val="20"/>
                <w:szCs w:val="20"/>
              </w:rPr>
            </w:pPr>
            <w:r w:rsidRPr="00243ED9">
              <w:rPr>
                <w:rFonts w:cs="Calibri"/>
                <w:sz w:val="20"/>
                <w:szCs w:val="20"/>
              </w:rPr>
              <w:t>Standard 1D PRS</w:t>
            </w:r>
          </w:p>
        </w:tc>
        <w:tc>
          <w:tcPr>
            <w:tcW w:w="3517" w:type="dxa"/>
            <w:gridSpan w:val="2"/>
          </w:tcPr>
          <w:p w:rsidR="00004311" w:rsidRPr="00243ED9" w:rsidRDefault="00004311" w:rsidP="007C0C59">
            <w:pPr>
              <w:jc w:val="center"/>
              <w:rPr>
                <w:rFonts w:cs="Calibri"/>
                <w:sz w:val="20"/>
                <w:szCs w:val="20"/>
              </w:rPr>
            </w:pPr>
            <w:r w:rsidRPr="00243ED9">
              <w:rPr>
                <w:rFonts w:cs="Calibri"/>
                <w:sz w:val="20"/>
                <w:szCs w:val="20"/>
              </w:rPr>
              <w:t>Best PRS</w:t>
            </w:r>
          </w:p>
        </w:tc>
        <w:tc>
          <w:tcPr>
            <w:tcW w:w="2244" w:type="dxa"/>
            <w:vMerge w:val="restart"/>
          </w:tcPr>
          <w:p w:rsidR="00004311" w:rsidRPr="00243ED9" w:rsidRDefault="00004311" w:rsidP="007C0C59">
            <w:pPr>
              <w:jc w:val="center"/>
              <w:rPr>
                <w:rFonts w:cs="Calibri"/>
                <w:sz w:val="20"/>
                <w:szCs w:val="20"/>
              </w:rPr>
            </w:pPr>
          </w:p>
          <w:p w:rsidR="00004311" w:rsidRPr="00243ED9" w:rsidRDefault="00004311" w:rsidP="007C0C59">
            <w:pPr>
              <w:jc w:val="center"/>
              <w:rPr>
                <w:rFonts w:cs="Calibri"/>
                <w:sz w:val="20"/>
                <w:szCs w:val="20"/>
              </w:rPr>
            </w:pPr>
            <w:r w:rsidRPr="00243ED9">
              <w:rPr>
                <w:rFonts w:cs="Calibri"/>
                <w:sz w:val="20"/>
                <w:szCs w:val="20"/>
              </w:rPr>
              <w:t>theoretical calculation</w:t>
            </w:r>
          </w:p>
        </w:tc>
      </w:tr>
      <w:tr w:rsidR="00004311" w:rsidRPr="008E6A2E" w:rsidTr="007C0C59">
        <w:tc>
          <w:tcPr>
            <w:tcW w:w="409" w:type="dxa"/>
            <w:vMerge/>
          </w:tcPr>
          <w:p w:rsidR="00004311" w:rsidRPr="00243ED9" w:rsidRDefault="00004311" w:rsidP="007C0C59">
            <w:pPr>
              <w:rPr>
                <w:rFonts w:cs="Calibri"/>
                <w:sz w:val="20"/>
                <w:szCs w:val="20"/>
              </w:rPr>
            </w:pPr>
          </w:p>
        </w:tc>
        <w:tc>
          <w:tcPr>
            <w:tcW w:w="1760" w:type="dxa"/>
          </w:tcPr>
          <w:p w:rsidR="00004311" w:rsidRPr="00243ED9" w:rsidRDefault="00004311" w:rsidP="007C0C59">
            <w:pPr>
              <w:jc w:val="center"/>
              <w:rPr>
                <w:rFonts w:cs="Calibri"/>
                <w:sz w:val="20"/>
                <w:szCs w:val="20"/>
              </w:rPr>
            </w:pPr>
            <w:r w:rsidRPr="00243ED9">
              <w:rPr>
                <w:rFonts w:cs="Calibri"/>
                <w:sz w:val="20"/>
                <w:szCs w:val="20"/>
              </w:rPr>
              <w:t>Theoretical calculation</w:t>
            </w:r>
          </w:p>
        </w:tc>
        <w:tc>
          <w:tcPr>
            <w:tcW w:w="1646" w:type="dxa"/>
          </w:tcPr>
          <w:p w:rsidR="00004311" w:rsidRPr="00243ED9" w:rsidRDefault="00004311" w:rsidP="007C0C59">
            <w:pPr>
              <w:jc w:val="center"/>
              <w:rPr>
                <w:rFonts w:cs="Calibri"/>
                <w:sz w:val="20"/>
                <w:szCs w:val="20"/>
              </w:rPr>
            </w:pPr>
            <w:r w:rsidRPr="00243ED9">
              <w:rPr>
                <w:rFonts w:cs="Calibri"/>
                <w:sz w:val="20"/>
                <w:szCs w:val="20"/>
              </w:rPr>
              <w:t>Empirical calculation</w:t>
            </w:r>
          </w:p>
        </w:tc>
        <w:tc>
          <w:tcPr>
            <w:tcW w:w="1871" w:type="dxa"/>
          </w:tcPr>
          <w:p w:rsidR="00004311" w:rsidRPr="00243ED9" w:rsidRDefault="00004311" w:rsidP="007C0C59">
            <w:pPr>
              <w:jc w:val="center"/>
              <w:rPr>
                <w:rFonts w:cs="Calibri"/>
                <w:sz w:val="20"/>
                <w:szCs w:val="20"/>
              </w:rPr>
            </w:pPr>
            <w:r w:rsidRPr="00243ED9">
              <w:rPr>
                <w:rFonts w:cs="Calibri"/>
                <w:sz w:val="20"/>
                <w:szCs w:val="20"/>
              </w:rPr>
              <w:t>Theoretical calculation</w:t>
            </w:r>
          </w:p>
        </w:tc>
        <w:tc>
          <w:tcPr>
            <w:tcW w:w="1646" w:type="dxa"/>
          </w:tcPr>
          <w:p w:rsidR="00004311" w:rsidRPr="00243ED9" w:rsidRDefault="00004311" w:rsidP="007C0C59">
            <w:pPr>
              <w:jc w:val="center"/>
              <w:rPr>
                <w:rFonts w:cs="Calibri"/>
                <w:sz w:val="20"/>
                <w:szCs w:val="20"/>
              </w:rPr>
            </w:pPr>
            <w:r w:rsidRPr="00243ED9">
              <w:rPr>
                <w:rFonts w:cs="Calibri"/>
                <w:sz w:val="20"/>
                <w:szCs w:val="20"/>
              </w:rPr>
              <w:t>Empirical calculation</w:t>
            </w:r>
          </w:p>
        </w:tc>
        <w:tc>
          <w:tcPr>
            <w:tcW w:w="2244" w:type="dxa"/>
            <w:vMerge/>
          </w:tcPr>
          <w:p w:rsidR="00004311" w:rsidRPr="00243ED9" w:rsidRDefault="00004311" w:rsidP="007C0C59">
            <w:pPr>
              <w:jc w:val="center"/>
              <w:rPr>
                <w:rFonts w:cs="Calibri"/>
                <w:sz w:val="20"/>
                <w:szCs w:val="20"/>
              </w:rPr>
            </w:pPr>
          </w:p>
        </w:tc>
      </w:tr>
      <w:tr w:rsidR="00004311" w:rsidRPr="008E6A2E" w:rsidTr="007C0C59">
        <w:tc>
          <w:tcPr>
            <w:tcW w:w="409" w:type="dxa"/>
          </w:tcPr>
          <w:p w:rsidR="00004311" w:rsidRPr="00243ED9" w:rsidRDefault="00004311" w:rsidP="007C0C59">
            <w:pPr>
              <w:rPr>
                <w:rFonts w:cs="Calibri"/>
                <w:sz w:val="20"/>
                <w:szCs w:val="20"/>
              </w:rPr>
            </w:pPr>
            <w:r w:rsidRPr="00243ED9">
              <w:rPr>
                <w:rFonts w:cs="Calibri"/>
                <w:sz w:val="20"/>
                <w:szCs w:val="20"/>
              </w:rPr>
              <w:t>2</w:t>
            </w:r>
          </w:p>
        </w:tc>
        <w:tc>
          <w:tcPr>
            <w:tcW w:w="1760" w:type="dxa"/>
          </w:tcPr>
          <w:p w:rsidR="00004311" w:rsidRPr="00243ED9" w:rsidRDefault="00004311" w:rsidP="007C0C59">
            <w:pPr>
              <w:jc w:val="center"/>
              <w:rPr>
                <w:rFonts w:cs="Calibri"/>
                <w:sz w:val="20"/>
                <w:szCs w:val="20"/>
              </w:rPr>
            </w:pPr>
            <w:r w:rsidRPr="00243ED9">
              <w:rPr>
                <w:rFonts w:cs="Calibri"/>
                <w:sz w:val="20"/>
                <w:szCs w:val="20"/>
              </w:rPr>
              <w:t>10.4</w:t>
            </w:r>
          </w:p>
        </w:tc>
        <w:tc>
          <w:tcPr>
            <w:tcW w:w="1646" w:type="dxa"/>
          </w:tcPr>
          <w:p w:rsidR="00004311" w:rsidRPr="00243ED9" w:rsidRDefault="00004311" w:rsidP="007C0C59">
            <w:pPr>
              <w:jc w:val="center"/>
              <w:rPr>
                <w:rFonts w:cs="Calibri"/>
                <w:sz w:val="20"/>
                <w:szCs w:val="20"/>
              </w:rPr>
            </w:pPr>
            <w:r w:rsidRPr="00243ED9">
              <w:rPr>
                <w:rFonts w:cs="Calibri"/>
                <w:sz w:val="20"/>
                <w:szCs w:val="20"/>
              </w:rPr>
              <w:t>10</w:t>
            </w:r>
          </w:p>
        </w:tc>
        <w:tc>
          <w:tcPr>
            <w:tcW w:w="1871" w:type="dxa"/>
          </w:tcPr>
          <w:p w:rsidR="00004311" w:rsidRPr="00243ED9" w:rsidRDefault="00004311" w:rsidP="007C0C59">
            <w:pPr>
              <w:jc w:val="center"/>
              <w:rPr>
                <w:rFonts w:cs="Calibri"/>
                <w:sz w:val="20"/>
                <w:szCs w:val="20"/>
              </w:rPr>
            </w:pPr>
            <w:r w:rsidRPr="00243ED9">
              <w:rPr>
                <w:rFonts w:cs="Calibri"/>
                <w:sz w:val="20"/>
                <w:szCs w:val="20"/>
              </w:rPr>
              <w:t>30.4</w:t>
            </w:r>
          </w:p>
        </w:tc>
        <w:tc>
          <w:tcPr>
            <w:tcW w:w="1646" w:type="dxa"/>
          </w:tcPr>
          <w:p w:rsidR="00004311" w:rsidRPr="00243ED9" w:rsidRDefault="00004311" w:rsidP="007C0C59">
            <w:pPr>
              <w:jc w:val="center"/>
              <w:rPr>
                <w:rFonts w:cs="Calibri"/>
                <w:sz w:val="20"/>
                <w:szCs w:val="20"/>
              </w:rPr>
            </w:pPr>
            <w:r w:rsidRPr="00243ED9">
              <w:rPr>
                <w:rFonts w:cs="Calibri"/>
                <w:sz w:val="20"/>
                <w:szCs w:val="20"/>
              </w:rPr>
              <w:t>31</w:t>
            </w:r>
          </w:p>
        </w:tc>
        <w:tc>
          <w:tcPr>
            <w:tcW w:w="2244" w:type="dxa"/>
          </w:tcPr>
          <w:p w:rsidR="00004311" w:rsidRPr="00243ED9" w:rsidRDefault="00004311" w:rsidP="007C0C59">
            <w:pPr>
              <w:jc w:val="center"/>
              <w:rPr>
                <w:rFonts w:cs="Calibri"/>
                <w:sz w:val="20"/>
                <w:szCs w:val="20"/>
              </w:rPr>
            </w:pPr>
            <w:r w:rsidRPr="00243ED9">
              <w:rPr>
                <w:rFonts w:cs="Calibri"/>
                <w:sz w:val="20"/>
                <w:szCs w:val="20"/>
              </w:rPr>
              <w:t>2.93</w:t>
            </w:r>
          </w:p>
        </w:tc>
      </w:tr>
      <w:tr w:rsidR="00004311" w:rsidRPr="008E6A2E" w:rsidTr="007C0C59">
        <w:tc>
          <w:tcPr>
            <w:tcW w:w="409" w:type="dxa"/>
          </w:tcPr>
          <w:p w:rsidR="00004311" w:rsidRPr="00243ED9" w:rsidRDefault="00004311" w:rsidP="007C0C59">
            <w:pPr>
              <w:rPr>
                <w:rFonts w:cs="Calibri"/>
                <w:sz w:val="20"/>
                <w:szCs w:val="20"/>
              </w:rPr>
            </w:pPr>
            <w:r w:rsidRPr="00243ED9">
              <w:rPr>
                <w:rFonts w:cs="Calibri"/>
                <w:sz w:val="20"/>
                <w:szCs w:val="20"/>
              </w:rPr>
              <w:t>3</w:t>
            </w:r>
          </w:p>
        </w:tc>
        <w:tc>
          <w:tcPr>
            <w:tcW w:w="1760" w:type="dxa"/>
          </w:tcPr>
          <w:p w:rsidR="00004311" w:rsidRPr="00243ED9" w:rsidRDefault="00004311" w:rsidP="007C0C59">
            <w:pPr>
              <w:jc w:val="center"/>
              <w:rPr>
                <w:rFonts w:cs="Calibri"/>
                <w:sz w:val="20"/>
                <w:szCs w:val="20"/>
              </w:rPr>
            </w:pPr>
            <w:r w:rsidRPr="00243ED9">
              <w:rPr>
                <w:rFonts w:cs="Calibri"/>
                <w:sz w:val="20"/>
                <w:szCs w:val="20"/>
              </w:rPr>
              <w:t>0.1</w:t>
            </w:r>
          </w:p>
        </w:tc>
        <w:tc>
          <w:tcPr>
            <w:tcW w:w="1646" w:type="dxa"/>
          </w:tcPr>
          <w:p w:rsidR="00004311" w:rsidRPr="00243ED9" w:rsidRDefault="00004311" w:rsidP="007C0C59">
            <w:pPr>
              <w:jc w:val="center"/>
              <w:rPr>
                <w:rFonts w:cs="Calibri"/>
                <w:sz w:val="20"/>
                <w:szCs w:val="20"/>
              </w:rPr>
            </w:pPr>
            <w:r w:rsidRPr="00243ED9">
              <w:rPr>
                <w:rFonts w:cs="Calibri"/>
                <w:sz w:val="20"/>
                <w:szCs w:val="20"/>
              </w:rPr>
              <w:t>0</w:t>
            </w:r>
          </w:p>
        </w:tc>
        <w:tc>
          <w:tcPr>
            <w:tcW w:w="1871" w:type="dxa"/>
          </w:tcPr>
          <w:p w:rsidR="00004311" w:rsidRPr="00243ED9" w:rsidRDefault="00004311" w:rsidP="007C0C59">
            <w:pPr>
              <w:jc w:val="center"/>
              <w:rPr>
                <w:rFonts w:cs="Calibri"/>
                <w:sz w:val="20"/>
                <w:szCs w:val="20"/>
              </w:rPr>
            </w:pPr>
            <w:r w:rsidRPr="00243ED9">
              <w:rPr>
                <w:rFonts w:cs="Calibri"/>
                <w:sz w:val="20"/>
                <w:szCs w:val="20"/>
              </w:rPr>
              <w:t>1.3</w:t>
            </w:r>
          </w:p>
        </w:tc>
        <w:tc>
          <w:tcPr>
            <w:tcW w:w="1646" w:type="dxa"/>
          </w:tcPr>
          <w:p w:rsidR="00004311" w:rsidRPr="00243ED9" w:rsidRDefault="00004311" w:rsidP="007C0C59">
            <w:pPr>
              <w:jc w:val="center"/>
              <w:rPr>
                <w:rFonts w:cs="Calibri"/>
                <w:sz w:val="20"/>
                <w:szCs w:val="20"/>
              </w:rPr>
            </w:pPr>
            <w:r w:rsidRPr="00243ED9">
              <w:rPr>
                <w:rFonts w:cs="Calibri"/>
                <w:sz w:val="20"/>
                <w:szCs w:val="20"/>
              </w:rPr>
              <w:t>2</w:t>
            </w:r>
          </w:p>
        </w:tc>
        <w:tc>
          <w:tcPr>
            <w:tcW w:w="2244" w:type="dxa"/>
          </w:tcPr>
          <w:p w:rsidR="00004311" w:rsidRPr="00243ED9" w:rsidRDefault="00004311" w:rsidP="007C0C59">
            <w:pPr>
              <w:jc w:val="center"/>
              <w:rPr>
                <w:rFonts w:cs="Calibri"/>
                <w:sz w:val="20"/>
                <w:szCs w:val="20"/>
              </w:rPr>
            </w:pPr>
            <w:r w:rsidRPr="00243ED9">
              <w:rPr>
                <w:rFonts w:cs="Calibri"/>
                <w:sz w:val="20"/>
                <w:szCs w:val="20"/>
              </w:rPr>
              <w:t>12.52</w:t>
            </w:r>
          </w:p>
        </w:tc>
      </w:tr>
      <w:tr w:rsidR="00004311" w:rsidRPr="008E6A2E" w:rsidTr="007C0C59">
        <w:tc>
          <w:tcPr>
            <w:tcW w:w="409" w:type="dxa"/>
          </w:tcPr>
          <w:p w:rsidR="00004311" w:rsidRPr="00243ED9" w:rsidRDefault="00004311" w:rsidP="007C0C59">
            <w:pPr>
              <w:rPr>
                <w:rFonts w:cs="Calibri"/>
                <w:sz w:val="20"/>
                <w:szCs w:val="20"/>
              </w:rPr>
            </w:pPr>
            <w:r w:rsidRPr="00243ED9">
              <w:rPr>
                <w:rFonts w:cs="Calibri"/>
                <w:sz w:val="20"/>
                <w:szCs w:val="20"/>
              </w:rPr>
              <w:t>4</w:t>
            </w:r>
          </w:p>
        </w:tc>
        <w:tc>
          <w:tcPr>
            <w:tcW w:w="1760" w:type="dxa"/>
          </w:tcPr>
          <w:p w:rsidR="00004311" w:rsidRPr="00243ED9" w:rsidRDefault="00004311" w:rsidP="007C0C59">
            <w:pPr>
              <w:jc w:val="center"/>
              <w:rPr>
                <w:rFonts w:cs="Calibri"/>
                <w:sz w:val="20"/>
                <w:szCs w:val="20"/>
              </w:rPr>
            </w:pPr>
            <w:r w:rsidRPr="00243ED9">
              <w:rPr>
                <w:rFonts w:cs="Calibri"/>
                <w:sz w:val="20"/>
                <w:szCs w:val="20"/>
              </w:rPr>
              <w:t>0.0014</w:t>
            </w:r>
          </w:p>
        </w:tc>
        <w:tc>
          <w:tcPr>
            <w:tcW w:w="1646" w:type="dxa"/>
          </w:tcPr>
          <w:p w:rsidR="00004311" w:rsidRPr="00243ED9" w:rsidRDefault="00004311" w:rsidP="007C0C59">
            <w:pPr>
              <w:jc w:val="center"/>
              <w:rPr>
                <w:rFonts w:cs="Calibri"/>
                <w:sz w:val="20"/>
                <w:szCs w:val="20"/>
              </w:rPr>
            </w:pPr>
            <w:r w:rsidRPr="00243ED9">
              <w:rPr>
                <w:rFonts w:cs="Calibri"/>
                <w:sz w:val="20"/>
                <w:szCs w:val="20"/>
              </w:rPr>
              <w:t>0</w:t>
            </w:r>
          </w:p>
        </w:tc>
        <w:tc>
          <w:tcPr>
            <w:tcW w:w="1871" w:type="dxa"/>
          </w:tcPr>
          <w:p w:rsidR="00004311" w:rsidRPr="00243ED9" w:rsidRDefault="00004311" w:rsidP="007C0C59">
            <w:pPr>
              <w:jc w:val="center"/>
              <w:rPr>
                <w:rFonts w:cs="Calibri"/>
                <w:sz w:val="20"/>
                <w:szCs w:val="20"/>
              </w:rPr>
            </w:pPr>
            <w:r w:rsidRPr="00243ED9">
              <w:rPr>
                <w:rFonts w:cs="Calibri"/>
                <w:sz w:val="20"/>
                <w:szCs w:val="20"/>
              </w:rPr>
              <w:t>0.069</w:t>
            </w:r>
          </w:p>
        </w:tc>
        <w:tc>
          <w:tcPr>
            <w:tcW w:w="1646" w:type="dxa"/>
          </w:tcPr>
          <w:p w:rsidR="00004311" w:rsidRPr="00243ED9" w:rsidRDefault="00004311" w:rsidP="007C0C59">
            <w:pPr>
              <w:jc w:val="center"/>
              <w:rPr>
                <w:rFonts w:cs="Calibri"/>
                <w:sz w:val="20"/>
                <w:szCs w:val="20"/>
              </w:rPr>
            </w:pPr>
            <w:r w:rsidRPr="00243ED9">
              <w:rPr>
                <w:rFonts w:cs="Calibri"/>
                <w:sz w:val="20"/>
                <w:szCs w:val="20"/>
              </w:rPr>
              <w:t>0</w:t>
            </w:r>
          </w:p>
        </w:tc>
        <w:tc>
          <w:tcPr>
            <w:tcW w:w="2244" w:type="dxa"/>
          </w:tcPr>
          <w:p w:rsidR="00004311" w:rsidRPr="00243ED9" w:rsidRDefault="00004311" w:rsidP="007C0C59">
            <w:pPr>
              <w:jc w:val="center"/>
              <w:rPr>
                <w:rFonts w:cs="Calibri"/>
                <w:sz w:val="20"/>
                <w:szCs w:val="20"/>
              </w:rPr>
            </w:pPr>
            <w:r w:rsidRPr="00243ED9">
              <w:rPr>
                <w:rFonts w:cs="Calibri"/>
                <w:sz w:val="20"/>
                <w:szCs w:val="20"/>
              </w:rPr>
              <w:t>51.26</w:t>
            </w:r>
          </w:p>
        </w:tc>
      </w:tr>
      <w:tr w:rsidR="00004311" w:rsidRPr="008E6A2E" w:rsidTr="007C0C59">
        <w:tc>
          <w:tcPr>
            <w:tcW w:w="409" w:type="dxa"/>
          </w:tcPr>
          <w:p w:rsidR="00004311" w:rsidRPr="00243ED9" w:rsidRDefault="00004311" w:rsidP="007C0C59">
            <w:pPr>
              <w:rPr>
                <w:rFonts w:cs="Calibri"/>
                <w:sz w:val="20"/>
                <w:szCs w:val="20"/>
              </w:rPr>
            </w:pPr>
            <w:r w:rsidRPr="00243ED9">
              <w:rPr>
                <w:rFonts w:cs="Calibri"/>
                <w:sz w:val="20"/>
                <w:szCs w:val="20"/>
              </w:rPr>
              <w:t>5</w:t>
            </w:r>
          </w:p>
        </w:tc>
        <w:tc>
          <w:tcPr>
            <w:tcW w:w="1760" w:type="dxa"/>
          </w:tcPr>
          <w:p w:rsidR="00004311" w:rsidRPr="00243ED9" w:rsidRDefault="00004311" w:rsidP="007C0C59">
            <w:pPr>
              <w:jc w:val="center"/>
              <w:rPr>
                <w:rFonts w:cs="Calibri"/>
                <w:sz w:val="20"/>
                <w:szCs w:val="20"/>
              </w:rPr>
            </w:pPr>
            <w:r w:rsidRPr="00243ED9">
              <w:rPr>
                <w:rFonts w:cs="Calibri"/>
                <w:sz w:val="20"/>
                <w:szCs w:val="20"/>
              </w:rPr>
              <w:t>0.000026</w:t>
            </w:r>
          </w:p>
        </w:tc>
        <w:tc>
          <w:tcPr>
            <w:tcW w:w="1646" w:type="dxa"/>
          </w:tcPr>
          <w:p w:rsidR="00004311" w:rsidRPr="00243ED9" w:rsidRDefault="00004311" w:rsidP="007C0C59">
            <w:pPr>
              <w:jc w:val="center"/>
              <w:rPr>
                <w:rFonts w:cs="Calibri"/>
                <w:sz w:val="20"/>
                <w:szCs w:val="20"/>
              </w:rPr>
            </w:pPr>
            <w:r w:rsidRPr="00243ED9">
              <w:rPr>
                <w:rFonts w:cs="Calibri"/>
                <w:sz w:val="20"/>
                <w:szCs w:val="20"/>
              </w:rPr>
              <w:t>0</w:t>
            </w:r>
          </w:p>
        </w:tc>
        <w:tc>
          <w:tcPr>
            <w:tcW w:w="1871" w:type="dxa"/>
          </w:tcPr>
          <w:p w:rsidR="00004311" w:rsidRPr="00243ED9" w:rsidRDefault="00004311" w:rsidP="007C0C59">
            <w:pPr>
              <w:jc w:val="center"/>
              <w:rPr>
                <w:rFonts w:cs="Calibri"/>
                <w:sz w:val="20"/>
                <w:szCs w:val="20"/>
              </w:rPr>
            </w:pPr>
            <w:r w:rsidRPr="00243ED9">
              <w:rPr>
                <w:rFonts w:cs="Calibri"/>
                <w:sz w:val="20"/>
                <w:szCs w:val="20"/>
              </w:rPr>
              <w:t>0.005</w:t>
            </w:r>
          </w:p>
        </w:tc>
        <w:tc>
          <w:tcPr>
            <w:tcW w:w="1646" w:type="dxa"/>
          </w:tcPr>
          <w:p w:rsidR="00004311" w:rsidRPr="00243ED9" w:rsidRDefault="00004311" w:rsidP="007C0C59">
            <w:pPr>
              <w:jc w:val="center"/>
              <w:rPr>
                <w:rFonts w:cs="Calibri"/>
                <w:sz w:val="20"/>
                <w:szCs w:val="20"/>
              </w:rPr>
            </w:pPr>
            <w:r w:rsidRPr="00243ED9">
              <w:rPr>
                <w:rFonts w:cs="Calibri"/>
                <w:sz w:val="20"/>
                <w:szCs w:val="20"/>
              </w:rPr>
              <w:t>0</w:t>
            </w:r>
          </w:p>
        </w:tc>
        <w:tc>
          <w:tcPr>
            <w:tcW w:w="2244" w:type="dxa"/>
          </w:tcPr>
          <w:p w:rsidR="00004311" w:rsidRPr="00243ED9" w:rsidRDefault="00004311" w:rsidP="007C0C59">
            <w:pPr>
              <w:jc w:val="center"/>
              <w:rPr>
                <w:rFonts w:cs="Calibri"/>
                <w:sz w:val="20"/>
                <w:szCs w:val="20"/>
              </w:rPr>
            </w:pPr>
            <w:r w:rsidRPr="00243ED9">
              <w:rPr>
                <w:rFonts w:cs="Calibri"/>
                <w:sz w:val="20"/>
                <w:szCs w:val="20"/>
              </w:rPr>
              <w:t>190.61</w:t>
            </w:r>
          </w:p>
        </w:tc>
      </w:tr>
    </w:tbl>
    <w:p w:rsidR="00004311" w:rsidRPr="00243ED9" w:rsidRDefault="00004311" w:rsidP="00004311">
      <w:pPr>
        <w:spacing w:after="0" w:line="240" w:lineRule="auto"/>
        <w:rPr>
          <w:rFonts w:cs="Calibri"/>
          <w:sz w:val="20"/>
          <w:szCs w:val="20"/>
        </w:rPr>
      </w:pPr>
    </w:p>
    <w:p w:rsidR="00004311" w:rsidRPr="00243ED9" w:rsidRDefault="00004311" w:rsidP="00004311">
      <w:pPr>
        <w:spacing w:after="0" w:line="240" w:lineRule="auto"/>
        <w:rPr>
          <w:rFonts w:cs="Calibri"/>
          <w:sz w:val="20"/>
          <w:szCs w:val="20"/>
        </w:rPr>
      </w:pPr>
    </w:p>
    <w:p w:rsidR="00004311" w:rsidRPr="00243ED9" w:rsidRDefault="00004311" w:rsidP="00004311">
      <w:pPr>
        <w:spacing w:after="0" w:line="240" w:lineRule="auto"/>
        <w:rPr>
          <w:rFonts w:cs="Calibri"/>
          <w:sz w:val="20"/>
          <w:szCs w:val="20"/>
        </w:rPr>
      </w:pPr>
      <w:r w:rsidRPr="00243ED9">
        <w:rPr>
          <w:rFonts w:cs="Calibri"/>
          <w:sz w:val="20"/>
          <w:szCs w:val="20"/>
        </w:rPr>
        <w:t>Here, we calculate the proportion of samp</w:t>
      </w:r>
      <w:r w:rsidR="00096F0D">
        <w:rPr>
          <w:rFonts w:cs="Calibri"/>
          <w:sz w:val="20"/>
          <w:szCs w:val="20"/>
        </w:rPr>
        <w:t>les in the general population</w:t>
      </w:r>
      <w:r w:rsidRPr="00243ED9">
        <w:rPr>
          <w:rFonts w:cs="Calibri"/>
          <w:sz w:val="20"/>
          <w:szCs w:val="20"/>
        </w:rPr>
        <w:t xml:space="preserve"> identified as high-risk based on a given PRS distribution. For a given PRS, we assume that the PRS risk scores follows a centered normal distribution, i.e. </w:t>
      </w:r>
      <m:oMath>
        <m:r>
          <w:rPr>
            <w:rFonts w:ascii="Cambria Math" w:hAnsi="Cambria Math" w:cs="Calibri"/>
            <w:sz w:val="20"/>
            <w:szCs w:val="20"/>
          </w:rPr>
          <m:t>s~N(0,</m:t>
        </m:r>
        <m:sSup>
          <m:sSupPr>
            <m:ctrlPr>
              <w:rPr>
                <w:rFonts w:ascii="Cambria Math" w:hAnsi="Cambria Math" w:cs="Calibri"/>
                <w:i/>
                <w:sz w:val="20"/>
                <w:szCs w:val="20"/>
              </w:rPr>
            </m:ctrlPr>
          </m:sSupPr>
          <m:e>
            <m:r>
              <w:rPr>
                <w:rFonts w:ascii="Cambria Math" w:hAnsi="Cambria Math" w:cs="Calibri"/>
                <w:sz w:val="20"/>
                <w:szCs w:val="20"/>
              </w:rPr>
              <m:t>σ</m:t>
            </m:r>
          </m:e>
          <m:sup>
            <m:r>
              <w:rPr>
                <w:rFonts w:ascii="Cambria Math" w:hAnsi="Cambria Math" w:cs="Calibri"/>
                <w:sz w:val="20"/>
                <w:szCs w:val="20"/>
              </w:rPr>
              <m:t>2</m:t>
            </m:r>
          </m:sup>
        </m:sSup>
        <m:r>
          <w:rPr>
            <w:rFonts w:ascii="Cambria Math" w:hAnsi="Cambria Math" w:cs="Calibri"/>
            <w:sz w:val="20"/>
            <w:szCs w:val="20"/>
          </w:rPr>
          <m:t>)</m:t>
        </m:r>
      </m:oMath>
      <w:r w:rsidRPr="00243ED9">
        <w:rPr>
          <w:rFonts w:cs="Calibri"/>
          <w:sz w:val="20"/>
          <w:szCs w:val="20"/>
        </w:rPr>
        <w:t>, with paramet</w:t>
      </w:r>
      <w:proofErr w:type="spellStart"/>
      <w:r w:rsidRPr="00243ED9">
        <w:rPr>
          <w:rFonts w:cs="Calibri"/>
          <w:sz w:val="20"/>
          <w:szCs w:val="20"/>
        </w:rPr>
        <w:t>ers</w:t>
      </w:r>
      <w:proofErr w:type="spellEnd"/>
      <w:r w:rsidRPr="00243ED9">
        <w:rPr>
          <w:rFonts w:cs="Calibri"/>
          <w:sz w:val="20"/>
          <w:szCs w:val="20"/>
        </w:rPr>
        <w:t xml:space="preserve"> estimated based on validation sample. We first perform calibration by fitting a logistic regression </w:t>
      </w:r>
      <m:oMath>
        <m:r>
          <w:rPr>
            <w:rFonts w:ascii="Cambria Math" w:hAnsi="Cambria Math" w:cs="Calibri"/>
            <w:sz w:val="20"/>
            <w:szCs w:val="20"/>
          </w:rPr>
          <m:t>logit</m:t>
        </m:r>
        <m:d>
          <m:dPr>
            <m:ctrlPr>
              <w:rPr>
                <w:rFonts w:ascii="Cambria Math" w:hAnsi="Cambria Math" w:cs="Calibri"/>
                <w:i/>
                <w:sz w:val="20"/>
                <w:szCs w:val="20"/>
              </w:rPr>
            </m:ctrlPr>
          </m:dPr>
          <m:e>
            <m:r>
              <w:rPr>
                <w:rFonts w:ascii="Cambria Math" w:hAnsi="Cambria Math" w:cs="Calibri"/>
                <w:sz w:val="20"/>
                <w:szCs w:val="20"/>
              </w:rPr>
              <m:t>y</m:t>
            </m:r>
          </m:e>
          <m:e>
            <m:r>
              <w:rPr>
                <w:rFonts w:ascii="Cambria Math" w:hAnsi="Cambria Math" w:cs="Calibri"/>
                <w:sz w:val="20"/>
                <w:szCs w:val="20"/>
              </w:rPr>
              <m:t>s</m:t>
            </m:r>
          </m:e>
        </m:d>
        <m:r>
          <w:rPr>
            <w:rFonts w:ascii="Cambria Math" w:hAnsi="Cambria Math" w:cs="Calibri"/>
            <w:sz w:val="20"/>
            <w:szCs w:val="20"/>
          </w:rPr>
          <m:t>=α+βs</m:t>
        </m:r>
      </m:oMath>
      <w:r w:rsidRPr="00243ED9">
        <w:rPr>
          <w:rFonts w:cs="Calibri"/>
          <w:sz w:val="20"/>
          <w:szCs w:val="20"/>
        </w:rPr>
        <w:t xml:space="preserve"> to derive </w:t>
      </w:r>
      <m:oMath>
        <m:acc>
          <m:accPr>
            <m:ctrlPr>
              <w:rPr>
                <w:rFonts w:ascii="Cambria Math" w:hAnsi="Cambria Math" w:cs="Calibri"/>
                <w:i/>
                <w:sz w:val="20"/>
                <w:szCs w:val="20"/>
              </w:rPr>
            </m:ctrlPr>
          </m:accPr>
          <m:e>
            <m:r>
              <w:rPr>
                <w:rFonts w:ascii="Cambria Math" w:hAnsi="Cambria Math" w:cs="Calibri"/>
                <w:sz w:val="20"/>
                <w:szCs w:val="20"/>
              </w:rPr>
              <m:t>β</m:t>
            </m:r>
          </m:e>
        </m:acc>
      </m:oMath>
      <w:r w:rsidRPr="00243ED9">
        <w:rPr>
          <w:rFonts w:cs="Calibri"/>
          <w:sz w:val="20"/>
          <w:szCs w:val="20"/>
        </w:rPr>
        <w:t xml:space="preserve">. The calibrated risk score is then </w:t>
      </w:r>
      <m:oMath>
        <m:r>
          <m:rPr>
            <m:sty m:val="p"/>
          </m:rPr>
          <w:rPr>
            <w:rFonts w:ascii="Cambria Math" w:hAnsi="Cambria Math" w:cs="Calibri"/>
            <w:sz w:val="20"/>
            <w:szCs w:val="20"/>
          </w:rPr>
          <m:t>exp⁡</m:t>
        </m:r>
        <m:r>
          <w:rPr>
            <w:rFonts w:ascii="Cambria Math" w:hAnsi="Cambria Math" w:cs="Calibri"/>
            <w:sz w:val="20"/>
            <w:szCs w:val="20"/>
          </w:rPr>
          <m:t>(</m:t>
        </m:r>
        <m:acc>
          <m:accPr>
            <m:ctrlPr>
              <w:rPr>
                <w:rFonts w:ascii="Cambria Math" w:hAnsi="Cambria Math" w:cs="Calibri"/>
                <w:i/>
                <w:sz w:val="20"/>
                <w:szCs w:val="20"/>
              </w:rPr>
            </m:ctrlPr>
          </m:accPr>
          <m:e>
            <m:r>
              <w:rPr>
                <w:rFonts w:ascii="Cambria Math" w:hAnsi="Cambria Math" w:cs="Calibri"/>
                <w:sz w:val="20"/>
                <w:szCs w:val="20"/>
              </w:rPr>
              <m:t>β</m:t>
            </m:r>
          </m:e>
        </m:acc>
        <m:r>
          <w:rPr>
            <w:rFonts w:ascii="Cambria Math" w:hAnsi="Cambria Math" w:cs="Calibri"/>
            <w:sz w:val="20"/>
            <w:szCs w:val="20"/>
          </w:rPr>
          <m:t>s)</m:t>
        </m:r>
      </m:oMath>
      <w:r w:rsidRPr="00243ED9">
        <w:rPr>
          <w:rFonts w:cs="Calibri"/>
          <w:sz w:val="20"/>
          <w:szCs w:val="20"/>
        </w:rPr>
        <w:t xml:space="preserve">. The average risk in the population is then </w:t>
      </w:r>
      <m:oMath>
        <m:r>
          <w:rPr>
            <w:rFonts w:ascii="Cambria Math" w:hAnsi="Cambria Math" w:cs="Calibri"/>
            <w:sz w:val="20"/>
            <w:szCs w:val="20"/>
          </w:rPr>
          <m:t>A=</m:t>
        </m:r>
        <m:nary>
          <m:naryPr>
            <m:limLoc m:val="undOvr"/>
            <m:subHide m:val="1"/>
            <m:supHide m:val="1"/>
            <m:ctrlPr>
              <w:rPr>
                <w:rFonts w:ascii="Cambria Math" w:hAnsi="Cambria Math" w:cs="Calibri"/>
                <w:i/>
                <w:sz w:val="20"/>
                <w:szCs w:val="20"/>
              </w:rPr>
            </m:ctrlPr>
          </m:naryPr>
          <m:sub/>
          <m:sup/>
          <m:e>
            <m:func>
              <m:funcPr>
                <m:ctrlPr>
                  <w:rPr>
                    <w:rFonts w:ascii="Cambria Math" w:hAnsi="Cambria Math" w:cs="Calibri"/>
                    <w:sz w:val="20"/>
                    <w:szCs w:val="20"/>
                  </w:rPr>
                </m:ctrlPr>
              </m:funcPr>
              <m:fName>
                <m:r>
                  <m:rPr>
                    <m:sty m:val="p"/>
                  </m:rPr>
                  <w:rPr>
                    <w:rFonts w:ascii="Cambria Math" w:hAnsi="Cambria Math" w:cs="Calibri"/>
                    <w:sz w:val="20"/>
                    <w:szCs w:val="20"/>
                  </w:rPr>
                  <m:t>exp</m:t>
                </m:r>
              </m:fName>
              <m:e>
                <m:d>
                  <m:dPr>
                    <m:ctrlPr>
                      <w:rPr>
                        <w:rFonts w:ascii="Cambria Math" w:hAnsi="Cambria Math" w:cs="Calibri"/>
                        <w:i/>
                        <w:sz w:val="20"/>
                        <w:szCs w:val="20"/>
                      </w:rPr>
                    </m:ctrlPr>
                  </m:dPr>
                  <m:e>
                    <m:acc>
                      <m:accPr>
                        <m:ctrlPr>
                          <w:rPr>
                            <w:rFonts w:ascii="Cambria Math" w:hAnsi="Cambria Math" w:cs="Calibri"/>
                            <w:i/>
                            <w:sz w:val="20"/>
                            <w:szCs w:val="20"/>
                          </w:rPr>
                        </m:ctrlPr>
                      </m:accPr>
                      <m:e>
                        <m:r>
                          <w:rPr>
                            <w:rFonts w:ascii="Cambria Math" w:hAnsi="Cambria Math" w:cs="Calibri"/>
                            <w:sz w:val="20"/>
                            <w:szCs w:val="20"/>
                          </w:rPr>
                          <m:t>β</m:t>
                        </m:r>
                      </m:e>
                    </m:acc>
                    <m:r>
                      <w:rPr>
                        <w:rFonts w:ascii="Cambria Math" w:hAnsi="Cambria Math" w:cs="Calibri"/>
                        <w:sz w:val="20"/>
                        <w:szCs w:val="20"/>
                      </w:rPr>
                      <m:t>s</m:t>
                    </m:r>
                  </m:e>
                </m:d>
              </m:e>
            </m:func>
            <m:r>
              <w:rPr>
                <w:rFonts w:ascii="Cambria Math" w:hAnsi="Cambria Math" w:cs="Calibri"/>
                <w:sz w:val="20"/>
                <w:szCs w:val="20"/>
              </w:rPr>
              <m:t>ϕ(s;0,σ)</m:t>
            </m:r>
            <m:r>
              <m:rPr>
                <m:sty m:val="p"/>
              </m:rPr>
              <w:rPr>
                <w:rFonts w:ascii="Cambria Math" w:hAnsi="Cambria Math" w:cs="Calibri"/>
                <w:sz w:val="20"/>
                <w:szCs w:val="20"/>
              </w:rPr>
              <m:t>ds</m:t>
            </m:r>
          </m:e>
        </m:nary>
      </m:oMath>
      <w:r w:rsidRPr="00243ED9">
        <w:rPr>
          <w:rFonts w:cs="Calibri"/>
          <w:sz w:val="20"/>
          <w:szCs w:val="20"/>
        </w:rPr>
        <w:t>. To identify samples</w:t>
      </w:r>
      <w:r>
        <w:rPr>
          <w:rFonts w:cs="Calibri"/>
          <w:sz w:val="20"/>
          <w:szCs w:val="20"/>
        </w:rPr>
        <w:t xml:space="preserve"> with projected risk greater tha</w:t>
      </w:r>
      <w:r w:rsidRPr="00243ED9">
        <w:rPr>
          <w:rFonts w:cs="Calibri"/>
          <w:sz w:val="20"/>
          <w:szCs w:val="20"/>
        </w:rPr>
        <w:t xml:space="preserve">n k-fold of the population average risk, we need to find a cut off </w:t>
      </w:r>
      <m:oMath>
        <m:sSub>
          <m:sSubPr>
            <m:ctrlPr>
              <w:rPr>
                <w:rFonts w:ascii="Cambria Math" w:hAnsi="Cambria Math" w:cs="Calibri"/>
                <w:i/>
                <w:sz w:val="20"/>
                <w:szCs w:val="20"/>
              </w:rPr>
            </m:ctrlPr>
          </m:sSubPr>
          <m:e>
            <m:r>
              <w:rPr>
                <w:rFonts w:ascii="Cambria Math" w:hAnsi="Cambria Math" w:cs="Calibri"/>
                <w:sz w:val="20"/>
                <w:szCs w:val="20"/>
              </w:rPr>
              <m:t>s</m:t>
            </m:r>
          </m:e>
          <m:sub>
            <m:r>
              <w:rPr>
                <w:rFonts w:ascii="Cambria Math" w:hAnsi="Cambria Math" w:cs="Calibri"/>
                <w:sz w:val="20"/>
                <w:szCs w:val="20"/>
              </w:rPr>
              <m:t>0</m:t>
            </m:r>
          </m:sub>
        </m:sSub>
      </m:oMath>
      <w:r w:rsidRPr="00243ED9">
        <w:rPr>
          <w:rFonts w:cs="Calibri"/>
          <w:sz w:val="20"/>
          <w:szCs w:val="20"/>
        </w:rPr>
        <w:t xml:space="preserve"> s.t. </w:t>
      </w:r>
      <m:oMath>
        <m:func>
          <m:funcPr>
            <m:ctrlPr>
              <w:rPr>
                <w:rFonts w:ascii="Cambria Math" w:hAnsi="Cambria Math" w:cs="Calibri"/>
                <w:sz w:val="20"/>
                <w:szCs w:val="20"/>
              </w:rPr>
            </m:ctrlPr>
          </m:funcPr>
          <m:fName>
            <m:r>
              <m:rPr>
                <m:sty m:val="p"/>
              </m:rPr>
              <w:rPr>
                <w:rFonts w:ascii="Cambria Math" w:hAnsi="Cambria Math" w:cs="Calibri"/>
                <w:sz w:val="20"/>
                <w:szCs w:val="20"/>
              </w:rPr>
              <m:t>exp</m:t>
            </m:r>
          </m:fName>
          <m:e>
            <m:d>
              <m:dPr>
                <m:ctrlPr>
                  <w:rPr>
                    <w:rFonts w:ascii="Cambria Math" w:hAnsi="Cambria Math" w:cs="Calibri"/>
                    <w:i/>
                    <w:sz w:val="20"/>
                    <w:szCs w:val="20"/>
                  </w:rPr>
                </m:ctrlPr>
              </m:dPr>
              <m:e>
                <m:acc>
                  <m:accPr>
                    <m:ctrlPr>
                      <w:rPr>
                        <w:rFonts w:ascii="Cambria Math" w:hAnsi="Cambria Math" w:cs="Calibri"/>
                        <w:i/>
                        <w:sz w:val="20"/>
                        <w:szCs w:val="20"/>
                      </w:rPr>
                    </m:ctrlPr>
                  </m:accPr>
                  <m:e>
                    <m:r>
                      <w:rPr>
                        <w:rFonts w:ascii="Cambria Math" w:hAnsi="Cambria Math" w:cs="Calibri"/>
                        <w:sz w:val="20"/>
                        <w:szCs w:val="20"/>
                      </w:rPr>
                      <m:t>β</m:t>
                    </m:r>
                  </m:e>
                </m:acc>
                <m:sSub>
                  <m:sSubPr>
                    <m:ctrlPr>
                      <w:rPr>
                        <w:rFonts w:ascii="Cambria Math" w:hAnsi="Cambria Math" w:cs="Calibri"/>
                        <w:i/>
                        <w:sz w:val="20"/>
                        <w:szCs w:val="20"/>
                      </w:rPr>
                    </m:ctrlPr>
                  </m:sSubPr>
                  <m:e>
                    <m:r>
                      <w:rPr>
                        <w:rFonts w:ascii="Cambria Math" w:hAnsi="Cambria Math" w:cs="Calibri"/>
                        <w:sz w:val="20"/>
                        <w:szCs w:val="20"/>
                      </w:rPr>
                      <m:t>s</m:t>
                    </m:r>
                  </m:e>
                  <m:sub>
                    <m:r>
                      <w:rPr>
                        <w:rFonts w:ascii="Cambria Math" w:hAnsi="Cambria Math" w:cs="Calibri"/>
                        <w:sz w:val="20"/>
                        <w:szCs w:val="20"/>
                      </w:rPr>
                      <m:t>0</m:t>
                    </m:r>
                  </m:sub>
                </m:sSub>
              </m:e>
            </m:d>
          </m:e>
        </m:func>
        <m:r>
          <w:rPr>
            <w:rFonts w:ascii="Cambria Math" w:hAnsi="Cambria Math" w:cs="Calibri"/>
            <w:sz w:val="20"/>
            <w:szCs w:val="20"/>
          </w:rPr>
          <m:t>=kA</m:t>
        </m:r>
      </m:oMath>
      <w:r w:rsidRPr="00243ED9">
        <w:rPr>
          <w:rFonts w:cs="Calibri"/>
          <w:sz w:val="20"/>
          <w:szCs w:val="20"/>
        </w:rPr>
        <w:t>, i.e.</w:t>
      </w:r>
      <w:r>
        <w:rPr>
          <w:rFonts w:cs="Calibri"/>
          <w:sz w:val="20"/>
          <w:szCs w:val="20"/>
        </w:rPr>
        <w:t xml:space="preserve">, </w:t>
      </w:r>
      <m:oMath>
        <m:sSub>
          <m:sSubPr>
            <m:ctrlPr>
              <w:rPr>
                <w:rFonts w:ascii="Cambria Math" w:hAnsi="Cambria Math" w:cs="Calibri"/>
                <w:i/>
                <w:sz w:val="20"/>
                <w:szCs w:val="20"/>
              </w:rPr>
            </m:ctrlPr>
          </m:sSubPr>
          <m:e>
            <m:r>
              <w:rPr>
                <w:rFonts w:ascii="Cambria Math" w:hAnsi="Cambria Math" w:cs="Calibri"/>
                <w:sz w:val="20"/>
                <w:szCs w:val="20"/>
              </w:rPr>
              <m:t>s</m:t>
            </m:r>
          </m:e>
          <m:sub>
            <m:r>
              <w:rPr>
                <w:rFonts w:ascii="Cambria Math" w:hAnsi="Cambria Math" w:cs="Calibri"/>
                <w:sz w:val="20"/>
                <w:szCs w:val="20"/>
              </w:rPr>
              <m:t>0</m:t>
            </m:r>
          </m:sub>
        </m:sSub>
        <m:r>
          <w:rPr>
            <w:rFonts w:ascii="Cambria Math" w:hAnsi="Cambria Math" w:cs="Calibri"/>
            <w:sz w:val="20"/>
            <w:szCs w:val="20"/>
          </w:rPr>
          <m:t>=</m:t>
        </m:r>
        <m:func>
          <m:funcPr>
            <m:ctrlPr>
              <w:rPr>
                <w:rFonts w:ascii="Cambria Math" w:hAnsi="Cambria Math" w:cs="Calibri"/>
                <w:sz w:val="20"/>
                <w:szCs w:val="20"/>
              </w:rPr>
            </m:ctrlPr>
          </m:funcPr>
          <m:fName>
            <m:r>
              <m:rPr>
                <m:sty m:val="p"/>
              </m:rPr>
              <w:rPr>
                <w:rFonts w:ascii="Cambria Math" w:hAnsi="Cambria Math" w:cs="Calibri"/>
                <w:sz w:val="20"/>
                <w:szCs w:val="20"/>
              </w:rPr>
              <m:t>log</m:t>
            </m:r>
          </m:fName>
          <m:e>
            <m:d>
              <m:dPr>
                <m:ctrlPr>
                  <w:rPr>
                    <w:rFonts w:ascii="Cambria Math" w:hAnsi="Cambria Math" w:cs="Calibri"/>
                    <w:i/>
                    <w:sz w:val="20"/>
                    <w:szCs w:val="20"/>
                  </w:rPr>
                </m:ctrlPr>
              </m:dPr>
              <m:e>
                <m:r>
                  <w:rPr>
                    <w:rFonts w:ascii="Cambria Math" w:hAnsi="Cambria Math" w:cs="Calibri"/>
                    <w:sz w:val="20"/>
                    <w:szCs w:val="20"/>
                  </w:rPr>
                  <m:t>kA</m:t>
                </m:r>
              </m:e>
            </m:d>
          </m:e>
        </m:func>
        <m:r>
          <w:rPr>
            <w:rFonts w:ascii="Cambria Math" w:hAnsi="Cambria Math" w:cs="Calibri"/>
            <w:sz w:val="20"/>
            <w:szCs w:val="20"/>
          </w:rPr>
          <m:t>/</m:t>
        </m:r>
        <m:acc>
          <m:accPr>
            <m:ctrlPr>
              <w:rPr>
                <w:rFonts w:ascii="Cambria Math" w:hAnsi="Cambria Math" w:cs="Calibri"/>
                <w:i/>
                <w:sz w:val="20"/>
                <w:szCs w:val="20"/>
              </w:rPr>
            </m:ctrlPr>
          </m:accPr>
          <m:e>
            <m:r>
              <w:rPr>
                <w:rFonts w:ascii="Cambria Math" w:hAnsi="Cambria Math" w:cs="Calibri"/>
                <w:sz w:val="20"/>
                <w:szCs w:val="20"/>
              </w:rPr>
              <m:t>β</m:t>
            </m:r>
          </m:e>
        </m:acc>
      </m:oMath>
      <w:r w:rsidRPr="00243ED9">
        <w:rPr>
          <w:rFonts w:cs="Calibri"/>
          <w:sz w:val="20"/>
          <w:szCs w:val="20"/>
        </w:rPr>
        <w:t>. The theoretic</w:t>
      </w:r>
      <w:r>
        <w:rPr>
          <w:rFonts w:cs="Calibri"/>
          <w:sz w:val="20"/>
          <w:szCs w:val="20"/>
        </w:rPr>
        <w:t>al</w:t>
      </w:r>
      <w:r w:rsidRPr="00243ED9">
        <w:rPr>
          <w:rFonts w:cs="Calibri"/>
          <w:sz w:val="20"/>
          <w:szCs w:val="20"/>
        </w:rPr>
        <w:t xml:space="preserve"> proportion of samples is then calculated by </w:t>
      </w:r>
      <m:oMath>
        <m:r>
          <w:rPr>
            <w:rFonts w:ascii="Cambria Math" w:hAnsi="Cambria Math" w:cs="Calibri"/>
            <w:sz w:val="20"/>
            <w:szCs w:val="20"/>
          </w:rPr>
          <m:t>P(s≥</m:t>
        </m:r>
        <m:sSub>
          <m:sSubPr>
            <m:ctrlPr>
              <w:rPr>
                <w:rFonts w:ascii="Cambria Math" w:hAnsi="Cambria Math" w:cs="Calibri"/>
                <w:i/>
                <w:sz w:val="20"/>
                <w:szCs w:val="20"/>
              </w:rPr>
            </m:ctrlPr>
          </m:sSubPr>
          <m:e>
            <m:r>
              <w:rPr>
                <w:rFonts w:ascii="Cambria Math" w:hAnsi="Cambria Math" w:cs="Calibri"/>
                <w:sz w:val="20"/>
                <w:szCs w:val="20"/>
              </w:rPr>
              <m:t>s</m:t>
            </m:r>
          </m:e>
          <m:sub>
            <m:r>
              <w:rPr>
                <w:rFonts w:ascii="Cambria Math" w:hAnsi="Cambria Math" w:cs="Calibri"/>
                <w:sz w:val="20"/>
                <w:szCs w:val="20"/>
              </w:rPr>
              <m:t>0</m:t>
            </m:r>
          </m:sub>
        </m:sSub>
        <m:r>
          <w:rPr>
            <w:rFonts w:ascii="Cambria Math" w:hAnsi="Cambria Math" w:cs="Calibri"/>
            <w:sz w:val="20"/>
            <w:szCs w:val="20"/>
          </w:rPr>
          <m:t>)</m:t>
        </m:r>
      </m:oMath>
      <w:r w:rsidRPr="00243ED9">
        <w:rPr>
          <w:rFonts w:cs="Calibri"/>
          <w:sz w:val="20"/>
          <w:szCs w:val="20"/>
        </w:rPr>
        <w:t xml:space="preserve"> assuming a normal dis</w:t>
      </w:r>
      <w:proofErr w:type="spellStart"/>
      <w:r w:rsidRPr="00243ED9">
        <w:rPr>
          <w:rFonts w:cs="Calibri"/>
          <w:sz w:val="20"/>
          <w:szCs w:val="20"/>
        </w:rPr>
        <w:t>tribution</w:t>
      </w:r>
      <w:proofErr w:type="spellEnd"/>
      <w:r w:rsidRPr="00243ED9">
        <w:rPr>
          <w:rFonts w:cs="Calibri"/>
          <w:sz w:val="20"/>
          <w:szCs w:val="20"/>
        </w:rPr>
        <w:t xml:space="preserve"> </w:t>
      </w:r>
      <m:oMath>
        <m:r>
          <w:rPr>
            <w:rFonts w:ascii="Cambria Math" w:hAnsi="Cambria Math" w:cs="Calibri"/>
            <w:sz w:val="20"/>
            <w:szCs w:val="20"/>
          </w:rPr>
          <m:t>N(0,</m:t>
        </m:r>
        <m:sSup>
          <m:sSupPr>
            <m:ctrlPr>
              <w:rPr>
                <w:rFonts w:ascii="Cambria Math" w:hAnsi="Cambria Math" w:cs="Calibri"/>
                <w:i/>
                <w:sz w:val="20"/>
                <w:szCs w:val="20"/>
              </w:rPr>
            </m:ctrlPr>
          </m:sSupPr>
          <m:e>
            <m:r>
              <w:rPr>
                <w:rFonts w:ascii="Cambria Math" w:hAnsi="Cambria Math" w:cs="Calibri"/>
                <w:sz w:val="20"/>
                <w:szCs w:val="20"/>
              </w:rPr>
              <m:t>σ</m:t>
            </m:r>
          </m:e>
          <m:sup>
            <m:r>
              <w:rPr>
                <w:rFonts w:ascii="Cambria Math" w:hAnsi="Cambria Math" w:cs="Calibri"/>
                <w:sz w:val="20"/>
                <w:szCs w:val="20"/>
              </w:rPr>
              <m:t>2</m:t>
            </m:r>
          </m:sup>
        </m:sSup>
        <m:r>
          <w:rPr>
            <w:rFonts w:ascii="Cambria Math" w:hAnsi="Cambria Math" w:cs="Calibri"/>
            <w:sz w:val="20"/>
            <w:szCs w:val="20"/>
          </w:rPr>
          <m:t>)</m:t>
        </m:r>
      </m:oMath>
      <w:r w:rsidRPr="00243ED9">
        <w:rPr>
          <w:rFonts w:cs="Calibri"/>
          <w:sz w:val="20"/>
          <w:szCs w:val="20"/>
        </w:rPr>
        <w:t xml:space="preserve">. </w:t>
      </w:r>
    </w:p>
    <w:p w:rsidR="00004311" w:rsidRPr="00243ED9" w:rsidRDefault="00004311" w:rsidP="00004311">
      <w:pPr>
        <w:spacing w:after="0" w:line="240" w:lineRule="auto"/>
        <w:rPr>
          <w:rFonts w:cs="Calibri"/>
          <w:sz w:val="20"/>
          <w:szCs w:val="20"/>
        </w:rPr>
      </w:pPr>
    </w:p>
    <w:p w:rsidR="00004311" w:rsidRPr="00243ED9" w:rsidRDefault="00096F0D" w:rsidP="00004311">
      <w:pPr>
        <w:spacing w:after="0" w:line="240" w:lineRule="auto"/>
        <w:rPr>
          <w:rFonts w:cs="Calibri"/>
          <w:sz w:val="20"/>
          <w:szCs w:val="20"/>
        </w:rPr>
      </w:pPr>
      <w:r>
        <w:rPr>
          <w:rFonts w:cs="Calibri"/>
          <w:sz w:val="20"/>
          <w:szCs w:val="20"/>
        </w:rPr>
        <w:t xml:space="preserve">Here, we use </w:t>
      </w:r>
      <w:r w:rsidR="00004311" w:rsidRPr="00243ED9">
        <w:rPr>
          <w:rFonts w:cs="Calibri"/>
          <w:sz w:val="20"/>
          <w:szCs w:val="20"/>
        </w:rPr>
        <w:t xml:space="preserve">T2D to illustrate the calculation. The parameter </w:t>
      </w:r>
      <m:oMath>
        <m:r>
          <w:rPr>
            <w:rFonts w:ascii="Cambria Math" w:hAnsi="Cambria Math" w:cs="Calibri"/>
            <w:sz w:val="20"/>
            <w:szCs w:val="20"/>
          </w:rPr>
          <m:t>σ</m:t>
        </m:r>
      </m:oMath>
      <w:r w:rsidR="00004311">
        <w:rPr>
          <w:rFonts w:cs="Calibri"/>
          <w:sz w:val="20"/>
          <w:szCs w:val="20"/>
        </w:rPr>
        <w:t xml:space="preserve"> was</w:t>
      </w:r>
      <w:r w:rsidR="00004311" w:rsidRPr="00243ED9">
        <w:rPr>
          <w:rFonts w:cs="Calibri"/>
          <w:sz w:val="20"/>
          <w:szCs w:val="20"/>
        </w:rPr>
        <w:t xml:space="preserve"> estimated based on the control samples in the validation sample. We calculated the number of samples with k-fold greater risk</w:t>
      </w:r>
      <w:bookmarkStart w:id="0" w:name="_GoBack"/>
      <w:bookmarkEnd w:id="0"/>
      <w:r w:rsidR="00004311" w:rsidRPr="00243ED9">
        <w:rPr>
          <w:rFonts w:cs="Calibri"/>
          <w:sz w:val="20"/>
          <w:szCs w:val="20"/>
        </w:rPr>
        <w:t xml:space="preserve"> out of the validation samples using the above theoretic</w:t>
      </w:r>
      <w:r w:rsidR="00004311">
        <w:rPr>
          <w:rFonts w:cs="Calibri"/>
          <w:sz w:val="20"/>
          <w:szCs w:val="20"/>
        </w:rPr>
        <w:t>al</w:t>
      </w:r>
      <w:r w:rsidR="00004311" w:rsidRPr="00243ED9">
        <w:rPr>
          <w:rFonts w:cs="Calibri"/>
          <w:sz w:val="20"/>
          <w:szCs w:val="20"/>
        </w:rPr>
        <w:t xml:space="preserve"> calculations. We also empirically calculate this number based on the PRS in the validation sample.  For each disease, we compared our best PRS with the standard 1D PRS without winner’s curse correction or integrating functional data. For T2D, the best PRS is the 2D PRS with </w:t>
      </w:r>
      <w:proofErr w:type="spellStart"/>
      <w:r w:rsidR="00004311" w:rsidRPr="00243ED9">
        <w:rPr>
          <w:rFonts w:eastAsia="Times New Roman" w:cs="Calibri"/>
          <w:color w:val="000000"/>
          <w:sz w:val="20"/>
          <w:szCs w:val="20"/>
        </w:rPr>
        <w:t>eSNPs</w:t>
      </w:r>
      <w:proofErr w:type="spellEnd"/>
      <w:r w:rsidR="00004311" w:rsidRPr="00243ED9">
        <w:rPr>
          <w:rFonts w:eastAsia="Times New Roman" w:cs="Calibri"/>
          <w:color w:val="000000"/>
          <w:sz w:val="20"/>
          <w:szCs w:val="20"/>
        </w:rPr>
        <w:t>/</w:t>
      </w:r>
      <w:proofErr w:type="spellStart"/>
      <w:r w:rsidR="00004311" w:rsidRPr="00243ED9">
        <w:rPr>
          <w:rFonts w:eastAsia="Times New Roman" w:cs="Calibri"/>
          <w:color w:val="000000"/>
          <w:sz w:val="20"/>
          <w:szCs w:val="20"/>
        </w:rPr>
        <w:t>meSNPs</w:t>
      </w:r>
      <w:proofErr w:type="spellEnd"/>
      <w:r w:rsidR="00004311" w:rsidRPr="00243ED9">
        <w:rPr>
          <w:rFonts w:eastAsia="Times New Roman" w:cs="Calibri"/>
          <w:color w:val="000000"/>
          <w:sz w:val="20"/>
          <w:szCs w:val="20"/>
        </w:rPr>
        <w:t xml:space="preserve"> and H3K4me3 SNPs in pancreatic islet cell line. </w:t>
      </w:r>
    </w:p>
    <w:p w:rsidR="003959AA" w:rsidRDefault="00004311" w:rsidP="00004311">
      <w:r w:rsidRPr="00004311">
        <w:rPr>
          <w:rFonts w:cs="Calibri"/>
          <w:sz w:val="20"/>
          <w:szCs w:val="20"/>
        </w:rPr>
        <w:br w:type="page"/>
      </w:r>
    </w:p>
    <w:sectPr w:rsidR="003959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41223"/>
    <w:multiLevelType w:val="hybridMultilevel"/>
    <w:tmpl w:val="D3FC229C"/>
    <w:lvl w:ilvl="0" w:tplc="02B06F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CC23D8"/>
    <w:multiLevelType w:val="hybridMultilevel"/>
    <w:tmpl w:val="821A9486"/>
    <w:lvl w:ilvl="0" w:tplc="C59694E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311"/>
    <w:rsid w:val="00004311"/>
    <w:rsid w:val="00096F0D"/>
    <w:rsid w:val="000F18DC"/>
    <w:rsid w:val="003959AA"/>
    <w:rsid w:val="00F66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101F7"/>
  <w15:docId w15:val="{27123BF1-7301-4F98-B134-D86DC63CC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431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043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282</Words>
  <Characters>1608</Characters>
  <Application>Microsoft Office Word</Application>
  <DocSecurity>0</DocSecurity>
  <Lines>13</Lines>
  <Paragraphs>3</Paragraphs>
  <ScaleCrop>false</ScaleCrop>
  <Company>NCI</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 Jianxin (NIH/NCI) [E]</dc:creator>
  <cp:lastModifiedBy>Jianxin Shi</cp:lastModifiedBy>
  <cp:revision>4</cp:revision>
  <dcterms:created xsi:type="dcterms:W3CDTF">2016-04-19T22:31:00Z</dcterms:created>
  <dcterms:modified xsi:type="dcterms:W3CDTF">2016-10-07T02:42:00Z</dcterms:modified>
</cp:coreProperties>
</file>