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4DAA4C" w14:textId="77777777" w:rsidR="00CD6030" w:rsidRPr="00CD6030" w:rsidRDefault="00CD6030" w:rsidP="00CD603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CD6030">
        <w:rPr>
          <w:rFonts w:ascii="Times New Roman" w:hAnsi="Times New Roman" w:cs="Times New Roman"/>
          <w:b/>
          <w:bCs/>
          <w:sz w:val="24"/>
          <w:szCs w:val="24"/>
        </w:rPr>
        <w:t>SUPPLEMENTARY INFORMATION</w:t>
      </w:r>
    </w:p>
    <w:p w14:paraId="4B8B12C8" w14:textId="77777777" w:rsidR="00CD6030" w:rsidRPr="00CD6030" w:rsidRDefault="00CD6030" w:rsidP="00CD6030">
      <w:pPr>
        <w:rPr>
          <w:rFonts w:ascii="Times New Roman" w:hAnsi="Times New Roman" w:cs="Times New Roman"/>
          <w:sz w:val="24"/>
          <w:szCs w:val="24"/>
        </w:rPr>
      </w:pPr>
    </w:p>
    <w:p w14:paraId="315C4F29" w14:textId="25F9CF65" w:rsidR="00CD6030" w:rsidRPr="00CD6030" w:rsidRDefault="00CD6030" w:rsidP="00CD6030">
      <w:pPr>
        <w:rPr>
          <w:rFonts w:asciiTheme="majorBidi" w:eastAsia="DengXian" w:hAnsiTheme="majorBidi" w:cstheme="majorBidi"/>
          <w:b/>
          <w:bCs/>
          <w:color w:val="0070C0"/>
          <w:sz w:val="24"/>
          <w:szCs w:val="24"/>
          <w:lang w:eastAsia="zh-CN"/>
        </w:rPr>
      </w:pPr>
      <w:r w:rsidRPr="00CD6030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6BC7F6A3" wp14:editId="52A52E9B">
            <wp:extent cx="5724525" cy="6238875"/>
            <wp:effectExtent l="0" t="0" r="9525" b="9525"/>
            <wp:docPr id="2" name="Picture 2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030">
        <w:rPr>
          <w:rFonts w:asciiTheme="majorBidi" w:eastAsia="DengXian" w:hAnsiTheme="majorBidi" w:cstheme="majorBidi"/>
          <w:b/>
          <w:bCs/>
          <w:color w:val="0070C0"/>
          <w:sz w:val="24"/>
          <w:szCs w:val="24"/>
          <w:lang w:eastAsia="zh-CN"/>
        </w:rPr>
        <w:t xml:space="preserve"> </w:t>
      </w:r>
    </w:p>
    <w:p w14:paraId="3D559CD4" w14:textId="77777777" w:rsidR="00CD6030" w:rsidRPr="00CD6030" w:rsidRDefault="00CD6030" w:rsidP="00CD6030">
      <w:pPr>
        <w:jc w:val="both"/>
        <w:rPr>
          <w:rFonts w:ascii="Times New Roman" w:hAnsi="Times New Roman" w:cs="Times New Roman"/>
          <w:sz w:val="24"/>
          <w:szCs w:val="24"/>
        </w:rPr>
      </w:pPr>
      <w:r w:rsidRPr="00CD6030">
        <w:rPr>
          <w:rFonts w:asciiTheme="majorBidi" w:eastAsia="DengXian" w:hAnsiTheme="majorBidi" w:cstheme="majorBidi"/>
          <w:b/>
          <w:bCs/>
          <w:sz w:val="24"/>
          <w:szCs w:val="24"/>
          <w:lang w:eastAsia="zh-CN"/>
        </w:rPr>
        <w:t>SI Figure 1. The r</w:t>
      </w:r>
      <w:r w:rsidRPr="00CD6030">
        <w:rPr>
          <w:rFonts w:ascii="Times New Roman" w:hAnsi="Times New Roman" w:cs="Times New Roman"/>
          <w:b/>
          <w:bCs/>
          <w:sz w:val="24"/>
          <w:szCs w:val="24"/>
        </w:rPr>
        <w:t>esidues directly interacting with TFE (A) and 5-FU (B).</w:t>
      </w:r>
      <w:r w:rsidRPr="00CD6030">
        <w:rPr>
          <w:rFonts w:ascii="Times New Roman" w:hAnsi="Times New Roman" w:cs="Times New Roman"/>
          <w:sz w:val="24"/>
          <w:szCs w:val="24"/>
        </w:rPr>
        <w:t xml:space="preserve"> The interaction energy varies from +0.02 kcal/mol (ALA38) to -0.63 (LYS55) for TFE and +1.80 kcal/mol (ARG62) to -6.84 (ASP39) for the 5-FU system. These interaction values are per </w:t>
      </w:r>
      <w:proofErr w:type="spellStart"/>
      <w:r w:rsidRPr="00CD6030">
        <w:rPr>
          <w:rFonts w:ascii="Times New Roman" w:hAnsi="Times New Roman" w:cs="Times New Roman"/>
          <w:sz w:val="24"/>
          <w:szCs w:val="24"/>
        </w:rPr>
        <w:t>MscL</w:t>
      </w:r>
      <w:proofErr w:type="spellEnd"/>
      <w:r w:rsidRPr="00CD6030">
        <w:rPr>
          <w:rFonts w:ascii="Times New Roman" w:hAnsi="Times New Roman" w:cs="Times New Roman"/>
          <w:sz w:val="24"/>
          <w:szCs w:val="24"/>
        </w:rPr>
        <w:t xml:space="preserve"> subunit.</w:t>
      </w:r>
    </w:p>
    <w:p w14:paraId="186E4F0E" w14:textId="77777777" w:rsidR="00CD6030" w:rsidRPr="00CD6030" w:rsidRDefault="00CD6030" w:rsidP="00CD6030">
      <w:pPr>
        <w:jc w:val="both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5ADB7DFD" w14:textId="77777777" w:rsidR="00CD6030" w:rsidRPr="00CD6030" w:rsidRDefault="00CD6030" w:rsidP="00CD6030">
      <w:pPr>
        <w:jc w:val="both"/>
        <w:rPr>
          <w:rFonts w:ascii="Calibri" w:hAnsi="Calibri" w:cs="Calibri"/>
        </w:rPr>
      </w:pPr>
      <w:r w:rsidRPr="00CD6030">
        <w:rPr>
          <w:rFonts w:ascii="Calibri" w:hAnsi="Calibri" w:cs="Calibri"/>
          <w:noProof/>
          <w:color w:val="0070C0"/>
          <w:lang w:val="en-IN" w:eastAsia="en-IN"/>
        </w:rPr>
        <w:lastRenderedPageBreak/>
        <w:drawing>
          <wp:inline distT="0" distB="0" distL="0" distR="0" wp14:anchorId="1411E4F0" wp14:editId="0D887EAB">
            <wp:extent cx="5939790" cy="4389120"/>
            <wp:effectExtent l="0" t="0" r="3810" b="0"/>
            <wp:docPr id="10" name="Picture 10" descr="C:\Users\navid\AppData\Local\Microsoft\Windows\INetCache\Content.Word\5FU_Concentrations_PRE__Sc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vid\AppData\Local\Microsoft\Windows\INetCache\Content.Word\5FU_Concentrations_PRE__Scd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030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CD6030">
        <w:rPr>
          <w:rFonts w:asciiTheme="majorBidi" w:eastAsia="DengXian" w:hAnsiTheme="majorBidi" w:cstheme="majorBidi"/>
          <w:b/>
          <w:bCs/>
          <w:sz w:val="24"/>
          <w:szCs w:val="24"/>
          <w:lang w:eastAsia="zh-CN"/>
        </w:rPr>
        <w:t xml:space="preserve">SI Figure 2. </w:t>
      </w:r>
      <w:r w:rsidRPr="00CD6030">
        <w:rPr>
          <w:rFonts w:asciiTheme="majorBidi" w:hAnsiTheme="majorBidi" w:cstheme="majorBidi"/>
          <w:b/>
          <w:bCs/>
          <w:sz w:val="24"/>
          <w:szCs w:val="24"/>
        </w:rPr>
        <w:t xml:space="preserve">Effect 5-FU on sn1 and sn2 order parameters at three different concentrations. </w:t>
      </w:r>
      <w:r w:rsidRPr="00CD6030">
        <w:rPr>
          <w:rFonts w:asciiTheme="majorBidi" w:hAnsiTheme="majorBidi" w:cstheme="majorBidi"/>
          <w:sz w:val="24"/>
          <w:szCs w:val="24"/>
        </w:rPr>
        <w:t>As the concentration of 5-FU increases, the sn1 order parameter for the upper leaflet (the side containing the drug) increases while sn2 decreases. For the lower leaflet, the sn1 parameter decreases with boosting the 5-FU concentration, while Sn2 parameter remains almost unchanged.</w:t>
      </w:r>
      <w:r w:rsidRPr="00CD6030">
        <w:rPr>
          <w:rFonts w:ascii="Calibri" w:hAnsi="Calibri" w:cs="Calibri"/>
        </w:rPr>
        <w:t xml:space="preserve"> </w:t>
      </w:r>
    </w:p>
    <w:p w14:paraId="317D2BB4" w14:textId="77777777" w:rsidR="00CD6030" w:rsidRPr="00CD6030" w:rsidRDefault="00CD6030" w:rsidP="00CD6030">
      <w:pPr>
        <w:rPr>
          <w:rFonts w:ascii="Calibri" w:hAnsi="Calibri" w:cs="Calibri"/>
        </w:rPr>
      </w:pPr>
      <w:r w:rsidRPr="00CD6030">
        <w:rPr>
          <w:rFonts w:ascii="Calibri" w:hAnsi="Calibri" w:cs="Calibri"/>
        </w:rPr>
        <w:br w:type="page"/>
      </w:r>
    </w:p>
    <w:p w14:paraId="2A02553C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68CA528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030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9264" behindDoc="0" locked="0" layoutInCell="1" allowOverlap="1" wp14:anchorId="4870116E" wp14:editId="0E59825B">
            <wp:simplePos x="0" y="0"/>
            <wp:positionH relativeFrom="margin">
              <wp:align>center</wp:align>
            </wp:positionH>
            <wp:positionV relativeFrom="paragraph">
              <wp:posOffset>265</wp:posOffset>
            </wp:positionV>
            <wp:extent cx="3315600" cy="3196800"/>
            <wp:effectExtent l="0" t="0" r="0" b="3810"/>
            <wp:wrapTight wrapText="bothSides">
              <wp:wrapPolygon edited="0">
                <wp:start x="0" y="0"/>
                <wp:lineTo x="0" y="21497"/>
                <wp:lineTo x="21472" y="21497"/>
                <wp:lineTo x="21472" y="0"/>
                <wp:lineTo x="0" y="0"/>
              </wp:wrapPolygon>
            </wp:wrapTight>
            <wp:docPr id="6" name="Picture 6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00" cy="31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8B883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BB5047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03BA10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05E4D5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28A43C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315802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09FFC4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A60781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7A98BC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4238F8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903F4F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D9A2E6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4B2C4B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EF11D1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8B26DD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5EBF02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D27795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427064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DE56F7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5EBB02C4" w14:textId="77777777" w:rsidR="00CD6030" w:rsidRPr="00CD6030" w:rsidRDefault="00CD6030" w:rsidP="00CD6030">
      <w:pPr>
        <w:jc w:val="both"/>
        <w:rPr>
          <w:rFonts w:ascii="Times New Roman" w:hAnsi="Times New Roman" w:cs="Times New Roman"/>
          <w:sz w:val="24"/>
          <w:szCs w:val="24"/>
        </w:rPr>
      </w:pPr>
      <w:r w:rsidRPr="00CD6030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SI Figure 3. </w:t>
      </w:r>
      <w:r w:rsidRPr="00CD6030">
        <w:rPr>
          <w:rFonts w:ascii="Times New Roman" w:hAnsi="Times New Roman" w:cs="Times New Roman"/>
          <w:b/>
          <w:bCs/>
          <w:sz w:val="24"/>
          <w:szCs w:val="24"/>
        </w:rPr>
        <w:t>Effect of 5-FU and TFE on the lateral pressure profile of the lipid bilayer.</w:t>
      </w:r>
      <w:r w:rsidRPr="00CD6030">
        <w:rPr>
          <w:rFonts w:ascii="Times New Roman" w:hAnsi="Times New Roman" w:cs="Times New Roman"/>
          <w:sz w:val="24"/>
          <w:szCs w:val="24"/>
        </w:rPr>
        <w:t xml:space="preserve"> The presence of the 5-FU and TFE molecules introduced significant changes in surface tension and symmetry of the </w:t>
      </w:r>
      <w:proofErr w:type="spellStart"/>
      <w:r w:rsidRPr="00CD6030">
        <w:rPr>
          <w:rFonts w:ascii="Times New Roman" w:hAnsi="Times New Roman" w:cs="Times New Roman"/>
          <w:sz w:val="24"/>
          <w:szCs w:val="24"/>
        </w:rPr>
        <w:t>transbilayer</w:t>
      </w:r>
      <w:proofErr w:type="spellEnd"/>
      <w:r w:rsidRPr="00CD6030">
        <w:rPr>
          <w:rFonts w:ascii="Times New Roman" w:hAnsi="Times New Roman" w:cs="Times New Roman"/>
          <w:sz w:val="24"/>
          <w:szCs w:val="24"/>
        </w:rPr>
        <w:t xml:space="preserve"> pressure profile. The TFE effect is largest around the lipid head groups of the leaflet of which it is added. Whereas 5-FU affects both leaflets at high concentrations. </w:t>
      </w:r>
    </w:p>
    <w:p w14:paraId="47660C85" w14:textId="77777777" w:rsidR="00CD6030" w:rsidRPr="00CD6030" w:rsidRDefault="00CD6030" w:rsidP="00CD6030">
      <w:pPr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  <w:r w:rsidRPr="00CD6030">
        <w:rPr>
          <w:rFonts w:ascii="Times New Roman" w:hAnsi="Times New Roman" w:cs="Times New Roman"/>
          <w:sz w:val="24"/>
          <w:szCs w:val="24"/>
        </w:rPr>
        <w:br w:type="page"/>
      </w:r>
    </w:p>
    <w:p w14:paraId="30FB12B3" w14:textId="77777777" w:rsidR="00CD6030" w:rsidRPr="00CD6030" w:rsidRDefault="00CD6030" w:rsidP="00CD6030">
      <w:pPr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2B092256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7717C2" w14:textId="77777777" w:rsidR="00CD6030" w:rsidRPr="00CD6030" w:rsidRDefault="00CD6030" w:rsidP="00CD60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D73123" w14:textId="77777777" w:rsidR="00CD6030" w:rsidRPr="00CD6030" w:rsidRDefault="00CD6030" w:rsidP="00CD603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84E660" w14:textId="77777777" w:rsidR="00CD6030" w:rsidRPr="00CD6030" w:rsidRDefault="00CD6030" w:rsidP="00CD603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86E8D5" w14:textId="77777777" w:rsidR="00CD6030" w:rsidRPr="00CD6030" w:rsidRDefault="00CD6030" w:rsidP="00CD6030">
      <w:pPr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CD6030">
        <w:rPr>
          <w:rFonts w:ascii="Times New Roman" w:eastAsia="DengXi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1AEA84EC" wp14:editId="31FA1D7D">
            <wp:extent cx="5269865" cy="1852930"/>
            <wp:effectExtent l="0" t="0" r="6985" b="0"/>
            <wp:docPr id="12" name="图片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F2C3E" w14:textId="77777777" w:rsidR="00CD6030" w:rsidRPr="00CD6030" w:rsidRDefault="00CD6030" w:rsidP="00CD6030">
      <w:pPr>
        <w:jc w:val="both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0970F98E" w14:textId="77777777" w:rsidR="00CD6030" w:rsidRPr="00CD6030" w:rsidRDefault="00CD6030" w:rsidP="00CD6030">
      <w:pPr>
        <w:jc w:val="both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CD6030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SI Figure 4. Effect of 500 µM 5-FU on the open probability of MscL-G22S reconstituted in SPL</w:t>
      </w:r>
      <w:proofErr w:type="gramStart"/>
      <w:r w:rsidRPr="00CD6030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:POPE</w:t>
      </w:r>
      <w:proofErr w:type="gramEnd"/>
      <w:r w:rsidRPr="00CD6030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 1:1.</w:t>
      </w:r>
      <w:r w:rsidRPr="00CD6030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Boltzmann distribution functions determined in the absence and the presence of 5-FU. Estimated </w:t>
      </w:r>
      <w:r w:rsidRPr="00CD6030">
        <w:rPr>
          <w:rFonts w:ascii="Times New Roman" w:hAnsi="Times New Roman" w:cs="Times New Roman"/>
          <w:sz w:val="24"/>
          <w:szCs w:val="24"/>
        </w:rPr>
        <w:t>P</w:t>
      </w:r>
      <w:r w:rsidRPr="00CD6030">
        <w:rPr>
          <w:rFonts w:ascii="Times New Roman" w:hAnsi="Times New Roman" w:cs="Times New Roman"/>
          <w:sz w:val="24"/>
          <w:szCs w:val="24"/>
          <w:vertAlign w:val="subscript"/>
        </w:rPr>
        <w:t xml:space="preserve">1/2 </w:t>
      </w:r>
      <w:r w:rsidRPr="00CD6030">
        <w:rPr>
          <w:rFonts w:ascii="Times New Roman" w:eastAsia="DengXian" w:hAnsi="Times New Roman" w:cs="Times New Roman"/>
          <w:sz w:val="24"/>
          <w:szCs w:val="24"/>
          <w:lang w:eastAsia="zh-CN"/>
        </w:rPr>
        <w:t>in mmHg are: 64 and 56 for 0 or 15 minutes after adding 500 µM of 5-FU. n = 3 independent recordings.</w:t>
      </w:r>
    </w:p>
    <w:p w14:paraId="4E226472" w14:textId="77777777" w:rsidR="00CD6030" w:rsidRPr="00CD6030" w:rsidRDefault="00CD6030" w:rsidP="00CD6030">
      <w:pPr>
        <w:rPr>
          <w:rFonts w:ascii="Calibri" w:eastAsia="DengXian" w:hAnsi="Calibri" w:cs="Times New Roman"/>
          <w:lang w:eastAsia="zh-CN"/>
        </w:rPr>
      </w:pPr>
    </w:p>
    <w:p w14:paraId="18745B88" w14:textId="77777777" w:rsidR="00CD6030" w:rsidRPr="00CD6030" w:rsidRDefault="00CD6030" w:rsidP="00CD6030">
      <w:pPr>
        <w:rPr>
          <w:rFonts w:ascii="Calibri" w:eastAsia="DengXian" w:hAnsi="Calibri" w:cs="Times New Roman"/>
          <w:lang w:eastAsia="zh-CN"/>
        </w:rPr>
      </w:pPr>
    </w:p>
    <w:p w14:paraId="42E83C62" w14:textId="77777777" w:rsidR="00CD6030" w:rsidRPr="00CD6030" w:rsidRDefault="00CD6030" w:rsidP="00CD6030">
      <w:pPr>
        <w:rPr>
          <w:rFonts w:ascii="Calibri" w:eastAsia="DengXian" w:hAnsi="Calibri" w:cs="Times New Roman"/>
          <w:lang w:eastAsia="zh-CN"/>
        </w:rPr>
      </w:pPr>
    </w:p>
    <w:p w14:paraId="62615C7B" w14:textId="77777777" w:rsidR="00CD6030" w:rsidRPr="00CD6030" w:rsidRDefault="00CD6030" w:rsidP="00CD6030">
      <w:pPr>
        <w:jc w:val="center"/>
        <w:rPr>
          <w:rFonts w:ascii="Calibri" w:eastAsia="DengXian" w:hAnsi="Calibri" w:cs="Times New Roman"/>
          <w:lang w:eastAsia="zh-CN"/>
        </w:rPr>
      </w:pPr>
    </w:p>
    <w:p w14:paraId="4C25D591" w14:textId="77777777" w:rsidR="00CD6030" w:rsidRPr="00CD6030" w:rsidRDefault="00CD6030" w:rsidP="00CD6030">
      <w:pPr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CD6030">
        <w:rPr>
          <w:rFonts w:ascii="Times New Roman" w:eastAsia="DengXi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634A1063" wp14:editId="2B6386D9">
            <wp:extent cx="3997234" cy="6107890"/>
            <wp:effectExtent l="0" t="0" r="3810" b="7620"/>
            <wp:docPr id="16" name="图片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234" cy="61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EF151" w14:textId="77777777" w:rsidR="00CD6030" w:rsidRPr="00CD6030" w:rsidRDefault="00CD6030" w:rsidP="00CD6030">
      <w:pPr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3AFCA1DE" w14:textId="77777777" w:rsidR="00CD6030" w:rsidRPr="00CD6030" w:rsidRDefault="00CD6030" w:rsidP="00CD6030">
      <w:pPr>
        <w:jc w:val="both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  <w:r w:rsidRPr="00CD6030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SI Figure 5. Effect of 0.05% DMSO on TREK-1 </w:t>
      </w:r>
      <w:proofErr w:type="spellStart"/>
      <w:r w:rsidRPr="00CD6030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heterologously</w:t>
      </w:r>
      <w:proofErr w:type="spellEnd"/>
      <w:r w:rsidRPr="00CD6030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 expressed in HEK293T cells</w:t>
      </w:r>
      <w:r w:rsidRPr="00CD6030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Pr="00CD6030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(A, B)</w:t>
      </w:r>
      <w:r w:rsidRPr="00CD6030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0.05% DMSO does not have significant effect on TREK-1 from both the cytoplasmic side (I/O) or the opposite leaflet (O/O). </w:t>
      </w:r>
      <w:r w:rsidRPr="00CD6030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(C)</w:t>
      </w:r>
      <w:r w:rsidRPr="00CD6030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Normalized current before and after DMSO, inside-out (left, n = 4, p = 0.0949) and outside-out (right, n = 5, p = 0.9025).</w:t>
      </w:r>
    </w:p>
    <w:p w14:paraId="08DA9BA4" w14:textId="77777777" w:rsidR="00CD6030" w:rsidRPr="00CD6030" w:rsidRDefault="00CD6030" w:rsidP="00CD603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919BD3" w14:textId="77777777" w:rsidR="00CD6030" w:rsidRPr="00CD6030" w:rsidRDefault="00CD6030" w:rsidP="00CD603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13BECC" w14:textId="77777777" w:rsidR="00CD6030" w:rsidRPr="00CD6030" w:rsidRDefault="00CD6030" w:rsidP="00CD603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8B8D72" w14:textId="77777777" w:rsidR="00CD6030" w:rsidRPr="00CD6030" w:rsidRDefault="00CD6030" w:rsidP="00CD603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BE39A3" w14:textId="77777777" w:rsidR="00CD6030" w:rsidRPr="00CD6030" w:rsidRDefault="00CD6030" w:rsidP="00CD603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B5F949" w14:textId="77777777" w:rsidR="00CD6030" w:rsidRPr="00CD6030" w:rsidRDefault="00CD6030" w:rsidP="00CD60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291B8B" w14:textId="77777777" w:rsidR="00CD6030" w:rsidRPr="00CD6030" w:rsidRDefault="00CD6030" w:rsidP="00CD6030">
      <w:pPr>
        <w:spacing w:line="360" w:lineRule="auto"/>
        <w:rPr>
          <w:rFonts w:cstheme="minorHAnsi"/>
          <w:sz w:val="24"/>
          <w:szCs w:val="24"/>
        </w:rPr>
      </w:pPr>
    </w:p>
    <w:p w14:paraId="6A127BE9" w14:textId="77777777" w:rsidR="00CD6030" w:rsidRPr="00CD6030" w:rsidRDefault="00CD6030" w:rsidP="00CD6030">
      <w:pPr>
        <w:spacing w:line="360" w:lineRule="auto"/>
        <w:rPr>
          <w:rFonts w:cstheme="minorHAnsi"/>
          <w:sz w:val="24"/>
          <w:szCs w:val="24"/>
        </w:rPr>
      </w:pPr>
      <w:r w:rsidRPr="00CD6030">
        <w:rPr>
          <w:rFonts w:cstheme="minorHAnsi"/>
          <w:noProof/>
          <w:sz w:val="24"/>
          <w:szCs w:val="24"/>
          <w:lang w:val="en-IN" w:eastAsia="en-IN"/>
        </w:rPr>
        <w:drawing>
          <wp:inline distT="0" distB="0" distL="0" distR="0" wp14:anchorId="2439075A" wp14:editId="3ADBDD57">
            <wp:extent cx="4319025" cy="5413259"/>
            <wp:effectExtent l="0" t="0" r="0" b="0"/>
            <wp:docPr id="36" name="Picture 3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25" cy="541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8805F" w14:textId="77777777" w:rsidR="00CD6030" w:rsidRPr="00CD6030" w:rsidRDefault="00CD6030" w:rsidP="00CD60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D19779" w14:textId="77777777" w:rsidR="00CD6030" w:rsidRPr="00CD6030" w:rsidRDefault="00CD6030" w:rsidP="00CD60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030">
        <w:rPr>
          <w:rFonts w:ascii="Times New Roman" w:hAnsi="Times New Roman" w:cs="Times New Roman"/>
          <w:b/>
          <w:bCs/>
          <w:sz w:val="24"/>
          <w:szCs w:val="24"/>
        </w:rPr>
        <w:t xml:space="preserve">SI Figure 6. TFE potentiates TREK-1 activity from the cytoplasmic side and inhibits it from the extracellular side. (A) </w:t>
      </w:r>
      <w:r w:rsidRPr="00CD6030">
        <w:rPr>
          <w:rFonts w:ascii="Times New Roman" w:hAnsi="Times New Roman" w:cs="Times New Roman"/>
          <w:sz w:val="24"/>
          <w:szCs w:val="24"/>
        </w:rPr>
        <w:t xml:space="preserve">Pressure steps applied to TREK-1 channels in an excised inside-out patch from HEK293T cells +30 mV. </w:t>
      </w:r>
      <w:r w:rsidRPr="00CD6030">
        <w:rPr>
          <w:rFonts w:ascii="Times New Roman" w:hAnsi="Times New Roman" w:cs="Times New Roman"/>
          <w:b/>
          <w:bCs/>
          <w:sz w:val="24"/>
          <w:szCs w:val="24"/>
        </w:rPr>
        <w:t xml:space="preserve">(B) </w:t>
      </w:r>
      <w:r w:rsidRPr="00CD6030">
        <w:rPr>
          <w:rFonts w:ascii="Times New Roman" w:hAnsi="Times New Roman" w:cs="Times New Roman"/>
          <w:sz w:val="24"/>
          <w:szCs w:val="24"/>
        </w:rPr>
        <w:t>Pressure steps applied to TREK-1 channels in an excised outside-out patch from HEK293T cells -30 mV before and after addition of 2% TFE. (C) Quantification of the effect on maximal TREK-1 currents after TFE addition in inside-out (left panel) and outside-out (right panel) configurations. Data represents mean ± SEM, n=6-7.</w:t>
      </w:r>
    </w:p>
    <w:p w14:paraId="71ACEA6D" w14:textId="77777777" w:rsidR="00CD6030" w:rsidRPr="00CD6030" w:rsidRDefault="00CD6030" w:rsidP="00CD6030">
      <w:pPr>
        <w:rPr>
          <w:rFonts w:ascii="Times New Roman" w:hAnsi="Times New Roman" w:cs="Times New Roman"/>
          <w:sz w:val="24"/>
          <w:szCs w:val="24"/>
        </w:rPr>
      </w:pPr>
      <w:r w:rsidRPr="00CD6030">
        <w:rPr>
          <w:rFonts w:ascii="Times New Roman" w:hAnsi="Times New Roman" w:cs="Times New Roman"/>
          <w:sz w:val="24"/>
          <w:szCs w:val="24"/>
        </w:rPr>
        <w:br w:type="page"/>
      </w:r>
    </w:p>
    <w:p w14:paraId="11AA3FE7" w14:textId="77777777" w:rsidR="00CD6030" w:rsidRPr="00CD6030" w:rsidRDefault="00CD6030" w:rsidP="00CD6030">
      <w:pPr>
        <w:jc w:val="center"/>
        <w:rPr>
          <w:color w:val="0070C0"/>
        </w:rPr>
      </w:pPr>
      <w:r w:rsidRPr="00CD6030">
        <w:rPr>
          <w:color w:val="0070C0"/>
        </w:rPr>
        <w:lastRenderedPageBreak/>
        <w:t>Table S1.</w:t>
      </w:r>
      <w:r w:rsidRPr="00CD6030">
        <w:t xml:space="preserve"> </w:t>
      </w:r>
      <w:r w:rsidRPr="00CD6030">
        <w:rPr>
          <w:color w:val="0070C0"/>
        </w:rPr>
        <w:t>Drug-Protein Interaction Energy for TFE and 5-FU systems.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97"/>
        <w:gridCol w:w="4783"/>
      </w:tblGrid>
      <w:tr w:rsidR="00CD6030" w:rsidRPr="00CD6030" w14:paraId="20F829EC" w14:textId="77777777" w:rsidTr="00ED4602">
        <w:trPr>
          <w:trHeight w:val="518"/>
          <w:jc w:val="center"/>
        </w:trPr>
        <w:tc>
          <w:tcPr>
            <w:tcW w:w="1297" w:type="dxa"/>
            <w:shd w:val="clear" w:color="auto" w:fill="F2F2F2" w:themeFill="background1" w:themeFillShade="F2"/>
            <w:vAlign w:val="center"/>
          </w:tcPr>
          <w:p w14:paraId="4B622E66" w14:textId="77777777" w:rsidR="00CD6030" w:rsidRPr="00CD6030" w:rsidRDefault="00CD6030" w:rsidP="00CD6030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D6030">
              <w:rPr>
                <w:b/>
                <w:bCs/>
                <w:color w:val="0070C0"/>
                <w:sz w:val="24"/>
                <w:szCs w:val="24"/>
              </w:rPr>
              <w:t>Drug</w:t>
            </w:r>
          </w:p>
        </w:tc>
        <w:tc>
          <w:tcPr>
            <w:tcW w:w="4783" w:type="dxa"/>
            <w:shd w:val="clear" w:color="auto" w:fill="F2F2F2" w:themeFill="background1" w:themeFillShade="F2"/>
            <w:vAlign w:val="center"/>
          </w:tcPr>
          <w:p w14:paraId="109AE2B6" w14:textId="77777777" w:rsidR="00CD6030" w:rsidRPr="00CD6030" w:rsidRDefault="00CD6030" w:rsidP="00CD6030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CD6030">
              <w:rPr>
                <w:b/>
                <w:bCs/>
                <w:color w:val="0070C0"/>
                <w:sz w:val="24"/>
                <w:szCs w:val="24"/>
              </w:rPr>
              <w:t>Interaction Energy (kcal/mol)</w:t>
            </w:r>
          </w:p>
        </w:tc>
      </w:tr>
      <w:tr w:rsidR="00CD6030" w:rsidRPr="00CD6030" w14:paraId="6771BA11" w14:textId="77777777" w:rsidTr="00ED4602">
        <w:trPr>
          <w:trHeight w:val="489"/>
          <w:jc w:val="center"/>
        </w:trPr>
        <w:tc>
          <w:tcPr>
            <w:tcW w:w="1297" w:type="dxa"/>
            <w:vAlign w:val="center"/>
          </w:tcPr>
          <w:p w14:paraId="6B6D1959" w14:textId="77777777" w:rsidR="00CD6030" w:rsidRPr="00CD6030" w:rsidRDefault="00CD6030" w:rsidP="00CD6030">
            <w:pPr>
              <w:jc w:val="center"/>
              <w:rPr>
                <w:color w:val="0070C0"/>
                <w:sz w:val="24"/>
                <w:szCs w:val="24"/>
              </w:rPr>
            </w:pPr>
            <w:r w:rsidRPr="00CD6030">
              <w:rPr>
                <w:color w:val="0070C0"/>
                <w:sz w:val="24"/>
                <w:szCs w:val="24"/>
              </w:rPr>
              <w:t>TFE</w:t>
            </w:r>
          </w:p>
        </w:tc>
        <w:tc>
          <w:tcPr>
            <w:tcW w:w="4783" w:type="dxa"/>
            <w:vAlign w:val="center"/>
          </w:tcPr>
          <w:p w14:paraId="53726AA2" w14:textId="77777777" w:rsidR="00CD6030" w:rsidRPr="00CD6030" w:rsidRDefault="00CD6030" w:rsidP="00CD6030">
            <w:pPr>
              <w:jc w:val="center"/>
              <w:rPr>
                <w:color w:val="0070C0"/>
                <w:sz w:val="24"/>
                <w:szCs w:val="24"/>
              </w:rPr>
            </w:pPr>
            <w:r w:rsidRPr="00CD6030">
              <w:rPr>
                <w:color w:val="0070C0"/>
                <w:sz w:val="24"/>
                <w:szCs w:val="24"/>
              </w:rPr>
              <w:t>+0.02 (</w:t>
            </w:r>
            <w:r w:rsidRPr="00CD6030">
              <w:rPr>
                <w:b/>
                <w:bCs/>
                <w:color w:val="0070C0"/>
                <w:sz w:val="24"/>
                <w:szCs w:val="24"/>
              </w:rPr>
              <w:t>ALA</w:t>
            </w:r>
            <w:r w:rsidRPr="00CD6030">
              <w:rPr>
                <w:color w:val="0070C0"/>
                <w:sz w:val="24"/>
                <w:szCs w:val="24"/>
              </w:rPr>
              <w:t>38) to -0.63 (</w:t>
            </w:r>
            <w:r w:rsidRPr="00CD6030">
              <w:rPr>
                <w:b/>
                <w:bCs/>
                <w:color w:val="0070C0"/>
                <w:sz w:val="24"/>
                <w:szCs w:val="24"/>
              </w:rPr>
              <w:t>LYS</w:t>
            </w:r>
            <w:r w:rsidRPr="00CD6030">
              <w:rPr>
                <w:color w:val="0070C0"/>
                <w:sz w:val="24"/>
                <w:szCs w:val="24"/>
              </w:rPr>
              <w:t>55)</w:t>
            </w:r>
          </w:p>
        </w:tc>
      </w:tr>
      <w:tr w:rsidR="00CD6030" w:rsidRPr="00CD6030" w14:paraId="0B647053" w14:textId="77777777" w:rsidTr="00ED4602">
        <w:trPr>
          <w:trHeight w:val="489"/>
          <w:jc w:val="center"/>
        </w:trPr>
        <w:tc>
          <w:tcPr>
            <w:tcW w:w="1297" w:type="dxa"/>
            <w:vAlign w:val="center"/>
          </w:tcPr>
          <w:p w14:paraId="10FC09A0" w14:textId="77777777" w:rsidR="00CD6030" w:rsidRPr="00CD6030" w:rsidRDefault="00CD6030" w:rsidP="00CD6030">
            <w:pPr>
              <w:jc w:val="center"/>
              <w:rPr>
                <w:color w:val="0070C0"/>
                <w:sz w:val="24"/>
                <w:szCs w:val="24"/>
              </w:rPr>
            </w:pPr>
            <w:r w:rsidRPr="00CD6030">
              <w:rPr>
                <w:color w:val="0070C0"/>
                <w:sz w:val="24"/>
                <w:szCs w:val="24"/>
              </w:rPr>
              <w:t>5-FU</w:t>
            </w:r>
          </w:p>
        </w:tc>
        <w:tc>
          <w:tcPr>
            <w:tcW w:w="4783" w:type="dxa"/>
            <w:vAlign w:val="center"/>
          </w:tcPr>
          <w:p w14:paraId="300A04BC" w14:textId="77777777" w:rsidR="00CD6030" w:rsidRPr="00CD6030" w:rsidRDefault="00CD6030" w:rsidP="00CD6030">
            <w:pPr>
              <w:jc w:val="center"/>
              <w:rPr>
                <w:color w:val="0070C0"/>
                <w:sz w:val="24"/>
                <w:szCs w:val="24"/>
              </w:rPr>
            </w:pPr>
            <w:r w:rsidRPr="00CD6030">
              <w:rPr>
                <w:color w:val="0070C0"/>
                <w:sz w:val="24"/>
                <w:szCs w:val="24"/>
              </w:rPr>
              <w:t>+1.80 (</w:t>
            </w:r>
            <w:r w:rsidRPr="00CD6030">
              <w:rPr>
                <w:b/>
                <w:bCs/>
                <w:color w:val="0070C0"/>
                <w:sz w:val="24"/>
                <w:szCs w:val="24"/>
              </w:rPr>
              <w:t>ARG</w:t>
            </w:r>
            <w:r w:rsidRPr="00CD6030">
              <w:rPr>
                <w:color w:val="0070C0"/>
                <w:sz w:val="24"/>
                <w:szCs w:val="24"/>
              </w:rPr>
              <w:t>62) to -6.84 (</w:t>
            </w:r>
            <w:r w:rsidRPr="00CD6030">
              <w:rPr>
                <w:b/>
                <w:bCs/>
                <w:color w:val="0070C0"/>
                <w:sz w:val="24"/>
                <w:szCs w:val="24"/>
              </w:rPr>
              <w:t>ASP</w:t>
            </w:r>
            <w:r w:rsidRPr="00CD6030">
              <w:rPr>
                <w:color w:val="0070C0"/>
                <w:sz w:val="24"/>
                <w:szCs w:val="24"/>
              </w:rPr>
              <w:t>39)</w:t>
            </w:r>
          </w:p>
        </w:tc>
      </w:tr>
    </w:tbl>
    <w:p w14:paraId="2735D355" w14:textId="77777777" w:rsidR="00CD6030" w:rsidRPr="00CD6030" w:rsidRDefault="00CD6030" w:rsidP="00CD6030">
      <w:pPr>
        <w:jc w:val="both"/>
        <w:rPr>
          <w:color w:val="0070C0"/>
        </w:rPr>
      </w:pPr>
    </w:p>
    <w:p w14:paraId="56F919AD" w14:textId="77777777" w:rsidR="00CD6030" w:rsidRPr="00CD6030" w:rsidRDefault="00CD6030" w:rsidP="00CD6030">
      <w:pPr>
        <w:jc w:val="both"/>
        <w:rPr>
          <w:color w:val="0070C0"/>
        </w:rPr>
      </w:pPr>
    </w:p>
    <w:p w14:paraId="2D5AEBB9" w14:textId="77777777" w:rsidR="00CD6030" w:rsidRPr="00CD6030" w:rsidRDefault="00CD6030" w:rsidP="00CD60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030">
        <w:rPr>
          <w:rFonts w:ascii="Times New Roman" w:hAnsi="Times New Roman" w:cs="Times New Roman"/>
          <w:sz w:val="24"/>
          <w:szCs w:val="24"/>
        </w:rPr>
        <w:fldChar w:fldCharType="begin"/>
      </w:r>
      <w:r w:rsidRPr="00CD6030">
        <w:rPr>
          <w:rFonts w:ascii="Times New Roman" w:hAnsi="Times New Roman" w:cs="Times New Roman"/>
          <w:sz w:val="24"/>
          <w:szCs w:val="24"/>
        </w:rPr>
        <w:instrText xml:space="preserve"> ADDIN </w:instrText>
      </w:r>
      <w:r w:rsidRPr="00CD603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D65D548" w14:textId="77777777" w:rsidR="001F01E3" w:rsidRDefault="001F01E3"/>
    <w:sectPr w:rsidR="001F01E3" w:rsidSect="003247D1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4568FD" w14:textId="77777777" w:rsidR="00000000" w:rsidRDefault="003247D1">
      <w:pPr>
        <w:spacing w:after="0" w:line="240" w:lineRule="auto"/>
      </w:pPr>
      <w:r>
        <w:separator/>
      </w:r>
    </w:p>
  </w:endnote>
  <w:endnote w:type="continuationSeparator" w:id="0">
    <w:p w14:paraId="0156F803" w14:textId="77777777" w:rsidR="00000000" w:rsidRDefault="00324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73303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C71DB0" w14:textId="77777777" w:rsidR="00392093" w:rsidRDefault="00CD603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47D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34CA9C90" w14:textId="77777777" w:rsidR="00392093" w:rsidRDefault="003247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97309C" w14:textId="77777777" w:rsidR="00000000" w:rsidRDefault="003247D1">
      <w:pPr>
        <w:spacing w:after="0" w:line="240" w:lineRule="auto"/>
      </w:pPr>
      <w:r>
        <w:separator/>
      </w:r>
    </w:p>
  </w:footnote>
  <w:footnote w:type="continuationSeparator" w:id="0">
    <w:p w14:paraId="3106B6AB" w14:textId="77777777" w:rsidR="00000000" w:rsidRDefault="003247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030"/>
    <w:rsid w:val="001F01E3"/>
    <w:rsid w:val="003247D1"/>
    <w:rsid w:val="00CD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D7715"/>
  <w15:chartTrackingRefBased/>
  <w15:docId w15:val="{05106ECF-32D2-44A3-A6F6-876EA7B02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D60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6030"/>
  </w:style>
  <w:style w:type="table" w:styleId="TableGrid">
    <w:name w:val="Table Grid"/>
    <w:basedOn w:val="TableNormal"/>
    <w:uiPriority w:val="39"/>
    <w:rsid w:val="00CD6030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CD60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373</Words>
  <Characters>2130</Characters>
  <Application>Microsoft Office Word</Application>
  <DocSecurity>0</DocSecurity>
  <Lines>17</Lines>
  <Paragraphs>4</Paragraphs>
  <ScaleCrop>false</ScaleCrop>
  <Company/>
  <LinksUpToDate>false</LinksUpToDate>
  <CharactersWithSpaces>2499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Martinac</dc:creator>
  <cp:keywords/>
  <dc:description/>
  <cp:lastModifiedBy>Thenmozhi V.</cp:lastModifiedBy>
  <cp:revision>2</cp:revision>
  <dcterms:created xsi:type="dcterms:W3CDTF">2022-05-18T09:41:00Z</dcterms:created>
  <dcterms:modified xsi:type="dcterms:W3CDTF">2022-06-07T09:14:00Z</dcterms:modified>
</cp:coreProperties>
</file>