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95B89" w14:textId="3B94B6D7" w:rsidR="00770E12" w:rsidRPr="00D83917" w:rsidRDefault="00770E12" w:rsidP="0018685F">
      <w:pPr>
        <w:jc w:val="center"/>
        <w:rPr>
          <w:b/>
          <w:sz w:val="36"/>
          <w:szCs w:val="36"/>
        </w:rPr>
      </w:pPr>
      <w:r w:rsidRPr="00D83917">
        <w:rPr>
          <w:b/>
          <w:sz w:val="36"/>
          <w:szCs w:val="36"/>
        </w:rPr>
        <w:t xml:space="preserve">Prediction of Chronic Kidney Disease Progression Using </w:t>
      </w:r>
      <w:r w:rsidR="00C96436" w:rsidRPr="00D83917">
        <w:rPr>
          <w:b/>
          <w:sz w:val="36"/>
          <w:szCs w:val="36"/>
        </w:rPr>
        <w:t>Recurrent Neural Network</w:t>
      </w:r>
      <w:r w:rsidRPr="00D83917">
        <w:rPr>
          <w:b/>
          <w:sz w:val="36"/>
          <w:szCs w:val="36"/>
        </w:rPr>
        <w:t xml:space="preserve"> and Electronic Health Records</w:t>
      </w:r>
    </w:p>
    <w:p w14:paraId="53371ABD" w14:textId="60FAFF24" w:rsidR="0060395A" w:rsidRPr="00D83917" w:rsidRDefault="0060395A" w:rsidP="0018685F">
      <w:pPr>
        <w:jc w:val="center"/>
        <w:rPr>
          <w:b/>
          <w:sz w:val="36"/>
          <w:szCs w:val="36"/>
        </w:rPr>
      </w:pPr>
      <w:r w:rsidRPr="00D83917">
        <w:rPr>
          <w:b/>
          <w:sz w:val="36"/>
          <w:szCs w:val="36"/>
        </w:rPr>
        <w:t>(Supplementary Information)</w:t>
      </w:r>
    </w:p>
    <w:p w14:paraId="3FB09E83" w14:textId="175D632B" w:rsidR="00FB7190" w:rsidRPr="00D83917" w:rsidRDefault="00FB7190" w:rsidP="00B04F7C"/>
    <w:p w14:paraId="74B22576" w14:textId="77777777" w:rsidR="00753EE8" w:rsidRPr="00D83917" w:rsidRDefault="00753EE8" w:rsidP="00B04F7C"/>
    <w:p w14:paraId="0D4ACF7E" w14:textId="17C732DF" w:rsidR="00FB7190" w:rsidRPr="00D83917" w:rsidRDefault="00FB7190" w:rsidP="00B04F7C"/>
    <w:p w14:paraId="62744E07" w14:textId="555B334B" w:rsidR="00BA0579" w:rsidRPr="00D83917" w:rsidRDefault="00BA0579" w:rsidP="00BA0579">
      <w:pPr>
        <w:jc w:val="center"/>
        <w:rPr>
          <w:b/>
        </w:rPr>
      </w:pPr>
      <w:proofErr w:type="spellStart"/>
      <w:r w:rsidRPr="00D83917">
        <w:rPr>
          <w:shd w:val="clear" w:color="auto" w:fill="FFFFFF"/>
        </w:rPr>
        <w:t>Yitan</w:t>
      </w:r>
      <w:proofErr w:type="spellEnd"/>
      <w:r w:rsidRPr="00D83917">
        <w:rPr>
          <w:shd w:val="clear" w:color="auto" w:fill="FFFFFF"/>
        </w:rPr>
        <w:t xml:space="preserve"> Zhu</w:t>
      </w:r>
      <w:r w:rsidRPr="00D83917">
        <w:rPr>
          <w:shd w:val="clear" w:color="auto" w:fill="FFFFFF"/>
          <w:vertAlign w:val="superscript"/>
        </w:rPr>
        <w:t>1*</w:t>
      </w:r>
      <w:r w:rsidRPr="00D83917">
        <w:rPr>
          <w:shd w:val="clear" w:color="auto" w:fill="FFFFFF"/>
        </w:rPr>
        <w:t>, Dehua Bi</w:t>
      </w:r>
      <w:r w:rsidRPr="00D83917">
        <w:rPr>
          <w:shd w:val="clear" w:color="auto" w:fill="FFFFFF"/>
          <w:vertAlign w:val="superscript"/>
        </w:rPr>
        <w:t>2</w:t>
      </w:r>
      <w:r w:rsidRPr="00D83917">
        <w:rPr>
          <w:shd w:val="clear" w:color="auto" w:fill="FFFFFF"/>
        </w:rPr>
        <w:t xml:space="preserve">, </w:t>
      </w:r>
      <w:proofErr w:type="spellStart"/>
      <w:r w:rsidRPr="00D83917">
        <w:rPr>
          <w:shd w:val="clear" w:color="auto" w:fill="FFFFFF"/>
        </w:rPr>
        <w:t>Milda</w:t>
      </w:r>
      <w:proofErr w:type="spellEnd"/>
      <w:r w:rsidRPr="00D83917">
        <w:rPr>
          <w:shd w:val="clear" w:color="auto" w:fill="FFFFFF"/>
        </w:rPr>
        <w:t xml:space="preserve"> Saunders</w:t>
      </w:r>
      <w:r w:rsidRPr="00D83917">
        <w:rPr>
          <w:shd w:val="clear" w:color="auto" w:fill="FFFFFF"/>
          <w:vertAlign w:val="superscript"/>
        </w:rPr>
        <w:t>3</w:t>
      </w:r>
      <w:r w:rsidRPr="00D83917">
        <w:rPr>
          <w:shd w:val="clear" w:color="auto" w:fill="FFFFFF"/>
        </w:rPr>
        <w:t>, Yuan Ji</w:t>
      </w:r>
      <w:r w:rsidRPr="00D83917">
        <w:rPr>
          <w:shd w:val="clear" w:color="auto" w:fill="FFFFFF"/>
          <w:vertAlign w:val="superscript"/>
        </w:rPr>
        <w:t>2*</w:t>
      </w:r>
    </w:p>
    <w:p w14:paraId="22E23D22" w14:textId="77777777" w:rsidR="00BA0579" w:rsidRPr="00D83917" w:rsidRDefault="00BA0579" w:rsidP="00BA0579">
      <w:pPr>
        <w:rPr>
          <w:b/>
        </w:rPr>
      </w:pPr>
    </w:p>
    <w:p w14:paraId="5C500BFB" w14:textId="77777777" w:rsidR="00BA0579" w:rsidRPr="00D83917" w:rsidRDefault="00BA0579" w:rsidP="00BA0579">
      <w:pPr>
        <w:rPr>
          <w:b/>
        </w:rPr>
      </w:pPr>
    </w:p>
    <w:p w14:paraId="05E872BB" w14:textId="77777777" w:rsidR="00BA0579" w:rsidRPr="00D83917" w:rsidRDefault="00BA0579" w:rsidP="00BA0579">
      <w:pPr>
        <w:rPr>
          <w:b/>
        </w:rPr>
      </w:pPr>
    </w:p>
    <w:p w14:paraId="41861B8B" w14:textId="77777777" w:rsidR="00BA0579" w:rsidRPr="00D83917" w:rsidRDefault="00BA0579" w:rsidP="00BA0579">
      <w:pPr>
        <w:pStyle w:val="ListParagraph"/>
        <w:numPr>
          <w:ilvl w:val="0"/>
          <w:numId w:val="2"/>
        </w:numPr>
        <w:ind w:left="360"/>
        <w:rPr>
          <w:rFonts w:ascii="Times New Roman" w:hAnsi="Times New Roman" w:cs="Times New Roman"/>
        </w:rPr>
      </w:pPr>
      <w:r w:rsidRPr="00D83917">
        <w:rPr>
          <w:rFonts w:ascii="Times New Roman" w:hAnsi="Times New Roman" w:cs="Times New Roman"/>
          <w:shd w:val="clear" w:color="auto" w:fill="FFFFFF"/>
        </w:rPr>
        <w:t>Computing, Environment and Life Sciences, Argonne National Laboratory, Lemont, IL 60439, USA</w:t>
      </w:r>
    </w:p>
    <w:p w14:paraId="50DB7265" w14:textId="77777777" w:rsidR="00BA0579" w:rsidRPr="00D83917" w:rsidRDefault="00BA0579" w:rsidP="00BA0579">
      <w:pPr>
        <w:ind w:left="360" w:hanging="360"/>
        <w:rPr>
          <w:b/>
        </w:rPr>
      </w:pPr>
    </w:p>
    <w:p w14:paraId="0DC070CD" w14:textId="13760458" w:rsidR="00BA0579" w:rsidRPr="00D83917" w:rsidRDefault="00BA0579" w:rsidP="00BA0579">
      <w:pPr>
        <w:pStyle w:val="ListParagraph"/>
        <w:numPr>
          <w:ilvl w:val="0"/>
          <w:numId w:val="2"/>
        </w:numPr>
        <w:ind w:left="360"/>
        <w:rPr>
          <w:rFonts w:ascii="Times New Roman" w:hAnsi="Times New Roman" w:cs="Times New Roman"/>
        </w:rPr>
      </w:pPr>
      <w:r w:rsidRPr="00D83917">
        <w:rPr>
          <w:rFonts w:ascii="Times New Roman" w:hAnsi="Times New Roman" w:cs="Times New Roman"/>
        </w:rPr>
        <w:t xml:space="preserve">Department of Public Health Sciences, The University of Chicago, </w:t>
      </w:r>
      <w:r w:rsidRPr="00D83917">
        <w:rPr>
          <w:rFonts w:ascii="Times New Roman" w:hAnsi="Times New Roman" w:cs="Times New Roman"/>
          <w:shd w:val="clear" w:color="auto" w:fill="FFFFFF"/>
        </w:rPr>
        <w:t>Chicago, IL 60637, USA</w:t>
      </w:r>
    </w:p>
    <w:p w14:paraId="2AB40F5D" w14:textId="77777777" w:rsidR="00BA0579" w:rsidRPr="00D83917" w:rsidRDefault="00BA0579" w:rsidP="00BA0579">
      <w:pPr>
        <w:rPr>
          <w:shd w:val="clear" w:color="auto" w:fill="FFFFFF"/>
        </w:rPr>
      </w:pPr>
      <w:bookmarkStart w:id="0" w:name="_GoBack"/>
      <w:bookmarkEnd w:id="0"/>
    </w:p>
    <w:p w14:paraId="58BE20AD" w14:textId="0FC8026A" w:rsidR="00BA0579" w:rsidRPr="00D83917" w:rsidRDefault="00BA0579" w:rsidP="00BA0579">
      <w:pPr>
        <w:pStyle w:val="ListParagraph"/>
        <w:numPr>
          <w:ilvl w:val="0"/>
          <w:numId w:val="2"/>
        </w:numPr>
        <w:ind w:left="360"/>
        <w:rPr>
          <w:rFonts w:ascii="Times New Roman" w:hAnsi="Times New Roman" w:cs="Times New Roman"/>
        </w:rPr>
      </w:pPr>
      <w:r w:rsidRPr="00D83917">
        <w:rPr>
          <w:rFonts w:ascii="Times New Roman" w:hAnsi="Times New Roman" w:cs="Times New Roman"/>
        </w:rPr>
        <w:t>Department of Medicine, The University of Chicago, Chicago, IL 60637, USA</w:t>
      </w:r>
    </w:p>
    <w:p w14:paraId="10F8680A" w14:textId="77777777" w:rsidR="00BA0579" w:rsidRPr="00D83917" w:rsidRDefault="00BA0579" w:rsidP="00BA0579">
      <w:pPr>
        <w:ind w:left="360" w:hanging="360"/>
        <w:rPr>
          <w:b/>
        </w:rPr>
      </w:pPr>
    </w:p>
    <w:p w14:paraId="5AF08F18" w14:textId="77777777" w:rsidR="00BA0579" w:rsidRPr="00D83917" w:rsidRDefault="00BA0579" w:rsidP="00BA0579"/>
    <w:p w14:paraId="59AE60B0" w14:textId="77777777" w:rsidR="00BA0579" w:rsidRPr="00D83917" w:rsidRDefault="00BA0579" w:rsidP="00BA0579"/>
    <w:p w14:paraId="36C12428" w14:textId="77777777" w:rsidR="00BA0579" w:rsidRPr="00D83917" w:rsidRDefault="00BA0579" w:rsidP="00BA0579">
      <w:pPr>
        <w:rPr>
          <w:rFonts w:ascii="Arial" w:eastAsia="ヒラギノ角ゴ Pro W3" w:hAnsi="Arial" w:cs="Arial"/>
          <w:sz w:val="22"/>
          <w:szCs w:val="22"/>
          <w:lang w:eastAsia="en-US"/>
        </w:rPr>
      </w:pPr>
      <w:r w:rsidRPr="00D83917">
        <w:rPr>
          <w:vertAlign w:val="superscript"/>
        </w:rPr>
        <w:t>*</w:t>
      </w:r>
      <w:r w:rsidRPr="00D83917">
        <w:rPr>
          <w:rFonts w:eastAsiaTheme="minorEastAsia"/>
        </w:rPr>
        <w:t xml:space="preserve">Correspondence: </w:t>
      </w:r>
      <w:hyperlink r:id="rId8" w:history="1">
        <w:r w:rsidRPr="00D83917">
          <w:rPr>
            <w:rFonts w:eastAsiaTheme="minorEastAsia"/>
          </w:rPr>
          <w:t>yitan.zhu@anl.gov</w:t>
        </w:r>
      </w:hyperlink>
      <w:r w:rsidRPr="00D83917">
        <w:rPr>
          <w:rFonts w:eastAsiaTheme="minorEastAsia"/>
        </w:rPr>
        <w:t xml:space="preserve">, </w:t>
      </w:r>
      <w:hyperlink r:id="rId9" w:history="1">
        <w:r w:rsidRPr="00D83917">
          <w:rPr>
            <w:rFonts w:eastAsiaTheme="minorEastAsia"/>
          </w:rPr>
          <w:t>yji@health.bsd.uchicago.edu</w:t>
        </w:r>
      </w:hyperlink>
    </w:p>
    <w:p w14:paraId="2BFEA107" w14:textId="00C593BB" w:rsidR="00BA0579" w:rsidRPr="00D83917" w:rsidRDefault="00BA0579" w:rsidP="00BA0579">
      <w:pPr>
        <w:rPr>
          <w:b/>
          <w:sz w:val="28"/>
          <w:szCs w:val="28"/>
        </w:rPr>
      </w:pPr>
      <w:r w:rsidRPr="00D83917">
        <w:rPr>
          <w:b/>
          <w:sz w:val="28"/>
          <w:szCs w:val="28"/>
        </w:rPr>
        <w:br w:type="page"/>
      </w:r>
    </w:p>
    <w:p w14:paraId="4FF7664F" w14:textId="1A45FC0C" w:rsidR="00282CD8" w:rsidRPr="00D83917" w:rsidRDefault="00797867" w:rsidP="00B04F7C">
      <w:pPr>
        <w:rPr>
          <w:b/>
          <w:sz w:val="28"/>
          <w:szCs w:val="28"/>
        </w:rPr>
      </w:pPr>
      <w:r w:rsidRPr="00D83917">
        <w:rPr>
          <w:b/>
          <w:sz w:val="28"/>
          <w:szCs w:val="28"/>
        </w:rPr>
        <w:lastRenderedPageBreak/>
        <w:t>Section 1: Transformation of Clinical Variables in EHRs</w:t>
      </w:r>
    </w:p>
    <w:p w14:paraId="589AE95E" w14:textId="71D0B165" w:rsidR="00282CD8" w:rsidRPr="00D83917" w:rsidRDefault="00282CD8" w:rsidP="00B04F7C"/>
    <w:p w14:paraId="6B54B7E8" w14:textId="3F3083C0" w:rsidR="00797867" w:rsidRPr="00D83917" w:rsidRDefault="00797867" w:rsidP="00327705">
      <w:pPr>
        <w:ind w:firstLine="720"/>
        <w:jc w:val="both"/>
      </w:pPr>
      <w:r w:rsidRPr="00D83917">
        <w:rPr>
          <w:bCs/>
        </w:rPr>
        <w:t>Demographics</w:t>
      </w:r>
      <w:r w:rsidRPr="00D83917">
        <w:t xml:space="preserve"> and </w:t>
      </w:r>
      <w:r w:rsidR="00B44E37" w:rsidRPr="00D83917">
        <w:t>health</w:t>
      </w:r>
      <w:r w:rsidR="00B44E37" w:rsidRPr="00D83917">
        <w:rPr>
          <w:bCs/>
        </w:rPr>
        <w:t xml:space="preserve"> </w:t>
      </w:r>
      <w:r w:rsidRPr="00D83917">
        <w:rPr>
          <w:bCs/>
        </w:rPr>
        <w:t xml:space="preserve">behavior </w:t>
      </w:r>
      <w:r w:rsidRPr="00D83917">
        <w:t>variables are categorical. Vital information and lab test variables are numeric</w:t>
      </w:r>
      <w:r w:rsidRPr="00D83917">
        <w:rPr>
          <w:i/>
          <w:iCs/>
        </w:rPr>
        <w:t>.</w:t>
      </w:r>
      <w:r w:rsidR="004C3EC7" w:rsidRPr="00D83917">
        <w:rPr>
          <w:iCs/>
        </w:rPr>
        <w:t xml:space="preserve"> </w:t>
      </w:r>
      <w:r w:rsidR="004C3EC7" w:rsidRPr="00D83917">
        <w:rPr>
          <w:bCs/>
        </w:rPr>
        <w:t xml:space="preserve">All categorical clinical variables </w:t>
      </w:r>
      <w:r w:rsidR="00BF4861" w:rsidRPr="00D83917">
        <w:rPr>
          <w:bCs/>
        </w:rPr>
        <w:t>are</w:t>
      </w:r>
      <w:r w:rsidR="004C3EC7" w:rsidRPr="00D83917">
        <w:rPr>
          <w:bCs/>
        </w:rPr>
        <w:t xml:space="preserve"> one-hot encoded. A categorical clinical variable with </w:t>
      </w:r>
      <m:oMath>
        <m:r>
          <w:rPr>
            <w:rFonts w:ascii="Cambria Math" w:hAnsi="Cambria Math"/>
          </w:rPr>
          <m:t>N</m:t>
        </m:r>
      </m:oMath>
      <w:r w:rsidR="004C3EC7" w:rsidRPr="00D83917">
        <w:rPr>
          <w:bCs/>
        </w:rPr>
        <w:t xml:space="preserve"> different levels </w:t>
      </w:r>
      <w:r w:rsidR="00BF4861" w:rsidRPr="00D83917">
        <w:rPr>
          <w:bCs/>
        </w:rPr>
        <w:t>is</w:t>
      </w:r>
      <w:r w:rsidR="004C3EC7" w:rsidRPr="00D83917">
        <w:rPr>
          <w:bCs/>
        </w:rPr>
        <w:t xml:space="preserve"> represented by </w:t>
      </w:r>
      <m:oMath>
        <m:r>
          <w:rPr>
            <w:rFonts w:ascii="Cambria Math" w:hAnsi="Cambria Math"/>
          </w:rPr>
          <m:t>N</m:t>
        </m:r>
      </m:oMath>
      <w:r w:rsidR="004C3EC7" w:rsidRPr="00D83917">
        <w:rPr>
          <w:bCs/>
        </w:rPr>
        <w:t xml:space="preserve"> binary indicators. A variable va</w:t>
      </w:r>
      <w:proofErr w:type="spellStart"/>
      <w:r w:rsidR="004C3EC7" w:rsidRPr="00D83917">
        <w:rPr>
          <w:bCs/>
        </w:rPr>
        <w:t>lue</w:t>
      </w:r>
      <w:proofErr w:type="spellEnd"/>
      <w:r w:rsidR="004C3EC7" w:rsidRPr="00D83917">
        <w:rPr>
          <w:bCs/>
        </w:rPr>
        <w:t xml:space="preserve"> of the </w:t>
      </w:r>
      <m:oMath>
        <m:r>
          <w:rPr>
            <w:rFonts w:ascii="Cambria Math" w:hAnsi="Cambria Math"/>
          </w:rPr>
          <m:t>n</m:t>
        </m:r>
      </m:oMath>
      <w:r w:rsidR="004C3EC7" w:rsidRPr="00D83917">
        <w:rPr>
          <w:bCs/>
        </w:rPr>
        <w:t xml:space="preserve">th level </w:t>
      </w:r>
      <w:r w:rsidR="00BF4861" w:rsidRPr="00D83917">
        <w:rPr>
          <w:bCs/>
        </w:rPr>
        <w:t>is</w:t>
      </w:r>
      <w:r w:rsidR="004C3EC7" w:rsidRPr="00D83917">
        <w:rPr>
          <w:bCs/>
        </w:rPr>
        <w:t xml:space="preserve"> represented by the </w:t>
      </w:r>
      <m:oMath>
        <m:r>
          <w:rPr>
            <w:rFonts w:ascii="Cambria Math" w:hAnsi="Cambria Math"/>
          </w:rPr>
          <m:t>n</m:t>
        </m:r>
      </m:oMath>
      <w:r w:rsidR="004C3EC7" w:rsidRPr="00D83917">
        <w:rPr>
          <w:bCs/>
        </w:rPr>
        <w:t>th indicator being 1 and all other indicators being 0.</w:t>
      </w:r>
      <w:r w:rsidRPr="00D83917">
        <w:t xml:space="preserve"> Some of the numeric variables </w:t>
      </w:r>
      <w:r w:rsidR="00BF4861" w:rsidRPr="00D83917">
        <w:t>are</w:t>
      </w:r>
      <w:r w:rsidRPr="00D83917">
        <w:t xml:space="preserve"> </w:t>
      </w:r>
      <w:r w:rsidR="00276972" w:rsidRPr="00D83917">
        <w:t xml:space="preserve">log </w:t>
      </w:r>
      <w:r w:rsidRPr="00D83917">
        <w:t xml:space="preserve">transformed, including </w:t>
      </w:r>
      <w:r w:rsidRPr="00D83917">
        <w:rPr>
          <w:bCs/>
        </w:rPr>
        <w:t xml:space="preserve">blood urea nitrogen, creatinine, </w:t>
      </w:r>
      <w:r w:rsidRPr="00D83917">
        <w:rPr>
          <w:iCs/>
        </w:rPr>
        <w:t xml:space="preserve">ferritin, LDL, cholesterol, parathyroid hormone, </w:t>
      </w:r>
      <w:r w:rsidRPr="00D83917">
        <w:rPr>
          <w:bCs/>
        </w:rPr>
        <w:t xml:space="preserve">phosphorous, </w:t>
      </w:r>
      <w:r w:rsidRPr="00D83917">
        <w:rPr>
          <w:iCs/>
        </w:rPr>
        <w:t xml:space="preserve">triglycerides, uric acid, urine creatinine, urine micro albumin, urine protein, vitamin D25, </w:t>
      </w:r>
      <w:proofErr w:type="spellStart"/>
      <w:r w:rsidRPr="00D83917">
        <w:rPr>
          <w:iCs/>
        </w:rPr>
        <w:t>e</w:t>
      </w:r>
      <w:r w:rsidRPr="00D83917">
        <w:rPr>
          <w:bCs/>
        </w:rPr>
        <w:t>GFR</w:t>
      </w:r>
      <w:proofErr w:type="spellEnd"/>
      <w:r w:rsidRPr="00D83917">
        <w:rPr>
          <w:bCs/>
        </w:rPr>
        <w:t xml:space="preserve">, </w:t>
      </w:r>
      <w:r w:rsidR="00AC4963" w:rsidRPr="00D83917">
        <w:rPr>
          <w:bCs/>
        </w:rPr>
        <w:t>body mass index</w:t>
      </w:r>
      <w:r w:rsidRPr="00D83917">
        <w:rPr>
          <w:bCs/>
        </w:rPr>
        <w:t xml:space="preserve">, and weight. The transformation </w:t>
      </w:r>
      <w:r w:rsidR="00BF4861" w:rsidRPr="00D83917">
        <w:rPr>
          <w:bCs/>
        </w:rPr>
        <w:t>is</w:t>
      </w:r>
      <w:r w:rsidRPr="00D83917">
        <w:rPr>
          <w:bCs/>
        </w:rPr>
        <w:t xml:space="preserve"> </w:t>
      </w:r>
      <m:oMath>
        <m:func>
          <m:funcPr>
            <m:ctrlPr>
              <w:rPr>
                <w:rFonts w:ascii="Cambria Math" w:hAnsi="Cambria Math"/>
                <w:bCs/>
                <w:i/>
              </w:rPr>
            </m:ctrlPr>
          </m:funcPr>
          <m:fName>
            <m:sSub>
              <m:sSubPr>
                <m:ctrlPr>
                  <w:rPr>
                    <w:rFonts w:ascii="Cambria Math" w:hAnsi="Cambria Math"/>
                    <w:bCs/>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bCs/>
                    <w:i/>
                  </w:rPr>
                </m:ctrlPr>
              </m:dPr>
              <m:e>
                <m:r>
                  <w:rPr>
                    <w:rFonts w:ascii="Cambria Math" w:hAnsi="Cambria Math"/>
                  </w:rPr>
                  <m:t>x+1</m:t>
                </m:r>
              </m:e>
            </m:d>
          </m:e>
        </m:func>
      </m:oMath>
      <w:r w:rsidRPr="00D83917">
        <w:rPr>
          <w:bCs/>
        </w:rPr>
        <w:t xml:space="preserve">, where </w:t>
      </w:r>
      <m:oMath>
        <m:r>
          <w:rPr>
            <w:rFonts w:ascii="Cambria Math" w:hAnsi="Cambria Math"/>
          </w:rPr>
          <m:t>x</m:t>
        </m:r>
      </m:oMath>
      <w:r w:rsidRPr="00D83917">
        <w:rPr>
          <w:bCs/>
        </w:rPr>
        <w:t xml:space="preserve"> </w:t>
      </w:r>
      <w:r w:rsidR="00BF4861" w:rsidRPr="00D83917">
        <w:rPr>
          <w:bCs/>
        </w:rPr>
        <w:t>is</w:t>
      </w:r>
      <w:r w:rsidRPr="00D83917">
        <w:rPr>
          <w:bCs/>
        </w:rPr>
        <w:t xml:space="preserve"> the variable to be transformed. Log transformation </w:t>
      </w:r>
      <w:r w:rsidR="00BF4861" w:rsidRPr="00D83917">
        <w:rPr>
          <w:bCs/>
        </w:rPr>
        <w:t>makes</w:t>
      </w:r>
      <w:r w:rsidRPr="00D83917">
        <w:rPr>
          <w:bCs/>
        </w:rPr>
        <w:t xml:space="preserve"> the variable distributions more symmetric and suppress</w:t>
      </w:r>
      <w:r w:rsidR="00BF4861" w:rsidRPr="00D83917">
        <w:rPr>
          <w:bCs/>
        </w:rPr>
        <w:t>es</w:t>
      </w:r>
      <w:r w:rsidRPr="00D83917">
        <w:rPr>
          <w:bCs/>
        </w:rPr>
        <w:t xml:space="preserve"> the effect of extreme values. For demographics, lab test, and </w:t>
      </w:r>
      <w:r w:rsidR="00B44E37" w:rsidRPr="00D83917">
        <w:rPr>
          <w:bCs/>
        </w:rPr>
        <w:t xml:space="preserve">health </w:t>
      </w:r>
      <w:r w:rsidRPr="00D83917">
        <w:rPr>
          <w:bCs/>
        </w:rPr>
        <w:t>behavior variables, the extracted EHRs include the date and time when their values were recorded. We transform the date and time into relative time after the patient birth.</w:t>
      </w:r>
    </w:p>
    <w:p w14:paraId="6C2A8A0D" w14:textId="36FEFD53" w:rsidR="00797867" w:rsidRPr="00D83917" w:rsidRDefault="00797867" w:rsidP="00B04F7C"/>
    <w:p w14:paraId="6F492281" w14:textId="09BD4F10" w:rsidR="00797867" w:rsidRPr="00D83917" w:rsidRDefault="00797867" w:rsidP="00B04F7C"/>
    <w:p w14:paraId="3E8ECF10" w14:textId="189C2A5F" w:rsidR="00EF6B15" w:rsidRPr="00D83917" w:rsidRDefault="00EF6B15" w:rsidP="00B04F7C"/>
    <w:p w14:paraId="3A1232F6" w14:textId="3448597E" w:rsidR="00EF6B15" w:rsidRPr="00D83917" w:rsidRDefault="00EF6B15" w:rsidP="00B04F7C">
      <w:pPr>
        <w:rPr>
          <w:b/>
          <w:sz w:val="28"/>
          <w:szCs w:val="28"/>
        </w:rPr>
      </w:pPr>
      <w:r w:rsidRPr="00D83917">
        <w:rPr>
          <w:b/>
          <w:sz w:val="28"/>
          <w:szCs w:val="28"/>
        </w:rPr>
        <w:t xml:space="preserve">Section 2: </w:t>
      </w:r>
      <w:r w:rsidR="00DE5719" w:rsidRPr="00D83917">
        <w:rPr>
          <w:b/>
          <w:sz w:val="28"/>
          <w:szCs w:val="28"/>
        </w:rPr>
        <w:t>Construction of Time Series and Related Data Processing</w:t>
      </w:r>
    </w:p>
    <w:p w14:paraId="30506E17" w14:textId="77777777" w:rsidR="00EF6B15" w:rsidRPr="00D83917" w:rsidRDefault="00EF6B15" w:rsidP="00B04F7C"/>
    <w:p w14:paraId="13CF528B" w14:textId="000732D0" w:rsidR="00EF6B15" w:rsidRPr="00D83917" w:rsidRDefault="000D4EDB" w:rsidP="000D4EDB">
      <w:pPr>
        <w:ind w:firstLine="720"/>
        <w:jc w:val="both"/>
      </w:pPr>
      <w:r w:rsidRPr="00D83917">
        <w:t xml:space="preserve">Let </w:t>
      </w:r>
      <m:oMath>
        <m:sSub>
          <m:sSubPr>
            <m:ctrlPr>
              <w:rPr>
                <w:rFonts w:ascii="Cambria Math" w:hAnsi="Cambria Math"/>
                <w:i/>
              </w:rPr>
            </m:ctrlPr>
          </m:sSubPr>
          <m:e>
            <m:r>
              <w:rPr>
                <w:rFonts w:ascii="Cambria Math" w:hAnsi="Cambria Math"/>
              </w:rPr>
              <m:t>t</m:t>
            </m:r>
          </m:e>
          <m:sub>
            <m:r>
              <m:rPr>
                <m:sty m:val="p"/>
              </m:rPr>
              <w:rPr>
                <w:rFonts w:ascii="Cambria Math" w:hAnsi="Cambria Math"/>
              </w:rPr>
              <m:t>lab</m:t>
            </m:r>
            <m:r>
              <w:rPr>
                <w:rFonts w:ascii="Cambria Math" w:hAnsi="Cambria Math"/>
              </w:rPr>
              <m:t>_</m:t>
            </m:r>
            <m:r>
              <m:rPr>
                <m:sty m:val="p"/>
              </m:rPr>
              <w:rPr>
                <w:rFonts w:ascii="Cambria Math" w:hAnsi="Cambria Math"/>
              </w:rPr>
              <m:t>min</m:t>
            </m:r>
          </m:sub>
        </m:sSub>
      </m:oMath>
      <w:r w:rsidRPr="00D83917">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lab</m:t>
            </m:r>
            <m:r>
              <w:rPr>
                <w:rFonts w:ascii="Cambria Math" w:hAnsi="Cambria Math"/>
              </w:rPr>
              <m:t>_</m:t>
            </m:r>
            <m:r>
              <m:rPr>
                <m:sty m:val="p"/>
              </m:rPr>
              <w:rPr>
                <w:rFonts w:ascii="Cambria Math" w:hAnsi="Cambria Math"/>
              </w:rPr>
              <m:t>max</m:t>
            </m:r>
          </m:sub>
        </m:sSub>
      </m:oMath>
      <w:r w:rsidR="00EF6B15" w:rsidRPr="00D83917">
        <w:t xml:space="preserve"> </w:t>
      </w:r>
      <w:r w:rsidRPr="00D83917">
        <w:t xml:space="preserve">be </w:t>
      </w:r>
      <w:r w:rsidR="00EF6B15" w:rsidRPr="00D83917">
        <w:t>the earliest and latest times of lab tests. Given a</w:t>
      </w:r>
      <w:r w:rsidRPr="00D83917">
        <w:t xml:space="preserve"> time</w:t>
      </w:r>
      <w:r w:rsidR="00EF6B15" w:rsidRPr="00D83917">
        <w:t xml:space="preserve"> interval size of </w:t>
      </w:r>
      <m:oMath>
        <m:sSub>
          <m:sSubPr>
            <m:ctrlPr>
              <w:rPr>
                <w:rFonts w:ascii="Cambria Math" w:hAnsi="Cambria Math"/>
                <w:i/>
              </w:rPr>
            </m:ctrlPr>
          </m:sSubPr>
          <m:e>
            <m:r>
              <w:rPr>
                <w:rFonts w:ascii="Cambria Math" w:hAnsi="Cambria Math"/>
              </w:rPr>
              <m:t>t</m:t>
            </m:r>
          </m:e>
          <m:sub>
            <m:r>
              <m:rPr>
                <m:sty m:val="p"/>
              </m:rPr>
              <w:rPr>
                <w:rFonts w:ascii="Cambria Math" w:hAnsi="Cambria Math"/>
              </w:rPr>
              <m:t>w</m:t>
            </m:r>
          </m:sub>
        </m:sSub>
      </m:oMath>
      <w:r w:rsidR="00EF6B15" w:rsidRPr="00D83917">
        <w:t xml:space="preserve"> (e.g. 7 days), the time series is composed of </w:t>
      </w:r>
      <m:oMath>
        <m:r>
          <w:rPr>
            <w:rFonts w:ascii="Cambria Math" w:hAnsi="Cambria Math"/>
          </w:rPr>
          <m:t>M</m:t>
        </m:r>
      </m:oMath>
      <w:r w:rsidR="00EF6B15" w:rsidRPr="00D83917">
        <w:t xml:space="preserve"> time </w:t>
      </w:r>
      <w:r w:rsidRPr="00D83917">
        <w:t xml:space="preserve">intervals, where </w:t>
      </w:r>
      <m:oMath>
        <m:r>
          <w:rPr>
            <w:rFonts w:ascii="Cambria Math" w:hAnsi="Cambria Math"/>
          </w:rPr>
          <m:t>M</m:t>
        </m:r>
      </m:oMath>
      <w:r w:rsidRPr="00D83917">
        <w:t xml:space="preserve"> can be</w:t>
      </w:r>
      <w:r w:rsidR="00EF6B15" w:rsidRPr="00D83917">
        <w:t xml:space="preserve"> calculated by</w:t>
      </w:r>
    </w:p>
    <w:p w14:paraId="139E4CE1" w14:textId="77777777" w:rsidR="00EF6B15" w:rsidRPr="00D83917" w:rsidRDefault="00EF6B15" w:rsidP="00EF6B15"/>
    <w:p w14:paraId="3AF817EC" w14:textId="77777777" w:rsidR="00EF6B15" w:rsidRPr="00D83917" w:rsidRDefault="00EF6B15" w:rsidP="00EF6B15">
      <m:oMathPara>
        <m:oMath>
          <m:r>
            <w:rPr>
              <w:rFonts w:ascii="Cambria Math" w:hAnsi="Cambria Math"/>
            </w:rPr>
            <m:t>M=</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lab</m:t>
                      </m:r>
                      <m:r>
                        <w:rPr>
                          <w:rFonts w:ascii="Cambria Math" w:hAnsi="Cambria Math"/>
                        </w:rPr>
                        <m:t>_</m:t>
                      </m:r>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lab</m:t>
                      </m:r>
                      <m:r>
                        <w:rPr>
                          <w:rFonts w:ascii="Cambria Math" w:hAnsi="Cambria Math"/>
                        </w:rPr>
                        <m:t>_</m:t>
                      </m:r>
                      <m:r>
                        <m:rPr>
                          <m:sty m:val="p"/>
                        </m:rPr>
                        <w:rPr>
                          <w:rFonts w:ascii="Cambria Math" w:hAnsi="Cambria Math"/>
                        </w:rPr>
                        <m:t>min</m:t>
                      </m:r>
                    </m:sub>
                  </m:sSub>
                </m:num>
                <m:den>
                  <m:sSub>
                    <m:sSubPr>
                      <m:ctrlPr>
                        <w:rPr>
                          <w:rFonts w:ascii="Cambria Math" w:hAnsi="Cambria Math"/>
                          <w:i/>
                        </w:rPr>
                      </m:ctrlPr>
                    </m:sSubPr>
                    <m:e>
                      <m:r>
                        <w:rPr>
                          <w:rFonts w:ascii="Cambria Math" w:hAnsi="Cambria Math"/>
                        </w:rPr>
                        <m:t>t</m:t>
                      </m:r>
                    </m:e>
                    <m:sub>
                      <m:r>
                        <m:rPr>
                          <m:sty m:val="p"/>
                        </m:rPr>
                        <w:rPr>
                          <w:rFonts w:ascii="Cambria Math" w:hAnsi="Cambria Math"/>
                        </w:rPr>
                        <m:t>w</m:t>
                      </m:r>
                    </m:sub>
                  </m:sSub>
                </m:den>
              </m:f>
            </m:e>
          </m:d>
        </m:oMath>
      </m:oMathPara>
    </w:p>
    <w:p w14:paraId="5ABA9DD0" w14:textId="77777777" w:rsidR="00EF6B15" w:rsidRPr="00D83917" w:rsidRDefault="00EF6B15" w:rsidP="00EF6B15"/>
    <w:p w14:paraId="44450FAD" w14:textId="22F285A5" w:rsidR="00EF6B15" w:rsidRPr="00D83917" w:rsidRDefault="00EF6B15" w:rsidP="00EF6B15">
      <w:pPr>
        <w:jc w:val="both"/>
      </w:pPr>
      <w:r w:rsidRPr="00D83917">
        <w:t xml:space="preserve">where </w:t>
      </w:r>
      <m:oMath>
        <m:d>
          <m:dPr>
            <m:begChr m:val="⌈"/>
            <m:endChr m:val="⌉"/>
            <m:ctrlPr>
              <w:rPr>
                <w:rFonts w:ascii="Cambria Math" w:hAnsi="Cambria Math"/>
                <w:i/>
              </w:rPr>
            </m:ctrlPr>
          </m:dPr>
          <m:e>
            <m:r>
              <w:rPr>
                <w:rFonts w:ascii="Cambria Math" w:hAnsi="Cambria Math"/>
              </w:rPr>
              <m:t>∙</m:t>
            </m:r>
          </m:e>
        </m:d>
      </m:oMath>
      <w:r w:rsidRPr="00D83917">
        <w:t xml:space="preserve"> is the ceiling function that returns the smallest integer no smaller than the input. The start and end times of the first time </w:t>
      </w:r>
      <w:r w:rsidR="000D4EDB" w:rsidRPr="00D83917">
        <w:t>interval</w:t>
      </w:r>
      <w:r w:rsidRPr="00D83917">
        <w:t xml:space="preserve"> is  </w:t>
      </w:r>
      <m:oMath>
        <m:sSub>
          <m:sSubPr>
            <m:ctrlPr>
              <w:rPr>
                <w:rFonts w:ascii="Cambria Math" w:hAnsi="Cambria Math"/>
                <w:i/>
              </w:rPr>
            </m:ctrlPr>
          </m:sSubPr>
          <m:e>
            <m:r>
              <w:rPr>
                <w:rFonts w:ascii="Cambria Math" w:hAnsi="Cambria Math"/>
              </w:rPr>
              <m:t>t</m:t>
            </m:r>
          </m:e>
          <m:sub>
            <m:r>
              <m:rPr>
                <m:sty m:val="p"/>
              </m:rPr>
              <w:rPr>
                <w:rFonts w:ascii="Cambria Math" w:hAnsi="Cambria Math"/>
              </w:rPr>
              <m:t>lab_min</m:t>
            </m:r>
          </m:sub>
        </m:sSub>
      </m:oMath>
      <w:r w:rsidRPr="00D83917">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lab_min</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w</m:t>
            </m:r>
          </m:sub>
        </m:sSub>
      </m:oMath>
      <w:r w:rsidRPr="00D83917">
        <w:t xml:space="preserve">, while the start and end times of the last time window is </w:t>
      </w:r>
      <m:oMath>
        <m:sSub>
          <m:sSubPr>
            <m:ctrlPr>
              <w:rPr>
                <w:rFonts w:ascii="Cambria Math" w:hAnsi="Cambria Math"/>
                <w:i/>
              </w:rPr>
            </m:ctrlPr>
          </m:sSubPr>
          <m:e>
            <m:sSub>
              <m:sSubPr>
                <m:ctrlPr>
                  <w:rPr>
                    <w:rFonts w:ascii="Cambria Math" w:hAnsi="Cambria Math"/>
                    <w:i/>
                  </w:rPr>
                </m:ctrlPr>
              </m:sSubPr>
              <m:e>
                <m:r>
                  <w:rPr>
                    <w:rFonts w:ascii="Cambria Math" w:hAnsi="Cambria Math"/>
                  </w:rPr>
                  <m:t>t</m:t>
                </m:r>
              </m:e>
              <m:sub>
                <m:r>
                  <m:rPr>
                    <m:sty m:val="p"/>
                  </m:rPr>
                  <w:rPr>
                    <w:rFonts w:ascii="Cambria Math" w:hAnsi="Cambria Math"/>
                  </w:rPr>
                  <m:t>lab_min</m:t>
                </m:r>
              </m:sub>
            </m:sSub>
            <m:r>
              <w:rPr>
                <w:rFonts w:ascii="Cambria Math" w:hAnsi="Cambria Math"/>
              </w:rPr>
              <m:t>+</m:t>
            </m:r>
            <m:d>
              <m:dPr>
                <m:ctrlPr>
                  <w:rPr>
                    <w:rFonts w:ascii="Cambria Math" w:hAnsi="Cambria Math"/>
                    <w:i/>
                  </w:rPr>
                </m:ctrlPr>
              </m:dPr>
              <m:e>
                <m:r>
                  <w:rPr>
                    <w:rFonts w:ascii="Cambria Math" w:hAnsi="Cambria Math"/>
                  </w:rPr>
                  <m:t>M-1</m:t>
                </m:r>
              </m:e>
            </m:d>
            <m:r>
              <w:rPr>
                <w:rFonts w:ascii="Cambria Math" w:hAnsi="Cambria Math"/>
              </w:rPr>
              <m:t>×t</m:t>
            </m:r>
          </m:e>
          <m:sub>
            <m:r>
              <m:rPr>
                <m:sty m:val="p"/>
              </m:rPr>
              <w:rPr>
                <w:rFonts w:ascii="Cambria Math" w:hAnsi="Cambria Math"/>
              </w:rPr>
              <m:t>w</m:t>
            </m:r>
          </m:sub>
        </m:sSub>
      </m:oMath>
      <w:r w:rsidRPr="00D83917">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lab_min</m:t>
            </m:r>
          </m:sub>
        </m:sSub>
        <m:r>
          <w:rPr>
            <w:rFonts w:ascii="Cambria Math" w:hAnsi="Cambria Math"/>
          </w:rPr>
          <m:t>+M</m:t>
        </m:r>
        <m:sSub>
          <m:sSubPr>
            <m:ctrlPr>
              <w:rPr>
                <w:rFonts w:ascii="Cambria Math" w:hAnsi="Cambria Math"/>
                <w:i/>
              </w:rPr>
            </m:ctrlPr>
          </m:sSubPr>
          <m:e>
            <m:r>
              <w:rPr>
                <w:rFonts w:ascii="Cambria Math" w:hAnsi="Cambria Math"/>
              </w:rPr>
              <m:t>×t</m:t>
            </m:r>
          </m:e>
          <m:sub>
            <m:r>
              <m:rPr>
                <m:sty m:val="p"/>
              </m:rPr>
              <w:rPr>
                <w:rFonts w:ascii="Cambria Math" w:hAnsi="Cambria Math"/>
              </w:rPr>
              <m:t>w</m:t>
            </m:r>
          </m:sub>
        </m:sSub>
      </m:oMath>
      <w:r w:rsidRPr="00D83917">
        <w:t xml:space="preserve">. We take the middle time of each </w:t>
      </w:r>
      <w:r w:rsidR="000D4EDB" w:rsidRPr="00D83917">
        <w:t>interval</w:t>
      </w:r>
      <w:r w:rsidRPr="00D83917">
        <w:t xml:space="preserve"> as the time of corresponding time point. </w:t>
      </w:r>
      <w:r w:rsidR="000D4EDB" w:rsidRPr="00D83917">
        <w:t>T</w:t>
      </w:r>
      <w:r w:rsidRPr="00D83917">
        <w:t>he first and last time points are</w:t>
      </w:r>
      <w:r w:rsidR="000D4EDB" w:rsidRPr="00D83917">
        <w:t xml:space="preserve"> at </w:t>
      </w:r>
      <m:oMath>
        <m:sSub>
          <m:sSubPr>
            <m:ctrlPr>
              <w:rPr>
                <w:rFonts w:ascii="Cambria Math" w:hAnsi="Cambria Math"/>
                <w:i/>
              </w:rPr>
            </m:ctrlPr>
          </m:sSubPr>
          <m:e>
            <m:r>
              <w:rPr>
                <w:rFonts w:ascii="Cambria Math" w:hAnsi="Cambria Math"/>
              </w:rPr>
              <m:t>t</m:t>
            </m:r>
          </m:e>
          <m:sub>
            <m:r>
              <m:rPr>
                <m:sty m:val="p"/>
              </m:rPr>
              <w:rPr>
                <w:rFonts w:ascii="Cambria Math" w:hAnsi="Cambria Math"/>
              </w:rPr>
              <m:t>lab</m:t>
            </m:r>
            <m:r>
              <m:rPr>
                <m:sty m:val="bi"/>
              </m:rPr>
              <w:rPr>
                <w:rFonts w:ascii="Cambria Math" w:hAnsi="Cambria Math"/>
              </w:rPr>
              <m:t>_</m:t>
            </m:r>
            <m:r>
              <m:rPr>
                <m:sty m:val="p"/>
              </m:rPr>
              <w:rPr>
                <w:rFonts w:ascii="Cambria Math" w:hAnsi="Cambria Math"/>
              </w:rPr>
              <m:t>min</m:t>
            </m:r>
          </m:sub>
        </m:sSub>
        <m:r>
          <w:rPr>
            <w:rFonts w:ascii="Cambria Math" w:hAnsi="Cambria Math"/>
          </w:rPr>
          <m:t>+0.5×</m:t>
        </m:r>
        <m:sSub>
          <m:sSubPr>
            <m:ctrlPr>
              <w:rPr>
                <w:rFonts w:ascii="Cambria Math" w:hAnsi="Cambria Math"/>
                <w:i/>
              </w:rPr>
            </m:ctrlPr>
          </m:sSubPr>
          <m:e>
            <m:r>
              <w:rPr>
                <w:rFonts w:ascii="Cambria Math" w:hAnsi="Cambria Math"/>
              </w:rPr>
              <m:t>t</m:t>
            </m:r>
          </m:e>
          <m:sub>
            <m:r>
              <m:rPr>
                <m:sty m:val="p"/>
              </m:rPr>
              <w:rPr>
                <w:rFonts w:ascii="Cambria Math" w:hAnsi="Cambria Math"/>
              </w:rPr>
              <m:t>w</m:t>
            </m:r>
          </m:sub>
        </m:sSub>
      </m:oMath>
      <w:r w:rsidRPr="00D83917">
        <w:t xml:space="preserve"> and </w:t>
      </w:r>
      <m:oMath>
        <m:sSub>
          <m:sSubPr>
            <m:ctrlPr>
              <w:rPr>
                <w:rFonts w:ascii="Cambria Math" w:hAnsi="Cambria Math"/>
                <w:i/>
              </w:rPr>
            </m:ctrlPr>
          </m:sSubPr>
          <m:e>
            <m:sSub>
              <m:sSubPr>
                <m:ctrlPr>
                  <w:rPr>
                    <w:rFonts w:ascii="Cambria Math" w:hAnsi="Cambria Math"/>
                    <w:i/>
                  </w:rPr>
                </m:ctrlPr>
              </m:sSubPr>
              <m:e>
                <m:r>
                  <w:rPr>
                    <w:rFonts w:ascii="Cambria Math" w:hAnsi="Cambria Math"/>
                  </w:rPr>
                  <m:t>t</m:t>
                </m:r>
              </m:e>
              <m:sub>
                <m:r>
                  <m:rPr>
                    <m:sty m:val="p"/>
                  </m:rPr>
                  <w:rPr>
                    <w:rFonts w:ascii="Cambria Math" w:hAnsi="Cambria Math"/>
                  </w:rPr>
                  <m:t>lab_min</m:t>
                </m:r>
              </m:sub>
            </m:sSub>
            <m:r>
              <w:rPr>
                <w:rFonts w:ascii="Cambria Math" w:hAnsi="Cambria Math"/>
              </w:rPr>
              <m:t>+</m:t>
            </m:r>
            <m:d>
              <m:dPr>
                <m:ctrlPr>
                  <w:rPr>
                    <w:rFonts w:ascii="Cambria Math" w:hAnsi="Cambria Math"/>
                    <w:i/>
                  </w:rPr>
                </m:ctrlPr>
              </m:dPr>
              <m:e>
                <m:r>
                  <w:rPr>
                    <w:rFonts w:ascii="Cambria Math" w:hAnsi="Cambria Math"/>
                  </w:rPr>
                  <m:t>M-0.5</m:t>
                </m:r>
              </m:e>
            </m:d>
            <m:r>
              <w:rPr>
                <w:rFonts w:ascii="Cambria Math" w:hAnsi="Cambria Math"/>
              </w:rPr>
              <m:t>×t</m:t>
            </m:r>
          </m:e>
          <m:sub>
            <m:r>
              <m:rPr>
                <m:sty m:val="p"/>
              </m:rPr>
              <w:rPr>
                <w:rFonts w:ascii="Cambria Math" w:hAnsi="Cambria Math"/>
              </w:rPr>
              <m:t>w</m:t>
            </m:r>
          </m:sub>
        </m:sSub>
      </m:oMath>
      <w:r w:rsidRPr="00D83917">
        <w:t>, respectively.</w:t>
      </w:r>
    </w:p>
    <w:p w14:paraId="287734E5" w14:textId="77777777" w:rsidR="00EF6B15" w:rsidRPr="00D83917" w:rsidRDefault="00EF6B15" w:rsidP="00EF6B15">
      <w:pPr>
        <w:jc w:val="both"/>
      </w:pPr>
    </w:p>
    <w:p w14:paraId="0034EEE4" w14:textId="183C2D16" w:rsidR="00EF6B15" w:rsidRPr="00D83917" w:rsidRDefault="00EF6B15" w:rsidP="00E756DE">
      <w:pPr>
        <w:ind w:firstLine="720"/>
        <w:jc w:val="both"/>
        <w:rPr>
          <w:bCs/>
        </w:rPr>
      </w:pPr>
      <w:r w:rsidRPr="00D83917">
        <w:t xml:space="preserve">For lab test variables, if multiple readouts of </w:t>
      </w:r>
      <w:r w:rsidR="00E756DE" w:rsidRPr="00D83917">
        <w:t xml:space="preserve">a </w:t>
      </w:r>
      <w:r w:rsidRPr="00D83917">
        <w:t xml:space="preserve">variable are available during a time </w:t>
      </w:r>
      <w:r w:rsidR="00E756DE" w:rsidRPr="00D83917">
        <w:t>interval</w:t>
      </w:r>
      <w:r w:rsidRPr="00D83917">
        <w:t xml:space="preserve">, their average </w:t>
      </w:r>
      <w:r w:rsidR="00F33FFD" w:rsidRPr="00D83917">
        <w:t>is</w:t>
      </w:r>
      <w:r w:rsidRPr="00D83917">
        <w:t xml:space="preserve"> calculated to represent the variable in the feature vector. For vital information variables, average values </w:t>
      </w:r>
      <w:r w:rsidR="00F33FFD" w:rsidRPr="00D83917">
        <w:t>are</w:t>
      </w:r>
      <w:r w:rsidRPr="00D83917">
        <w:t xml:space="preserve"> also calculated if multiple readouts are available </w:t>
      </w:r>
      <w:r w:rsidR="00E756DE" w:rsidRPr="00D83917">
        <w:t>in</w:t>
      </w:r>
      <w:r w:rsidRPr="00D83917">
        <w:t xml:space="preserve"> a time </w:t>
      </w:r>
      <w:r w:rsidR="00E756DE" w:rsidRPr="00D83917">
        <w:t>interval</w:t>
      </w:r>
      <w:r w:rsidRPr="00D83917">
        <w:t xml:space="preserve">. Also, if no readout of a vital information variable </w:t>
      </w:r>
      <w:r w:rsidR="00441E96" w:rsidRPr="00D83917">
        <w:t>is</w:t>
      </w:r>
      <w:r w:rsidRPr="00D83917">
        <w:t xml:space="preserve"> available at a time point, a linear interpolation </w:t>
      </w:r>
      <w:r w:rsidR="00F33FFD" w:rsidRPr="00D83917">
        <w:t>is</w:t>
      </w:r>
      <w:r w:rsidRPr="00D83917">
        <w:t xml:space="preserve"> applied to fill its value based on two non-missing values closest to the time point, one value before the time point in consideration and the other value after the time </w:t>
      </w:r>
      <w:r w:rsidR="00DD49D7" w:rsidRPr="00D83917">
        <w:t>point if</w:t>
      </w:r>
      <w:r w:rsidRPr="00D83917">
        <w:t xml:space="preserve"> such data are available. D</w:t>
      </w:r>
      <w:r w:rsidRPr="00D83917">
        <w:rPr>
          <w:bCs/>
        </w:rPr>
        <w:t xml:space="preserve">emographics variables, </w:t>
      </w:r>
      <w:r w:rsidR="00DD49D7" w:rsidRPr="00D83917">
        <w:rPr>
          <w:bCs/>
        </w:rPr>
        <w:t>i.e.,</w:t>
      </w:r>
      <w:r w:rsidRPr="00D83917">
        <w:rPr>
          <w:bCs/>
        </w:rPr>
        <w:t xml:space="preserve"> </w:t>
      </w:r>
      <w:r w:rsidR="00D25C6A" w:rsidRPr="00D83917">
        <w:rPr>
          <w:bCs/>
        </w:rPr>
        <w:t>sex</w:t>
      </w:r>
      <w:r w:rsidRPr="00D83917">
        <w:rPr>
          <w:bCs/>
        </w:rPr>
        <w:t xml:space="preserve"> and </w:t>
      </w:r>
      <w:r w:rsidR="00F33FFD" w:rsidRPr="00D83917">
        <w:rPr>
          <w:bCs/>
        </w:rPr>
        <w:t>r</w:t>
      </w:r>
      <w:r w:rsidR="00AC4963" w:rsidRPr="00D83917">
        <w:rPr>
          <w:bCs/>
        </w:rPr>
        <w:t>ace</w:t>
      </w:r>
      <w:r w:rsidRPr="00D83917">
        <w:rPr>
          <w:bCs/>
        </w:rPr>
        <w:t xml:space="preserve">, </w:t>
      </w:r>
      <w:r w:rsidR="00F33FFD" w:rsidRPr="00D83917">
        <w:rPr>
          <w:bCs/>
        </w:rPr>
        <w:t>takes</w:t>
      </w:r>
      <w:r w:rsidRPr="00D83917">
        <w:rPr>
          <w:bCs/>
        </w:rPr>
        <w:t xml:space="preserve"> the same values in feature vectors across all time points. For </w:t>
      </w:r>
      <w:r w:rsidR="00B44E37" w:rsidRPr="00D83917">
        <w:rPr>
          <w:bCs/>
        </w:rPr>
        <w:t xml:space="preserve">health </w:t>
      </w:r>
      <w:r w:rsidRPr="00D83917">
        <w:rPr>
          <w:bCs/>
        </w:rPr>
        <w:t xml:space="preserve">behavior variables, if multiple readouts </w:t>
      </w:r>
      <w:r w:rsidR="00441E96" w:rsidRPr="00D83917">
        <w:rPr>
          <w:bCs/>
        </w:rPr>
        <w:t>are</w:t>
      </w:r>
      <w:r w:rsidRPr="00D83917">
        <w:rPr>
          <w:bCs/>
        </w:rPr>
        <w:t xml:space="preserve"> available </w:t>
      </w:r>
      <w:r w:rsidR="00E756DE" w:rsidRPr="00D83917">
        <w:rPr>
          <w:bCs/>
        </w:rPr>
        <w:t>in</w:t>
      </w:r>
      <w:r w:rsidRPr="00D83917">
        <w:rPr>
          <w:bCs/>
        </w:rPr>
        <w:t xml:space="preserve"> a time </w:t>
      </w:r>
      <w:r w:rsidR="00E756DE" w:rsidRPr="00D83917">
        <w:rPr>
          <w:bCs/>
        </w:rPr>
        <w:t>interval</w:t>
      </w:r>
      <w:r w:rsidRPr="00D83917">
        <w:rPr>
          <w:bCs/>
        </w:rPr>
        <w:t xml:space="preserve">, the last readout </w:t>
      </w:r>
      <w:r w:rsidR="00F33FFD" w:rsidRPr="00D83917">
        <w:rPr>
          <w:bCs/>
        </w:rPr>
        <w:t>is</w:t>
      </w:r>
      <w:r w:rsidRPr="00D83917">
        <w:rPr>
          <w:bCs/>
        </w:rPr>
        <w:t xml:space="preserve"> used in the feature vector. If no readout </w:t>
      </w:r>
      <w:r w:rsidR="00441E96" w:rsidRPr="00D83917">
        <w:rPr>
          <w:bCs/>
        </w:rPr>
        <w:t>is</w:t>
      </w:r>
      <w:r w:rsidRPr="00D83917">
        <w:rPr>
          <w:bCs/>
        </w:rPr>
        <w:t xml:space="preserve"> available at a time point, its value </w:t>
      </w:r>
      <w:r w:rsidR="00166C04" w:rsidRPr="00D83917">
        <w:rPr>
          <w:bCs/>
        </w:rPr>
        <w:t>wa</w:t>
      </w:r>
      <w:r w:rsidRPr="00D83917">
        <w:rPr>
          <w:bCs/>
        </w:rPr>
        <w:t>s filled by a non-missing value from a previous time point closest to the time point</w:t>
      </w:r>
      <w:r w:rsidR="00E756DE" w:rsidRPr="00D83917">
        <w:rPr>
          <w:bCs/>
        </w:rPr>
        <w:t xml:space="preserve"> in consideration</w:t>
      </w:r>
      <w:r w:rsidRPr="00D83917">
        <w:rPr>
          <w:bCs/>
        </w:rPr>
        <w:t xml:space="preserve">, if such data </w:t>
      </w:r>
      <w:r w:rsidR="00441E96" w:rsidRPr="00D83917">
        <w:rPr>
          <w:bCs/>
        </w:rPr>
        <w:t>are</w:t>
      </w:r>
      <w:r w:rsidRPr="00D83917">
        <w:rPr>
          <w:bCs/>
        </w:rPr>
        <w:t xml:space="preserve"> available. After assembling clinical variables and time </w:t>
      </w:r>
      <w:r w:rsidR="00E756DE" w:rsidRPr="00D83917">
        <w:rPr>
          <w:bCs/>
        </w:rPr>
        <w:t>to form</w:t>
      </w:r>
      <w:r w:rsidRPr="00D83917">
        <w:rPr>
          <w:bCs/>
        </w:rPr>
        <w:t xml:space="preserve"> </w:t>
      </w:r>
      <w:r w:rsidR="00F33FFD" w:rsidRPr="00D83917">
        <w:rPr>
          <w:bCs/>
        </w:rPr>
        <w:t xml:space="preserve">the </w:t>
      </w:r>
      <w:r w:rsidRPr="00D83917">
        <w:rPr>
          <w:bCs/>
        </w:rPr>
        <w:t xml:space="preserve">feature vectors </w:t>
      </w:r>
      <w:r w:rsidR="00F33FFD" w:rsidRPr="00D83917">
        <w:rPr>
          <w:bCs/>
        </w:rPr>
        <w:t>in</w:t>
      </w:r>
      <w:r w:rsidRPr="00D83917">
        <w:rPr>
          <w:bCs/>
        </w:rPr>
        <w:t xml:space="preserve"> time </w:t>
      </w:r>
      <w:r w:rsidR="00E756DE" w:rsidRPr="00D83917">
        <w:rPr>
          <w:bCs/>
        </w:rPr>
        <w:t>series</w:t>
      </w:r>
      <w:r w:rsidRPr="00D83917">
        <w:rPr>
          <w:bCs/>
        </w:rPr>
        <w:t xml:space="preserve">, we remove the time points at which all lab test variables </w:t>
      </w:r>
      <w:r w:rsidR="00F33FFD" w:rsidRPr="00D83917">
        <w:rPr>
          <w:bCs/>
        </w:rPr>
        <w:t>are</w:t>
      </w:r>
      <w:r w:rsidRPr="00D83917">
        <w:rPr>
          <w:bCs/>
        </w:rPr>
        <w:t xml:space="preserve"> missing. In the case of only essential variables </w:t>
      </w:r>
      <w:r w:rsidR="00F33FFD" w:rsidRPr="00D83917">
        <w:rPr>
          <w:bCs/>
        </w:rPr>
        <w:t>are</w:t>
      </w:r>
      <w:r w:rsidRPr="00D83917">
        <w:rPr>
          <w:bCs/>
        </w:rPr>
        <w:t xml:space="preserve"> used for analysis, the time points where all essential lab test variables </w:t>
      </w:r>
      <w:r w:rsidR="00F33FFD" w:rsidRPr="00D83917">
        <w:rPr>
          <w:bCs/>
        </w:rPr>
        <w:t>are</w:t>
      </w:r>
      <w:r w:rsidRPr="00D83917">
        <w:rPr>
          <w:bCs/>
        </w:rPr>
        <w:t xml:space="preserve"> missing </w:t>
      </w:r>
      <w:r w:rsidR="00F33FFD" w:rsidRPr="00D83917">
        <w:rPr>
          <w:bCs/>
        </w:rPr>
        <w:t>are</w:t>
      </w:r>
      <w:r w:rsidRPr="00D83917">
        <w:rPr>
          <w:bCs/>
        </w:rPr>
        <w:t xml:space="preserve"> removed.</w:t>
      </w:r>
    </w:p>
    <w:p w14:paraId="60BF73A8" w14:textId="61A1E688" w:rsidR="009C687F" w:rsidRPr="00D83917" w:rsidRDefault="009C687F" w:rsidP="00E756DE">
      <w:pPr>
        <w:ind w:firstLine="720"/>
        <w:jc w:val="both"/>
      </w:pPr>
    </w:p>
    <w:p w14:paraId="1B15E0B3" w14:textId="52AA65DB" w:rsidR="009C687F" w:rsidRPr="00D83917" w:rsidRDefault="009C687F" w:rsidP="00E756DE">
      <w:pPr>
        <w:ind w:firstLine="720"/>
        <w:jc w:val="both"/>
      </w:pPr>
      <w:r w:rsidRPr="00D83917">
        <w:t xml:space="preserve">There </w:t>
      </w:r>
      <w:r w:rsidR="00F33FFD" w:rsidRPr="00D83917">
        <w:t>are</w:t>
      </w:r>
      <w:r w:rsidRPr="00D83917">
        <w:t xml:space="preserve"> still missing values in the generated time series. For a categorical variable, a missing value </w:t>
      </w:r>
      <w:r w:rsidR="00F33FFD" w:rsidRPr="00D83917">
        <w:t>is</w:t>
      </w:r>
      <w:r w:rsidRPr="00D83917">
        <w:t xml:space="preserve"> naturally represented by 0 values of all indicators associated with the variable, because the variable </w:t>
      </w:r>
      <w:r w:rsidR="00F33FFD" w:rsidRPr="00D83917">
        <w:t>does</w:t>
      </w:r>
      <w:r w:rsidRPr="00D83917">
        <w:t xml:space="preserve"> not take any of the levels. For a numerical variable, if missing values exist, they </w:t>
      </w:r>
      <w:r w:rsidR="00F33FFD" w:rsidRPr="00D83917">
        <w:t>are</w:t>
      </w:r>
      <w:r w:rsidRPr="00D83917">
        <w:t xml:space="preserve"> replaced by the mean value of the variable calculated </w:t>
      </w:r>
      <w:r w:rsidR="00166C04" w:rsidRPr="00D83917">
        <w:t>from</w:t>
      </w:r>
      <w:r w:rsidRPr="00D83917">
        <w:t xml:space="preserve"> the whole patient cohort. A binary indicator </w:t>
      </w:r>
      <w:r w:rsidR="00F33FFD" w:rsidRPr="00D83917">
        <w:t>is</w:t>
      </w:r>
      <w:r w:rsidRPr="00D83917">
        <w:t xml:space="preserve"> added as a feature to indicate where the variable </w:t>
      </w:r>
      <w:r w:rsidR="00F33FFD" w:rsidRPr="00D83917">
        <w:t>is</w:t>
      </w:r>
      <w:r w:rsidRPr="00D83917">
        <w:t xml:space="preserve"> missing. After the imputation of missing values, the time series </w:t>
      </w:r>
      <w:r w:rsidR="00B77A3F" w:rsidRPr="00D83917">
        <w:t>of</w:t>
      </w:r>
      <w:r w:rsidRPr="00D83917">
        <w:t xml:space="preserve"> all variables have 101 </w:t>
      </w:r>
      <w:r w:rsidR="00DD49D7" w:rsidRPr="00D83917">
        <w:t>features,</w:t>
      </w:r>
      <w:r w:rsidRPr="00D83917">
        <w:t xml:space="preserve"> and the time series </w:t>
      </w:r>
      <w:r w:rsidR="00B77A3F" w:rsidRPr="00D83917">
        <w:t>of</w:t>
      </w:r>
      <w:r w:rsidRPr="00D83917">
        <w:t xml:space="preserve"> essential variables have 51 features.</w:t>
      </w:r>
    </w:p>
    <w:p w14:paraId="3A4E1C56" w14:textId="54A517E3" w:rsidR="009C687F" w:rsidRPr="00D83917" w:rsidRDefault="009C687F" w:rsidP="00E756DE">
      <w:pPr>
        <w:ind w:firstLine="720"/>
        <w:jc w:val="both"/>
      </w:pPr>
    </w:p>
    <w:p w14:paraId="5C923D59" w14:textId="6F523192" w:rsidR="00893335" w:rsidRPr="00D83917" w:rsidRDefault="00893335" w:rsidP="00E756DE">
      <w:pPr>
        <w:ind w:firstLine="720"/>
        <w:jc w:val="both"/>
      </w:pPr>
    </w:p>
    <w:p w14:paraId="4AE21254" w14:textId="5DE60CA3" w:rsidR="00893335" w:rsidRPr="00D83917" w:rsidRDefault="00893335" w:rsidP="00893335">
      <w:pPr>
        <w:jc w:val="both"/>
      </w:pPr>
    </w:p>
    <w:p w14:paraId="08AFB2F2" w14:textId="61590621" w:rsidR="00893335" w:rsidRPr="00D83917" w:rsidRDefault="00893335" w:rsidP="00893335">
      <w:pPr>
        <w:rPr>
          <w:b/>
          <w:sz w:val="28"/>
          <w:szCs w:val="28"/>
        </w:rPr>
      </w:pPr>
      <w:r w:rsidRPr="00D83917">
        <w:rPr>
          <w:b/>
          <w:sz w:val="28"/>
          <w:szCs w:val="28"/>
        </w:rPr>
        <w:t>Section 3: Matching Case Patients with Control Patients</w:t>
      </w:r>
    </w:p>
    <w:p w14:paraId="075C7F1D" w14:textId="77777777" w:rsidR="00893335" w:rsidRPr="00D83917" w:rsidRDefault="00893335" w:rsidP="00E756DE">
      <w:pPr>
        <w:ind w:firstLine="720"/>
        <w:jc w:val="both"/>
      </w:pPr>
    </w:p>
    <w:p w14:paraId="02FE7737" w14:textId="404AF93C" w:rsidR="00893335" w:rsidRPr="00D83917" w:rsidRDefault="005C6AB9" w:rsidP="005C6AB9">
      <w:pPr>
        <w:ind w:firstLine="720"/>
        <w:jc w:val="both"/>
      </w:pPr>
      <w:r w:rsidRPr="00D83917">
        <w:t xml:space="preserve">For a case patient, the first time point is required to have an </w:t>
      </w:r>
      <w:proofErr w:type="spellStart"/>
      <w:r w:rsidRPr="00D83917">
        <w:t>eGFR</w:t>
      </w:r>
      <w:proofErr w:type="spellEnd"/>
      <w:r w:rsidRPr="00D83917">
        <w:t xml:space="preserve"> readout available to indicate the patient disease stage and the transition point must be covered by the prediction window. For a control patient, the first and last time points are required to have an </w:t>
      </w:r>
      <w:proofErr w:type="spellStart"/>
      <w:r w:rsidRPr="00D83917">
        <w:t>eGFR</w:t>
      </w:r>
      <w:proofErr w:type="spellEnd"/>
      <w:r w:rsidRPr="00D83917">
        <w:t xml:space="preserve"> readout available to indicate the patient disease stage. </w:t>
      </w:r>
      <w:r w:rsidR="00893335" w:rsidRPr="00D83917">
        <w:t xml:space="preserve">We match each case patient with four control patients to form the data for predictive analysis. Case patients </w:t>
      </w:r>
      <w:r w:rsidR="00B963CA" w:rsidRPr="00D83917">
        <w:t>are</w:t>
      </w:r>
      <w:r w:rsidR="00893335" w:rsidRPr="00D83917">
        <w:t xml:space="preserve"> ranked based on their </w:t>
      </w:r>
      <w:r w:rsidRPr="00D83917">
        <w:t>series</w:t>
      </w:r>
      <w:r w:rsidR="00893335" w:rsidRPr="00D83917">
        <w:t xml:space="preserve"> length from long to short and </w:t>
      </w:r>
      <w:r w:rsidR="00B963CA" w:rsidRPr="00D83917">
        <w:t>get</w:t>
      </w:r>
      <w:r w:rsidR="00893335" w:rsidRPr="00D83917">
        <w:t xml:space="preserve"> matched successively in that order. To match a case patient, only control patients who have the same </w:t>
      </w:r>
      <w:r w:rsidR="00D25C6A" w:rsidRPr="00D83917">
        <w:t>sex</w:t>
      </w:r>
      <w:r w:rsidR="00893335" w:rsidRPr="00D83917">
        <w:t xml:space="preserve"> and </w:t>
      </w:r>
      <w:r w:rsidR="00B963CA" w:rsidRPr="00D83917">
        <w:t>r</w:t>
      </w:r>
      <w:r w:rsidR="00AC4963" w:rsidRPr="00D83917">
        <w:t>ace</w:t>
      </w:r>
      <w:r w:rsidR="00893335" w:rsidRPr="00D83917">
        <w:t xml:space="preserve"> and whose sequence length is not shorter than that of the case patient (denoted by </w:t>
      </w:r>
      <m:oMath>
        <m:sSub>
          <m:sSubPr>
            <m:ctrlPr>
              <w:rPr>
                <w:rFonts w:ascii="Cambria Math" w:hAnsi="Cambria Math"/>
                <w:i/>
              </w:rPr>
            </m:ctrlPr>
          </m:sSubPr>
          <m:e>
            <m:r>
              <w:rPr>
                <w:rFonts w:ascii="Cambria Math" w:hAnsi="Cambria Math"/>
              </w:rPr>
              <m:t>L</m:t>
            </m:r>
          </m:e>
          <m:sub>
            <m:r>
              <m:rPr>
                <m:sty m:val="p"/>
              </m:rPr>
              <w:rPr>
                <w:rFonts w:ascii="Cambria Math" w:hAnsi="Cambria Math"/>
              </w:rPr>
              <m:t>case</m:t>
            </m:r>
          </m:sub>
        </m:sSub>
      </m:oMath>
      <w:r w:rsidR="00893335" w:rsidRPr="00D83917">
        <w:t xml:space="preserve">) </w:t>
      </w:r>
      <w:r w:rsidR="00B963CA" w:rsidRPr="00D83917">
        <w:t>are</w:t>
      </w:r>
      <w:r w:rsidR="00893335" w:rsidRPr="00D83917">
        <w:t xml:space="preserve"> considered. Only the latest </w:t>
      </w:r>
      <m:oMath>
        <m:sSub>
          <m:sSubPr>
            <m:ctrlPr>
              <w:rPr>
                <w:rFonts w:ascii="Cambria Math" w:hAnsi="Cambria Math"/>
                <w:i/>
              </w:rPr>
            </m:ctrlPr>
          </m:sSubPr>
          <m:e>
            <m:r>
              <w:rPr>
                <w:rFonts w:ascii="Cambria Math" w:hAnsi="Cambria Math"/>
              </w:rPr>
              <m:t>L</m:t>
            </m:r>
          </m:e>
          <m:sub>
            <m:r>
              <m:rPr>
                <m:sty m:val="p"/>
              </m:rPr>
              <w:rPr>
                <w:rFonts w:ascii="Cambria Math" w:hAnsi="Cambria Math"/>
              </w:rPr>
              <m:t>case</m:t>
            </m:r>
          </m:sub>
        </m:sSub>
      </m:oMath>
      <w:r w:rsidR="00893335" w:rsidRPr="00D83917">
        <w:t xml:space="preserve"> time points of the candidate control patients </w:t>
      </w:r>
      <w:r w:rsidR="00B963CA" w:rsidRPr="00D83917">
        <w:t>are</w:t>
      </w:r>
      <w:r w:rsidR="00893335" w:rsidRPr="00D83917">
        <w:t xml:space="preserve"> used for matching based on age/time. To do that, we calculate the average time of the time points in the case patient </w:t>
      </w:r>
      <w:r w:rsidRPr="00D83917">
        <w:t>time series</w:t>
      </w:r>
      <w:r w:rsidR="00893335" w:rsidRPr="00D83917">
        <w:t xml:space="preserve"> and the average times of candidate control patient </w:t>
      </w:r>
      <w:r w:rsidRPr="00D83917">
        <w:t>series</w:t>
      </w:r>
      <w:r w:rsidR="00893335" w:rsidRPr="00D83917">
        <w:t xml:space="preserve">. Four of the candidate control patients with average times closest to that of case patient </w:t>
      </w:r>
      <w:r w:rsidR="00B963CA" w:rsidRPr="00D83917">
        <w:t>are</w:t>
      </w:r>
      <w:r w:rsidR="00893335" w:rsidRPr="00D83917">
        <w:t xml:space="preserve"> selected. </w:t>
      </w:r>
      <w:r w:rsidR="00B963CA" w:rsidRPr="00D83917">
        <w:t>T</w:t>
      </w:r>
      <w:r w:rsidR="00893335" w:rsidRPr="00D83917">
        <w:t xml:space="preserve">he latest </w:t>
      </w:r>
      <m:oMath>
        <m:sSub>
          <m:sSubPr>
            <m:ctrlPr>
              <w:rPr>
                <w:rFonts w:ascii="Cambria Math" w:hAnsi="Cambria Math"/>
                <w:i/>
              </w:rPr>
            </m:ctrlPr>
          </m:sSubPr>
          <m:e>
            <m:r>
              <w:rPr>
                <w:rFonts w:ascii="Cambria Math" w:hAnsi="Cambria Math"/>
              </w:rPr>
              <m:t>L</m:t>
            </m:r>
          </m:e>
          <m:sub>
            <m:r>
              <m:rPr>
                <m:sty m:val="p"/>
              </m:rPr>
              <w:rPr>
                <w:rFonts w:ascii="Cambria Math" w:hAnsi="Cambria Math"/>
              </w:rPr>
              <m:t>case</m:t>
            </m:r>
          </m:sub>
        </m:sSub>
      </m:oMath>
      <w:r w:rsidR="00893335" w:rsidRPr="00D83917">
        <w:t xml:space="preserve"> time points of the selected control patients </w:t>
      </w:r>
      <w:r w:rsidR="00B963CA" w:rsidRPr="00D83917">
        <w:t>are</w:t>
      </w:r>
      <w:r w:rsidR="00893335" w:rsidRPr="00D83917">
        <w:t xml:space="preserve"> used for predictive modeling.</w:t>
      </w:r>
    </w:p>
    <w:p w14:paraId="5737D8C6" w14:textId="77777777" w:rsidR="003241C2" w:rsidRPr="00D83917" w:rsidRDefault="003241C2" w:rsidP="005C6AB9">
      <w:pPr>
        <w:ind w:firstLine="720"/>
        <w:jc w:val="both"/>
      </w:pPr>
    </w:p>
    <w:p w14:paraId="2ABA7461" w14:textId="326E5FC6" w:rsidR="003241C2" w:rsidRPr="00D83917" w:rsidRDefault="003241C2" w:rsidP="005C6AB9">
      <w:pPr>
        <w:ind w:firstLine="720"/>
        <w:jc w:val="both"/>
      </w:pPr>
      <w:r w:rsidRPr="00D83917">
        <w:t xml:space="preserve">Supplementary Table 1 summarizes the matched data generated using all variables and with </w:t>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=7</m:t>
        </m:r>
      </m:oMath>
      <w:r w:rsidRPr="00D83917">
        <w:t xml:space="preserve"> days, </w:t>
      </w:r>
      <m:oMath>
        <m:sSub>
          <m:sSubPr>
            <m:ctrlPr>
              <w:rPr>
                <w:rFonts w:ascii="Cambria Math" w:hAnsi="Cambria Math"/>
                <w:i/>
              </w:rPr>
            </m:ctrlPr>
          </m:sSubPr>
          <m:e>
            <m:r>
              <w:rPr>
                <w:rFonts w:ascii="Cambria Math" w:hAnsi="Cambria Math"/>
              </w:rPr>
              <m:t>t</m:t>
            </m:r>
          </m:e>
          <m:sub>
            <m:r>
              <m:rPr>
                <m:sty m:val="p"/>
              </m:rPr>
              <w:rPr>
                <w:rFonts w:ascii="Cambria Math" w:hAnsi="Cambria Math"/>
              </w:rPr>
              <m:t>gap</m:t>
            </m:r>
          </m:sub>
        </m:sSub>
        <m:r>
          <w:rPr>
            <w:rFonts w:ascii="Cambria Math" w:hAnsi="Cambria Math"/>
          </w:rPr>
          <m:t>=7</m:t>
        </m:r>
      </m:oMath>
      <w:r w:rsidRPr="00D83917">
        <w:t xml:space="preserve"> days, and </w:t>
      </w:r>
      <m:oMath>
        <m:sSub>
          <m:sSubPr>
            <m:ctrlPr>
              <w:rPr>
                <w:rFonts w:ascii="Cambria Math" w:hAnsi="Cambria Math"/>
                <w:i/>
              </w:rPr>
            </m:ctrlPr>
          </m:sSubPr>
          <m:e>
            <m:r>
              <w:rPr>
                <w:rFonts w:ascii="Cambria Math" w:hAnsi="Cambria Math"/>
              </w:rPr>
              <m:t>t</m:t>
            </m:r>
          </m:e>
          <m:sub>
            <m:r>
              <m:rPr>
                <m:sty m:val="p"/>
              </m:rPr>
              <w:rPr>
                <w:rFonts w:ascii="Cambria Math" w:hAnsi="Cambria Math"/>
              </w:rPr>
              <m:t>pre</m:t>
            </m:r>
          </m:sub>
        </m:sSub>
        <m:r>
          <w:rPr>
            <w:rFonts w:ascii="Cambria Math" w:hAnsi="Cambria Math"/>
          </w:rPr>
          <m:t>=365</m:t>
        </m:r>
      </m:oMath>
      <w:r w:rsidRPr="00D83917">
        <w:t xml:space="preserve"> days. Supplementary Fig. 1a shows the distribution of the </w:t>
      </w:r>
      <w:r w:rsidR="001375F0" w:rsidRPr="00D83917">
        <w:t xml:space="preserve">sequence </w:t>
      </w:r>
      <w:r w:rsidRPr="00D83917">
        <w:t xml:space="preserve">length of time series for case patients. The length of control patient time series follows the same </w:t>
      </w:r>
      <w:r w:rsidR="00CD3C22" w:rsidRPr="00D83917">
        <w:t>distribution because</w:t>
      </w:r>
      <w:r w:rsidRPr="00D83917">
        <w:t xml:space="preserve"> each case patient is matched with four control patients of the same times series length. Supplementary Fig. 1b shows the distribution of the time duration between the transition point and the last time point </w:t>
      </w:r>
      <w:r w:rsidR="006272B8" w:rsidRPr="00D83917">
        <w:t xml:space="preserve">in time series </w:t>
      </w:r>
      <w:r w:rsidRPr="00D83917">
        <w:t>for case patients.</w:t>
      </w:r>
    </w:p>
    <w:p w14:paraId="0A3EDFD7" w14:textId="291DF5C7" w:rsidR="00A95863" w:rsidRPr="00D83917" w:rsidRDefault="00A95863" w:rsidP="005C6AB9">
      <w:pPr>
        <w:ind w:firstLine="720"/>
        <w:jc w:val="both"/>
      </w:pPr>
    </w:p>
    <w:p w14:paraId="033230AD" w14:textId="77777777" w:rsidR="003241C2" w:rsidRPr="00D83917" w:rsidRDefault="003241C2" w:rsidP="005C6AB9">
      <w:pPr>
        <w:ind w:firstLine="720"/>
        <w:jc w:val="both"/>
      </w:pPr>
    </w:p>
    <w:p w14:paraId="7A24D4D6" w14:textId="77777777" w:rsidR="003241C2" w:rsidRPr="00D83917" w:rsidRDefault="003241C2" w:rsidP="005C6AB9">
      <w:pPr>
        <w:ind w:firstLine="720"/>
        <w:jc w:val="both"/>
      </w:pPr>
    </w:p>
    <w:p w14:paraId="272A3085" w14:textId="74B537A5" w:rsidR="00AE5220" w:rsidRPr="00D83917" w:rsidRDefault="00AE5220" w:rsidP="00AE5220">
      <w:r w:rsidRPr="00D83917">
        <w:rPr>
          <w:b/>
          <w:bCs/>
        </w:rPr>
        <w:t xml:space="preserve">Supplementary Table 1    </w:t>
      </w:r>
      <w:r w:rsidRPr="00D83917">
        <w:rPr>
          <w:bCs/>
        </w:rPr>
        <w:t xml:space="preserve">Summary of matched data generated with </w:t>
      </w:r>
      <w:r w:rsidRPr="00D83917">
        <w:t xml:space="preserve">all variables, </w:t>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=7</m:t>
        </m:r>
      </m:oMath>
      <w:r w:rsidRPr="00D83917">
        <w:t xml:space="preserve"> days, </w:t>
      </w:r>
      <m:oMath>
        <m:sSub>
          <m:sSubPr>
            <m:ctrlPr>
              <w:rPr>
                <w:rFonts w:ascii="Cambria Math" w:hAnsi="Cambria Math"/>
                <w:i/>
              </w:rPr>
            </m:ctrlPr>
          </m:sSubPr>
          <m:e>
            <m:r>
              <w:rPr>
                <w:rFonts w:ascii="Cambria Math" w:hAnsi="Cambria Math"/>
              </w:rPr>
              <m:t>t</m:t>
            </m:r>
          </m:e>
          <m:sub>
            <m:r>
              <m:rPr>
                <m:sty m:val="p"/>
              </m:rPr>
              <w:rPr>
                <w:rFonts w:ascii="Cambria Math" w:hAnsi="Cambria Math"/>
              </w:rPr>
              <m:t>gap</m:t>
            </m:r>
          </m:sub>
        </m:sSub>
        <m:r>
          <w:rPr>
            <w:rFonts w:ascii="Cambria Math" w:hAnsi="Cambria Math"/>
          </w:rPr>
          <m:t>=7</m:t>
        </m:r>
      </m:oMath>
      <w:r w:rsidRPr="00D83917">
        <w:t xml:space="preserve"> days, and </w:t>
      </w:r>
      <m:oMath>
        <m:sSub>
          <m:sSubPr>
            <m:ctrlPr>
              <w:rPr>
                <w:rFonts w:ascii="Cambria Math" w:hAnsi="Cambria Math"/>
                <w:i/>
              </w:rPr>
            </m:ctrlPr>
          </m:sSubPr>
          <m:e>
            <m:r>
              <w:rPr>
                <w:rFonts w:ascii="Cambria Math" w:hAnsi="Cambria Math"/>
              </w:rPr>
              <m:t>t</m:t>
            </m:r>
          </m:e>
          <m:sub>
            <m:r>
              <m:rPr>
                <m:sty m:val="p"/>
              </m:rPr>
              <w:rPr>
                <w:rFonts w:ascii="Cambria Math" w:hAnsi="Cambria Math"/>
              </w:rPr>
              <m:t>pre</m:t>
            </m:r>
          </m:sub>
        </m:sSub>
        <m:r>
          <w:rPr>
            <w:rFonts w:ascii="Cambria Math" w:hAnsi="Cambria Math"/>
          </w:rPr>
          <m:t>=365</m:t>
        </m:r>
      </m:oMath>
      <w:r w:rsidRPr="00D83917">
        <w:t xml:space="preserve"> days.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965"/>
        <w:gridCol w:w="3600"/>
        <w:gridCol w:w="1440"/>
        <w:gridCol w:w="1350"/>
      </w:tblGrid>
      <w:tr w:rsidR="00D83917" w:rsidRPr="00D83917" w14:paraId="2A46A2F2" w14:textId="77777777" w:rsidTr="00E53183">
        <w:trPr>
          <w:trHeight w:val="128"/>
        </w:trPr>
        <w:tc>
          <w:tcPr>
            <w:tcW w:w="6565" w:type="dxa"/>
            <w:gridSpan w:val="2"/>
            <w:shd w:val="clear" w:color="auto" w:fill="auto"/>
            <w:tcMar>
              <w:top w:w="11" w:type="dxa"/>
              <w:left w:w="11" w:type="dxa"/>
              <w:bottom w:w="0" w:type="dxa"/>
              <w:right w:w="11" w:type="dxa"/>
            </w:tcMar>
            <w:vAlign w:val="center"/>
            <w:hideMark/>
          </w:tcPr>
          <w:p w14:paraId="189431B7" w14:textId="77777777" w:rsidR="00AE5220" w:rsidRPr="00D83917" w:rsidRDefault="00AE5220" w:rsidP="00E53183">
            <w:pPr>
              <w:jc w:val="center"/>
            </w:pPr>
          </w:p>
        </w:tc>
        <w:tc>
          <w:tcPr>
            <w:tcW w:w="1440" w:type="dxa"/>
            <w:shd w:val="clear" w:color="auto" w:fill="auto"/>
            <w:tcMar>
              <w:top w:w="11" w:type="dxa"/>
              <w:left w:w="11" w:type="dxa"/>
              <w:bottom w:w="0" w:type="dxa"/>
              <w:right w:w="11" w:type="dxa"/>
            </w:tcMar>
            <w:vAlign w:val="center"/>
            <w:hideMark/>
          </w:tcPr>
          <w:p w14:paraId="0843F354" w14:textId="77777777" w:rsidR="00AE5220" w:rsidRPr="00D83917" w:rsidRDefault="00AE5220" w:rsidP="00E53183">
            <w:pPr>
              <w:jc w:val="center"/>
            </w:pPr>
            <w:r w:rsidRPr="00D83917">
              <w:rPr>
                <w:b/>
                <w:bCs/>
              </w:rPr>
              <w:t>Case</w:t>
            </w:r>
          </w:p>
        </w:tc>
        <w:tc>
          <w:tcPr>
            <w:tcW w:w="1350" w:type="dxa"/>
            <w:shd w:val="clear" w:color="auto" w:fill="auto"/>
            <w:tcMar>
              <w:top w:w="11" w:type="dxa"/>
              <w:left w:w="11" w:type="dxa"/>
              <w:bottom w:w="0" w:type="dxa"/>
              <w:right w:w="11" w:type="dxa"/>
            </w:tcMar>
            <w:vAlign w:val="center"/>
            <w:hideMark/>
          </w:tcPr>
          <w:p w14:paraId="31DA99AF" w14:textId="77777777" w:rsidR="00AE5220" w:rsidRPr="00D83917" w:rsidRDefault="00AE5220" w:rsidP="00E53183">
            <w:pPr>
              <w:jc w:val="center"/>
            </w:pPr>
            <w:r w:rsidRPr="00D83917">
              <w:rPr>
                <w:b/>
                <w:bCs/>
              </w:rPr>
              <w:t>Control</w:t>
            </w:r>
          </w:p>
        </w:tc>
      </w:tr>
      <w:tr w:rsidR="00D83917" w:rsidRPr="00D83917" w14:paraId="60290960" w14:textId="77777777" w:rsidTr="00E53183">
        <w:trPr>
          <w:trHeight w:val="310"/>
        </w:trPr>
        <w:tc>
          <w:tcPr>
            <w:tcW w:w="6565" w:type="dxa"/>
            <w:gridSpan w:val="2"/>
            <w:shd w:val="clear" w:color="auto" w:fill="auto"/>
            <w:tcMar>
              <w:top w:w="11" w:type="dxa"/>
              <w:left w:w="11" w:type="dxa"/>
              <w:bottom w:w="0" w:type="dxa"/>
              <w:right w:w="11" w:type="dxa"/>
            </w:tcMar>
            <w:vAlign w:val="center"/>
            <w:hideMark/>
          </w:tcPr>
          <w:p w14:paraId="72E5E59E" w14:textId="77777777" w:rsidR="00AE5220" w:rsidRPr="00D83917" w:rsidRDefault="00AE5220" w:rsidP="00E53183">
            <w:pPr>
              <w:jc w:val="center"/>
            </w:pPr>
            <w:r w:rsidRPr="00D83917">
              <w:rPr>
                <w:b/>
                <w:bCs/>
              </w:rPr>
              <w:t>Time series length (mean and standard deviation)</w:t>
            </w:r>
          </w:p>
        </w:tc>
        <w:tc>
          <w:tcPr>
            <w:tcW w:w="1440" w:type="dxa"/>
            <w:shd w:val="clear" w:color="auto" w:fill="auto"/>
            <w:tcMar>
              <w:top w:w="11" w:type="dxa"/>
              <w:left w:w="11" w:type="dxa"/>
              <w:bottom w:w="0" w:type="dxa"/>
              <w:right w:w="11" w:type="dxa"/>
            </w:tcMar>
            <w:vAlign w:val="center"/>
            <w:hideMark/>
          </w:tcPr>
          <w:p w14:paraId="78A6D814" w14:textId="77777777" w:rsidR="00AE5220" w:rsidRPr="00D83917" w:rsidRDefault="00AE5220" w:rsidP="00E53183">
            <w:pPr>
              <w:jc w:val="center"/>
            </w:pPr>
            <w:r w:rsidRPr="00D83917">
              <w:t>24.50(19.23)</w:t>
            </w:r>
          </w:p>
        </w:tc>
        <w:tc>
          <w:tcPr>
            <w:tcW w:w="1350" w:type="dxa"/>
            <w:shd w:val="clear" w:color="auto" w:fill="auto"/>
            <w:tcMar>
              <w:top w:w="11" w:type="dxa"/>
              <w:left w:w="11" w:type="dxa"/>
              <w:bottom w:w="0" w:type="dxa"/>
              <w:right w:w="11" w:type="dxa"/>
            </w:tcMar>
            <w:vAlign w:val="center"/>
            <w:hideMark/>
          </w:tcPr>
          <w:p w14:paraId="33BC76DF" w14:textId="77777777" w:rsidR="00AE5220" w:rsidRPr="00D83917" w:rsidRDefault="00AE5220" w:rsidP="00E53183">
            <w:pPr>
              <w:jc w:val="center"/>
            </w:pPr>
            <w:r w:rsidRPr="00D83917">
              <w:t>24.50(19.23)</w:t>
            </w:r>
          </w:p>
        </w:tc>
      </w:tr>
      <w:tr w:rsidR="00D83917" w:rsidRPr="00D83917" w14:paraId="19916F39" w14:textId="77777777" w:rsidTr="00E53183">
        <w:trPr>
          <w:trHeight w:val="266"/>
        </w:trPr>
        <w:tc>
          <w:tcPr>
            <w:tcW w:w="6565" w:type="dxa"/>
            <w:gridSpan w:val="2"/>
            <w:shd w:val="clear" w:color="auto" w:fill="auto"/>
            <w:tcMar>
              <w:top w:w="11" w:type="dxa"/>
              <w:left w:w="11" w:type="dxa"/>
              <w:bottom w:w="0" w:type="dxa"/>
              <w:right w:w="11" w:type="dxa"/>
            </w:tcMar>
            <w:vAlign w:val="center"/>
            <w:hideMark/>
          </w:tcPr>
          <w:p w14:paraId="215982D7" w14:textId="77777777" w:rsidR="00AE5220" w:rsidRPr="00D83917" w:rsidRDefault="00AE5220" w:rsidP="00E53183">
            <w:pPr>
              <w:jc w:val="center"/>
            </w:pPr>
            <w:r w:rsidRPr="00D83917">
              <w:rPr>
                <w:b/>
                <w:bCs/>
              </w:rPr>
              <w:t>Age (mean and standard deviation)</w:t>
            </w:r>
          </w:p>
        </w:tc>
        <w:tc>
          <w:tcPr>
            <w:tcW w:w="1440" w:type="dxa"/>
            <w:shd w:val="clear" w:color="auto" w:fill="auto"/>
            <w:tcMar>
              <w:top w:w="11" w:type="dxa"/>
              <w:left w:w="11" w:type="dxa"/>
              <w:bottom w:w="0" w:type="dxa"/>
              <w:right w:w="11" w:type="dxa"/>
            </w:tcMar>
            <w:vAlign w:val="center"/>
            <w:hideMark/>
          </w:tcPr>
          <w:p w14:paraId="01FD3937" w14:textId="77777777" w:rsidR="00AE5220" w:rsidRPr="00D83917" w:rsidRDefault="00AE5220" w:rsidP="00E53183">
            <w:pPr>
              <w:jc w:val="center"/>
            </w:pPr>
            <w:r w:rsidRPr="00D83917">
              <w:t>66.38(14.20)</w:t>
            </w:r>
          </w:p>
        </w:tc>
        <w:tc>
          <w:tcPr>
            <w:tcW w:w="1350" w:type="dxa"/>
            <w:shd w:val="clear" w:color="auto" w:fill="auto"/>
            <w:tcMar>
              <w:top w:w="11" w:type="dxa"/>
              <w:left w:w="11" w:type="dxa"/>
              <w:bottom w:w="0" w:type="dxa"/>
              <w:right w:w="11" w:type="dxa"/>
            </w:tcMar>
            <w:vAlign w:val="center"/>
            <w:hideMark/>
          </w:tcPr>
          <w:p w14:paraId="6A88B4EA" w14:textId="77777777" w:rsidR="00AE5220" w:rsidRPr="00D83917" w:rsidRDefault="00AE5220" w:rsidP="00E53183">
            <w:pPr>
              <w:jc w:val="center"/>
            </w:pPr>
            <w:r w:rsidRPr="00D83917">
              <w:t>66.36(14.09)</w:t>
            </w:r>
          </w:p>
        </w:tc>
      </w:tr>
      <w:tr w:rsidR="00D83917" w:rsidRPr="00D83917" w14:paraId="0EBA7DC4" w14:textId="77777777" w:rsidTr="00E53183">
        <w:tc>
          <w:tcPr>
            <w:tcW w:w="2965" w:type="dxa"/>
            <w:vMerge w:val="restart"/>
            <w:shd w:val="clear" w:color="auto" w:fill="auto"/>
            <w:tcMar>
              <w:top w:w="11" w:type="dxa"/>
              <w:left w:w="11" w:type="dxa"/>
              <w:bottom w:w="0" w:type="dxa"/>
              <w:right w:w="11" w:type="dxa"/>
            </w:tcMar>
            <w:vAlign w:val="center"/>
            <w:hideMark/>
          </w:tcPr>
          <w:p w14:paraId="7B648BA3" w14:textId="77777777" w:rsidR="00AE5220" w:rsidRPr="00D83917" w:rsidRDefault="00AE5220" w:rsidP="00E53183">
            <w:pPr>
              <w:jc w:val="center"/>
            </w:pPr>
            <w:r w:rsidRPr="00D83917">
              <w:rPr>
                <w:b/>
                <w:bCs/>
              </w:rPr>
              <w:t>Number of patients (sex)</w:t>
            </w:r>
          </w:p>
        </w:tc>
        <w:tc>
          <w:tcPr>
            <w:tcW w:w="3600" w:type="dxa"/>
            <w:shd w:val="clear" w:color="auto" w:fill="auto"/>
            <w:tcMar>
              <w:top w:w="11" w:type="dxa"/>
              <w:left w:w="11" w:type="dxa"/>
              <w:bottom w:w="0" w:type="dxa"/>
              <w:right w:w="11" w:type="dxa"/>
            </w:tcMar>
            <w:vAlign w:val="center"/>
            <w:hideMark/>
          </w:tcPr>
          <w:p w14:paraId="5B4DD351" w14:textId="77777777" w:rsidR="00AE5220" w:rsidRPr="00D83917" w:rsidRDefault="00AE5220" w:rsidP="00E53183">
            <w:pPr>
              <w:jc w:val="center"/>
            </w:pPr>
            <w:r w:rsidRPr="00D83917">
              <w:rPr>
                <w:b/>
                <w:bCs/>
              </w:rPr>
              <w:t>Male</w:t>
            </w:r>
          </w:p>
        </w:tc>
        <w:tc>
          <w:tcPr>
            <w:tcW w:w="1440" w:type="dxa"/>
            <w:shd w:val="clear" w:color="auto" w:fill="auto"/>
            <w:tcMar>
              <w:top w:w="11" w:type="dxa"/>
              <w:left w:w="11" w:type="dxa"/>
              <w:bottom w:w="0" w:type="dxa"/>
              <w:right w:w="11" w:type="dxa"/>
            </w:tcMar>
            <w:vAlign w:val="center"/>
            <w:hideMark/>
          </w:tcPr>
          <w:p w14:paraId="53B0A1DE" w14:textId="77777777" w:rsidR="00AE5220" w:rsidRPr="00D83917" w:rsidRDefault="00AE5220" w:rsidP="00E53183">
            <w:pPr>
              <w:jc w:val="center"/>
            </w:pPr>
            <w:r w:rsidRPr="00D83917">
              <w:t>584</w:t>
            </w:r>
          </w:p>
        </w:tc>
        <w:tc>
          <w:tcPr>
            <w:tcW w:w="1350" w:type="dxa"/>
            <w:shd w:val="clear" w:color="auto" w:fill="auto"/>
            <w:tcMar>
              <w:top w:w="11" w:type="dxa"/>
              <w:left w:w="11" w:type="dxa"/>
              <w:bottom w:w="0" w:type="dxa"/>
              <w:right w:w="11" w:type="dxa"/>
            </w:tcMar>
            <w:vAlign w:val="center"/>
            <w:hideMark/>
          </w:tcPr>
          <w:p w14:paraId="3A3E9A84" w14:textId="77777777" w:rsidR="00AE5220" w:rsidRPr="00D83917" w:rsidRDefault="00AE5220" w:rsidP="00E53183">
            <w:pPr>
              <w:jc w:val="center"/>
            </w:pPr>
            <w:r w:rsidRPr="00D83917">
              <w:t>2,336</w:t>
            </w:r>
          </w:p>
        </w:tc>
      </w:tr>
      <w:tr w:rsidR="00D83917" w:rsidRPr="00D83917" w14:paraId="5E290585" w14:textId="77777777" w:rsidTr="00E53183">
        <w:tc>
          <w:tcPr>
            <w:tcW w:w="2965" w:type="dxa"/>
            <w:vMerge/>
            <w:vAlign w:val="center"/>
            <w:hideMark/>
          </w:tcPr>
          <w:p w14:paraId="23778A71" w14:textId="77777777" w:rsidR="00AE5220" w:rsidRPr="00D83917" w:rsidRDefault="00AE5220" w:rsidP="00E53183">
            <w:pPr>
              <w:jc w:val="center"/>
            </w:pPr>
          </w:p>
        </w:tc>
        <w:tc>
          <w:tcPr>
            <w:tcW w:w="3600" w:type="dxa"/>
            <w:shd w:val="clear" w:color="auto" w:fill="auto"/>
            <w:tcMar>
              <w:top w:w="11" w:type="dxa"/>
              <w:left w:w="11" w:type="dxa"/>
              <w:bottom w:w="0" w:type="dxa"/>
              <w:right w:w="11" w:type="dxa"/>
            </w:tcMar>
            <w:vAlign w:val="center"/>
            <w:hideMark/>
          </w:tcPr>
          <w:p w14:paraId="3C06DA68" w14:textId="77777777" w:rsidR="00AE5220" w:rsidRPr="00D83917" w:rsidRDefault="00AE5220" w:rsidP="00E53183">
            <w:pPr>
              <w:jc w:val="center"/>
            </w:pPr>
            <w:r w:rsidRPr="00D83917">
              <w:rPr>
                <w:b/>
                <w:bCs/>
              </w:rPr>
              <w:t>Female</w:t>
            </w:r>
          </w:p>
        </w:tc>
        <w:tc>
          <w:tcPr>
            <w:tcW w:w="1440" w:type="dxa"/>
            <w:shd w:val="clear" w:color="auto" w:fill="auto"/>
            <w:tcMar>
              <w:top w:w="11" w:type="dxa"/>
              <w:left w:w="11" w:type="dxa"/>
              <w:bottom w:w="0" w:type="dxa"/>
              <w:right w:w="11" w:type="dxa"/>
            </w:tcMar>
            <w:vAlign w:val="center"/>
            <w:hideMark/>
          </w:tcPr>
          <w:p w14:paraId="6DF59AF3" w14:textId="77777777" w:rsidR="00AE5220" w:rsidRPr="00D83917" w:rsidRDefault="00AE5220" w:rsidP="00E53183">
            <w:pPr>
              <w:jc w:val="center"/>
            </w:pPr>
            <w:r w:rsidRPr="00D83917">
              <w:t>956</w:t>
            </w:r>
          </w:p>
        </w:tc>
        <w:tc>
          <w:tcPr>
            <w:tcW w:w="1350" w:type="dxa"/>
            <w:shd w:val="clear" w:color="auto" w:fill="auto"/>
            <w:tcMar>
              <w:top w:w="11" w:type="dxa"/>
              <w:left w:w="11" w:type="dxa"/>
              <w:bottom w:w="0" w:type="dxa"/>
              <w:right w:w="11" w:type="dxa"/>
            </w:tcMar>
            <w:vAlign w:val="center"/>
            <w:hideMark/>
          </w:tcPr>
          <w:p w14:paraId="02464DF3" w14:textId="77777777" w:rsidR="00AE5220" w:rsidRPr="00D83917" w:rsidRDefault="00AE5220" w:rsidP="00E53183">
            <w:pPr>
              <w:jc w:val="center"/>
            </w:pPr>
            <w:r w:rsidRPr="00D83917">
              <w:t>3,824</w:t>
            </w:r>
          </w:p>
        </w:tc>
      </w:tr>
      <w:tr w:rsidR="00D83917" w:rsidRPr="00D83917" w14:paraId="16EDD373" w14:textId="77777777" w:rsidTr="00E53183">
        <w:tc>
          <w:tcPr>
            <w:tcW w:w="2965" w:type="dxa"/>
            <w:vMerge w:val="restart"/>
            <w:shd w:val="clear" w:color="auto" w:fill="auto"/>
            <w:tcMar>
              <w:top w:w="11" w:type="dxa"/>
              <w:left w:w="11" w:type="dxa"/>
              <w:bottom w:w="0" w:type="dxa"/>
              <w:right w:w="11" w:type="dxa"/>
            </w:tcMar>
            <w:vAlign w:val="center"/>
            <w:hideMark/>
          </w:tcPr>
          <w:p w14:paraId="66C59988" w14:textId="77777777" w:rsidR="00AE5220" w:rsidRPr="00D83917" w:rsidRDefault="00AE5220" w:rsidP="00E53183">
            <w:pPr>
              <w:jc w:val="center"/>
            </w:pPr>
            <w:r w:rsidRPr="00D83917">
              <w:rPr>
                <w:b/>
                <w:bCs/>
              </w:rPr>
              <w:t>Number of patients (race)</w:t>
            </w:r>
          </w:p>
        </w:tc>
        <w:tc>
          <w:tcPr>
            <w:tcW w:w="3600" w:type="dxa"/>
            <w:shd w:val="clear" w:color="auto" w:fill="auto"/>
            <w:tcMar>
              <w:top w:w="11" w:type="dxa"/>
              <w:left w:w="11" w:type="dxa"/>
              <w:bottom w:w="0" w:type="dxa"/>
              <w:right w:w="11" w:type="dxa"/>
            </w:tcMar>
            <w:vAlign w:val="center"/>
            <w:hideMark/>
          </w:tcPr>
          <w:p w14:paraId="459FDB8F" w14:textId="77777777" w:rsidR="00AE5220" w:rsidRPr="00D83917" w:rsidRDefault="00AE5220" w:rsidP="00E53183">
            <w:pPr>
              <w:jc w:val="center"/>
            </w:pPr>
            <w:r w:rsidRPr="00D83917">
              <w:rPr>
                <w:b/>
                <w:bCs/>
              </w:rPr>
              <w:t>American Indian or Alaska native</w:t>
            </w:r>
          </w:p>
        </w:tc>
        <w:tc>
          <w:tcPr>
            <w:tcW w:w="1440" w:type="dxa"/>
            <w:shd w:val="clear" w:color="auto" w:fill="auto"/>
            <w:tcMar>
              <w:top w:w="11" w:type="dxa"/>
              <w:left w:w="11" w:type="dxa"/>
              <w:bottom w:w="0" w:type="dxa"/>
              <w:right w:w="11" w:type="dxa"/>
            </w:tcMar>
            <w:vAlign w:val="center"/>
            <w:hideMark/>
          </w:tcPr>
          <w:p w14:paraId="20B6DF08" w14:textId="77777777" w:rsidR="00AE5220" w:rsidRPr="00D83917" w:rsidRDefault="00AE5220" w:rsidP="00E53183">
            <w:pPr>
              <w:jc w:val="center"/>
            </w:pPr>
            <w:r w:rsidRPr="00D83917">
              <w:t>2</w:t>
            </w:r>
          </w:p>
        </w:tc>
        <w:tc>
          <w:tcPr>
            <w:tcW w:w="1350" w:type="dxa"/>
            <w:shd w:val="clear" w:color="auto" w:fill="auto"/>
            <w:tcMar>
              <w:top w:w="11" w:type="dxa"/>
              <w:left w:w="11" w:type="dxa"/>
              <w:bottom w:w="0" w:type="dxa"/>
              <w:right w:w="11" w:type="dxa"/>
            </w:tcMar>
            <w:vAlign w:val="center"/>
            <w:hideMark/>
          </w:tcPr>
          <w:p w14:paraId="229706D5" w14:textId="77777777" w:rsidR="00AE5220" w:rsidRPr="00D83917" w:rsidRDefault="00AE5220" w:rsidP="00E53183">
            <w:pPr>
              <w:jc w:val="center"/>
            </w:pPr>
            <w:r w:rsidRPr="00D83917">
              <w:t>8</w:t>
            </w:r>
          </w:p>
        </w:tc>
      </w:tr>
      <w:tr w:rsidR="00D83917" w:rsidRPr="00D83917" w14:paraId="74F46F84" w14:textId="77777777" w:rsidTr="00E53183">
        <w:tc>
          <w:tcPr>
            <w:tcW w:w="2965" w:type="dxa"/>
            <w:vMerge/>
            <w:vAlign w:val="center"/>
            <w:hideMark/>
          </w:tcPr>
          <w:p w14:paraId="3CD5B3DA" w14:textId="77777777" w:rsidR="00AE5220" w:rsidRPr="00D83917" w:rsidRDefault="00AE5220" w:rsidP="00E53183">
            <w:pPr>
              <w:jc w:val="center"/>
            </w:pPr>
          </w:p>
        </w:tc>
        <w:tc>
          <w:tcPr>
            <w:tcW w:w="3600" w:type="dxa"/>
            <w:shd w:val="clear" w:color="auto" w:fill="auto"/>
            <w:tcMar>
              <w:top w:w="11" w:type="dxa"/>
              <w:left w:w="11" w:type="dxa"/>
              <w:bottom w:w="0" w:type="dxa"/>
              <w:right w:w="11" w:type="dxa"/>
            </w:tcMar>
            <w:vAlign w:val="center"/>
            <w:hideMark/>
          </w:tcPr>
          <w:p w14:paraId="6D617A33" w14:textId="77777777" w:rsidR="00AE5220" w:rsidRPr="00D83917" w:rsidRDefault="00AE5220" w:rsidP="00E53183">
            <w:pPr>
              <w:jc w:val="center"/>
            </w:pPr>
            <w:r w:rsidRPr="00D83917">
              <w:rPr>
                <w:b/>
                <w:bCs/>
              </w:rPr>
              <w:t>Asian/Mideast Indian</w:t>
            </w:r>
          </w:p>
        </w:tc>
        <w:tc>
          <w:tcPr>
            <w:tcW w:w="1440" w:type="dxa"/>
            <w:shd w:val="clear" w:color="auto" w:fill="auto"/>
            <w:tcMar>
              <w:top w:w="11" w:type="dxa"/>
              <w:left w:w="11" w:type="dxa"/>
              <w:bottom w:w="0" w:type="dxa"/>
              <w:right w:w="11" w:type="dxa"/>
            </w:tcMar>
            <w:vAlign w:val="center"/>
            <w:hideMark/>
          </w:tcPr>
          <w:p w14:paraId="4F99E5B8" w14:textId="77777777" w:rsidR="00AE5220" w:rsidRPr="00D83917" w:rsidRDefault="00AE5220" w:rsidP="00E53183">
            <w:pPr>
              <w:jc w:val="center"/>
            </w:pPr>
            <w:r w:rsidRPr="00D83917">
              <w:t>16</w:t>
            </w:r>
          </w:p>
        </w:tc>
        <w:tc>
          <w:tcPr>
            <w:tcW w:w="1350" w:type="dxa"/>
            <w:shd w:val="clear" w:color="auto" w:fill="auto"/>
            <w:tcMar>
              <w:top w:w="11" w:type="dxa"/>
              <w:left w:w="11" w:type="dxa"/>
              <w:bottom w:w="0" w:type="dxa"/>
              <w:right w:w="11" w:type="dxa"/>
            </w:tcMar>
            <w:vAlign w:val="center"/>
            <w:hideMark/>
          </w:tcPr>
          <w:p w14:paraId="5E0EB2F6" w14:textId="77777777" w:rsidR="00AE5220" w:rsidRPr="00D83917" w:rsidRDefault="00AE5220" w:rsidP="00E53183">
            <w:pPr>
              <w:jc w:val="center"/>
            </w:pPr>
            <w:r w:rsidRPr="00D83917">
              <w:t>64</w:t>
            </w:r>
          </w:p>
        </w:tc>
      </w:tr>
      <w:tr w:rsidR="00D83917" w:rsidRPr="00D83917" w14:paraId="299B1A68" w14:textId="77777777" w:rsidTr="00E53183">
        <w:tc>
          <w:tcPr>
            <w:tcW w:w="2965" w:type="dxa"/>
            <w:vMerge/>
            <w:vAlign w:val="center"/>
            <w:hideMark/>
          </w:tcPr>
          <w:p w14:paraId="60670739" w14:textId="77777777" w:rsidR="00AE5220" w:rsidRPr="00D83917" w:rsidRDefault="00AE5220" w:rsidP="00E53183">
            <w:pPr>
              <w:jc w:val="center"/>
            </w:pPr>
          </w:p>
        </w:tc>
        <w:tc>
          <w:tcPr>
            <w:tcW w:w="3600" w:type="dxa"/>
            <w:shd w:val="clear" w:color="auto" w:fill="auto"/>
            <w:tcMar>
              <w:top w:w="11" w:type="dxa"/>
              <w:left w:w="11" w:type="dxa"/>
              <w:bottom w:w="0" w:type="dxa"/>
              <w:right w:w="11" w:type="dxa"/>
            </w:tcMar>
            <w:vAlign w:val="center"/>
            <w:hideMark/>
          </w:tcPr>
          <w:p w14:paraId="6B8D01AD" w14:textId="77777777" w:rsidR="00AE5220" w:rsidRPr="00D83917" w:rsidRDefault="00AE5220" w:rsidP="00E53183">
            <w:pPr>
              <w:jc w:val="center"/>
            </w:pPr>
            <w:r w:rsidRPr="00D83917">
              <w:rPr>
                <w:b/>
                <w:bCs/>
              </w:rPr>
              <w:t>Black/African-American</w:t>
            </w:r>
          </w:p>
        </w:tc>
        <w:tc>
          <w:tcPr>
            <w:tcW w:w="1440" w:type="dxa"/>
            <w:shd w:val="clear" w:color="auto" w:fill="auto"/>
            <w:tcMar>
              <w:top w:w="11" w:type="dxa"/>
              <w:left w:w="11" w:type="dxa"/>
              <w:bottom w:w="0" w:type="dxa"/>
              <w:right w:w="11" w:type="dxa"/>
            </w:tcMar>
            <w:vAlign w:val="center"/>
            <w:hideMark/>
          </w:tcPr>
          <w:p w14:paraId="1B86403D" w14:textId="77777777" w:rsidR="00AE5220" w:rsidRPr="00D83917" w:rsidRDefault="00AE5220" w:rsidP="00E53183">
            <w:pPr>
              <w:jc w:val="center"/>
            </w:pPr>
            <w:r w:rsidRPr="00D83917">
              <w:t>1,157</w:t>
            </w:r>
          </w:p>
        </w:tc>
        <w:tc>
          <w:tcPr>
            <w:tcW w:w="1350" w:type="dxa"/>
            <w:shd w:val="clear" w:color="auto" w:fill="auto"/>
            <w:tcMar>
              <w:top w:w="11" w:type="dxa"/>
              <w:left w:w="11" w:type="dxa"/>
              <w:bottom w:w="0" w:type="dxa"/>
              <w:right w:w="11" w:type="dxa"/>
            </w:tcMar>
            <w:vAlign w:val="center"/>
            <w:hideMark/>
          </w:tcPr>
          <w:p w14:paraId="085B1757" w14:textId="77777777" w:rsidR="00AE5220" w:rsidRPr="00D83917" w:rsidRDefault="00AE5220" w:rsidP="00E53183">
            <w:pPr>
              <w:jc w:val="center"/>
            </w:pPr>
            <w:r w:rsidRPr="00D83917">
              <w:t>4,628</w:t>
            </w:r>
          </w:p>
        </w:tc>
      </w:tr>
      <w:tr w:rsidR="00D83917" w:rsidRPr="00D83917" w14:paraId="3F48C68C" w14:textId="77777777" w:rsidTr="00E53183">
        <w:tc>
          <w:tcPr>
            <w:tcW w:w="2965" w:type="dxa"/>
            <w:vMerge/>
            <w:vAlign w:val="center"/>
            <w:hideMark/>
          </w:tcPr>
          <w:p w14:paraId="3E50CB4B" w14:textId="77777777" w:rsidR="00AE5220" w:rsidRPr="00D83917" w:rsidRDefault="00AE5220" w:rsidP="00E53183">
            <w:pPr>
              <w:jc w:val="center"/>
            </w:pPr>
          </w:p>
        </w:tc>
        <w:tc>
          <w:tcPr>
            <w:tcW w:w="3600" w:type="dxa"/>
            <w:shd w:val="clear" w:color="auto" w:fill="auto"/>
            <w:tcMar>
              <w:top w:w="11" w:type="dxa"/>
              <w:left w:w="11" w:type="dxa"/>
              <w:bottom w:w="0" w:type="dxa"/>
              <w:right w:w="11" w:type="dxa"/>
            </w:tcMar>
            <w:vAlign w:val="center"/>
            <w:hideMark/>
          </w:tcPr>
          <w:p w14:paraId="3C93C8F9" w14:textId="77777777" w:rsidR="00AE5220" w:rsidRPr="00D83917" w:rsidRDefault="00AE5220" w:rsidP="00E53183">
            <w:pPr>
              <w:jc w:val="center"/>
            </w:pPr>
            <w:r w:rsidRPr="00D83917">
              <w:rPr>
                <w:b/>
                <w:bCs/>
              </w:rPr>
              <w:t>More than one race</w:t>
            </w:r>
          </w:p>
        </w:tc>
        <w:tc>
          <w:tcPr>
            <w:tcW w:w="1440" w:type="dxa"/>
            <w:shd w:val="clear" w:color="auto" w:fill="auto"/>
            <w:tcMar>
              <w:top w:w="11" w:type="dxa"/>
              <w:left w:w="11" w:type="dxa"/>
              <w:bottom w:w="0" w:type="dxa"/>
              <w:right w:w="11" w:type="dxa"/>
            </w:tcMar>
            <w:vAlign w:val="center"/>
            <w:hideMark/>
          </w:tcPr>
          <w:p w14:paraId="0C91D24D" w14:textId="77777777" w:rsidR="00AE5220" w:rsidRPr="00D83917" w:rsidRDefault="00AE5220" w:rsidP="00E53183">
            <w:pPr>
              <w:jc w:val="center"/>
            </w:pPr>
            <w:r w:rsidRPr="00D83917">
              <w:t>11</w:t>
            </w:r>
          </w:p>
        </w:tc>
        <w:tc>
          <w:tcPr>
            <w:tcW w:w="1350" w:type="dxa"/>
            <w:shd w:val="clear" w:color="auto" w:fill="auto"/>
            <w:tcMar>
              <w:top w:w="11" w:type="dxa"/>
              <w:left w:w="11" w:type="dxa"/>
              <w:bottom w:w="0" w:type="dxa"/>
              <w:right w:w="11" w:type="dxa"/>
            </w:tcMar>
            <w:vAlign w:val="center"/>
            <w:hideMark/>
          </w:tcPr>
          <w:p w14:paraId="513D7F48" w14:textId="77777777" w:rsidR="00AE5220" w:rsidRPr="00D83917" w:rsidRDefault="00AE5220" w:rsidP="00E53183">
            <w:pPr>
              <w:jc w:val="center"/>
            </w:pPr>
            <w:r w:rsidRPr="00D83917">
              <w:t>44</w:t>
            </w:r>
          </w:p>
        </w:tc>
      </w:tr>
      <w:tr w:rsidR="00D83917" w:rsidRPr="00D83917" w14:paraId="33CBE1A4" w14:textId="77777777" w:rsidTr="00E53183">
        <w:tc>
          <w:tcPr>
            <w:tcW w:w="2965" w:type="dxa"/>
            <w:vMerge/>
            <w:vAlign w:val="center"/>
            <w:hideMark/>
          </w:tcPr>
          <w:p w14:paraId="65F5B715" w14:textId="77777777" w:rsidR="00AE5220" w:rsidRPr="00D83917" w:rsidRDefault="00AE5220" w:rsidP="00E53183">
            <w:pPr>
              <w:jc w:val="center"/>
            </w:pPr>
          </w:p>
        </w:tc>
        <w:tc>
          <w:tcPr>
            <w:tcW w:w="3600" w:type="dxa"/>
            <w:shd w:val="clear" w:color="auto" w:fill="auto"/>
            <w:tcMar>
              <w:top w:w="11" w:type="dxa"/>
              <w:left w:w="11" w:type="dxa"/>
              <w:bottom w:w="0" w:type="dxa"/>
              <w:right w:w="11" w:type="dxa"/>
            </w:tcMar>
            <w:vAlign w:val="center"/>
            <w:hideMark/>
          </w:tcPr>
          <w:p w14:paraId="1E7D92BF" w14:textId="77777777" w:rsidR="00AE5220" w:rsidRPr="00D83917" w:rsidRDefault="00AE5220" w:rsidP="00E53183">
            <w:pPr>
              <w:jc w:val="center"/>
            </w:pPr>
            <w:r w:rsidRPr="00D83917">
              <w:rPr>
                <w:b/>
                <w:bCs/>
              </w:rPr>
              <w:t>White</w:t>
            </w:r>
          </w:p>
        </w:tc>
        <w:tc>
          <w:tcPr>
            <w:tcW w:w="1440" w:type="dxa"/>
            <w:shd w:val="clear" w:color="auto" w:fill="auto"/>
            <w:tcMar>
              <w:top w:w="11" w:type="dxa"/>
              <w:left w:w="11" w:type="dxa"/>
              <w:bottom w:w="0" w:type="dxa"/>
              <w:right w:w="11" w:type="dxa"/>
            </w:tcMar>
            <w:vAlign w:val="center"/>
            <w:hideMark/>
          </w:tcPr>
          <w:p w14:paraId="5273755D" w14:textId="77777777" w:rsidR="00AE5220" w:rsidRPr="00D83917" w:rsidRDefault="00AE5220" w:rsidP="00E53183">
            <w:pPr>
              <w:jc w:val="center"/>
            </w:pPr>
            <w:r w:rsidRPr="00D83917">
              <w:t>330</w:t>
            </w:r>
          </w:p>
        </w:tc>
        <w:tc>
          <w:tcPr>
            <w:tcW w:w="1350" w:type="dxa"/>
            <w:shd w:val="clear" w:color="auto" w:fill="auto"/>
            <w:tcMar>
              <w:top w:w="11" w:type="dxa"/>
              <w:left w:w="11" w:type="dxa"/>
              <w:bottom w:w="0" w:type="dxa"/>
              <w:right w:w="11" w:type="dxa"/>
            </w:tcMar>
            <w:vAlign w:val="center"/>
            <w:hideMark/>
          </w:tcPr>
          <w:p w14:paraId="326A51AB" w14:textId="77777777" w:rsidR="00AE5220" w:rsidRPr="00D83917" w:rsidRDefault="00AE5220" w:rsidP="00E53183">
            <w:pPr>
              <w:jc w:val="center"/>
            </w:pPr>
            <w:r w:rsidRPr="00D83917">
              <w:t>1,320</w:t>
            </w:r>
          </w:p>
        </w:tc>
      </w:tr>
      <w:tr w:rsidR="00D83917" w:rsidRPr="00D83917" w14:paraId="6B94E063" w14:textId="77777777" w:rsidTr="00E53183">
        <w:tc>
          <w:tcPr>
            <w:tcW w:w="2965" w:type="dxa"/>
            <w:vMerge/>
            <w:vAlign w:val="center"/>
            <w:hideMark/>
          </w:tcPr>
          <w:p w14:paraId="2F9C2639" w14:textId="77777777" w:rsidR="00AE5220" w:rsidRPr="00D83917" w:rsidRDefault="00AE5220" w:rsidP="00E53183">
            <w:pPr>
              <w:jc w:val="center"/>
            </w:pPr>
          </w:p>
        </w:tc>
        <w:tc>
          <w:tcPr>
            <w:tcW w:w="3600" w:type="dxa"/>
            <w:shd w:val="clear" w:color="auto" w:fill="auto"/>
            <w:tcMar>
              <w:top w:w="11" w:type="dxa"/>
              <w:left w:w="11" w:type="dxa"/>
              <w:bottom w:w="0" w:type="dxa"/>
              <w:right w:w="11" w:type="dxa"/>
            </w:tcMar>
            <w:vAlign w:val="center"/>
            <w:hideMark/>
          </w:tcPr>
          <w:p w14:paraId="147323CA" w14:textId="77777777" w:rsidR="00AE5220" w:rsidRPr="00D83917" w:rsidRDefault="00AE5220" w:rsidP="00E53183">
            <w:pPr>
              <w:jc w:val="center"/>
            </w:pPr>
            <w:r w:rsidRPr="00D83917">
              <w:rPr>
                <w:b/>
                <w:bCs/>
              </w:rPr>
              <w:t>Unknown</w:t>
            </w:r>
          </w:p>
        </w:tc>
        <w:tc>
          <w:tcPr>
            <w:tcW w:w="1440" w:type="dxa"/>
            <w:shd w:val="clear" w:color="auto" w:fill="auto"/>
            <w:tcMar>
              <w:top w:w="11" w:type="dxa"/>
              <w:left w:w="11" w:type="dxa"/>
              <w:bottom w:w="0" w:type="dxa"/>
              <w:right w:w="11" w:type="dxa"/>
            </w:tcMar>
            <w:vAlign w:val="center"/>
            <w:hideMark/>
          </w:tcPr>
          <w:p w14:paraId="2030B003" w14:textId="77777777" w:rsidR="00AE5220" w:rsidRPr="00D83917" w:rsidRDefault="00AE5220" w:rsidP="00E53183">
            <w:pPr>
              <w:jc w:val="center"/>
            </w:pPr>
            <w:r w:rsidRPr="00D83917">
              <w:t>24</w:t>
            </w:r>
          </w:p>
        </w:tc>
        <w:tc>
          <w:tcPr>
            <w:tcW w:w="1350" w:type="dxa"/>
            <w:shd w:val="clear" w:color="auto" w:fill="auto"/>
            <w:tcMar>
              <w:top w:w="11" w:type="dxa"/>
              <w:left w:w="11" w:type="dxa"/>
              <w:bottom w:w="0" w:type="dxa"/>
              <w:right w:w="11" w:type="dxa"/>
            </w:tcMar>
            <w:vAlign w:val="center"/>
            <w:hideMark/>
          </w:tcPr>
          <w:p w14:paraId="06DD1C57" w14:textId="77777777" w:rsidR="00AE5220" w:rsidRPr="00D83917" w:rsidRDefault="00AE5220" w:rsidP="00E53183">
            <w:pPr>
              <w:jc w:val="center"/>
            </w:pPr>
            <w:r w:rsidRPr="00D83917">
              <w:t>96</w:t>
            </w:r>
          </w:p>
        </w:tc>
      </w:tr>
      <w:tr w:rsidR="00D83917" w:rsidRPr="00D83917" w14:paraId="5F7948D2" w14:textId="77777777" w:rsidTr="00E53183">
        <w:tc>
          <w:tcPr>
            <w:tcW w:w="6565" w:type="dxa"/>
            <w:gridSpan w:val="2"/>
            <w:vAlign w:val="center"/>
          </w:tcPr>
          <w:p w14:paraId="49712B4D" w14:textId="77777777" w:rsidR="00AE5220" w:rsidRPr="00D83917" w:rsidRDefault="00AE5220" w:rsidP="00E53183">
            <w:pPr>
              <w:jc w:val="center"/>
              <w:rPr>
                <w:b/>
                <w:bCs/>
              </w:rPr>
            </w:pPr>
            <w:r w:rsidRPr="00D83917">
              <w:rPr>
                <w:b/>
                <w:bCs/>
              </w:rPr>
              <w:t>Total number of patients</w:t>
            </w:r>
          </w:p>
        </w:tc>
        <w:tc>
          <w:tcPr>
            <w:tcW w:w="1440" w:type="dxa"/>
            <w:shd w:val="clear" w:color="auto" w:fill="auto"/>
            <w:tcMar>
              <w:top w:w="11" w:type="dxa"/>
              <w:left w:w="11" w:type="dxa"/>
              <w:bottom w:w="0" w:type="dxa"/>
              <w:right w:w="11" w:type="dxa"/>
            </w:tcMar>
            <w:vAlign w:val="center"/>
          </w:tcPr>
          <w:p w14:paraId="15971433" w14:textId="77777777" w:rsidR="00AE5220" w:rsidRPr="00D83917" w:rsidRDefault="00AE5220" w:rsidP="00E53183">
            <w:pPr>
              <w:jc w:val="center"/>
            </w:pPr>
            <w:r w:rsidRPr="00D83917">
              <w:rPr>
                <w:rFonts w:hint="eastAsia"/>
              </w:rPr>
              <w:t>1</w:t>
            </w:r>
            <w:r w:rsidRPr="00D83917">
              <w:t>,540</w:t>
            </w:r>
          </w:p>
        </w:tc>
        <w:tc>
          <w:tcPr>
            <w:tcW w:w="1350" w:type="dxa"/>
            <w:shd w:val="clear" w:color="auto" w:fill="auto"/>
            <w:tcMar>
              <w:top w:w="11" w:type="dxa"/>
              <w:left w:w="11" w:type="dxa"/>
              <w:bottom w:w="0" w:type="dxa"/>
              <w:right w:w="11" w:type="dxa"/>
            </w:tcMar>
            <w:vAlign w:val="center"/>
          </w:tcPr>
          <w:p w14:paraId="5FEE993B" w14:textId="77777777" w:rsidR="00AE5220" w:rsidRPr="00D83917" w:rsidRDefault="00AE5220" w:rsidP="00E53183">
            <w:pPr>
              <w:jc w:val="center"/>
            </w:pPr>
            <w:r w:rsidRPr="00D83917">
              <w:rPr>
                <w:rFonts w:hint="eastAsia"/>
              </w:rPr>
              <w:t>6</w:t>
            </w:r>
            <w:r w:rsidRPr="00D83917">
              <w:t>,160</w:t>
            </w:r>
          </w:p>
        </w:tc>
      </w:tr>
    </w:tbl>
    <w:p w14:paraId="4AEB78B4" w14:textId="77777777" w:rsidR="00AE5220" w:rsidRPr="00D83917" w:rsidRDefault="00AE5220" w:rsidP="00AE5220">
      <w:pPr>
        <w:rPr>
          <w:sz w:val="20"/>
          <w:szCs w:val="20"/>
        </w:rPr>
      </w:pPr>
      <w:r w:rsidRPr="00D83917">
        <w:rPr>
          <w:sz w:val="20"/>
          <w:szCs w:val="20"/>
        </w:rPr>
        <w:t>Numbers before and in the parentheses are mean and standard deviation, respectively.</w:t>
      </w:r>
    </w:p>
    <w:p w14:paraId="7D6A8F62" w14:textId="7C0B965D" w:rsidR="00A95863" w:rsidRPr="00D83917" w:rsidRDefault="00A95863" w:rsidP="005C6AB9">
      <w:pPr>
        <w:ind w:firstLine="720"/>
        <w:jc w:val="both"/>
      </w:pPr>
    </w:p>
    <w:p w14:paraId="548A22AD" w14:textId="77777777" w:rsidR="003241C2" w:rsidRPr="00D83917" w:rsidRDefault="003241C2" w:rsidP="005C6AB9">
      <w:pPr>
        <w:ind w:firstLine="720"/>
        <w:jc w:val="both"/>
      </w:pPr>
    </w:p>
    <w:p w14:paraId="7571979D" w14:textId="77777777" w:rsidR="003241C2" w:rsidRPr="00D83917" w:rsidRDefault="003241C2" w:rsidP="005C6AB9">
      <w:pPr>
        <w:ind w:firstLine="720"/>
        <w:jc w:val="both"/>
      </w:pPr>
    </w:p>
    <w:p w14:paraId="4168B73E" w14:textId="77777777" w:rsidR="00AE5220" w:rsidRPr="00D83917" w:rsidRDefault="00AE5220" w:rsidP="00AE5220">
      <w:r w:rsidRPr="00D83917">
        <w:rPr>
          <w:noProof/>
          <w:lang w:eastAsia="en-US"/>
        </w:rPr>
        <w:drawing>
          <wp:inline distT="0" distB="0" distL="0" distR="0" wp14:anchorId="6EB3C5BF" wp14:editId="01B632FE">
            <wp:extent cx="5891618" cy="2242088"/>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stogr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02870" cy="2246370"/>
                    </a:xfrm>
                    <a:prstGeom prst="rect">
                      <a:avLst/>
                    </a:prstGeom>
                  </pic:spPr>
                </pic:pic>
              </a:graphicData>
            </a:graphic>
          </wp:inline>
        </w:drawing>
      </w:r>
    </w:p>
    <w:p w14:paraId="694A9E9C" w14:textId="6AC3BE3E" w:rsidR="00AE5220" w:rsidRPr="00D83917" w:rsidRDefault="00AE5220" w:rsidP="00AE5220">
      <w:pPr>
        <w:jc w:val="both"/>
        <w:rPr>
          <w:b/>
          <w:i/>
        </w:rPr>
      </w:pPr>
      <w:r w:rsidRPr="00D83917">
        <w:rPr>
          <w:b/>
        </w:rPr>
        <w:t>Supplementary Figure 1</w:t>
      </w:r>
      <w:r w:rsidRPr="00D83917">
        <w:t xml:space="preserve">  </w:t>
      </w:r>
      <w:r w:rsidR="00CD3C22" w:rsidRPr="00D83917">
        <w:t xml:space="preserve"> </w:t>
      </w:r>
      <w:r w:rsidRPr="00D83917">
        <w:t xml:space="preserve"> (a) Distribution of the time series length of case patients. (b) Distribution of the time duration between the transition point and the last time point </w:t>
      </w:r>
      <w:r w:rsidR="006272B8" w:rsidRPr="00D83917">
        <w:t xml:space="preserve">of </w:t>
      </w:r>
      <w:r w:rsidR="00A20C31" w:rsidRPr="00D83917">
        <w:t xml:space="preserve">the </w:t>
      </w:r>
      <w:r w:rsidR="006272B8" w:rsidRPr="00D83917">
        <w:t>time series</w:t>
      </w:r>
      <w:r w:rsidRPr="00D83917">
        <w:t xml:space="preserve"> used in </w:t>
      </w:r>
      <w:r w:rsidR="00A20C31" w:rsidRPr="00D83917">
        <w:t xml:space="preserve">the </w:t>
      </w:r>
      <w:r w:rsidRPr="00D83917">
        <w:t xml:space="preserve">analysis for case patients. </w:t>
      </w:r>
    </w:p>
    <w:p w14:paraId="163F8F93" w14:textId="77777777" w:rsidR="00AE5220" w:rsidRPr="00D83917" w:rsidRDefault="00AE5220" w:rsidP="00CB6869">
      <w:pPr>
        <w:jc w:val="both"/>
      </w:pPr>
    </w:p>
    <w:p w14:paraId="6DA94EFE" w14:textId="77777777" w:rsidR="00AE5220" w:rsidRPr="00D83917" w:rsidRDefault="00AE5220" w:rsidP="005C6AB9">
      <w:pPr>
        <w:ind w:firstLine="720"/>
        <w:jc w:val="both"/>
      </w:pPr>
    </w:p>
    <w:p w14:paraId="6394600D" w14:textId="172B4E5F" w:rsidR="00A95863" w:rsidRPr="00D83917" w:rsidRDefault="00A95863" w:rsidP="005C6AB9">
      <w:pPr>
        <w:ind w:firstLine="720"/>
        <w:jc w:val="both"/>
      </w:pPr>
    </w:p>
    <w:p w14:paraId="294154C6" w14:textId="02600776" w:rsidR="00424709" w:rsidRPr="00D83917" w:rsidRDefault="00424709" w:rsidP="00424709">
      <w:pPr>
        <w:jc w:val="both"/>
      </w:pPr>
      <w:r w:rsidRPr="00D83917">
        <w:rPr>
          <w:b/>
          <w:sz w:val="28"/>
          <w:szCs w:val="28"/>
        </w:rPr>
        <w:t xml:space="preserve">Section 4: </w:t>
      </w:r>
      <w:r w:rsidR="004A51FC" w:rsidRPr="00D83917">
        <w:rPr>
          <w:b/>
          <w:sz w:val="28"/>
          <w:szCs w:val="28"/>
        </w:rPr>
        <w:t xml:space="preserve">Generation of Data without Patient Stage </w:t>
      </w:r>
      <w:proofErr w:type="spellStart"/>
      <w:r w:rsidR="004A51FC" w:rsidRPr="00D83917">
        <w:rPr>
          <w:b/>
          <w:sz w:val="28"/>
          <w:szCs w:val="28"/>
        </w:rPr>
        <w:t>IIIb</w:t>
      </w:r>
      <w:proofErr w:type="spellEnd"/>
      <w:r w:rsidR="004A51FC" w:rsidRPr="00D83917">
        <w:rPr>
          <w:b/>
          <w:sz w:val="28"/>
          <w:szCs w:val="28"/>
        </w:rPr>
        <w:t xml:space="preserve"> Information</w:t>
      </w:r>
      <w:r w:rsidRPr="00D83917">
        <w:rPr>
          <w:b/>
          <w:sz w:val="28"/>
          <w:szCs w:val="28"/>
        </w:rPr>
        <w:t xml:space="preserve"> </w:t>
      </w:r>
    </w:p>
    <w:p w14:paraId="4A5E03A0" w14:textId="77777777" w:rsidR="00424709" w:rsidRPr="00D83917" w:rsidRDefault="00424709" w:rsidP="00424709"/>
    <w:p w14:paraId="13BDE6D9" w14:textId="67FAACAF" w:rsidR="00424709" w:rsidRPr="00D83917" w:rsidRDefault="00945F45" w:rsidP="00424709">
      <w:pPr>
        <w:ind w:firstLine="720"/>
        <w:jc w:val="both"/>
      </w:pPr>
      <w:r w:rsidRPr="00D83917">
        <w:t xml:space="preserve">To generate data without patient stage </w:t>
      </w:r>
      <w:proofErr w:type="spellStart"/>
      <w:r w:rsidRPr="00D83917">
        <w:t>IIIb</w:t>
      </w:r>
      <w:proofErr w:type="spellEnd"/>
      <w:r w:rsidRPr="00D83917">
        <w:t xml:space="preserve"> information, we </w:t>
      </w:r>
      <w:r w:rsidR="004A51FC" w:rsidRPr="00D83917">
        <w:t>basi</w:t>
      </w:r>
      <w:r w:rsidRPr="00D83917">
        <w:t>cally</w:t>
      </w:r>
      <w:r w:rsidR="004A51FC" w:rsidRPr="00D83917">
        <w:t xml:space="preserve"> </w:t>
      </w:r>
      <w:r w:rsidR="005C3F6D" w:rsidRPr="00D83917">
        <w:t>remov</w:t>
      </w:r>
      <w:r w:rsidR="004D1491" w:rsidRPr="00D83917">
        <w:t>e</w:t>
      </w:r>
      <w:r w:rsidR="005C3F6D" w:rsidRPr="00D83917">
        <w:t xml:space="preserve"> </w:t>
      </w:r>
      <w:r w:rsidR="004D1491" w:rsidRPr="00D83917">
        <w:t xml:space="preserve">the </w:t>
      </w:r>
      <w:r w:rsidR="005C3F6D" w:rsidRPr="00D83917">
        <w:t xml:space="preserve">feature vectors at time points corresponding to stage </w:t>
      </w:r>
      <w:proofErr w:type="spellStart"/>
      <w:r w:rsidR="005C3F6D" w:rsidRPr="00D83917">
        <w:t>IIIb</w:t>
      </w:r>
      <w:proofErr w:type="spellEnd"/>
      <w:r w:rsidR="004D1491" w:rsidRPr="00D83917">
        <w:t xml:space="preserve"> from each patient’s time series</w:t>
      </w:r>
      <w:r w:rsidR="005C3F6D" w:rsidRPr="00D83917">
        <w:t xml:space="preserve">, so that the remaining feature vectors represent </w:t>
      </w:r>
      <w:r w:rsidR="004D1491" w:rsidRPr="00D83917">
        <w:t xml:space="preserve">only stage </w:t>
      </w:r>
      <w:proofErr w:type="spellStart"/>
      <w:r w:rsidR="005C3F6D" w:rsidRPr="00D83917">
        <w:t>IIIa</w:t>
      </w:r>
      <w:proofErr w:type="spellEnd"/>
      <w:r w:rsidR="005C3F6D" w:rsidRPr="00D83917">
        <w:t xml:space="preserve"> </w:t>
      </w:r>
      <w:r w:rsidR="00623016" w:rsidRPr="00D83917">
        <w:t>and</w:t>
      </w:r>
      <w:r w:rsidR="005C3F6D" w:rsidRPr="00D83917">
        <w:t xml:space="preserve"> earlier stages. To detect stage </w:t>
      </w:r>
      <w:proofErr w:type="spellStart"/>
      <w:r w:rsidR="005C3F6D" w:rsidRPr="00D83917">
        <w:t>IIIb</w:t>
      </w:r>
      <w:proofErr w:type="spellEnd"/>
      <w:r w:rsidR="005C3F6D" w:rsidRPr="00D83917">
        <w:t xml:space="preserve"> time points, we follow the approach of identifying transition to stage</w:t>
      </w:r>
      <w:r w:rsidR="0073784F" w:rsidRPr="00D83917">
        <w:t>s</w:t>
      </w:r>
      <w:r w:rsidR="005C3F6D" w:rsidRPr="00D83917">
        <w:t xml:space="preserve"> IV/V as described </w:t>
      </w:r>
      <w:r w:rsidR="0073784F" w:rsidRPr="00D83917">
        <w:t>in the main text</w:t>
      </w:r>
      <w:r w:rsidR="005C3F6D" w:rsidRPr="00D83917">
        <w:t xml:space="preserve">, but use 44 as the cutoff on </w:t>
      </w:r>
      <w:proofErr w:type="spellStart"/>
      <w:r w:rsidR="005C3F6D" w:rsidRPr="00D83917">
        <w:t>eGFR</w:t>
      </w:r>
      <w:proofErr w:type="spellEnd"/>
      <w:r w:rsidR="005C3F6D" w:rsidRPr="00D83917">
        <w:t xml:space="preserve"> instead of 29, to identify the transition point to stage</w:t>
      </w:r>
      <w:r w:rsidR="0073784F" w:rsidRPr="00D83917">
        <w:t>s</w:t>
      </w:r>
      <w:r w:rsidR="005C3F6D" w:rsidRPr="00D83917">
        <w:t xml:space="preserve"> </w:t>
      </w:r>
      <w:proofErr w:type="spellStart"/>
      <w:r w:rsidR="005C3F6D" w:rsidRPr="00D83917">
        <w:t>IIIb</w:t>
      </w:r>
      <w:proofErr w:type="spellEnd"/>
      <w:r w:rsidR="005C3F6D" w:rsidRPr="00D83917">
        <w:t>/IV/V. If a transition to stage</w:t>
      </w:r>
      <w:r w:rsidR="0073784F" w:rsidRPr="00D83917">
        <w:t>s</w:t>
      </w:r>
      <w:r w:rsidR="005C3F6D" w:rsidRPr="00D83917">
        <w:t xml:space="preserve"> </w:t>
      </w:r>
      <w:proofErr w:type="spellStart"/>
      <w:r w:rsidR="005C3F6D" w:rsidRPr="00D83917">
        <w:t>IIIb</w:t>
      </w:r>
      <w:proofErr w:type="spellEnd"/>
      <w:r w:rsidR="005C3F6D" w:rsidRPr="00D83917">
        <w:t xml:space="preserve">/IV/V </w:t>
      </w:r>
      <w:r w:rsidR="00827F61" w:rsidRPr="00D83917">
        <w:t>is</w:t>
      </w:r>
      <w:r w:rsidR="005C3F6D" w:rsidRPr="00D83917">
        <w:t xml:space="preserve"> identified, </w:t>
      </w:r>
      <w:r w:rsidR="0073784F" w:rsidRPr="00D83917">
        <w:t xml:space="preserve">feature vectors of </w:t>
      </w:r>
      <w:r w:rsidR="005C3F6D" w:rsidRPr="00D83917">
        <w:t xml:space="preserve">time points after the transition point </w:t>
      </w:r>
      <w:r w:rsidR="00827F61" w:rsidRPr="00D83917">
        <w:t>are</w:t>
      </w:r>
      <w:r w:rsidR="005C3F6D" w:rsidRPr="00D83917">
        <w:t xml:space="preserve"> </w:t>
      </w:r>
      <w:r w:rsidR="00436CD7" w:rsidRPr="00D83917">
        <w:t>excluded from analysis</w:t>
      </w:r>
      <w:r w:rsidR="005C3F6D" w:rsidRPr="00D83917">
        <w:t>.</w:t>
      </w:r>
    </w:p>
    <w:p w14:paraId="736A4F47" w14:textId="50703C8C" w:rsidR="00424709" w:rsidRPr="00D83917" w:rsidRDefault="00424709" w:rsidP="005C6AB9">
      <w:pPr>
        <w:ind w:firstLine="720"/>
        <w:jc w:val="both"/>
      </w:pPr>
    </w:p>
    <w:p w14:paraId="68AAC35D" w14:textId="6D172F79" w:rsidR="003241C2" w:rsidRPr="00D83917" w:rsidRDefault="003241C2" w:rsidP="005C6AB9">
      <w:pPr>
        <w:ind w:firstLine="720"/>
        <w:jc w:val="both"/>
      </w:pPr>
      <w:r w:rsidRPr="00D83917">
        <w:t>Supplementary Table 2 gives the numbers of case and control patients in the matched data generated using different settings.</w:t>
      </w:r>
    </w:p>
    <w:p w14:paraId="7CD2CBBA" w14:textId="77777777" w:rsidR="003241C2" w:rsidRPr="00D83917" w:rsidRDefault="003241C2" w:rsidP="005C6AB9">
      <w:pPr>
        <w:ind w:firstLine="720"/>
        <w:jc w:val="both"/>
      </w:pPr>
    </w:p>
    <w:p w14:paraId="0DCB9C97" w14:textId="57EEBCEE" w:rsidR="003241C2" w:rsidRPr="00D83917" w:rsidRDefault="003241C2" w:rsidP="005C6AB9">
      <w:pPr>
        <w:ind w:firstLine="720"/>
        <w:jc w:val="both"/>
      </w:pPr>
      <w:r w:rsidRPr="00D83917">
        <w:t xml:space="preserve"> </w:t>
      </w:r>
    </w:p>
    <w:p w14:paraId="7CCF941B" w14:textId="4271DA6D" w:rsidR="00424709" w:rsidRPr="00D83917" w:rsidRDefault="00424709" w:rsidP="005C6AB9">
      <w:pPr>
        <w:ind w:firstLine="720"/>
        <w:jc w:val="both"/>
      </w:pPr>
    </w:p>
    <w:p w14:paraId="0E147FD0" w14:textId="1D1B00DE" w:rsidR="00AE5220" w:rsidRPr="00D83917" w:rsidRDefault="00AE5220" w:rsidP="00CB6869">
      <w:pPr>
        <w:jc w:val="both"/>
      </w:pPr>
      <w:r w:rsidRPr="00D83917">
        <w:rPr>
          <w:b/>
          <w:bCs/>
        </w:rPr>
        <w:t xml:space="preserve">Supplementary Table 2    </w:t>
      </w:r>
      <w:r w:rsidRPr="00D83917">
        <w:rPr>
          <w:bCs/>
        </w:rPr>
        <w:t>Numbers of patients in the matched data generated with different settings.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35"/>
        <w:gridCol w:w="2700"/>
        <w:gridCol w:w="2790"/>
        <w:gridCol w:w="1170"/>
        <w:gridCol w:w="1260"/>
      </w:tblGrid>
      <w:tr w:rsidR="00D83917" w:rsidRPr="00D83917" w14:paraId="1AD2B288" w14:textId="77777777" w:rsidTr="00E53183">
        <w:trPr>
          <w:trHeight w:val="320"/>
        </w:trPr>
        <w:tc>
          <w:tcPr>
            <w:tcW w:w="1435" w:type="dxa"/>
            <w:shd w:val="clear" w:color="auto" w:fill="auto"/>
            <w:tcMar>
              <w:top w:w="15" w:type="dxa"/>
              <w:left w:w="15" w:type="dxa"/>
              <w:bottom w:w="0" w:type="dxa"/>
              <w:right w:w="15" w:type="dxa"/>
            </w:tcMar>
            <w:vAlign w:val="center"/>
            <w:hideMark/>
          </w:tcPr>
          <w:p w14:paraId="4378143F" w14:textId="77777777" w:rsidR="00AE5220" w:rsidRPr="00D83917" w:rsidRDefault="00AE5220" w:rsidP="00E53183">
            <w:pPr>
              <w:jc w:val="center"/>
            </w:pPr>
            <w:r w:rsidRPr="00D83917">
              <w:rPr>
                <w:b/>
                <w:bCs/>
              </w:rPr>
              <w:t>Variable</w:t>
            </w:r>
          </w:p>
        </w:tc>
        <w:tc>
          <w:tcPr>
            <w:tcW w:w="2700" w:type="dxa"/>
            <w:shd w:val="clear" w:color="auto" w:fill="auto"/>
            <w:tcMar>
              <w:top w:w="15" w:type="dxa"/>
              <w:left w:w="15" w:type="dxa"/>
              <w:bottom w:w="0" w:type="dxa"/>
              <w:right w:w="15" w:type="dxa"/>
            </w:tcMar>
            <w:vAlign w:val="center"/>
            <w:hideMark/>
          </w:tcPr>
          <w:p w14:paraId="70AD8BE0" w14:textId="77777777" w:rsidR="00AE5220" w:rsidRPr="00D83917" w:rsidRDefault="00AE5220" w:rsidP="00E53183">
            <w:pPr>
              <w:jc w:val="center"/>
            </w:pPr>
            <w:r w:rsidRPr="00D83917">
              <w:rPr>
                <w:b/>
                <w:bCs/>
              </w:rPr>
              <w:t xml:space="preserve">Stage </w:t>
            </w:r>
            <w:proofErr w:type="spellStart"/>
            <w:r w:rsidRPr="00D83917">
              <w:rPr>
                <w:b/>
                <w:bCs/>
              </w:rPr>
              <w:t>IIIb</w:t>
            </w:r>
            <w:proofErr w:type="spellEnd"/>
            <w:r w:rsidRPr="00D83917">
              <w:rPr>
                <w:b/>
                <w:bCs/>
              </w:rPr>
              <w:t xml:space="preserve"> data excluded</w:t>
            </w:r>
          </w:p>
        </w:tc>
        <w:tc>
          <w:tcPr>
            <w:tcW w:w="2790" w:type="dxa"/>
            <w:shd w:val="clear" w:color="auto" w:fill="auto"/>
            <w:tcMar>
              <w:top w:w="15" w:type="dxa"/>
              <w:left w:w="15" w:type="dxa"/>
              <w:bottom w:w="0" w:type="dxa"/>
              <w:right w:w="15" w:type="dxa"/>
            </w:tcMar>
            <w:vAlign w:val="center"/>
            <w:hideMark/>
          </w:tcPr>
          <w:p w14:paraId="4CDC0C28" w14:textId="77777777" w:rsidR="00AE5220" w:rsidRPr="00D83917" w:rsidRDefault="00AE5220" w:rsidP="00E53183">
            <w:pPr>
              <w:jc w:val="center"/>
            </w:pPr>
            <w:r w:rsidRPr="00D83917">
              <w:rPr>
                <w:b/>
                <w:bCs/>
              </w:rPr>
              <w:t>Prediction window (</w:t>
            </w:r>
            <m:oMath>
              <m:sSub>
                <m:sSubPr>
                  <m:ctrlPr>
                    <w:rPr>
                      <w:rFonts w:ascii="Cambria Math" w:hAnsi="Cambria Math"/>
                      <w:b/>
                      <w:i/>
                    </w:rPr>
                  </m:ctrlPr>
                </m:sSubPr>
                <m:e>
                  <m:r>
                    <m:rPr>
                      <m:sty m:val="bi"/>
                    </m:rPr>
                    <w:rPr>
                      <w:rFonts w:ascii="Cambria Math" w:hAnsi="Cambria Math"/>
                    </w:rPr>
                    <m:t>t</m:t>
                  </m:r>
                </m:e>
                <m:sub>
                  <m:r>
                    <m:rPr>
                      <m:sty m:val="b"/>
                    </m:rPr>
                    <w:rPr>
                      <w:rFonts w:ascii="Cambria Math" w:hAnsi="Cambria Math"/>
                    </w:rPr>
                    <m:t>pre</m:t>
                  </m:r>
                </m:sub>
              </m:sSub>
            </m:oMath>
            <w:r w:rsidRPr="00D83917">
              <w:rPr>
                <w:b/>
                <w:bCs/>
              </w:rPr>
              <w:t>)</w:t>
            </w:r>
          </w:p>
        </w:tc>
        <w:tc>
          <w:tcPr>
            <w:tcW w:w="1170" w:type="dxa"/>
            <w:shd w:val="clear" w:color="auto" w:fill="auto"/>
            <w:tcMar>
              <w:top w:w="15" w:type="dxa"/>
              <w:left w:w="15" w:type="dxa"/>
              <w:bottom w:w="0" w:type="dxa"/>
              <w:right w:w="15" w:type="dxa"/>
            </w:tcMar>
            <w:vAlign w:val="center"/>
            <w:hideMark/>
          </w:tcPr>
          <w:p w14:paraId="30CB3712" w14:textId="77777777" w:rsidR="00AE5220" w:rsidRPr="00D83917" w:rsidRDefault="00AE5220" w:rsidP="00E53183">
            <w:pPr>
              <w:jc w:val="center"/>
            </w:pPr>
            <w:r w:rsidRPr="00D83917">
              <w:rPr>
                <w:b/>
                <w:bCs/>
              </w:rPr>
              <w:t># Case</w:t>
            </w:r>
          </w:p>
        </w:tc>
        <w:tc>
          <w:tcPr>
            <w:tcW w:w="1260" w:type="dxa"/>
            <w:shd w:val="clear" w:color="auto" w:fill="auto"/>
            <w:tcMar>
              <w:top w:w="15" w:type="dxa"/>
              <w:left w:w="15" w:type="dxa"/>
              <w:bottom w:w="0" w:type="dxa"/>
              <w:right w:w="15" w:type="dxa"/>
            </w:tcMar>
            <w:vAlign w:val="center"/>
            <w:hideMark/>
          </w:tcPr>
          <w:p w14:paraId="7F0C6D86" w14:textId="77777777" w:rsidR="00AE5220" w:rsidRPr="00D83917" w:rsidRDefault="00AE5220" w:rsidP="00E53183">
            <w:pPr>
              <w:jc w:val="center"/>
            </w:pPr>
            <w:r w:rsidRPr="00D83917">
              <w:rPr>
                <w:b/>
                <w:bCs/>
              </w:rPr>
              <w:t># Control</w:t>
            </w:r>
          </w:p>
        </w:tc>
      </w:tr>
      <w:tr w:rsidR="00D83917" w:rsidRPr="00D83917" w14:paraId="7D846FCC" w14:textId="77777777" w:rsidTr="00E53183">
        <w:trPr>
          <w:trHeight w:val="320"/>
        </w:trPr>
        <w:tc>
          <w:tcPr>
            <w:tcW w:w="1435" w:type="dxa"/>
            <w:vMerge w:val="restart"/>
            <w:shd w:val="clear" w:color="auto" w:fill="auto"/>
            <w:tcMar>
              <w:top w:w="15" w:type="dxa"/>
              <w:left w:w="15" w:type="dxa"/>
              <w:bottom w:w="0" w:type="dxa"/>
              <w:right w:w="15" w:type="dxa"/>
            </w:tcMar>
            <w:vAlign w:val="center"/>
            <w:hideMark/>
          </w:tcPr>
          <w:p w14:paraId="2017C0D5" w14:textId="77777777" w:rsidR="00AE5220" w:rsidRPr="00D83917" w:rsidRDefault="00AE5220" w:rsidP="00E53183">
            <w:pPr>
              <w:jc w:val="center"/>
            </w:pPr>
            <w:r w:rsidRPr="00D83917">
              <w:rPr>
                <w:bCs/>
              </w:rPr>
              <w:t>Essential</w:t>
            </w:r>
          </w:p>
        </w:tc>
        <w:tc>
          <w:tcPr>
            <w:tcW w:w="2700" w:type="dxa"/>
            <w:vMerge w:val="restart"/>
            <w:shd w:val="clear" w:color="auto" w:fill="auto"/>
            <w:tcMar>
              <w:top w:w="15" w:type="dxa"/>
              <w:left w:w="15" w:type="dxa"/>
              <w:bottom w:w="0" w:type="dxa"/>
              <w:right w:w="15" w:type="dxa"/>
            </w:tcMar>
            <w:vAlign w:val="center"/>
            <w:hideMark/>
          </w:tcPr>
          <w:p w14:paraId="4A4D7269" w14:textId="77777777" w:rsidR="00AE5220" w:rsidRPr="00D83917" w:rsidRDefault="00AE5220" w:rsidP="00E53183">
            <w:pPr>
              <w:jc w:val="center"/>
            </w:pPr>
            <w:r w:rsidRPr="00D83917">
              <w:rPr>
                <w:bCs/>
              </w:rPr>
              <w:t>No</w:t>
            </w:r>
          </w:p>
        </w:tc>
        <w:tc>
          <w:tcPr>
            <w:tcW w:w="2790" w:type="dxa"/>
            <w:shd w:val="clear" w:color="auto" w:fill="auto"/>
            <w:tcMar>
              <w:top w:w="15" w:type="dxa"/>
              <w:left w:w="15" w:type="dxa"/>
              <w:bottom w:w="0" w:type="dxa"/>
              <w:right w:w="15" w:type="dxa"/>
            </w:tcMar>
            <w:vAlign w:val="center"/>
            <w:hideMark/>
          </w:tcPr>
          <w:p w14:paraId="182B077B" w14:textId="77777777" w:rsidR="00AE5220" w:rsidRPr="00D83917" w:rsidRDefault="00AE5220" w:rsidP="00E53183">
            <w:pPr>
              <w:jc w:val="center"/>
            </w:pPr>
            <w:r w:rsidRPr="00D83917">
              <w:t>90 days</w:t>
            </w:r>
          </w:p>
        </w:tc>
        <w:tc>
          <w:tcPr>
            <w:tcW w:w="1170" w:type="dxa"/>
            <w:shd w:val="clear" w:color="auto" w:fill="auto"/>
            <w:tcMar>
              <w:top w:w="15" w:type="dxa"/>
              <w:left w:w="15" w:type="dxa"/>
              <w:bottom w:w="0" w:type="dxa"/>
              <w:right w:w="15" w:type="dxa"/>
            </w:tcMar>
            <w:vAlign w:val="center"/>
            <w:hideMark/>
          </w:tcPr>
          <w:p w14:paraId="45CAAB49" w14:textId="77777777" w:rsidR="00AE5220" w:rsidRPr="00D83917" w:rsidRDefault="00AE5220" w:rsidP="00E53183">
            <w:pPr>
              <w:jc w:val="center"/>
            </w:pPr>
            <w:r w:rsidRPr="00D83917">
              <w:t>871</w:t>
            </w:r>
          </w:p>
        </w:tc>
        <w:tc>
          <w:tcPr>
            <w:tcW w:w="1260" w:type="dxa"/>
            <w:shd w:val="clear" w:color="auto" w:fill="auto"/>
            <w:tcMar>
              <w:top w:w="15" w:type="dxa"/>
              <w:left w:w="15" w:type="dxa"/>
              <w:bottom w:w="0" w:type="dxa"/>
              <w:right w:w="15" w:type="dxa"/>
            </w:tcMar>
            <w:vAlign w:val="center"/>
            <w:hideMark/>
          </w:tcPr>
          <w:p w14:paraId="0B19F2CE" w14:textId="77777777" w:rsidR="00AE5220" w:rsidRPr="00D83917" w:rsidRDefault="00AE5220" w:rsidP="00E53183">
            <w:pPr>
              <w:jc w:val="center"/>
            </w:pPr>
            <w:r w:rsidRPr="00D83917">
              <w:t>3,484</w:t>
            </w:r>
          </w:p>
        </w:tc>
      </w:tr>
      <w:tr w:rsidR="00D83917" w:rsidRPr="00D83917" w14:paraId="246BA9A2" w14:textId="77777777" w:rsidTr="00E53183">
        <w:trPr>
          <w:trHeight w:val="320"/>
        </w:trPr>
        <w:tc>
          <w:tcPr>
            <w:tcW w:w="1435" w:type="dxa"/>
            <w:vMerge/>
            <w:vAlign w:val="center"/>
            <w:hideMark/>
          </w:tcPr>
          <w:p w14:paraId="5CC1D055" w14:textId="77777777" w:rsidR="00AE5220" w:rsidRPr="00D83917" w:rsidRDefault="00AE5220" w:rsidP="00E53183">
            <w:pPr>
              <w:jc w:val="center"/>
            </w:pPr>
          </w:p>
        </w:tc>
        <w:tc>
          <w:tcPr>
            <w:tcW w:w="2700" w:type="dxa"/>
            <w:vMerge/>
            <w:vAlign w:val="center"/>
            <w:hideMark/>
          </w:tcPr>
          <w:p w14:paraId="12622406" w14:textId="77777777" w:rsidR="00AE5220" w:rsidRPr="00D83917" w:rsidRDefault="00AE5220" w:rsidP="00E53183">
            <w:pPr>
              <w:jc w:val="center"/>
            </w:pPr>
          </w:p>
        </w:tc>
        <w:tc>
          <w:tcPr>
            <w:tcW w:w="2790" w:type="dxa"/>
            <w:shd w:val="clear" w:color="auto" w:fill="auto"/>
            <w:tcMar>
              <w:top w:w="15" w:type="dxa"/>
              <w:left w:w="15" w:type="dxa"/>
              <w:bottom w:w="0" w:type="dxa"/>
              <w:right w:w="15" w:type="dxa"/>
            </w:tcMar>
            <w:vAlign w:val="center"/>
            <w:hideMark/>
          </w:tcPr>
          <w:p w14:paraId="5A0CB72C" w14:textId="77777777" w:rsidR="00AE5220" w:rsidRPr="00D83917" w:rsidRDefault="00AE5220" w:rsidP="00E53183">
            <w:pPr>
              <w:jc w:val="center"/>
            </w:pPr>
            <w:r w:rsidRPr="00D83917">
              <w:t>365 days (1 year)</w:t>
            </w:r>
          </w:p>
        </w:tc>
        <w:tc>
          <w:tcPr>
            <w:tcW w:w="1170" w:type="dxa"/>
            <w:shd w:val="clear" w:color="auto" w:fill="auto"/>
            <w:tcMar>
              <w:top w:w="15" w:type="dxa"/>
              <w:left w:w="15" w:type="dxa"/>
              <w:bottom w:w="0" w:type="dxa"/>
              <w:right w:w="15" w:type="dxa"/>
            </w:tcMar>
            <w:vAlign w:val="center"/>
            <w:hideMark/>
          </w:tcPr>
          <w:p w14:paraId="34DBE748" w14:textId="77777777" w:rsidR="00AE5220" w:rsidRPr="00D83917" w:rsidRDefault="00AE5220" w:rsidP="00E53183">
            <w:pPr>
              <w:jc w:val="center"/>
            </w:pPr>
            <w:r w:rsidRPr="00D83917">
              <w:t>1,500</w:t>
            </w:r>
          </w:p>
        </w:tc>
        <w:tc>
          <w:tcPr>
            <w:tcW w:w="1260" w:type="dxa"/>
            <w:shd w:val="clear" w:color="auto" w:fill="auto"/>
            <w:tcMar>
              <w:top w:w="15" w:type="dxa"/>
              <w:left w:w="15" w:type="dxa"/>
              <w:bottom w:w="0" w:type="dxa"/>
              <w:right w:w="15" w:type="dxa"/>
            </w:tcMar>
            <w:vAlign w:val="center"/>
            <w:hideMark/>
          </w:tcPr>
          <w:p w14:paraId="734475E4" w14:textId="77777777" w:rsidR="00AE5220" w:rsidRPr="00D83917" w:rsidRDefault="00AE5220" w:rsidP="00E53183">
            <w:pPr>
              <w:jc w:val="center"/>
            </w:pPr>
            <w:r w:rsidRPr="00D83917">
              <w:t>6,000</w:t>
            </w:r>
          </w:p>
        </w:tc>
      </w:tr>
      <w:tr w:rsidR="00D83917" w:rsidRPr="00D83917" w14:paraId="5C1392FD" w14:textId="77777777" w:rsidTr="00E53183">
        <w:trPr>
          <w:trHeight w:val="320"/>
        </w:trPr>
        <w:tc>
          <w:tcPr>
            <w:tcW w:w="1435" w:type="dxa"/>
            <w:vMerge/>
            <w:vAlign w:val="center"/>
            <w:hideMark/>
          </w:tcPr>
          <w:p w14:paraId="515784CA" w14:textId="77777777" w:rsidR="00AE5220" w:rsidRPr="00D83917" w:rsidRDefault="00AE5220" w:rsidP="00E53183">
            <w:pPr>
              <w:jc w:val="center"/>
            </w:pPr>
          </w:p>
        </w:tc>
        <w:tc>
          <w:tcPr>
            <w:tcW w:w="2700" w:type="dxa"/>
            <w:vMerge w:val="restart"/>
            <w:shd w:val="clear" w:color="auto" w:fill="auto"/>
            <w:tcMar>
              <w:top w:w="15" w:type="dxa"/>
              <w:left w:w="15" w:type="dxa"/>
              <w:bottom w:w="0" w:type="dxa"/>
              <w:right w:w="15" w:type="dxa"/>
            </w:tcMar>
            <w:vAlign w:val="center"/>
            <w:hideMark/>
          </w:tcPr>
          <w:p w14:paraId="258E2A87" w14:textId="77777777" w:rsidR="00AE5220" w:rsidRPr="00D83917" w:rsidRDefault="00AE5220" w:rsidP="00E53183">
            <w:pPr>
              <w:jc w:val="center"/>
            </w:pPr>
            <w:r w:rsidRPr="00D83917">
              <w:rPr>
                <w:bCs/>
              </w:rPr>
              <w:t>Yes</w:t>
            </w:r>
          </w:p>
        </w:tc>
        <w:tc>
          <w:tcPr>
            <w:tcW w:w="2790" w:type="dxa"/>
            <w:shd w:val="clear" w:color="auto" w:fill="auto"/>
            <w:tcMar>
              <w:top w:w="15" w:type="dxa"/>
              <w:left w:w="15" w:type="dxa"/>
              <w:bottom w:w="0" w:type="dxa"/>
              <w:right w:w="15" w:type="dxa"/>
            </w:tcMar>
            <w:vAlign w:val="center"/>
            <w:hideMark/>
          </w:tcPr>
          <w:p w14:paraId="5A023B28" w14:textId="77777777" w:rsidR="00AE5220" w:rsidRPr="00D83917" w:rsidRDefault="00AE5220" w:rsidP="00E53183">
            <w:pPr>
              <w:jc w:val="center"/>
            </w:pPr>
            <w:r w:rsidRPr="00D83917">
              <w:t>365 days (1 year)</w:t>
            </w:r>
          </w:p>
        </w:tc>
        <w:tc>
          <w:tcPr>
            <w:tcW w:w="1170" w:type="dxa"/>
            <w:shd w:val="clear" w:color="auto" w:fill="auto"/>
            <w:tcMar>
              <w:top w:w="15" w:type="dxa"/>
              <w:left w:w="15" w:type="dxa"/>
              <w:bottom w:w="0" w:type="dxa"/>
              <w:right w:w="15" w:type="dxa"/>
            </w:tcMar>
            <w:vAlign w:val="center"/>
            <w:hideMark/>
          </w:tcPr>
          <w:p w14:paraId="22A45DA0" w14:textId="77777777" w:rsidR="00AE5220" w:rsidRPr="00D83917" w:rsidRDefault="00AE5220" w:rsidP="00E53183">
            <w:pPr>
              <w:jc w:val="center"/>
            </w:pPr>
            <w:r w:rsidRPr="00D83917">
              <w:t>191</w:t>
            </w:r>
          </w:p>
        </w:tc>
        <w:tc>
          <w:tcPr>
            <w:tcW w:w="1260" w:type="dxa"/>
            <w:shd w:val="clear" w:color="auto" w:fill="auto"/>
            <w:tcMar>
              <w:top w:w="15" w:type="dxa"/>
              <w:left w:w="15" w:type="dxa"/>
              <w:bottom w:w="0" w:type="dxa"/>
              <w:right w:w="15" w:type="dxa"/>
            </w:tcMar>
            <w:vAlign w:val="center"/>
            <w:hideMark/>
          </w:tcPr>
          <w:p w14:paraId="16A892C7" w14:textId="77777777" w:rsidR="00AE5220" w:rsidRPr="00D83917" w:rsidRDefault="00AE5220" w:rsidP="00E53183">
            <w:pPr>
              <w:jc w:val="center"/>
            </w:pPr>
            <w:r w:rsidRPr="00D83917">
              <w:t>764</w:t>
            </w:r>
          </w:p>
        </w:tc>
      </w:tr>
      <w:tr w:rsidR="00D83917" w:rsidRPr="00D83917" w14:paraId="68616920" w14:textId="77777777" w:rsidTr="00E53183">
        <w:trPr>
          <w:trHeight w:val="320"/>
        </w:trPr>
        <w:tc>
          <w:tcPr>
            <w:tcW w:w="1435" w:type="dxa"/>
            <w:vMerge/>
            <w:vAlign w:val="center"/>
            <w:hideMark/>
          </w:tcPr>
          <w:p w14:paraId="75FAE4AD" w14:textId="77777777" w:rsidR="00AE5220" w:rsidRPr="00D83917" w:rsidRDefault="00AE5220" w:rsidP="00E53183">
            <w:pPr>
              <w:jc w:val="center"/>
            </w:pPr>
          </w:p>
        </w:tc>
        <w:tc>
          <w:tcPr>
            <w:tcW w:w="2700" w:type="dxa"/>
            <w:vMerge/>
            <w:vAlign w:val="center"/>
            <w:hideMark/>
          </w:tcPr>
          <w:p w14:paraId="3523A8D9" w14:textId="77777777" w:rsidR="00AE5220" w:rsidRPr="00D83917" w:rsidRDefault="00AE5220" w:rsidP="00E53183">
            <w:pPr>
              <w:jc w:val="center"/>
            </w:pPr>
          </w:p>
        </w:tc>
        <w:tc>
          <w:tcPr>
            <w:tcW w:w="2790" w:type="dxa"/>
            <w:shd w:val="clear" w:color="auto" w:fill="auto"/>
            <w:tcMar>
              <w:top w:w="15" w:type="dxa"/>
              <w:left w:w="15" w:type="dxa"/>
              <w:bottom w:w="0" w:type="dxa"/>
              <w:right w:w="15" w:type="dxa"/>
            </w:tcMar>
            <w:vAlign w:val="center"/>
            <w:hideMark/>
          </w:tcPr>
          <w:p w14:paraId="34116B2B" w14:textId="77777777" w:rsidR="00AE5220" w:rsidRPr="00D83917" w:rsidRDefault="00AE5220" w:rsidP="00E53183">
            <w:pPr>
              <w:jc w:val="center"/>
            </w:pPr>
            <w:r w:rsidRPr="00D83917">
              <w:t>1,095 days (3 years)</w:t>
            </w:r>
          </w:p>
        </w:tc>
        <w:tc>
          <w:tcPr>
            <w:tcW w:w="1170" w:type="dxa"/>
            <w:shd w:val="clear" w:color="auto" w:fill="auto"/>
            <w:tcMar>
              <w:top w:w="15" w:type="dxa"/>
              <w:left w:w="15" w:type="dxa"/>
              <w:bottom w:w="0" w:type="dxa"/>
              <w:right w:w="15" w:type="dxa"/>
            </w:tcMar>
            <w:vAlign w:val="center"/>
            <w:hideMark/>
          </w:tcPr>
          <w:p w14:paraId="1B491E66" w14:textId="77777777" w:rsidR="00AE5220" w:rsidRPr="00D83917" w:rsidRDefault="00AE5220" w:rsidP="00E53183">
            <w:pPr>
              <w:jc w:val="center"/>
            </w:pPr>
            <w:r w:rsidRPr="00D83917">
              <w:t>431</w:t>
            </w:r>
          </w:p>
        </w:tc>
        <w:tc>
          <w:tcPr>
            <w:tcW w:w="1260" w:type="dxa"/>
            <w:shd w:val="clear" w:color="auto" w:fill="auto"/>
            <w:tcMar>
              <w:top w:w="15" w:type="dxa"/>
              <w:left w:w="15" w:type="dxa"/>
              <w:bottom w:w="0" w:type="dxa"/>
              <w:right w:w="15" w:type="dxa"/>
            </w:tcMar>
            <w:vAlign w:val="center"/>
            <w:hideMark/>
          </w:tcPr>
          <w:p w14:paraId="5F1FF75C" w14:textId="77777777" w:rsidR="00AE5220" w:rsidRPr="00D83917" w:rsidRDefault="00AE5220" w:rsidP="00E53183">
            <w:pPr>
              <w:jc w:val="center"/>
            </w:pPr>
            <w:r w:rsidRPr="00D83917">
              <w:t>1,722</w:t>
            </w:r>
          </w:p>
        </w:tc>
      </w:tr>
      <w:tr w:rsidR="00D83917" w:rsidRPr="00D83917" w14:paraId="141423AB" w14:textId="77777777" w:rsidTr="00E53183">
        <w:trPr>
          <w:trHeight w:val="320"/>
        </w:trPr>
        <w:tc>
          <w:tcPr>
            <w:tcW w:w="1435" w:type="dxa"/>
            <w:vMerge/>
            <w:vAlign w:val="center"/>
            <w:hideMark/>
          </w:tcPr>
          <w:p w14:paraId="7C0ACF42" w14:textId="77777777" w:rsidR="00AE5220" w:rsidRPr="00D83917" w:rsidRDefault="00AE5220" w:rsidP="00E53183">
            <w:pPr>
              <w:jc w:val="center"/>
            </w:pPr>
          </w:p>
        </w:tc>
        <w:tc>
          <w:tcPr>
            <w:tcW w:w="2700" w:type="dxa"/>
            <w:vMerge/>
            <w:vAlign w:val="center"/>
            <w:hideMark/>
          </w:tcPr>
          <w:p w14:paraId="45BE00A0" w14:textId="77777777" w:rsidR="00AE5220" w:rsidRPr="00D83917" w:rsidRDefault="00AE5220" w:rsidP="00E53183">
            <w:pPr>
              <w:jc w:val="center"/>
            </w:pPr>
          </w:p>
        </w:tc>
        <w:tc>
          <w:tcPr>
            <w:tcW w:w="2790" w:type="dxa"/>
            <w:shd w:val="clear" w:color="auto" w:fill="auto"/>
            <w:tcMar>
              <w:top w:w="15" w:type="dxa"/>
              <w:left w:w="15" w:type="dxa"/>
              <w:bottom w:w="0" w:type="dxa"/>
              <w:right w:w="15" w:type="dxa"/>
            </w:tcMar>
            <w:vAlign w:val="center"/>
            <w:hideMark/>
          </w:tcPr>
          <w:p w14:paraId="252AD876" w14:textId="77777777" w:rsidR="00AE5220" w:rsidRPr="00D83917" w:rsidRDefault="00AE5220" w:rsidP="00E53183">
            <w:pPr>
              <w:jc w:val="center"/>
            </w:pPr>
            <w:r w:rsidRPr="00D83917">
              <w:t>1,825 days (5 years)</w:t>
            </w:r>
          </w:p>
        </w:tc>
        <w:tc>
          <w:tcPr>
            <w:tcW w:w="1170" w:type="dxa"/>
            <w:shd w:val="clear" w:color="auto" w:fill="auto"/>
            <w:tcMar>
              <w:top w:w="15" w:type="dxa"/>
              <w:left w:w="15" w:type="dxa"/>
              <w:bottom w:w="0" w:type="dxa"/>
              <w:right w:w="15" w:type="dxa"/>
            </w:tcMar>
            <w:vAlign w:val="center"/>
            <w:hideMark/>
          </w:tcPr>
          <w:p w14:paraId="77BEF4A4" w14:textId="77777777" w:rsidR="00AE5220" w:rsidRPr="00D83917" w:rsidRDefault="00AE5220" w:rsidP="00E53183">
            <w:pPr>
              <w:jc w:val="center"/>
            </w:pPr>
            <w:r w:rsidRPr="00D83917">
              <w:t>554</w:t>
            </w:r>
          </w:p>
        </w:tc>
        <w:tc>
          <w:tcPr>
            <w:tcW w:w="1260" w:type="dxa"/>
            <w:shd w:val="clear" w:color="auto" w:fill="auto"/>
            <w:tcMar>
              <w:top w:w="15" w:type="dxa"/>
              <w:left w:w="15" w:type="dxa"/>
              <w:bottom w:w="0" w:type="dxa"/>
              <w:right w:w="15" w:type="dxa"/>
            </w:tcMar>
            <w:vAlign w:val="center"/>
            <w:hideMark/>
          </w:tcPr>
          <w:p w14:paraId="73BC263F" w14:textId="77777777" w:rsidR="00AE5220" w:rsidRPr="00D83917" w:rsidRDefault="00AE5220" w:rsidP="00E53183">
            <w:pPr>
              <w:jc w:val="center"/>
            </w:pPr>
            <w:r w:rsidRPr="00D83917">
              <w:t>2,201</w:t>
            </w:r>
          </w:p>
        </w:tc>
      </w:tr>
      <w:tr w:rsidR="00D83917" w:rsidRPr="00D83917" w14:paraId="00BE6BDF" w14:textId="77777777" w:rsidTr="00E53183">
        <w:trPr>
          <w:trHeight w:val="320"/>
        </w:trPr>
        <w:tc>
          <w:tcPr>
            <w:tcW w:w="1435" w:type="dxa"/>
            <w:vMerge w:val="restart"/>
            <w:shd w:val="clear" w:color="auto" w:fill="auto"/>
            <w:tcMar>
              <w:top w:w="15" w:type="dxa"/>
              <w:left w:w="15" w:type="dxa"/>
              <w:bottom w:w="0" w:type="dxa"/>
              <w:right w:w="15" w:type="dxa"/>
            </w:tcMar>
            <w:vAlign w:val="center"/>
            <w:hideMark/>
          </w:tcPr>
          <w:p w14:paraId="63A9166F" w14:textId="77777777" w:rsidR="00AE5220" w:rsidRPr="00D83917" w:rsidRDefault="00AE5220" w:rsidP="00E53183">
            <w:pPr>
              <w:jc w:val="center"/>
            </w:pPr>
            <w:r w:rsidRPr="00D83917">
              <w:rPr>
                <w:bCs/>
              </w:rPr>
              <w:t>All</w:t>
            </w:r>
          </w:p>
        </w:tc>
        <w:tc>
          <w:tcPr>
            <w:tcW w:w="2700" w:type="dxa"/>
            <w:vMerge w:val="restart"/>
            <w:shd w:val="clear" w:color="auto" w:fill="auto"/>
            <w:tcMar>
              <w:top w:w="15" w:type="dxa"/>
              <w:left w:w="15" w:type="dxa"/>
              <w:bottom w:w="0" w:type="dxa"/>
              <w:right w:w="15" w:type="dxa"/>
            </w:tcMar>
            <w:vAlign w:val="center"/>
            <w:hideMark/>
          </w:tcPr>
          <w:p w14:paraId="68CE8CD1" w14:textId="77777777" w:rsidR="00AE5220" w:rsidRPr="00D83917" w:rsidRDefault="00AE5220" w:rsidP="00E53183">
            <w:pPr>
              <w:jc w:val="center"/>
            </w:pPr>
            <w:r w:rsidRPr="00D83917">
              <w:rPr>
                <w:bCs/>
              </w:rPr>
              <w:t>No</w:t>
            </w:r>
          </w:p>
        </w:tc>
        <w:tc>
          <w:tcPr>
            <w:tcW w:w="2790" w:type="dxa"/>
            <w:shd w:val="clear" w:color="auto" w:fill="auto"/>
            <w:tcMar>
              <w:top w:w="15" w:type="dxa"/>
              <w:left w:w="15" w:type="dxa"/>
              <w:bottom w:w="0" w:type="dxa"/>
              <w:right w:w="15" w:type="dxa"/>
            </w:tcMar>
            <w:vAlign w:val="center"/>
            <w:hideMark/>
          </w:tcPr>
          <w:p w14:paraId="56FD2EBA" w14:textId="77777777" w:rsidR="00AE5220" w:rsidRPr="00D83917" w:rsidRDefault="00AE5220" w:rsidP="00E53183">
            <w:pPr>
              <w:jc w:val="center"/>
            </w:pPr>
            <w:r w:rsidRPr="00D83917">
              <w:t>90 days</w:t>
            </w:r>
          </w:p>
        </w:tc>
        <w:tc>
          <w:tcPr>
            <w:tcW w:w="1170" w:type="dxa"/>
            <w:shd w:val="clear" w:color="auto" w:fill="auto"/>
            <w:tcMar>
              <w:top w:w="15" w:type="dxa"/>
              <w:left w:w="15" w:type="dxa"/>
              <w:bottom w:w="0" w:type="dxa"/>
              <w:right w:w="15" w:type="dxa"/>
            </w:tcMar>
            <w:vAlign w:val="center"/>
            <w:hideMark/>
          </w:tcPr>
          <w:p w14:paraId="49F678A0" w14:textId="77777777" w:rsidR="00AE5220" w:rsidRPr="00D83917" w:rsidRDefault="00AE5220" w:rsidP="00E53183">
            <w:pPr>
              <w:jc w:val="center"/>
            </w:pPr>
            <w:r w:rsidRPr="00D83917">
              <w:t>946</w:t>
            </w:r>
          </w:p>
        </w:tc>
        <w:tc>
          <w:tcPr>
            <w:tcW w:w="1260" w:type="dxa"/>
            <w:shd w:val="clear" w:color="auto" w:fill="auto"/>
            <w:tcMar>
              <w:top w:w="15" w:type="dxa"/>
              <w:left w:w="15" w:type="dxa"/>
              <w:bottom w:w="0" w:type="dxa"/>
              <w:right w:w="15" w:type="dxa"/>
            </w:tcMar>
            <w:vAlign w:val="center"/>
            <w:hideMark/>
          </w:tcPr>
          <w:p w14:paraId="0F7E70EA" w14:textId="77777777" w:rsidR="00AE5220" w:rsidRPr="00D83917" w:rsidRDefault="00AE5220" w:rsidP="00E53183">
            <w:pPr>
              <w:jc w:val="center"/>
            </w:pPr>
            <w:r w:rsidRPr="00D83917">
              <w:t>3,784</w:t>
            </w:r>
          </w:p>
        </w:tc>
      </w:tr>
      <w:tr w:rsidR="00D83917" w:rsidRPr="00D83917" w14:paraId="789022A9" w14:textId="77777777" w:rsidTr="00E53183">
        <w:trPr>
          <w:trHeight w:val="320"/>
        </w:trPr>
        <w:tc>
          <w:tcPr>
            <w:tcW w:w="1435" w:type="dxa"/>
            <w:vMerge/>
            <w:vAlign w:val="center"/>
            <w:hideMark/>
          </w:tcPr>
          <w:p w14:paraId="243CF998" w14:textId="77777777" w:rsidR="00AE5220" w:rsidRPr="00D83917" w:rsidRDefault="00AE5220" w:rsidP="00E53183">
            <w:pPr>
              <w:jc w:val="center"/>
            </w:pPr>
          </w:p>
        </w:tc>
        <w:tc>
          <w:tcPr>
            <w:tcW w:w="2700" w:type="dxa"/>
            <w:vMerge/>
            <w:vAlign w:val="center"/>
            <w:hideMark/>
          </w:tcPr>
          <w:p w14:paraId="523FFCCF" w14:textId="77777777" w:rsidR="00AE5220" w:rsidRPr="00D83917" w:rsidRDefault="00AE5220" w:rsidP="00E53183">
            <w:pPr>
              <w:jc w:val="center"/>
            </w:pPr>
          </w:p>
        </w:tc>
        <w:tc>
          <w:tcPr>
            <w:tcW w:w="2790" w:type="dxa"/>
            <w:shd w:val="clear" w:color="auto" w:fill="auto"/>
            <w:tcMar>
              <w:top w:w="15" w:type="dxa"/>
              <w:left w:w="15" w:type="dxa"/>
              <w:bottom w:w="0" w:type="dxa"/>
              <w:right w:w="15" w:type="dxa"/>
            </w:tcMar>
            <w:vAlign w:val="center"/>
            <w:hideMark/>
          </w:tcPr>
          <w:p w14:paraId="7BD26634" w14:textId="77777777" w:rsidR="00AE5220" w:rsidRPr="00D83917" w:rsidRDefault="00AE5220" w:rsidP="00E53183">
            <w:pPr>
              <w:jc w:val="center"/>
            </w:pPr>
            <w:r w:rsidRPr="00D83917">
              <w:t>365 days (1 year)</w:t>
            </w:r>
          </w:p>
        </w:tc>
        <w:tc>
          <w:tcPr>
            <w:tcW w:w="1170" w:type="dxa"/>
            <w:shd w:val="clear" w:color="auto" w:fill="auto"/>
            <w:tcMar>
              <w:top w:w="15" w:type="dxa"/>
              <w:left w:w="15" w:type="dxa"/>
              <w:bottom w:w="0" w:type="dxa"/>
              <w:right w:w="15" w:type="dxa"/>
            </w:tcMar>
            <w:vAlign w:val="center"/>
            <w:hideMark/>
          </w:tcPr>
          <w:p w14:paraId="51A7C8AF" w14:textId="77777777" w:rsidR="00AE5220" w:rsidRPr="00D83917" w:rsidRDefault="00AE5220" w:rsidP="00E53183">
            <w:pPr>
              <w:jc w:val="center"/>
            </w:pPr>
            <w:r w:rsidRPr="00D83917">
              <w:t>1,540</w:t>
            </w:r>
          </w:p>
        </w:tc>
        <w:tc>
          <w:tcPr>
            <w:tcW w:w="1260" w:type="dxa"/>
            <w:shd w:val="clear" w:color="auto" w:fill="auto"/>
            <w:tcMar>
              <w:top w:w="15" w:type="dxa"/>
              <w:left w:w="15" w:type="dxa"/>
              <w:bottom w:w="0" w:type="dxa"/>
              <w:right w:w="15" w:type="dxa"/>
            </w:tcMar>
            <w:vAlign w:val="center"/>
            <w:hideMark/>
          </w:tcPr>
          <w:p w14:paraId="2CCABBB7" w14:textId="77777777" w:rsidR="00AE5220" w:rsidRPr="00D83917" w:rsidRDefault="00AE5220" w:rsidP="00E53183">
            <w:pPr>
              <w:jc w:val="center"/>
            </w:pPr>
            <w:r w:rsidRPr="00D83917">
              <w:t>6,160</w:t>
            </w:r>
          </w:p>
        </w:tc>
      </w:tr>
      <w:tr w:rsidR="00D83917" w:rsidRPr="00D83917" w14:paraId="7849AE08" w14:textId="77777777" w:rsidTr="00E53183">
        <w:trPr>
          <w:trHeight w:val="320"/>
        </w:trPr>
        <w:tc>
          <w:tcPr>
            <w:tcW w:w="1435" w:type="dxa"/>
            <w:vMerge/>
            <w:vAlign w:val="center"/>
            <w:hideMark/>
          </w:tcPr>
          <w:p w14:paraId="4C8E9CAA" w14:textId="77777777" w:rsidR="00AE5220" w:rsidRPr="00D83917" w:rsidRDefault="00AE5220" w:rsidP="00E53183">
            <w:pPr>
              <w:jc w:val="center"/>
            </w:pPr>
          </w:p>
        </w:tc>
        <w:tc>
          <w:tcPr>
            <w:tcW w:w="2700" w:type="dxa"/>
            <w:vMerge w:val="restart"/>
            <w:shd w:val="clear" w:color="auto" w:fill="auto"/>
            <w:tcMar>
              <w:top w:w="15" w:type="dxa"/>
              <w:left w:w="15" w:type="dxa"/>
              <w:bottom w:w="0" w:type="dxa"/>
              <w:right w:w="15" w:type="dxa"/>
            </w:tcMar>
            <w:vAlign w:val="center"/>
            <w:hideMark/>
          </w:tcPr>
          <w:p w14:paraId="161CF58F" w14:textId="77777777" w:rsidR="00AE5220" w:rsidRPr="00D83917" w:rsidRDefault="00AE5220" w:rsidP="00E53183">
            <w:pPr>
              <w:jc w:val="center"/>
            </w:pPr>
            <w:r w:rsidRPr="00D83917">
              <w:rPr>
                <w:bCs/>
              </w:rPr>
              <w:t>Yes</w:t>
            </w:r>
          </w:p>
        </w:tc>
        <w:tc>
          <w:tcPr>
            <w:tcW w:w="2790" w:type="dxa"/>
            <w:shd w:val="clear" w:color="auto" w:fill="auto"/>
            <w:tcMar>
              <w:top w:w="15" w:type="dxa"/>
              <w:left w:w="15" w:type="dxa"/>
              <w:bottom w:w="0" w:type="dxa"/>
              <w:right w:w="15" w:type="dxa"/>
            </w:tcMar>
            <w:vAlign w:val="center"/>
            <w:hideMark/>
          </w:tcPr>
          <w:p w14:paraId="70053395" w14:textId="77777777" w:rsidR="00AE5220" w:rsidRPr="00D83917" w:rsidRDefault="00AE5220" w:rsidP="00E53183">
            <w:pPr>
              <w:jc w:val="center"/>
            </w:pPr>
            <w:r w:rsidRPr="00D83917">
              <w:t>365 days (1 year)</w:t>
            </w:r>
          </w:p>
        </w:tc>
        <w:tc>
          <w:tcPr>
            <w:tcW w:w="1170" w:type="dxa"/>
            <w:shd w:val="clear" w:color="auto" w:fill="auto"/>
            <w:tcMar>
              <w:top w:w="15" w:type="dxa"/>
              <w:left w:w="15" w:type="dxa"/>
              <w:bottom w:w="0" w:type="dxa"/>
              <w:right w:w="15" w:type="dxa"/>
            </w:tcMar>
            <w:vAlign w:val="center"/>
            <w:hideMark/>
          </w:tcPr>
          <w:p w14:paraId="1298C3A8" w14:textId="77777777" w:rsidR="00AE5220" w:rsidRPr="00D83917" w:rsidRDefault="00AE5220" w:rsidP="00E53183">
            <w:pPr>
              <w:jc w:val="center"/>
            </w:pPr>
            <w:r w:rsidRPr="00D83917">
              <w:t>199</w:t>
            </w:r>
          </w:p>
        </w:tc>
        <w:tc>
          <w:tcPr>
            <w:tcW w:w="1260" w:type="dxa"/>
            <w:shd w:val="clear" w:color="auto" w:fill="auto"/>
            <w:tcMar>
              <w:top w:w="15" w:type="dxa"/>
              <w:left w:w="15" w:type="dxa"/>
              <w:bottom w:w="0" w:type="dxa"/>
              <w:right w:w="15" w:type="dxa"/>
            </w:tcMar>
            <w:vAlign w:val="center"/>
            <w:hideMark/>
          </w:tcPr>
          <w:p w14:paraId="0996C67F" w14:textId="77777777" w:rsidR="00AE5220" w:rsidRPr="00D83917" w:rsidRDefault="00AE5220" w:rsidP="00E53183">
            <w:pPr>
              <w:jc w:val="center"/>
            </w:pPr>
            <w:r w:rsidRPr="00D83917">
              <w:t>796</w:t>
            </w:r>
          </w:p>
        </w:tc>
      </w:tr>
      <w:tr w:rsidR="00D83917" w:rsidRPr="00D83917" w14:paraId="63CE490F" w14:textId="77777777" w:rsidTr="00E53183">
        <w:trPr>
          <w:trHeight w:val="320"/>
        </w:trPr>
        <w:tc>
          <w:tcPr>
            <w:tcW w:w="1435" w:type="dxa"/>
            <w:vMerge/>
            <w:vAlign w:val="center"/>
            <w:hideMark/>
          </w:tcPr>
          <w:p w14:paraId="3DA65614" w14:textId="77777777" w:rsidR="00AE5220" w:rsidRPr="00D83917" w:rsidRDefault="00AE5220" w:rsidP="00E53183">
            <w:pPr>
              <w:jc w:val="center"/>
            </w:pPr>
          </w:p>
        </w:tc>
        <w:tc>
          <w:tcPr>
            <w:tcW w:w="2700" w:type="dxa"/>
            <w:vMerge/>
            <w:vAlign w:val="center"/>
            <w:hideMark/>
          </w:tcPr>
          <w:p w14:paraId="314109C5" w14:textId="77777777" w:rsidR="00AE5220" w:rsidRPr="00D83917" w:rsidRDefault="00AE5220" w:rsidP="00E53183">
            <w:pPr>
              <w:jc w:val="center"/>
            </w:pPr>
          </w:p>
        </w:tc>
        <w:tc>
          <w:tcPr>
            <w:tcW w:w="2790" w:type="dxa"/>
            <w:shd w:val="clear" w:color="auto" w:fill="auto"/>
            <w:tcMar>
              <w:top w:w="15" w:type="dxa"/>
              <w:left w:w="15" w:type="dxa"/>
              <w:bottom w:w="0" w:type="dxa"/>
              <w:right w:w="15" w:type="dxa"/>
            </w:tcMar>
            <w:vAlign w:val="center"/>
            <w:hideMark/>
          </w:tcPr>
          <w:p w14:paraId="27208F81" w14:textId="77777777" w:rsidR="00AE5220" w:rsidRPr="00D83917" w:rsidRDefault="00AE5220" w:rsidP="00E53183">
            <w:pPr>
              <w:jc w:val="center"/>
            </w:pPr>
            <w:r w:rsidRPr="00D83917">
              <w:t>1,095 days (3 years)</w:t>
            </w:r>
          </w:p>
        </w:tc>
        <w:tc>
          <w:tcPr>
            <w:tcW w:w="1170" w:type="dxa"/>
            <w:shd w:val="clear" w:color="auto" w:fill="auto"/>
            <w:tcMar>
              <w:top w:w="15" w:type="dxa"/>
              <w:left w:w="15" w:type="dxa"/>
              <w:bottom w:w="0" w:type="dxa"/>
              <w:right w:w="15" w:type="dxa"/>
            </w:tcMar>
            <w:vAlign w:val="center"/>
            <w:hideMark/>
          </w:tcPr>
          <w:p w14:paraId="272DFF89" w14:textId="77777777" w:rsidR="00AE5220" w:rsidRPr="00D83917" w:rsidRDefault="00AE5220" w:rsidP="00E53183">
            <w:pPr>
              <w:jc w:val="center"/>
            </w:pPr>
            <w:r w:rsidRPr="00D83917">
              <w:t>438</w:t>
            </w:r>
          </w:p>
        </w:tc>
        <w:tc>
          <w:tcPr>
            <w:tcW w:w="1260" w:type="dxa"/>
            <w:shd w:val="clear" w:color="auto" w:fill="auto"/>
            <w:tcMar>
              <w:top w:w="15" w:type="dxa"/>
              <w:left w:w="15" w:type="dxa"/>
              <w:bottom w:w="0" w:type="dxa"/>
              <w:right w:w="15" w:type="dxa"/>
            </w:tcMar>
            <w:vAlign w:val="center"/>
            <w:hideMark/>
          </w:tcPr>
          <w:p w14:paraId="2AB10309" w14:textId="77777777" w:rsidR="00AE5220" w:rsidRPr="00D83917" w:rsidRDefault="00AE5220" w:rsidP="00E53183">
            <w:pPr>
              <w:jc w:val="center"/>
            </w:pPr>
            <w:r w:rsidRPr="00D83917">
              <w:t>1,750</w:t>
            </w:r>
          </w:p>
        </w:tc>
      </w:tr>
      <w:tr w:rsidR="00AE5220" w:rsidRPr="00D83917" w14:paraId="1FE4D306" w14:textId="77777777" w:rsidTr="00E53183">
        <w:trPr>
          <w:trHeight w:val="320"/>
        </w:trPr>
        <w:tc>
          <w:tcPr>
            <w:tcW w:w="1435" w:type="dxa"/>
            <w:vMerge/>
            <w:vAlign w:val="center"/>
            <w:hideMark/>
          </w:tcPr>
          <w:p w14:paraId="7BD5A7A7" w14:textId="77777777" w:rsidR="00AE5220" w:rsidRPr="00D83917" w:rsidRDefault="00AE5220" w:rsidP="00E53183">
            <w:pPr>
              <w:jc w:val="center"/>
            </w:pPr>
          </w:p>
        </w:tc>
        <w:tc>
          <w:tcPr>
            <w:tcW w:w="2700" w:type="dxa"/>
            <w:vMerge/>
            <w:vAlign w:val="center"/>
            <w:hideMark/>
          </w:tcPr>
          <w:p w14:paraId="4E8D9E63" w14:textId="77777777" w:rsidR="00AE5220" w:rsidRPr="00D83917" w:rsidRDefault="00AE5220" w:rsidP="00E53183">
            <w:pPr>
              <w:jc w:val="center"/>
            </w:pPr>
          </w:p>
        </w:tc>
        <w:tc>
          <w:tcPr>
            <w:tcW w:w="2790" w:type="dxa"/>
            <w:shd w:val="clear" w:color="auto" w:fill="auto"/>
            <w:tcMar>
              <w:top w:w="15" w:type="dxa"/>
              <w:left w:w="15" w:type="dxa"/>
              <w:bottom w:w="0" w:type="dxa"/>
              <w:right w:w="15" w:type="dxa"/>
            </w:tcMar>
            <w:vAlign w:val="center"/>
            <w:hideMark/>
          </w:tcPr>
          <w:p w14:paraId="2A022B63" w14:textId="77777777" w:rsidR="00AE5220" w:rsidRPr="00D83917" w:rsidRDefault="00AE5220" w:rsidP="00E53183">
            <w:pPr>
              <w:jc w:val="center"/>
            </w:pPr>
            <w:r w:rsidRPr="00D83917">
              <w:t>1,825 days (5 years)</w:t>
            </w:r>
          </w:p>
        </w:tc>
        <w:tc>
          <w:tcPr>
            <w:tcW w:w="1170" w:type="dxa"/>
            <w:shd w:val="clear" w:color="auto" w:fill="auto"/>
            <w:tcMar>
              <w:top w:w="15" w:type="dxa"/>
              <w:left w:w="15" w:type="dxa"/>
              <w:bottom w:w="0" w:type="dxa"/>
              <w:right w:w="15" w:type="dxa"/>
            </w:tcMar>
            <w:vAlign w:val="center"/>
            <w:hideMark/>
          </w:tcPr>
          <w:p w14:paraId="30472C43" w14:textId="77777777" w:rsidR="00AE5220" w:rsidRPr="00D83917" w:rsidRDefault="00AE5220" w:rsidP="00E53183">
            <w:pPr>
              <w:jc w:val="center"/>
            </w:pPr>
            <w:r w:rsidRPr="00D83917">
              <w:t>568</w:t>
            </w:r>
          </w:p>
        </w:tc>
        <w:tc>
          <w:tcPr>
            <w:tcW w:w="1260" w:type="dxa"/>
            <w:shd w:val="clear" w:color="auto" w:fill="auto"/>
            <w:tcMar>
              <w:top w:w="15" w:type="dxa"/>
              <w:left w:w="15" w:type="dxa"/>
              <w:bottom w:w="0" w:type="dxa"/>
              <w:right w:w="15" w:type="dxa"/>
            </w:tcMar>
            <w:vAlign w:val="center"/>
            <w:hideMark/>
          </w:tcPr>
          <w:p w14:paraId="3579E221" w14:textId="77777777" w:rsidR="00AE5220" w:rsidRPr="00D83917" w:rsidRDefault="00AE5220" w:rsidP="00E53183">
            <w:pPr>
              <w:jc w:val="center"/>
            </w:pPr>
            <w:r w:rsidRPr="00D83917">
              <w:t>2,258</w:t>
            </w:r>
          </w:p>
        </w:tc>
      </w:tr>
    </w:tbl>
    <w:p w14:paraId="4AF48742" w14:textId="77777777" w:rsidR="00AE5220" w:rsidRPr="00D83917" w:rsidRDefault="00AE5220" w:rsidP="00CB6869">
      <w:pPr>
        <w:jc w:val="both"/>
      </w:pPr>
    </w:p>
    <w:p w14:paraId="3CC4F6C3" w14:textId="77777777" w:rsidR="00AE5220" w:rsidRPr="00D83917" w:rsidRDefault="00AE5220" w:rsidP="005C6AB9">
      <w:pPr>
        <w:ind w:firstLine="720"/>
        <w:jc w:val="both"/>
      </w:pPr>
    </w:p>
    <w:p w14:paraId="24D562F0" w14:textId="77777777" w:rsidR="00424709" w:rsidRPr="00D83917" w:rsidRDefault="00424709" w:rsidP="005C6AB9">
      <w:pPr>
        <w:ind w:firstLine="720"/>
        <w:jc w:val="both"/>
      </w:pPr>
    </w:p>
    <w:p w14:paraId="7C2FA1B9" w14:textId="2A92959E" w:rsidR="00A95863" w:rsidRPr="00D83917" w:rsidRDefault="00A95863" w:rsidP="00A95863">
      <w:pPr>
        <w:jc w:val="both"/>
      </w:pPr>
      <w:r w:rsidRPr="00D83917">
        <w:rPr>
          <w:b/>
          <w:sz w:val="28"/>
          <w:szCs w:val="28"/>
        </w:rPr>
        <w:t xml:space="preserve">Section </w:t>
      </w:r>
      <w:r w:rsidR="00424709" w:rsidRPr="00D83917">
        <w:rPr>
          <w:b/>
          <w:sz w:val="28"/>
          <w:szCs w:val="28"/>
        </w:rPr>
        <w:t>5</w:t>
      </w:r>
      <w:r w:rsidRPr="00D83917">
        <w:rPr>
          <w:b/>
          <w:sz w:val="28"/>
          <w:szCs w:val="28"/>
        </w:rPr>
        <w:t xml:space="preserve">: </w:t>
      </w:r>
      <w:r w:rsidR="00956D92" w:rsidRPr="00D83917">
        <w:rPr>
          <w:b/>
          <w:sz w:val="28"/>
          <w:szCs w:val="28"/>
        </w:rPr>
        <w:t xml:space="preserve">Details of Implementing and Training </w:t>
      </w:r>
      <w:r w:rsidR="003E5BD5" w:rsidRPr="00D83917">
        <w:rPr>
          <w:b/>
          <w:sz w:val="28"/>
          <w:szCs w:val="28"/>
        </w:rPr>
        <w:t>Prediction</w:t>
      </w:r>
      <w:r w:rsidR="00956D92" w:rsidRPr="00D83917">
        <w:rPr>
          <w:b/>
          <w:sz w:val="28"/>
          <w:szCs w:val="28"/>
        </w:rPr>
        <w:t xml:space="preserve"> Models</w:t>
      </w:r>
    </w:p>
    <w:p w14:paraId="01DBAB98" w14:textId="263303C7" w:rsidR="00EF6B15" w:rsidRPr="00D83917" w:rsidRDefault="00EF6B15" w:rsidP="00B04F7C"/>
    <w:p w14:paraId="30E93D59" w14:textId="5B298990" w:rsidR="00BB75D0" w:rsidRPr="00D83917" w:rsidRDefault="00BB75D0" w:rsidP="00BB75D0">
      <w:pPr>
        <w:ind w:firstLine="720"/>
        <w:jc w:val="both"/>
      </w:pPr>
      <w:r w:rsidRPr="00D83917">
        <w:t xml:space="preserve">Adam optimizer with default parameter setting </w:t>
      </w:r>
      <w:r w:rsidR="00623016" w:rsidRPr="00D83917">
        <w:t>is</w:t>
      </w:r>
      <w:r w:rsidRPr="00D83917">
        <w:t xml:space="preserve"> used to train LSTM RNN models</w:t>
      </w:r>
      <w:r w:rsidRPr="00D83917">
        <w:fldChar w:fldCharType="begin"/>
      </w:r>
      <w:r w:rsidRPr="00D83917">
        <w:instrText xml:space="preserve"> ADDIN EN.CITE &lt;EndNote&gt;&lt;Cite&gt;&lt;Author&gt;Ba&lt;/Author&gt;&lt;Year&gt;2015&lt;/Year&gt;&lt;RecNum&gt;248&lt;/RecNum&gt;&lt;DisplayText&gt;&lt;style face="superscript"&gt;1&lt;/style&gt;&lt;/DisplayText&gt;&lt;record&gt;&lt;rec-number&gt;248&lt;/rec-number&gt;&lt;foreign-keys&gt;&lt;key app="EN" db-id="s0fp50xstpd5fxe0sadx9tanffvad9pr2wfs" timestamp="1657418633"&gt;248&lt;/key&gt;&lt;/foreign-keys&gt;&lt;ref-type name="Conference Paper"&gt;47&lt;/ref-type&gt;&lt;contributors&gt;&lt;authors&gt;&lt;author&gt;J. Ba&lt;/author&gt;&lt;author&gt;D. Kingma&lt;/author&gt;&lt;/authors&gt;&lt;/contributors&gt;&lt;titles&gt;&lt;title&gt;Adam: a method for stochastic optimization&lt;/title&gt;&lt;secondary-title&gt;International Conference on Learning Representations (ICLR)&lt;/secondary-title&gt;&lt;/titles&gt;&lt;dates&gt;&lt;year&gt;2015&lt;/year&gt;&lt;/dates&gt;&lt;urls&gt;&lt;/urls&gt;&lt;/record&gt;&lt;/Cite&gt;&lt;/EndNote&gt;</w:instrText>
      </w:r>
      <w:r w:rsidRPr="00D83917">
        <w:fldChar w:fldCharType="separate"/>
      </w:r>
      <w:r w:rsidRPr="00D83917">
        <w:rPr>
          <w:noProof/>
          <w:vertAlign w:val="superscript"/>
        </w:rPr>
        <w:t>1</w:t>
      </w:r>
      <w:r w:rsidRPr="00D83917">
        <w:fldChar w:fldCharType="end"/>
      </w:r>
      <w:r w:rsidRPr="00D83917">
        <w:t xml:space="preserve">. The learning rate </w:t>
      </w:r>
      <w:r w:rsidR="00623016" w:rsidRPr="00D83917">
        <w:t>is</w:t>
      </w:r>
      <w:r w:rsidRPr="00D83917">
        <w:t xml:space="preserve"> initialized at 0.001 and </w:t>
      </w:r>
      <w:r w:rsidR="00623016" w:rsidRPr="00D83917">
        <w:t>is</w:t>
      </w:r>
      <w:r w:rsidRPr="00D83917">
        <w:t xml:space="preserve"> reduced by a factor of 10 when the reduction of validation loss </w:t>
      </w:r>
      <w:r w:rsidR="00623016" w:rsidRPr="00D83917">
        <w:t>is</w:t>
      </w:r>
      <w:r w:rsidRPr="00D83917">
        <w:t xml:space="preserve"> smaller than 0.00001 in 10 epochs. The training process stop</w:t>
      </w:r>
      <w:r w:rsidR="00623016" w:rsidRPr="00D83917">
        <w:t>s</w:t>
      </w:r>
      <w:r w:rsidRPr="00D83917">
        <w:t xml:space="preserve"> early if the reduction of validation loss </w:t>
      </w:r>
      <w:r w:rsidR="00623016" w:rsidRPr="00D83917">
        <w:t>is</w:t>
      </w:r>
      <w:r w:rsidRPr="00D83917">
        <w:t xml:space="preserve"> smaller than 0.00001 in 20 epochs; </w:t>
      </w:r>
      <w:r w:rsidR="00446D73" w:rsidRPr="00D83917">
        <w:t>otherwise,</w:t>
      </w:r>
      <w:r w:rsidRPr="00D83917">
        <w:t xml:space="preserve"> the full training process </w:t>
      </w:r>
      <w:r w:rsidR="00623016" w:rsidRPr="00D83917">
        <w:t>takes</w:t>
      </w:r>
      <w:r w:rsidRPr="00D83917">
        <w:t xml:space="preserve"> 100 epochs.</w:t>
      </w:r>
      <w:r w:rsidR="0046468E" w:rsidRPr="00D83917">
        <w:t xml:space="preserve"> </w:t>
      </w:r>
      <w:r w:rsidR="00EB6EDB" w:rsidRPr="00D83917">
        <w:t>During model training, patients in</w:t>
      </w:r>
      <w:r w:rsidR="0046468E" w:rsidRPr="00D83917">
        <w:t xml:space="preserve"> </w:t>
      </w:r>
      <w:r w:rsidR="002B6D05" w:rsidRPr="00D83917">
        <w:t>a</w:t>
      </w:r>
      <w:r w:rsidR="0046468E" w:rsidRPr="00D83917">
        <w:t xml:space="preserve"> </w:t>
      </w:r>
      <w:r w:rsidR="002B6D05" w:rsidRPr="00D83917">
        <w:t xml:space="preserve">training </w:t>
      </w:r>
      <w:r w:rsidR="0046468E" w:rsidRPr="00D83917">
        <w:t>batch</w:t>
      </w:r>
      <w:r w:rsidR="00EB6EDB" w:rsidRPr="00D83917">
        <w:t xml:space="preserve"> are required to have the same time series length.</w:t>
      </w:r>
      <w:r w:rsidRPr="00D83917">
        <w:t xml:space="preserve"> The predictive modeling pipeline </w:t>
      </w:r>
      <w:r w:rsidR="00623016" w:rsidRPr="00D83917">
        <w:t>is</w:t>
      </w:r>
      <w:r w:rsidRPr="00D83917">
        <w:t xml:space="preserve"> implemented using the </w:t>
      </w:r>
      <w:proofErr w:type="spellStart"/>
      <w:r w:rsidRPr="00D83917">
        <w:t>Keras</w:t>
      </w:r>
      <w:proofErr w:type="spellEnd"/>
      <w:r w:rsidRPr="00D83917">
        <w:t xml:space="preserve"> package (</w:t>
      </w:r>
      <w:hyperlink r:id="rId11" w:history="1">
        <w:r w:rsidRPr="00D83917">
          <w:rPr>
            <w:rStyle w:val="Hyperlink"/>
            <w:color w:val="auto"/>
          </w:rPr>
          <w:t>https://keras.io/</w:t>
        </w:r>
      </w:hyperlink>
      <w:r w:rsidRPr="00D83917">
        <w:t xml:space="preserve">) with </w:t>
      </w:r>
      <w:proofErr w:type="spellStart"/>
      <w:r w:rsidRPr="00D83917">
        <w:t>Tensorflow</w:t>
      </w:r>
      <w:proofErr w:type="spellEnd"/>
      <w:r w:rsidRPr="00D83917">
        <w:t xml:space="preserve"> (</w:t>
      </w:r>
      <w:hyperlink r:id="rId12" w:history="1">
        <w:r w:rsidRPr="00D83917">
          <w:rPr>
            <w:rStyle w:val="Hyperlink"/>
            <w:color w:val="auto"/>
          </w:rPr>
          <w:t>https://www.tensorflow.org/</w:t>
        </w:r>
      </w:hyperlink>
      <w:r w:rsidRPr="00D83917">
        <w:t xml:space="preserve">) backend. </w:t>
      </w:r>
    </w:p>
    <w:p w14:paraId="0E24B2BA" w14:textId="74FA241C" w:rsidR="00BB75D0" w:rsidRPr="00D83917" w:rsidRDefault="00BB75D0" w:rsidP="00B04F7C"/>
    <w:p w14:paraId="744BE3A7" w14:textId="3E6A2ED3" w:rsidR="003E5BD5" w:rsidRPr="00D83917" w:rsidRDefault="00C80AA9" w:rsidP="00CB6869">
      <w:pPr>
        <w:ind w:firstLine="720"/>
        <w:jc w:val="both"/>
      </w:pPr>
      <w:r w:rsidRPr="00D83917">
        <w:t>For random forest, we use the</w:t>
      </w:r>
      <w:r w:rsidR="00076B03" w:rsidRPr="00D83917">
        <w:t xml:space="preserve"> </w:t>
      </w:r>
      <w:proofErr w:type="spellStart"/>
      <w:r w:rsidRPr="00D83917">
        <w:t>Scikit</w:t>
      </w:r>
      <w:proofErr w:type="spellEnd"/>
      <w:r w:rsidRPr="00D83917">
        <w:t>-Learn</w:t>
      </w:r>
      <w:r w:rsidR="00076B03" w:rsidRPr="00D83917">
        <w:t xml:space="preserve"> python package</w:t>
      </w:r>
      <w:r w:rsidRPr="00D83917">
        <w:t xml:space="preserve"> (</w:t>
      </w:r>
      <w:hyperlink r:id="rId13" w:history="1">
        <w:r w:rsidRPr="00D83917">
          <w:rPr>
            <w:rStyle w:val="Hyperlink"/>
            <w:color w:val="auto"/>
          </w:rPr>
          <w:t>https://scikit-learn.org/</w:t>
        </w:r>
      </w:hyperlink>
      <w:r w:rsidRPr="00D83917">
        <w:t>)</w:t>
      </w:r>
      <w:r w:rsidR="00076B03" w:rsidRPr="00D83917">
        <w:t xml:space="preserve"> to implement the analysis pipeline</w:t>
      </w:r>
      <w:r w:rsidRPr="00D83917">
        <w:t>. The prediction model inclu</w:t>
      </w:r>
      <w:r w:rsidR="00076B03" w:rsidRPr="00D83917">
        <w:t>des</w:t>
      </w:r>
      <w:r w:rsidRPr="00D83917">
        <w:t xml:space="preserve"> 200 decision trees and default values </w:t>
      </w:r>
      <w:r w:rsidR="00076B03" w:rsidRPr="00D83917">
        <w:t>are</w:t>
      </w:r>
      <w:r w:rsidRPr="00D83917">
        <w:t xml:space="preserve"> used for all other parameters. </w:t>
      </w:r>
      <w:r w:rsidR="003E5BD5" w:rsidRPr="00D83917">
        <w:t xml:space="preserve">For </w:t>
      </w:r>
      <w:proofErr w:type="spellStart"/>
      <w:r w:rsidR="003E5BD5" w:rsidRPr="00D83917">
        <w:t>LightGBM</w:t>
      </w:r>
      <w:proofErr w:type="spellEnd"/>
      <w:r w:rsidR="003E5BD5" w:rsidRPr="00D83917">
        <w:t xml:space="preserve">, we use the </w:t>
      </w:r>
      <w:proofErr w:type="spellStart"/>
      <w:r w:rsidR="003E5BD5" w:rsidRPr="00D83917">
        <w:t>LightGBM</w:t>
      </w:r>
      <w:proofErr w:type="spellEnd"/>
      <w:r w:rsidR="003E5BD5" w:rsidRPr="00D83917">
        <w:t xml:space="preserve"> python package (</w:t>
      </w:r>
      <w:hyperlink r:id="rId14" w:history="1">
        <w:r w:rsidR="003E5BD5" w:rsidRPr="00D83917">
          <w:rPr>
            <w:rStyle w:val="Hyperlink"/>
            <w:color w:val="auto"/>
          </w:rPr>
          <w:t>https://LightGBM.readthedocs.io/en/latest/index.html</w:t>
        </w:r>
      </w:hyperlink>
      <w:r w:rsidR="003E5BD5" w:rsidRPr="00D83917">
        <w:t xml:space="preserve">) to implement the analysis pipeline. The training of </w:t>
      </w:r>
      <w:proofErr w:type="spellStart"/>
      <w:r w:rsidR="003E5BD5" w:rsidRPr="00D83917">
        <w:t>LightGBM</w:t>
      </w:r>
      <w:proofErr w:type="spellEnd"/>
      <w:r w:rsidR="003E5BD5" w:rsidRPr="00D83917">
        <w:t xml:space="preserve"> model stop</w:t>
      </w:r>
      <w:r w:rsidR="00C738FE" w:rsidRPr="00D83917">
        <w:t>s</w:t>
      </w:r>
      <w:r w:rsidR="003E5BD5" w:rsidRPr="00D83917">
        <w:t xml:space="preserve"> early to avoid overfitting if the validation loss </w:t>
      </w:r>
      <w:r w:rsidR="00C738FE" w:rsidRPr="00D83917">
        <w:t>does</w:t>
      </w:r>
      <w:r w:rsidR="003E5BD5" w:rsidRPr="00D83917">
        <w:t xml:space="preserve"> not reduce in 200 boosting steps; </w:t>
      </w:r>
      <w:r w:rsidR="00076B03" w:rsidRPr="00D83917">
        <w:t>otherwise,</w:t>
      </w:r>
      <w:r w:rsidR="003E5BD5" w:rsidRPr="00D83917">
        <w:t xml:space="preserve"> the whole training process will take </w:t>
      </w:r>
      <w:r w:rsidR="00C738FE" w:rsidRPr="00D83917">
        <w:t>2,000</w:t>
      </w:r>
      <w:r w:rsidR="003E5BD5" w:rsidRPr="00D83917">
        <w:t xml:space="preserve"> boosting steps. Default values </w:t>
      </w:r>
      <w:r w:rsidR="00076B03" w:rsidRPr="00D83917">
        <w:t>are</w:t>
      </w:r>
      <w:r w:rsidR="003E5BD5" w:rsidRPr="00D83917">
        <w:t xml:space="preserve"> used for all other parameters. </w:t>
      </w:r>
    </w:p>
    <w:p w14:paraId="3B484267" w14:textId="5E28498D" w:rsidR="00981523" w:rsidRPr="00D83917" w:rsidRDefault="00981523" w:rsidP="00B04F7C"/>
    <w:p w14:paraId="4A9A81C9" w14:textId="2471D483" w:rsidR="00981523" w:rsidRPr="00D83917" w:rsidRDefault="00981523" w:rsidP="00B04F7C"/>
    <w:p w14:paraId="715D2E36" w14:textId="77777777" w:rsidR="00C80AA9" w:rsidRPr="00D83917" w:rsidRDefault="00C80AA9" w:rsidP="00B04F7C"/>
    <w:p w14:paraId="21D7A672" w14:textId="3034BF4E" w:rsidR="00981523" w:rsidRPr="00D83917" w:rsidRDefault="00981523" w:rsidP="00981523">
      <w:pPr>
        <w:jc w:val="both"/>
      </w:pPr>
      <w:r w:rsidRPr="00D83917">
        <w:rPr>
          <w:b/>
          <w:sz w:val="28"/>
          <w:szCs w:val="28"/>
        </w:rPr>
        <w:t>Section 6: Sequential Forward Variable Selection Procedure</w:t>
      </w:r>
    </w:p>
    <w:p w14:paraId="3DF26CEC" w14:textId="729BEB86" w:rsidR="00981523" w:rsidRPr="00D83917" w:rsidRDefault="00981523" w:rsidP="00B04F7C"/>
    <w:p w14:paraId="62A76BDD" w14:textId="38B9E326" w:rsidR="00981523" w:rsidRPr="00D83917" w:rsidRDefault="00981523" w:rsidP="003C1621">
      <w:pPr>
        <w:jc w:val="both"/>
      </w:pPr>
      <w:r w:rsidRPr="00D83917">
        <w:tab/>
      </w:r>
      <w:r w:rsidR="000750B8" w:rsidRPr="00D83917">
        <w:t xml:space="preserve">The sequential forward variable selection </w:t>
      </w:r>
      <w:r w:rsidR="007602F6" w:rsidRPr="00D83917">
        <w:t>is</w:t>
      </w:r>
      <w:r w:rsidR="000750B8" w:rsidRPr="00D83917">
        <w:t xml:space="preserve"> performed via </w:t>
      </w:r>
      <w:r w:rsidR="003C1621" w:rsidRPr="00D83917">
        <w:t xml:space="preserve">a </w:t>
      </w:r>
      <w:r w:rsidR="000750B8" w:rsidRPr="00D83917">
        <w:t>two-tier cross-validation analysis.</w:t>
      </w:r>
      <w:r w:rsidR="003C1621" w:rsidRPr="00D83917">
        <w:t xml:space="preserve"> For each out-tier</w:t>
      </w:r>
      <w:r w:rsidR="000750B8" w:rsidRPr="00D83917">
        <w:t xml:space="preserve"> </w:t>
      </w:r>
      <w:r w:rsidR="003C1621" w:rsidRPr="00D83917">
        <w:t xml:space="preserve">cross-validation trial, a whole sequential forward variable selection procedure </w:t>
      </w:r>
      <w:r w:rsidR="007602F6" w:rsidRPr="00D83917">
        <w:t>is</w:t>
      </w:r>
      <w:r w:rsidR="003C1621" w:rsidRPr="00D83917">
        <w:t xml:space="preserve"> performed.</w:t>
      </w:r>
      <w:r w:rsidR="0051274B" w:rsidRPr="00D83917">
        <w:t xml:space="preserve"> The procedure starts by identifying the most predictive single variable, and then additional variables are added one by one until 20 variables are selected.</w:t>
      </w:r>
      <w:r w:rsidR="003C1621" w:rsidRPr="00D83917">
        <w:t xml:space="preserve"> At each step of the procedure, the inner-tier cross-validation </w:t>
      </w:r>
      <w:r w:rsidR="0051274B" w:rsidRPr="00D83917">
        <w:t xml:space="preserve">takes an exhaustive search to </w:t>
      </w:r>
      <w:r w:rsidR="003C1621" w:rsidRPr="00D83917">
        <w:t xml:space="preserve">identify </w:t>
      </w:r>
      <w:r w:rsidR="0051274B" w:rsidRPr="00D83917">
        <w:t>a</w:t>
      </w:r>
      <w:r w:rsidR="003C1621" w:rsidRPr="00D83917">
        <w:t xml:space="preserve"> variable</w:t>
      </w:r>
      <w:r w:rsidR="0051274B" w:rsidRPr="00D83917">
        <w:t>,</w:t>
      </w:r>
      <w:r w:rsidR="003C1621" w:rsidRPr="00D83917">
        <w:t xml:space="preserve"> the addition of which generate</w:t>
      </w:r>
      <w:r w:rsidR="007602F6" w:rsidRPr="00D83917">
        <w:t>s</w:t>
      </w:r>
      <w:r w:rsidR="003C1621" w:rsidRPr="00D83917">
        <w:t xml:space="preserve"> the highest prediction performanc</w:t>
      </w:r>
      <w:r w:rsidR="0051274B" w:rsidRPr="00D83917">
        <w:t>e</w:t>
      </w:r>
      <w:r w:rsidR="003C1621" w:rsidRPr="00D83917">
        <w:t xml:space="preserve">. A model </w:t>
      </w:r>
      <w:r w:rsidR="007602F6" w:rsidRPr="00D83917">
        <w:t>is</w:t>
      </w:r>
      <w:r w:rsidR="003C1621" w:rsidRPr="00D83917">
        <w:t xml:space="preserve"> then trained with the identified variable added, and its prediction performance </w:t>
      </w:r>
      <w:r w:rsidR="007602F6" w:rsidRPr="00D83917">
        <w:t>is</w:t>
      </w:r>
      <w:r w:rsidR="003C1621" w:rsidRPr="00D83917">
        <w:t xml:space="preserve"> evaluated using the out-tier testing set. </w:t>
      </w:r>
      <w:r w:rsidR="001177C6" w:rsidRPr="00D83917">
        <w:t xml:space="preserve">For health behavior variables, only the main variables indicating </w:t>
      </w:r>
      <w:r w:rsidR="006F61EF" w:rsidRPr="00D83917">
        <w:t xml:space="preserve">the </w:t>
      </w:r>
      <w:r w:rsidR="001177C6" w:rsidRPr="00D83917">
        <w:t>usage status</w:t>
      </w:r>
      <w:r w:rsidR="006F61EF" w:rsidRPr="00D83917">
        <w:t xml:space="preserve"> of</w:t>
      </w:r>
      <w:r w:rsidR="006F61EF" w:rsidRPr="00D83917">
        <w:rPr>
          <w:iCs/>
        </w:rPr>
        <w:t xml:space="preserve"> </w:t>
      </w:r>
      <w:r w:rsidR="006F61EF" w:rsidRPr="00D83917">
        <w:rPr>
          <w:bCs/>
          <w:iCs/>
        </w:rPr>
        <w:t>drug, alcohol, and smoking</w:t>
      </w:r>
      <w:r w:rsidR="001177C6" w:rsidRPr="00D83917">
        <w:rPr>
          <w:iCs/>
        </w:rPr>
        <w:t xml:space="preserve"> </w:t>
      </w:r>
      <w:r w:rsidR="001177C6" w:rsidRPr="00D83917">
        <w:t xml:space="preserve">are </w:t>
      </w:r>
      <w:r w:rsidR="006F61EF" w:rsidRPr="00D83917">
        <w:t>considered</w:t>
      </w:r>
      <w:r w:rsidR="001177C6" w:rsidRPr="00D83917">
        <w:t xml:space="preserve"> </w:t>
      </w:r>
      <w:r w:rsidR="006F61EF" w:rsidRPr="00D83917">
        <w:t>for</w:t>
      </w:r>
      <w:r w:rsidR="001177C6" w:rsidRPr="00D83917">
        <w:t xml:space="preserve"> variable selection, while variables indicating the types of drug</w:t>
      </w:r>
      <w:r w:rsidR="00091213" w:rsidRPr="00D83917">
        <w:t>s</w:t>
      </w:r>
      <w:r w:rsidR="001177C6" w:rsidRPr="00D83917">
        <w:t xml:space="preserve"> and smoking are not </w:t>
      </w:r>
      <w:r w:rsidR="006F61EF" w:rsidRPr="00D83917">
        <w:t>considered for variable selection</w:t>
      </w:r>
      <w:r w:rsidR="001177C6" w:rsidRPr="00D83917">
        <w:t>.</w:t>
      </w:r>
    </w:p>
    <w:p w14:paraId="0BC1E17F" w14:textId="27F47A1D" w:rsidR="008349C1" w:rsidRPr="00D83917" w:rsidRDefault="008349C1" w:rsidP="003C1621">
      <w:pPr>
        <w:jc w:val="both"/>
      </w:pPr>
    </w:p>
    <w:p w14:paraId="68FD6E1E" w14:textId="315236CB" w:rsidR="008349C1" w:rsidRPr="00D83917" w:rsidRDefault="008349C1" w:rsidP="003C1621">
      <w:pPr>
        <w:jc w:val="both"/>
      </w:pPr>
      <w:r w:rsidRPr="00D83917">
        <w:tab/>
        <w:t>The</w:t>
      </w:r>
      <w:r w:rsidR="009761E6" w:rsidRPr="00D83917">
        <w:t xml:space="preserve"> </w:t>
      </w:r>
      <w:r w:rsidR="00A718E6" w:rsidRPr="00D83917">
        <w:t>RNN architecture used to train prediction</w:t>
      </w:r>
      <w:r w:rsidRPr="00D83917">
        <w:t xml:space="preserve"> model</w:t>
      </w:r>
      <w:r w:rsidR="00A718E6" w:rsidRPr="00D83917">
        <w:t xml:space="preserve">s in the variable selection process follows the framework shown in </w:t>
      </w:r>
      <w:r w:rsidR="003832F6" w:rsidRPr="00D83917">
        <w:t xml:space="preserve">Fig. </w:t>
      </w:r>
      <w:r w:rsidR="00CD3C22" w:rsidRPr="00D83917">
        <w:t>3b</w:t>
      </w:r>
      <w:r w:rsidR="003832F6" w:rsidRPr="00D83917">
        <w:t xml:space="preserve">, but </w:t>
      </w:r>
      <w:r w:rsidR="007602F6" w:rsidRPr="00D83917">
        <w:t xml:space="preserve">the </w:t>
      </w:r>
      <w:r w:rsidR="003832F6" w:rsidRPr="00D83917">
        <w:t>number</w:t>
      </w:r>
      <w:r w:rsidR="007602F6" w:rsidRPr="00D83917">
        <w:t>s</w:t>
      </w:r>
      <w:r w:rsidR="003832F6" w:rsidRPr="00D83917">
        <w:t xml:space="preserve"> of units and nodes in the layers commensurate with the number of input features. </w:t>
      </w:r>
      <w:r w:rsidR="004A1765" w:rsidRPr="00D83917">
        <w:t xml:space="preserve">The number of units/nodes in the LSTM layer and the first dense layer is equal to the number of input features. The numbers of nodes in the second and third dense layers are </w:t>
      </w:r>
      <m:oMath>
        <m:d>
          <m:dPr>
            <m:begChr m:val="⌊"/>
            <m:endChr m:val="⌋"/>
            <m:ctrlPr>
              <w:rPr>
                <w:rFonts w:ascii="Cambria Math" w:hAnsi="Cambria Math"/>
                <w:i/>
              </w:rPr>
            </m:ctrlPr>
          </m:dPr>
          <m:e>
            <m:r>
              <w:rPr>
                <w:rFonts w:ascii="Cambria Math" w:hAnsi="Cambria Math"/>
              </w:rPr>
              <m:t>K</m:t>
            </m:r>
            <m:r>
              <m:rPr>
                <m:sty m:val="p"/>
              </m:rPr>
              <w:rPr>
                <w:rFonts w:ascii="Cambria Math" w:hAnsi="Cambria Math"/>
              </w:rPr>
              <m:t>-(</m:t>
            </m:r>
            <m:r>
              <w:rPr>
                <w:rFonts w:ascii="Cambria Math" w:hAnsi="Cambria Math"/>
              </w:rPr>
              <m:t>K</m:t>
            </m:r>
            <m:r>
              <m:rPr>
                <m:sty m:val="p"/>
              </m:rPr>
              <w:rPr>
                <w:rFonts w:ascii="Cambria Math" w:hAnsi="Cambria Math"/>
              </w:rPr>
              <m:t>-2)/3</m:t>
            </m:r>
          </m:e>
        </m:d>
      </m:oMath>
      <w:r w:rsidR="004A1765" w:rsidRPr="00D83917">
        <w:t xml:space="preserve"> and </w:t>
      </w:r>
      <m:oMath>
        <m:d>
          <m:dPr>
            <m:begChr m:val="⌊"/>
            <m:endChr m:val="⌋"/>
            <m:ctrlPr>
              <w:rPr>
                <w:rFonts w:ascii="Cambria Math" w:hAnsi="Cambria Math"/>
                <w:i/>
              </w:rPr>
            </m:ctrlPr>
          </m:dPr>
          <m:e>
            <m:r>
              <w:rPr>
                <w:rFonts w:ascii="Cambria Math" w:hAnsi="Cambria Math"/>
              </w:rPr>
              <m:t>K</m:t>
            </m:r>
            <m:r>
              <m:rPr>
                <m:sty m:val="p"/>
              </m:rPr>
              <w:rPr>
                <w:rFonts w:ascii="Cambria Math" w:hAnsi="Cambria Math"/>
              </w:rPr>
              <m:t>-2×</m:t>
            </m:r>
            <m:d>
              <m:dPr>
                <m:ctrlPr>
                  <w:rPr>
                    <w:rFonts w:ascii="Cambria Math" w:hAnsi="Cambria Math"/>
                  </w:rPr>
                </m:ctrlPr>
              </m:dPr>
              <m:e>
                <m:r>
                  <w:rPr>
                    <w:rFonts w:ascii="Cambria Math" w:hAnsi="Cambria Math"/>
                  </w:rPr>
                  <m:t>K</m:t>
                </m:r>
                <m:r>
                  <m:rPr>
                    <m:sty m:val="p"/>
                  </m:rPr>
                  <w:rPr>
                    <w:rFonts w:ascii="Cambria Math" w:hAnsi="Cambria Math"/>
                  </w:rPr>
                  <m:t>-2</m:t>
                </m:r>
              </m:e>
            </m:d>
            <m:r>
              <m:rPr>
                <m:sty m:val="p"/>
              </m:rPr>
              <w:rPr>
                <w:rFonts w:ascii="Cambria Math" w:hAnsi="Cambria Math"/>
              </w:rPr>
              <m:t>/3</m:t>
            </m:r>
          </m:e>
        </m:d>
      </m:oMath>
      <w:r w:rsidR="004A1765" w:rsidRPr="00D83917">
        <w:t>, respectively</w:t>
      </w:r>
      <w:r w:rsidR="00A92B9F" w:rsidRPr="00D83917">
        <w:t xml:space="preserve">, where </w:t>
      </w:r>
      <w:r w:rsidR="00A92B9F" w:rsidRPr="00D83917">
        <w:rPr>
          <w:i/>
        </w:rPr>
        <w:t>K</w:t>
      </w:r>
      <w:r w:rsidR="00A92B9F" w:rsidRPr="00D83917">
        <w:t xml:space="preserve"> is the number of input features and </w:t>
      </w:r>
      <m:oMath>
        <m:d>
          <m:dPr>
            <m:begChr m:val="⌊"/>
            <m:endChr m:val="⌋"/>
            <m:ctrlPr>
              <w:rPr>
                <w:rFonts w:ascii="Cambria Math" w:hAnsi="Cambria Math"/>
                <w:i/>
              </w:rPr>
            </m:ctrlPr>
          </m:dPr>
          <m:e>
            <m:r>
              <w:rPr>
                <w:rFonts w:ascii="Cambria Math" w:hAnsi="Cambria Math"/>
              </w:rPr>
              <m:t>∙</m:t>
            </m:r>
          </m:e>
        </m:d>
      </m:oMath>
      <w:r w:rsidR="004A1765" w:rsidRPr="00D83917">
        <w:t xml:space="preserve"> </w:t>
      </w:r>
      <w:r w:rsidR="00A92B9F" w:rsidRPr="00D83917">
        <w:t xml:space="preserve">is the floor function that returns the largest integer no larger than its input. </w:t>
      </w:r>
      <w:r w:rsidR="004A1765" w:rsidRPr="00D83917">
        <w:t xml:space="preserve">The parameter setting used for training the </w:t>
      </w:r>
      <w:r w:rsidR="00A92B9F" w:rsidRPr="00D83917">
        <w:t xml:space="preserve">RNN </w:t>
      </w:r>
      <w:r w:rsidR="004A1765" w:rsidRPr="00D83917">
        <w:t>models is the same as shown in Section 5 of the Supplementary Information.</w:t>
      </w:r>
    </w:p>
    <w:p w14:paraId="435EA20E" w14:textId="51C5B60F" w:rsidR="00BB75D0" w:rsidRPr="00D83917" w:rsidRDefault="00B20A02" w:rsidP="00B04F7C">
      <w:r w:rsidRPr="00D83917">
        <w:tab/>
      </w:r>
    </w:p>
    <w:p w14:paraId="28E6502B" w14:textId="3A0CD8DF" w:rsidR="00B20A02" w:rsidRPr="00D83917" w:rsidRDefault="00B20A02" w:rsidP="007602F6">
      <w:pPr>
        <w:jc w:val="both"/>
      </w:pPr>
      <w:r w:rsidRPr="00D83917">
        <w:tab/>
        <w:t xml:space="preserve">Supplementary Table </w:t>
      </w:r>
      <w:r w:rsidR="00FD61F1" w:rsidRPr="00D83917">
        <w:t>3</w:t>
      </w:r>
      <w:r w:rsidRPr="00D83917">
        <w:t xml:space="preserve"> shows the frequencies of the variables being selected across cross-validation trials in the sequential forward search process. </w:t>
      </w:r>
    </w:p>
    <w:p w14:paraId="3C95A4DB" w14:textId="4B601655" w:rsidR="005D1496" w:rsidRPr="00D83917" w:rsidRDefault="005D1496" w:rsidP="00B04F7C"/>
    <w:p w14:paraId="4045A07B" w14:textId="1C8DC4DB" w:rsidR="005D1496" w:rsidRPr="00D83917" w:rsidRDefault="005D1496" w:rsidP="00B04F7C"/>
    <w:p w14:paraId="05C5B6DE" w14:textId="77777777" w:rsidR="00343F00" w:rsidRPr="00D83917" w:rsidRDefault="00343F00" w:rsidP="00B04F7C"/>
    <w:p w14:paraId="293402E7" w14:textId="19E8B5A9" w:rsidR="005D1496" w:rsidRPr="00D83917" w:rsidRDefault="005D1496" w:rsidP="0051274B">
      <w:pPr>
        <w:jc w:val="both"/>
      </w:pPr>
      <w:r w:rsidRPr="00D83917">
        <w:rPr>
          <w:b/>
        </w:rPr>
        <w:t xml:space="preserve">Supplementary Table </w:t>
      </w:r>
      <w:r w:rsidR="003241C2" w:rsidRPr="00D83917">
        <w:rPr>
          <w:b/>
        </w:rPr>
        <w:t>3</w:t>
      </w:r>
      <w:r w:rsidRPr="00D83917">
        <w:t xml:space="preserve">    Most frequently selected variables in the sequential forward search process.</w:t>
      </w:r>
    </w:p>
    <w:tbl>
      <w:tblPr>
        <w:tblStyle w:val="TableGrid"/>
        <w:tblW w:w="9786" w:type="dxa"/>
        <w:tblLook w:val="04A0" w:firstRow="1" w:lastRow="0" w:firstColumn="1" w:lastColumn="0" w:noHBand="0" w:noVBand="1"/>
      </w:tblPr>
      <w:tblGrid>
        <w:gridCol w:w="1435"/>
        <w:gridCol w:w="8351"/>
      </w:tblGrid>
      <w:tr w:rsidR="00D83917" w:rsidRPr="00D83917" w14:paraId="185B48DC" w14:textId="77777777" w:rsidTr="00F24DB4">
        <w:trPr>
          <w:trHeight w:val="320"/>
        </w:trPr>
        <w:tc>
          <w:tcPr>
            <w:tcW w:w="1435" w:type="dxa"/>
            <w:noWrap/>
            <w:vAlign w:val="center"/>
            <w:hideMark/>
          </w:tcPr>
          <w:p w14:paraId="3393A54A" w14:textId="5891C480" w:rsidR="00D6251F" w:rsidRPr="00D83917" w:rsidRDefault="00D6251F" w:rsidP="005D1496">
            <w:pPr>
              <w:jc w:val="center"/>
              <w:rPr>
                <w:b/>
              </w:rPr>
            </w:pPr>
            <w:r w:rsidRPr="00D83917">
              <w:rPr>
                <w:b/>
              </w:rPr>
              <w:t xml:space="preserve">Number </w:t>
            </w:r>
            <w:r w:rsidR="00D766F4" w:rsidRPr="00D83917">
              <w:rPr>
                <w:b/>
              </w:rPr>
              <w:t>o</w:t>
            </w:r>
            <w:r w:rsidRPr="00D83917">
              <w:rPr>
                <w:b/>
              </w:rPr>
              <w:t>f Selected Variables</w:t>
            </w:r>
          </w:p>
        </w:tc>
        <w:tc>
          <w:tcPr>
            <w:tcW w:w="8351" w:type="dxa"/>
            <w:noWrap/>
            <w:vAlign w:val="center"/>
            <w:hideMark/>
          </w:tcPr>
          <w:p w14:paraId="4238CE9E" w14:textId="57FECF08" w:rsidR="00D6251F" w:rsidRPr="00D83917" w:rsidRDefault="00D6251F" w:rsidP="00F24DB4">
            <w:pPr>
              <w:jc w:val="center"/>
              <w:rPr>
                <w:b/>
              </w:rPr>
            </w:pPr>
            <w:r w:rsidRPr="00D83917">
              <w:rPr>
                <w:b/>
              </w:rPr>
              <w:t>Most Frequently Selected Variables</w:t>
            </w:r>
          </w:p>
        </w:tc>
      </w:tr>
      <w:tr w:rsidR="00D83917" w:rsidRPr="00D83917" w14:paraId="64FF7EA3" w14:textId="77777777" w:rsidTr="005D1496">
        <w:trPr>
          <w:trHeight w:val="320"/>
        </w:trPr>
        <w:tc>
          <w:tcPr>
            <w:tcW w:w="1435" w:type="dxa"/>
            <w:noWrap/>
            <w:vAlign w:val="center"/>
            <w:hideMark/>
          </w:tcPr>
          <w:p w14:paraId="0106E203" w14:textId="77777777" w:rsidR="00D6251F" w:rsidRPr="00D83917" w:rsidRDefault="00D6251F" w:rsidP="005D1496">
            <w:pPr>
              <w:jc w:val="center"/>
            </w:pPr>
            <w:r w:rsidRPr="00D83917">
              <w:t>1</w:t>
            </w:r>
          </w:p>
        </w:tc>
        <w:tc>
          <w:tcPr>
            <w:tcW w:w="8351" w:type="dxa"/>
            <w:noWrap/>
            <w:hideMark/>
          </w:tcPr>
          <w:p w14:paraId="00194883" w14:textId="65593B79" w:rsidR="00D6251F" w:rsidRPr="00D83917" w:rsidRDefault="00D6251F">
            <w:proofErr w:type="spellStart"/>
            <w:r w:rsidRPr="00D83917">
              <w:t>eGFR</w:t>
            </w:r>
            <w:proofErr w:type="spellEnd"/>
            <w:r w:rsidRPr="00D83917">
              <w:t>(100%)</w:t>
            </w:r>
          </w:p>
        </w:tc>
      </w:tr>
      <w:tr w:rsidR="00D83917" w:rsidRPr="00D83917" w14:paraId="2B3D7B6D" w14:textId="77777777" w:rsidTr="005D1496">
        <w:trPr>
          <w:trHeight w:val="320"/>
        </w:trPr>
        <w:tc>
          <w:tcPr>
            <w:tcW w:w="1435" w:type="dxa"/>
            <w:noWrap/>
            <w:vAlign w:val="center"/>
            <w:hideMark/>
          </w:tcPr>
          <w:p w14:paraId="38AA2FA2" w14:textId="77777777" w:rsidR="00D6251F" w:rsidRPr="00D83917" w:rsidRDefault="00D6251F" w:rsidP="005D1496">
            <w:pPr>
              <w:jc w:val="center"/>
            </w:pPr>
            <w:r w:rsidRPr="00D83917">
              <w:t>2</w:t>
            </w:r>
          </w:p>
        </w:tc>
        <w:tc>
          <w:tcPr>
            <w:tcW w:w="8351" w:type="dxa"/>
            <w:noWrap/>
            <w:hideMark/>
          </w:tcPr>
          <w:p w14:paraId="73F22334" w14:textId="36826F83" w:rsidR="00D6251F" w:rsidRPr="00D83917" w:rsidRDefault="00D6251F">
            <w:proofErr w:type="spellStart"/>
            <w:r w:rsidRPr="00D83917">
              <w:t>eGFR</w:t>
            </w:r>
            <w:proofErr w:type="spellEnd"/>
            <w:r w:rsidRPr="00D83917">
              <w:t xml:space="preserve">(100%), </w:t>
            </w:r>
            <w:r w:rsidR="00BC6D77" w:rsidRPr="00D83917">
              <w:t>Smoking status</w:t>
            </w:r>
            <w:r w:rsidRPr="00D83917">
              <w:t>(26.67%)</w:t>
            </w:r>
            <w:r w:rsidR="00E03EAF" w:rsidRPr="00D83917">
              <w:t>, …</w:t>
            </w:r>
          </w:p>
        </w:tc>
      </w:tr>
      <w:tr w:rsidR="00D83917" w:rsidRPr="00D83917" w14:paraId="4CD077F4" w14:textId="77777777" w:rsidTr="005D1496">
        <w:trPr>
          <w:trHeight w:val="320"/>
        </w:trPr>
        <w:tc>
          <w:tcPr>
            <w:tcW w:w="1435" w:type="dxa"/>
            <w:noWrap/>
            <w:vAlign w:val="center"/>
            <w:hideMark/>
          </w:tcPr>
          <w:p w14:paraId="70B4D00C" w14:textId="77777777" w:rsidR="00D6251F" w:rsidRPr="00D83917" w:rsidRDefault="00D6251F" w:rsidP="005D1496">
            <w:pPr>
              <w:jc w:val="center"/>
            </w:pPr>
            <w:r w:rsidRPr="00D83917">
              <w:t>3</w:t>
            </w:r>
          </w:p>
        </w:tc>
        <w:tc>
          <w:tcPr>
            <w:tcW w:w="8351" w:type="dxa"/>
            <w:noWrap/>
            <w:hideMark/>
          </w:tcPr>
          <w:p w14:paraId="639E5930" w14:textId="474F6418" w:rsidR="00D6251F" w:rsidRPr="00D83917" w:rsidRDefault="00D6251F">
            <w:proofErr w:type="spellStart"/>
            <w:r w:rsidRPr="00D83917">
              <w:t>eGFR</w:t>
            </w:r>
            <w:proofErr w:type="spellEnd"/>
            <w:r w:rsidRPr="00D83917">
              <w:t xml:space="preserve">(100%), </w:t>
            </w:r>
            <w:r w:rsidR="00BC6D77" w:rsidRPr="00D83917">
              <w:t>Smoking status</w:t>
            </w:r>
            <w:r w:rsidRPr="00D83917">
              <w:t>(36.67%), Calcium(23.33%)</w:t>
            </w:r>
            <w:r w:rsidR="00E03EAF" w:rsidRPr="00D83917">
              <w:t>, …</w:t>
            </w:r>
          </w:p>
        </w:tc>
      </w:tr>
      <w:tr w:rsidR="00D83917" w:rsidRPr="00D83917" w14:paraId="622E9522" w14:textId="77777777" w:rsidTr="005D1496">
        <w:trPr>
          <w:trHeight w:val="320"/>
        </w:trPr>
        <w:tc>
          <w:tcPr>
            <w:tcW w:w="1435" w:type="dxa"/>
            <w:noWrap/>
            <w:vAlign w:val="center"/>
            <w:hideMark/>
          </w:tcPr>
          <w:p w14:paraId="7496AC98" w14:textId="77777777" w:rsidR="00D6251F" w:rsidRPr="00D83917" w:rsidRDefault="00D6251F" w:rsidP="005D1496">
            <w:pPr>
              <w:jc w:val="center"/>
            </w:pPr>
            <w:r w:rsidRPr="00D83917">
              <w:t>4</w:t>
            </w:r>
          </w:p>
        </w:tc>
        <w:tc>
          <w:tcPr>
            <w:tcW w:w="8351" w:type="dxa"/>
            <w:noWrap/>
            <w:hideMark/>
          </w:tcPr>
          <w:p w14:paraId="53684512" w14:textId="4BBFB95F"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(46.67%), Calcium(30%), </w:t>
            </w:r>
            <w:r w:rsidR="00BC6D77" w:rsidRPr="00D83917">
              <w:t>Alcohol usage status</w:t>
            </w:r>
            <w:r w:rsidRPr="00D83917">
              <w:t>(23.33%)</w:t>
            </w:r>
            <w:r w:rsidR="00E03EAF" w:rsidRPr="00D83917">
              <w:t>, …</w:t>
            </w:r>
          </w:p>
        </w:tc>
      </w:tr>
      <w:tr w:rsidR="00D83917" w:rsidRPr="00D83917" w14:paraId="0432A032" w14:textId="77777777" w:rsidTr="005D1496">
        <w:trPr>
          <w:trHeight w:val="320"/>
        </w:trPr>
        <w:tc>
          <w:tcPr>
            <w:tcW w:w="1435" w:type="dxa"/>
            <w:noWrap/>
            <w:vAlign w:val="center"/>
            <w:hideMark/>
          </w:tcPr>
          <w:p w14:paraId="301C3223" w14:textId="77777777" w:rsidR="00D6251F" w:rsidRPr="00D83917" w:rsidRDefault="00D6251F" w:rsidP="005D1496">
            <w:pPr>
              <w:jc w:val="center"/>
            </w:pPr>
            <w:r w:rsidRPr="00D83917">
              <w:t>5</w:t>
            </w:r>
          </w:p>
        </w:tc>
        <w:tc>
          <w:tcPr>
            <w:tcW w:w="8351" w:type="dxa"/>
            <w:noWrap/>
            <w:hideMark/>
          </w:tcPr>
          <w:p w14:paraId="44BC3B10" w14:textId="15374463"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(60%), Calcium(36.67%), </w:t>
            </w:r>
            <w:r w:rsidR="00BC6D77" w:rsidRPr="00D83917">
              <w:t>Alcohol usage status</w:t>
            </w:r>
            <w:r w:rsidRPr="00D83917">
              <w:t xml:space="preserve">(26.67%), </w:t>
            </w:r>
            <w:r w:rsidR="00564C1A" w:rsidRPr="00D83917">
              <w:t>Systolic blood pressure</w:t>
            </w:r>
            <w:r w:rsidRPr="00D83917">
              <w:t>(23.33%)</w:t>
            </w:r>
            <w:r w:rsidR="00E03EAF" w:rsidRPr="00D83917">
              <w:t>, …</w:t>
            </w:r>
          </w:p>
        </w:tc>
      </w:tr>
      <w:tr w:rsidR="00D83917" w:rsidRPr="00D83917" w14:paraId="4EB9A5BA" w14:textId="77777777" w:rsidTr="005D1496">
        <w:trPr>
          <w:trHeight w:val="320"/>
        </w:trPr>
        <w:tc>
          <w:tcPr>
            <w:tcW w:w="1435" w:type="dxa"/>
            <w:noWrap/>
            <w:vAlign w:val="center"/>
            <w:hideMark/>
          </w:tcPr>
          <w:p w14:paraId="2538474D" w14:textId="77777777" w:rsidR="00D6251F" w:rsidRPr="00D83917" w:rsidRDefault="00D6251F" w:rsidP="005D1496">
            <w:pPr>
              <w:jc w:val="center"/>
            </w:pPr>
            <w:r w:rsidRPr="00D83917">
              <w:t>6</w:t>
            </w:r>
          </w:p>
        </w:tc>
        <w:tc>
          <w:tcPr>
            <w:tcW w:w="8351" w:type="dxa"/>
            <w:noWrap/>
            <w:hideMark/>
          </w:tcPr>
          <w:p w14:paraId="7B142418" w14:textId="04473966"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(63.33%), Calcium(40%), </w:t>
            </w:r>
            <w:r w:rsidR="00564C1A" w:rsidRPr="00D83917">
              <w:t>Systolic blood pressure</w:t>
            </w:r>
            <w:r w:rsidRPr="00D83917">
              <w:t xml:space="preserve">(30%), </w:t>
            </w:r>
            <w:r w:rsidR="00BC6D77" w:rsidRPr="00D83917">
              <w:t>Alcohol usage status</w:t>
            </w:r>
            <w:r w:rsidRPr="00D83917">
              <w:t xml:space="preserve">(26.67%), </w:t>
            </w:r>
            <w:proofErr w:type="spellStart"/>
            <w:r w:rsidRPr="00D83917">
              <w:t>Hgb</w:t>
            </w:r>
            <w:proofErr w:type="spellEnd"/>
            <w:r w:rsidRPr="00D83917">
              <w:t>(23.33%)</w:t>
            </w:r>
            <w:r w:rsidR="00E03EAF" w:rsidRPr="00D83917">
              <w:t>, …</w:t>
            </w:r>
          </w:p>
        </w:tc>
      </w:tr>
      <w:tr w:rsidR="00D83917" w:rsidRPr="00D83917" w14:paraId="371252A3" w14:textId="77777777" w:rsidTr="005D1496">
        <w:trPr>
          <w:trHeight w:val="320"/>
        </w:trPr>
        <w:tc>
          <w:tcPr>
            <w:tcW w:w="1435" w:type="dxa"/>
            <w:noWrap/>
            <w:vAlign w:val="center"/>
            <w:hideMark/>
          </w:tcPr>
          <w:p w14:paraId="4317B7E6" w14:textId="77777777" w:rsidR="00D6251F" w:rsidRPr="00D83917" w:rsidRDefault="00D6251F" w:rsidP="005D1496">
            <w:pPr>
              <w:jc w:val="center"/>
            </w:pPr>
            <w:r w:rsidRPr="00D83917">
              <w:t>7</w:t>
            </w:r>
          </w:p>
        </w:tc>
        <w:tc>
          <w:tcPr>
            <w:tcW w:w="8351" w:type="dxa"/>
            <w:noWrap/>
            <w:hideMark/>
          </w:tcPr>
          <w:p w14:paraId="7FF6B889" w14:textId="3B71B0B5"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(63.33%), Calcium(43.33%), </w:t>
            </w:r>
            <w:r w:rsidR="00564C1A" w:rsidRPr="00D83917">
              <w:t>Systolic blood pressure</w:t>
            </w:r>
            <w:r w:rsidRPr="00D83917">
              <w:t xml:space="preserve">(40%), </w:t>
            </w:r>
            <w:r w:rsidR="00BC6D77" w:rsidRPr="00D83917">
              <w:t>Alcohol usage status</w:t>
            </w:r>
            <w:r w:rsidRPr="00D83917">
              <w:t xml:space="preserve">(33.33%), </w:t>
            </w:r>
            <w:r w:rsidR="00AC4963" w:rsidRPr="00D83917">
              <w:t>Blood urea nitrogen</w:t>
            </w:r>
            <w:r w:rsidRPr="00D83917">
              <w:t xml:space="preserve">(26.67%), </w:t>
            </w:r>
            <w:proofErr w:type="spellStart"/>
            <w:r w:rsidRPr="00D83917">
              <w:t>Hgb</w:t>
            </w:r>
            <w:proofErr w:type="spellEnd"/>
            <w:r w:rsidRPr="00D83917">
              <w:t>(26.67%)</w:t>
            </w:r>
            <w:r w:rsidR="00E03EAF" w:rsidRPr="00D83917">
              <w:t>, …</w:t>
            </w:r>
          </w:p>
        </w:tc>
      </w:tr>
      <w:tr w:rsidR="00D83917" w:rsidRPr="00D83917" w14:paraId="2DF54943" w14:textId="77777777" w:rsidTr="005D1496">
        <w:trPr>
          <w:trHeight w:val="320"/>
        </w:trPr>
        <w:tc>
          <w:tcPr>
            <w:tcW w:w="1435" w:type="dxa"/>
            <w:noWrap/>
            <w:vAlign w:val="center"/>
            <w:hideMark/>
          </w:tcPr>
          <w:p w14:paraId="54F8FC39" w14:textId="77777777" w:rsidR="00D6251F" w:rsidRPr="00D83917" w:rsidRDefault="00D6251F" w:rsidP="005D1496">
            <w:pPr>
              <w:jc w:val="center"/>
            </w:pPr>
            <w:r w:rsidRPr="00D83917">
              <w:t>8</w:t>
            </w:r>
          </w:p>
        </w:tc>
        <w:tc>
          <w:tcPr>
            <w:tcW w:w="8351" w:type="dxa"/>
            <w:noWrap/>
            <w:hideMark/>
          </w:tcPr>
          <w:p w14:paraId="6EF0FBB5" w14:textId="1394E181"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(66.67%), Calcium(43.33%), </w:t>
            </w:r>
            <w:r w:rsidR="00564C1A" w:rsidRPr="00D83917">
              <w:t>Systolic blood pressure</w:t>
            </w:r>
            <w:r w:rsidRPr="00D83917">
              <w:t xml:space="preserve">(40%), </w:t>
            </w:r>
            <w:r w:rsidR="00BC6D77" w:rsidRPr="00D83917">
              <w:t>Alcohol usage status</w:t>
            </w:r>
            <w:r w:rsidRPr="00D83917">
              <w:t xml:space="preserve">(33.33%), </w:t>
            </w:r>
            <w:r w:rsidR="00AC4963" w:rsidRPr="00D83917">
              <w:t>Blood urea nitrogen</w:t>
            </w:r>
            <w:r w:rsidRPr="00D83917">
              <w:t xml:space="preserve">(33.33%), </w:t>
            </w:r>
            <w:proofErr w:type="spellStart"/>
            <w:r w:rsidRPr="00D83917">
              <w:t>Hgb</w:t>
            </w:r>
            <w:proofErr w:type="spellEnd"/>
            <w:r w:rsidRPr="00D83917">
              <w:t xml:space="preserve">(33.33%), </w:t>
            </w:r>
            <w:r w:rsidR="00AC4963" w:rsidRPr="00D83917">
              <w:t>Urine creatinine</w:t>
            </w:r>
            <w:r w:rsidRPr="00D83917">
              <w:t>(30%)</w:t>
            </w:r>
            <w:r w:rsidR="00E03EAF" w:rsidRPr="00D83917">
              <w:t>, …</w:t>
            </w:r>
          </w:p>
        </w:tc>
      </w:tr>
      <w:tr w:rsidR="00D83917" w:rsidRPr="00D83917" w14:paraId="6534C8DD" w14:textId="77777777" w:rsidTr="005D1496">
        <w:trPr>
          <w:trHeight w:val="320"/>
        </w:trPr>
        <w:tc>
          <w:tcPr>
            <w:tcW w:w="1435" w:type="dxa"/>
            <w:noWrap/>
            <w:vAlign w:val="center"/>
            <w:hideMark/>
          </w:tcPr>
          <w:p w14:paraId="36086895" w14:textId="77777777" w:rsidR="00D6251F" w:rsidRPr="00D83917" w:rsidRDefault="00D6251F" w:rsidP="005D1496">
            <w:pPr>
              <w:jc w:val="center"/>
            </w:pPr>
            <w:r w:rsidRPr="00D83917">
              <w:t>9</w:t>
            </w:r>
          </w:p>
        </w:tc>
        <w:tc>
          <w:tcPr>
            <w:tcW w:w="8351" w:type="dxa"/>
            <w:noWrap/>
            <w:hideMark/>
          </w:tcPr>
          <w:p w14:paraId="7BA0DC6A" w14:textId="519BCBDB"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(70%), </w:t>
            </w:r>
            <w:r w:rsidR="00564C1A" w:rsidRPr="00D83917">
              <w:t>Systolic blood pressure</w:t>
            </w:r>
            <w:r w:rsidRPr="00D83917">
              <w:t xml:space="preserve">(46.67%), Calcium(43.33%), </w:t>
            </w:r>
            <w:r w:rsidR="00BC6D77" w:rsidRPr="00D83917">
              <w:t>Alcohol usage status</w:t>
            </w:r>
            <w:r w:rsidRPr="00D83917">
              <w:t xml:space="preserve">(40%), </w:t>
            </w:r>
            <w:proofErr w:type="spellStart"/>
            <w:r w:rsidRPr="00D83917">
              <w:t>Hgb</w:t>
            </w:r>
            <w:proofErr w:type="spellEnd"/>
            <w:r w:rsidRPr="00D83917">
              <w:t xml:space="preserve">(36.67%), </w:t>
            </w:r>
            <w:r w:rsidR="00AC4963" w:rsidRPr="00D83917">
              <w:t>Urine creatinine</w:t>
            </w:r>
            <w:r w:rsidRPr="00D83917">
              <w:t xml:space="preserve">(36.67%), </w:t>
            </w:r>
            <w:r w:rsidR="00AC4963" w:rsidRPr="00D83917">
              <w:t>Blood urea nitrogen</w:t>
            </w:r>
            <w:r w:rsidRPr="00D83917">
              <w:t>(33.33%), Creatinine(30%)</w:t>
            </w:r>
            <w:r w:rsidR="00E03EAF" w:rsidRPr="00D83917">
              <w:t>, …</w:t>
            </w:r>
          </w:p>
        </w:tc>
      </w:tr>
      <w:tr w:rsidR="00D83917" w:rsidRPr="00D83917" w14:paraId="66BB6F3A" w14:textId="77777777" w:rsidTr="005D1496">
        <w:trPr>
          <w:trHeight w:val="320"/>
        </w:trPr>
        <w:tc>
          <w:tcPr>
            <w:tcW w:w="1435" w:type="dxa"/>
            <w:noWrap/>
            <w:vAlign w:val="center"/>
            <w:hideMark/>
          </w:tcPr>
          <w:p w14:paraId="350AB7F4" w14:textId="77777777" w:rsidR="00D6251F" w:rsidRPr="00D83917" w:rsidRDefault="00D6251F" w:rsidP="005D1496">
            <w:pPr>
              <w:jc w:val="center"/>
            </w:pPr>
            <w:r w:rsidRPr="00D83917">
              <w:t>10</w:t>
            </w:r>
          </w:p>
        </w:tc>
        <w:tc>
          <w:tcPr>
            <w:tcW w:w="8351" w:type="dxa"/>
            <w:noWrap/>
            <w:hideMark/>
          </w:tcPr>
          <w:p w14:paraId="773FD42B" w14:textId="60E88106"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(70%), </w:t>
            </w:r>
            <w:r w:rsidR="00564C1A" w:rsidRPr="00D83917">
              <w:t>Systolic blood pressure</w:t>
            </w:r>
            <w:r w:rsidRPr="00D83917">
              <w:t xml:space="preserve">(50%), </w:t>
            </w:r>
            <w:r w:rsidR="00BC6D77" w:rsidRPr="00D83917">
              <w:t>Alcohol usage status</w:t>
            </w:r>
            <w:r w:rsidRPr="00D83917">
              <w:t xml:space="preserve">(46.67%), Calcium(46.67%), </w:t>
            </w:r>
            <w:r w:rsidR="00AC4963" w:rsidRPr="00D83917">
              <w:t>Blood urea nitrogen</w:t>
            </w:r>
            <w:r w:rsidRPr="00D83917">
              <w:t xml:space="preserve">(36.67%), Creatinine(36.67%), </w:t>
            </w:r>
            <w:proofErr w:type="spellStart"/>
            <w:r w:rsidRPr="00D83917">
              <w:t>Hgb</w:t>
            </w:r>
            <w:proofErr w:type="spellEnd"/>
            <w:r w:rsidRPr="00D83917">
              <w:t xml:space="preserve">(36.67%), </w:t>
            </w:r>
            <w:r w:rsidR="00AC4963" w:rsidRPr="00D83917">
              <w:t>Urine creatinine</w:t>
            </w:r>
            <w:r w:rsidRPr="00D83917">
              <w:t xml:space="preserve">(36.67%), </w:t>
            </w:r>
            <w:r w:rsidR="00AC4963" w:rsidRPr="00D83917">
              <w:t>Urine micro albumin</w:t>
            </w:r>
            <w:r w:rsidRPr="00D83917">
              <w:t>(36.67%)</w:t>
            </w:r>
            <w:r w:rsidR="00E03EAF" w:rsidRPr="00D83917">
              <w:t>, …</w:t>
            </w:r>
          </w:p>
        </w:tc>
      </w:tr>
      <w:tr w:rsidR="00D83917" w:rsidRPr="00D83917" w14:paraId="18D738C5" w14:textId="77777777" w:rsidTr="005D1496">
        <w:trPr>
          <w:trHeight w:val="320"/>
        </w:trPr>
        <w:tc>
          <w:tcPr>
            <w:tcW w:w="1435" w:type="dxa"/>
            <w:noWrap/>
            <w:vAlign w:val="center"/>
            <w:hideMark/>
          </w:tcPr>
          <w:p w14:paraId="3FA6FCC8" w14:textId="77777777" w:rsidR="00D6251F" w:rsidRPr="00D83917" w:rsidRDefault="00D6251F" w:rsidP="005D1496">
            <w:pPr>
              <w:jc w:val="center"/>
            </w:pPr>
            <w:r w:rsidRPr="00D83917">
              <w:t>11</w:t>
            </w:r>
          </w:p>
        </w:tc>
        <w:tc>
          <w:tcPr>
            <w:tcW w:w="8351" w:type="dxa"/>
            <w:noWrap/>
            <w:hideMark/>
          </w:tcPr>
          <w:p w14:paraId="043C500A" w14:textId="52AAB5AB"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(73.33%), </w:t>
            </w:r>
            <w:r w:rsidR="00564C1A" w:rsidRPr="00D83917">
              <w:t>Systolic blood pressure</w:t>
            </w:r>
            <w:r w:rsidRPr="00D83917">
              <w:t xml:space="preserve">(50%), Calcium(50%), </w:t>
            </w:r>
            <w:r w:rsidR="00BC6D77" w:rsidRPr="00D83917">
              <w:t>Alcohol usage status</w:t>
            </w:r>
            <w:r w:rsidRPr="00D83917">
              <w:t xml:space="preserve">(46.67%), Creatinine(43.33%), </w:t>
            </w:r>
            <w:r w:rsidR="00AC4963" w:rsidRPr="00D83917">
              <w:t xml:space="preserve">Blood urea </w:t>
            </w:r>
            <w:r w:rsidR="00AC4963" w:rsidRPr="00D83917">
              <w:lastRenderedPageBreak/>
              <w:t>nitrogen</w:t>
            </w:r>
            <w:r w:rsidRPr="00D83917">
              <w:t xml:space="preserve">(40%), </w:t>
            </w:r>
            <w:r w:rsidR="00AC4963" w:rsidRPr="00D83917">
              <w:t>Urine creatinine</w:t>
            </w:r>
            <w:r w:rsidRPr="00D83917">
              <w:t xml:space="preserve">(40%), </w:t>
            </w:r>
            <w:proofErr w:type="spellStart"/>
            <w:r w:rsidRPr="00D83917">
              <w:t>Hgb</w:t>
            </w:r>
            <w:proofErr w:type="spellEnd"/>
            <w:r w:rsidRPr="00D83917">
              <w:t xml:space="preserve">(36.67%), </w:t>
            </w:r>
            <w:r w:rsidR="00AC4963" w:rsidRPr="00D83917">
              <w:t>Urine micro albumin</w:t>
            </w:r>
            <w:r w:rsidRPr="00D83917">
              <w:t>(36.67%), Albumin(33.33%)</w:t>
            </w:r>
            <w:r w:rsidR="00E03EAF" w:rsidRPr="00D83917">
              <w:t>, …</w:t>
            </w:r>
          </w:p>
        </w:tc>
      </w:tr>
      <w:tr w:rsidR="00D83917" w:rsidRPr="00D83917" w14:paraId="57C02F2A" w14:textId="77777777" w:rsidTr="005D1496">
        <w:trPr>
          <w:trHeight w:val="320"/>
        </w:trPr>
        <w:tc>
          <w:tcPr>
            <w:tcW w:w="1435" w:type="dxa"/>
            <w:noWrap/>
            <w:vAlign w:val="center"/>
            <w:hideMark/>
          </w:tcPr>
          <w:p w14:paraId="13A9ACB2" w14:textId="77777777" w:rsidR="00D6251F" w:rsidRPr="00D83917" w:rsidRDefault="00D6251F" w:rsidP="005D1496">
            <w:pPr>
              <w:jc w:val="center"/>
            </w:pPr>
            <w:r w:rsidRPr="00D83917">
              <w:lastRenderedPageBreak/>
              <w:t>12</w:t>
            </w:r>
          </w:p>
        </w:tc>
        <w:tc>
          <w:tcPr>
            <w:tcW w:w="8351" w:type="dxa"/>
            <w:noWrap/>
            <w:hideMark/>
          </w:tcPr>
          <w:p w14:paraId="6F52D4F2" w14:textId="7A084FF0"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(76.67%), </w:t>
            </w:r>
            <w:r w:rsidR="00564C1A" w:rsidRPr="00D83917">
              <w:t>Systolic blood pressure</w:t>
            </w:r>
            <w:r w:rsidRPr="00D83917">
              <w:t xml:space="preserve">(56.67%), Calcium(53.33%), </w:t>
            </w:r>
            <w:r w:rsidR="00BC6D77" w:rsidRPr="00D83917">
              <w:t>Alcohol usage status</w:t>
            </w:r>
            <w:r w:rsidRPr="00D83917">
              <w:t xml:space="preserve">(50%), Creatinine(46.67%), </w:t>
            </w:r>
            <w:r w:rsidR="00AC4963" w:rsidRPr="00D83917">
              <w:t>Blood urea nitrogen</w:t>
            </w:r>
            <w:r w:rsidRPr="00D83917">
              <w:t xml:space="preserve">(43.33%), </w:t>
            </w:r>
            <w:r w:rsidR="00AC4963" w:rsidRPr="00D83917">
              <w:t>Urine creatinine</w:t>
            </w:r>
            <w:r w:rsidRPr="00D83917">
              <w:t xml:space="preserve">(43.33%), Albumin(40%), </w:t>
            </w:r>
            <w:r w:rsidR="00AC4963" w:rsidRPr="00D83917">
              <w:t>RACE</w:t>
            </w:r>
            <w:r w:rsidRPr="00D83917">
              <w:t xml:space="preserve">(40%), </w:t>
            </w:r>
            <w:r w:rsidR="00AC4963" w:rsidRPr="00D83917">
              <w:t>Urine micro albumin</w:t>
            </w:r>
            <w:r w:rsidRPr="00D83917">
              <w:t xml:space="preserve">(40%), </w:t>
            </w:r>
            <w:proofErr w:type="spellStart"/>
            <w:r w:rsidRPr="00D83917">
              <w:t>Hgb</w:t>
            </w:r>
            <w:proofErr w:type="spellEnd"/>
            <w:r w:rsidRPr="00D83917">
              <w:t>(36.67%)</w:t>
            </w:r>
            <w:r w:rsidR="00E03EAF" w:rsidRPr="00D83917">
              <w:t>, …</w:t>
            </w:r>
          </w:p>
        </w:tc>
      </w:tr>
      <w:tr w:rsidR="00D83917" w:rsidRPr="00D83917" w14:paraId="30489473" w14:textId="77777777" w:rsidTr="005D1496">
        <w:trPr>
          <w:trHeight w:val="320"/>
        </w:trPr>
        <w:tc>
          <w:tcPr>
            <w:tcW w:w="1435" w:type="dxa"/>
            <w:noWrap/>
            <w:vAlign w:val="center"/>
            <w:hideMark/>
          </w:tcPr>
          <w:p w14:paraId="02DE43CA" w14:textId="77777777" w:rsidR="00D6251F" w:rsidRPr="00D83917" w:rsidRDefault="00D6251F" w:rsidP="005D1496">
            <w:pPr>
              <w:jc w:val="center"/>
            </w:pPr>
            <w:r w:rsidRPr="00D83917">
              <w:t>13</w:t>
            </w:r>
          </w:p>
        </w:tc>
        <w:tc>
          <w:tcPr>
            <w:tcW w:w="8351" w:type="dxa"/>
            <w:noWrap/>
            <w:hideMark/>
          </w:tcPr>
          <w:p w14:paraId="23DB5495" w14:textId="2BEF9CD4"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(76.67%), </w:t>
            </w:r>
            <w:r w:rsidR="00564C1A" w:rsidRPr="00D83917">
              <w:t>Systolic blood pressure</w:t>
            </w:r>
            <w:r w:rsidRPr="00D83917">
              <w:t xml:space="preserve">(63.33%), </w:t>
            </w:r>
            <w:r w:rsidR="00AC4963" w:rsidRPr="00D83917">
              <w:t>Urine creatinine</w:t>
            </w:r>
            <w:r w:rsidRPr="00D83917">
              <w:t xml:space="preserve">(56.67%), Calcium(53.33%), </w:t>
            </w:r>
            <w:r w:rsidR="00BC6D77" w:rsidRPr="00D83917">
              <w:t>Alcohol usage status</w:t>
            </w:r>
            <w:r w:rsidRPr="00D83917">
              <w:t xml:space="preserve">(50%), </w:t>
            </w:r>
            <w:r w:rsidR="00AC4963" w:rsidRPr="00D83917">
              <w:t>Blood urea nitrogen</w:t>
            </w:r>
            <w:r w:rsidRPr="00D83917">
              <w:t xml:space="preserve">(50%), Creatinine(46.67%), </w:t>
            </w:r>
            <w:r w:rsidR="00AC4963" w:rsidRPr="00D83917">
              <w:t>R</w:t>
            </w:r>
            <w:r w:rsidR="00BC6D77" w:rsidRPr="00D83917">
              <w:t>ace</w:t>
            </w:r>
            <w:r w:rsidRPr="00D83917">
              <w:t xml:space="preserve">(46.67%), </w:t>
            </w:r>
            <w:r w:rsidR="00AC4963" w:rsidRPr="00D83917">
              <w:t>Urine micro albumin</w:t>
            </w:r>
            <w:r w:rsidRPr="00D83917">
              <w:t xml:space="preserve">(46.67%), Albumin(43.33%), Saturation(43.33%), </w:t>
            </w:r>
            <w:r w:rsidR="00AC4963" w:rsidRPr="00D83917">
              <w:t>Uric acid</w:t>
            </w:r>
            <w:r w:rsidRPr="00D83917">
              <w:t>(40%)</w:t>
            </w:r>
            <w:r w:rsidR="00E03EAF" w:rsidRPr="00D83917">
              <w:t>, …</w:t>
            </w:r>
          </w:p>
        </w:tc>
      </w:tr>
      <w:tr w:rsidR="00D83917" w:rsidRPr="00D83917" w14:paraId="0D080224" w14:textId="77777777" w:rsidTr="005D1496">
        <w:trPr>
          <w:trHeight w:val="320"/>
        </w:trPr>
        <w:tc>
          <w:tcPr>
            <w:tcW w:w="1435" w:type="dxa"/>
            <w:noWrap/>
            <w:vAlign w:val="center"/>
            <w:hideMark/>
          </w:tcPr>
          <w:p w14:paraId="6B73D2B8" w14:textId="77777777" w:rsidR="00D6251F" w:rsidRPr="00D83917" w:rsidRDefault="00D6251F" w:rsidP="005D1496">
            <w:pPr>
              <w:jc w:val="center"/>
            </w:pPr>
            <w:r w:rsidRPr="00D83917">
              <w:t>14</w:t>
            </w:r>
          </w:p>
        </w:tc>
        <w:tc>
          <w:tcPr>
            <w:tcW w:w="8351" w:type="dxa"/>
            <w:noWrap/>
            <w:hideMark/>
          </w:tcPr>
          <w:p w14:paraId="5567DFF8" w14:textId="2260478F"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(76.67%), </w:t>
            </w:r>
            <w:r w:rsidR="00564C1A" w:rsidRPr="00D83917">
              <w:t>Systolic blood pressure</w:t>
            </w:r>
            <w:r w:rsidRPr="00D83917">
              <w:t xml:space="preserve">(66.67%), Calcium(60%), </w:t>
            </w:r>
            <w:r w:rsidR="00AC4963" w:rsidRPr="00D83917">
              <w:t>Urine creatinine</w:t>
            </w:r>
            <w:r w:rsidRPr="00D83917">
              <w:t xml:space="preserve">(60%), </w:t>
            </w:r>
            <w:r w:rsidR="00AC4963" w:rsidRPr="00D83917">
              <w:t>Urine micro albumin</w:t>
            </w:r>
            <w:r w:rsidRPr="00D83917">
              <w:t xml:space="preserve">(53.33%), </w:t>
            </w:r>
            <w:r w:rsidR="00BC6D77" w:rsidRPr="00D83917">
              <w:t>Alcohol usage status</w:t>
            </w:r>
            <w:r w:rsidRPr="00D83917">
              <w:t xml:space="preserve">(50%), </w:t>
            </w:r>
            <w:r w:rsidR="00AC4963" w:rsidRPr="00D83917">
              <w:t>Blood urea nitrogen</w:t>
            </w:r>
            <w:r w:rsidRPr="00D83917">
              <w:t xml:space="preserve">(50%), </w:t>
            </w:r>
            <w:r w:rsidR="00BC6D77" w:rsidRPr="00D83917">
              <w:t xml:space="preserve">Race </w:t>
            </w:r>
            <w:r w:rsidRPr="00D83917">
              <w:t xml:space="preserve">(50%), Albumin(46.67%), Creatinine(46.67%), Saturation(46.67%), </w:t>
            </w:r>
            <w:r w:rsidR="00AC4963" w:rsidRPr="00D83917">
              <w:t>Uric acid</w:t>
            </w:r>
            <w:r w:rsidRPr="00D83917">
              <w:t xml:space="preserve">(43.33%), </w:t>
            </w:r>
            <w:proofErr w:type="spellStart"/>
            <w:r w:rsidRPr="00D83917">
              <w:t>Hgb</w:t>
            </w:r>
            <w:proofErr w:type="spellEnd"/>
            <w:r w:rsidRPr="00D83917">
              <w:t>(40%)</w:t>
            </w:r>
            <w:r w:rsidR="00E03EAF" w:rsidRPr="00D83917">
              <w:t>, …</w:t>
            </w:r>
          </w:p>
        </w:tc>
      </w:tr>
      <w:tr w:rsidR="00D83917" w:rsidRPr="00D83917" w14:paraId="74A9094A" w14:textId="77777777" w:rsidTr="005D1496">
        <w:trPr>
          <w:trHeight w:val="320"/>
        </w:trPr>
        <w:tc>
          <w:tcPr>
            <w:tcW w:w="1435" w:type="dxa"/>
            <w:noWrap/>
            <w:vAlign w:val="center"/>
            <w:hideMark/>
          </w:tcPr>
          <w:p w14:paraId="0746D8C7" w14:textId="77777777" w:rsidR="00D6251F" w:rsidRPr="00D83917" w:rsidRDefault="00D6251F" w:rsidP="005D1496">
            <w:pPr>
              <w:jc w:val="center"/>
            </w:pPr>
            <w:r w:rsidRPr="00D83917">
              <w:t>15</w:t>
            </w:r>
          </w:p>
        </w:tc>
        <w:tc>
          <w:tcPr>
            <w:tcW w:w="8351" w:type="dxa"/>
            <w:noWrap/>
            <w:hideMark/>
          </w:tcPr>
          <w:p w14:paraId="43F6F886" w14:textId="62A60AEB"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(80%), </w:t>
            </w:r>
            <w:r w:rsidR="00564C1A" w:rsidRPr="00D83917">
              <w:t>Systolic blood pressure</w:t>
            </w:r>
            <w:r w:rsidRPr="00D83917">
              <w:t xml:space="preserve">(70%), Calcium(66.67%), </w:t>
            </w:r>
            <w:r w:rsidR="00AC4963" w:rsidRPr="00D83917">
              <w:t>Urine creatinine</w:t>
            </w:r>
            <w:r w:rsidRPr="00D83917">
              <w:t xml:space="preserve">(66.67%), </w:t>
            </w:r>
            <w:r w:rsidR="00BC6D77" w:rsidRPr="00D83917">
              <w:t>Alcohol usage status</w:t>
            </w:r>
            <w:r w:rsidRPr="00D83917">
              <w:t xml:space="preserve">(53.33%), Creatinine(53.33%), </w:t>
            </w:r>
            <w:r w:rsidR="00BC6D77" w:rsidRPr="00D83917">
              <w:t>Race</w:t>
            </w:r>
            <w:r w:rsidRPr="00D83917">
              <w:t xml:space="preserve">(53.33%), </w:t>
            </w:r>
            <w:r w:rsidR="00AC4963" w:rsidRPr="00D83917">
              <w:t>Urine micro albumin</w:t>
            </w:r>
            <w:r w:rsidRPr="00D83917">
              <w:t xml:space="preserve">(53.33%), </w:t>
            </w:r>
            <w:r w:rsidR="00AC4963" w:rsidRPr="00D83917">
              <w:t>Blood urea nitrogen</w:t>
            </w:r>
            <w:r w:rsidRPr="00D83917">
              <w:t xml:space="preserve">(50%), </w:t>
            </w:r>
            <w:r w:rsidR="00AC4963" w:rsidRPr="00D83917">
              <w:t>Uric acid</w:t>
            </w:r>
            <w:r w:rsidRPr="00D83917">
              <w:t xml:space="preserve">(50%), Albumin(46.67%), Saturation(46.67%), </w:t>
            </w:r>
            <w:r w:rsidR="00906649" w:rsidRPr="00D83917">
              <w:t>Body mass index</w:t>
            </w:r>
            <w:r w:rsidRPr="00D83917">
              <w:t xml:space="preserve">(43.33%), </w:t>
            </w:r>
            <w:proofErr w:type="spellStart"/>
            <w:r w:rsidRPr="00D83917">
              <w:t>Hgb</w:t>
            </w:r>
            <w:proofErr w:type="spellEnd"/>
            <w:r w:rsidRPr="00D83917">
              <w:t>(43.33%)</w:t>
            </w:r>
            <w:r w:rsidR="00E03EAF" w:rsidRPr="00D83917">
              <w:t>, …</w:t>
            </w:r>
          </w:p>
        </w:tc>
      </w:tr>
      <w:tr w:rsidR="00D83917" w:rsidRPr="00D83917" w14:paraId="403BBB92" w14:textId="77777777" w:rsidTr="005D1496">
        <w:trPr>
          <w:trHeight w:val="320"/>
        </w:trPr>
        <w:tc>
          <w:tcPr>
            <w:tcW w:w="1435" w:type="dxa"/>
            <w:noWrap/>
            <w:vAlign w:val="center"/>
            <w:hideMark/>
          </w:tcPr>
          <w:p w14:paraId="13D64935" w14:textId="77777777" w:rsidR="00D6251F" w:rsidRPr="00D83917" w:rsidRDefault="00D6251F" w:rsidP="005D1496">
            <w:pPr>
              <w:jc w:val="center"/>
            </w:pPr>
            <w:r w:rsidRPr="00D83917">
              <w:t>16</w:t>
            </w:r>
          </w:p>
        </w:tc>
        <w:tc>
          <w:tcPr>
            <w:tcW w:w="8351" w:type="dxa"/>
            <w:noWrap/>
            <w:hideMark/>
          </w:tcPr>
          <w:p w14:paraId="1EC32A55" w14:textId="16FDCEA3"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(83.33%), Calcium(73.33%), </w:t>
            </w:r>
            <w:r w:rsidR="00564C1A" w:rsidRPr="00D83917">
              <w:t>Systolic blood pressure</w:t>
            </w:r>
            <w:r w:rsidRPr="00D83917">
              <w:t xml:space="preserve">(70%), </w:t>
            </w:r>
            <w:r w:rsidR="00AC4963" w:rsidRPr="00D83917">
              <w:t>Urine creatinine</w:t>
            </w:r>
            <w:r w:rsidRPr="00D83917">
              <w:t xml:space="preserve">(66.67%), </w:t>
            </w:r>
            <w:r w:rsidR="00BC6D77" w:rsidRPr="00D83917">
              <w:t>Race</w:t>
            </w:r>
            <w:r w:rsidRPr="00D83917">
              <w:t xml:space="preserve">(63.33%), </w:t>
            </w:r>
            <w:r w:rsidR="00BC6D77" w:rsidRPr="00D83917">
              <w:t>Alcohol usage status</w:t>
            </w:r>
            <w:r w:rsidRPr="00D83917">
              <w:t xml:space="preserve">(53.33%), Albumin(53.33%), Creatinine(53.33%), </w:t>
            </w:r>
            <w:r w:rsidR="00AC4963" w:rsidRPr="00D83917">
              <w:t>Uric acid</w:t>
            </w:r>
            <w:r w:rsidRPr="00D83917">
              <w:t xml:space="preserve">(53.33%), </w:t>
            </w:r>
            <w:r w:rsidR="00AC4963" w:rsidRPr="00D83917">
              <w:t>Urine micro albumin</w:t>
            </w:r>
            <w:r w:rsidRPr="00D83917">
              <w:t xml:space="preserve">(53.33%), </w:t>
            </w:r>
            <w:r w:rsidR="00AC4963" w:rsidRPr="00D83917">
              <w:t>Blood urea nitrogen</w:t>
            </w:r>
            <w:r w:rsidRPr="00D83917">
              <w:t xml:space="preserve">(50%), Ferritin(50%), </w:t>
            </w:r>
            <w:r w:rsidR="00AC4963" w:rsidRPr="00D83917">
              <w:t>LDL</w:t>
            </w:r>
            <w:r w:rsidRPr="00D83917">
              <w:t xml:space="preserve">(50%), Saturation(50%), </w:t>
            </w:r>
            <w:r w:rsidR="00906649" w:rsidRPr="00D83917">
              <w:t>Body mass index</w:t>
            </w:r>
            <w:r w:rsidRPr="00D83917">
              <w:t>(46.67%)</w:t>
            </w:r>
            <w:r w:rsidR="00E03EAF" w:rsidRPr="00D83917">
              <w:t>, …</w:t>
            </w:r>
          </w:p>
        </w:tc>
      </w:tr>
      <w:tr w:rsidR="00D83917" w:rsidRPr="00D83917" w14:paraId="155A5852" w14:textId="77777777" w:rsidTr="005D1496">
        <w:trPr>
          <w:trHeight w:val="320"/>
        </w:trPr>
        <w:tc>
          <w:tcPr>
            <w:tcW w:w="1435" w:type="dxa"/>
            <w:noWrap/>
            <w:vAlign w:val="center"/>
            <w:hideMark/>
          </w:tcPr>
          <w:p w14:paraId="4E97AED3" w14:textId="77777777" w:rsidR="00D6251F" w:rsidRPr="00D83917" w:rsidRDefault="00D6251F" w:rsidP="005D1496">
            <w:pPr>
              <w:jc w:val="center"/>
            </w:pPr>
            <w:r w:rsidRPr="00D83917">
              <w:t>17</w:t>
            </w:r>
          </w:p>
        </w:tc>
        <w:tc>
          <w:tcPr>
            <w:tcW w:w="8351" w:type="dxa"/>
            <w:noWrap/>
            <w:hideMark/>
          </w:tcPr>
          <w:p w14:paraId="2C1AA5E0" w14:textId="21ED00F5"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(86.67%), Calcium(73.33%), </w:t>
            </w:r>
            <w:r w:rsidR="00AC4963" w:rsidRPr="00D83917">
              <w:t>Urine creatinine</w:t>
            </w:r>
            <w:r w:rsidRPr="00D83917">
              <w:t xml:space="preserve">(73.33%), </w:t>
            </w:r>
            <w:r w:rsidR="00564C1A" w:rsidRPr="00D83917">
              <w:t>Systolic blood pressure</w:t>
            </w:r>
            <w:r w:rsidRPr="00D83917">
              <w:t xml:space="preserve">(70%), </w:t>
            </w:r>
            <w:r w:rsidR="00BC6D77" w:rsidRPr="00D83917">
              <w:t>Race</w:t>
            </w:r>
            <w:r w:rsidRPr="00D83917">
              <w:t xml:space="preserve">(63.33%), Creatinine(60%), </w:t>
            </w:r>
            <w:r w:rsidR="00BC6D77" w:rsidRPr="00D83917">
              <w:t>Alcohol usage status</w:t>
            </w:r>
            <w:r w:rsidRPr="00D83917">
              <w:t xml:space="preserve">(56.67%), Albumin(56.67%), </w:t>
            </w:r>
            <w:r w:rsidR="00AC4963" w:rsidRPr="00D83917">
              <w:t>Uric acid</w:t>
            </w:r>
            <w:r w:rsidRPr="00D83917">
              <w:t xml:space="preserve">(56.67%), </w:t>
            </w:r>
            <w:proofErr w:type="spellStart"/>
            <w:r w:rsidR="00AC4963" w:rsidRPr="00D83917">
              <w:t>Bicarbs</w:t>
            </w:r>
            <w:proofErr w:type="spellEnd"/>
            <w:r w:rsidR="00AC4963" w:rsidRPr="00D83917">
              <w:t xml:space="preserve"> CO2</w:t>
            </w:r>
            <w:r w:rsidRPr="00D83917">
              <w:t xml:space="preserve">(53.33%), </w:t>
            </w:r>
            <w:r w:rsidR="00AC4963" w:rsidRPr="00D83917">
              <w:t>Blood urea nitrogen</w:t>
            </w:r>
            <w:r w:rsidRPr="00D83917">
              <w:t xml:space="preserve">(53.33%), </w:t>
            </w:r>
            <w:r w:rsidR="00AC4963" w:rsidRPr="00D83917">
              <w:t>LDL</w:t>
            </w:r>
            <w:r w:rsidRPr="00D83917">
              <w:t xml:space="preserve">(53.33%), </w:t>
            </w:r>
            <w:r w:rsidR="00AC4963" w:rsidRPr="00D83917">
              <w:t>Urine micro albumin</w:t>
            </w:r>
            <w:r w:rsidRPr="00D83917">
              <w:t xml:space="preserve">(53.33%), Ferritin(50%), </w:t>
            </w:r>
            <w:proofErr w:type="spellStart"/>
            <w:r w:rsidRPr="00D83917">
              <w:t>Hgb</w:t>
            </w:r>
            <w:proofErr w:type="spellEnd"/>
            <w:r w:rsidRPr="00D83917">
              <w:t>(50%), Saturation(50%)</w:t>
            </w:r>
            <w:r w:rsidR="00E03EAF" w:rsidRPr="00D83917">
              <w:t>, …</w:t>
            </w:r>
          </w:p>
        </w:tc>
      </w:tr>
      <w:tr w:rsidR="00D83917" w:rsidRPr="00D83917" w14:paraId="42D0B621" w14:textId="77777777" w:rsidTr="005D1496">
        <w:trPr>
          <w:trHeight w:val="320"/>
        </w:trPr>
        <w:tc>
          <w:tcPr>
            <w:tcW w:w="1435" w:type="dxa"/>
            <w:noWrap/>
            <w:vAlign w:val="center"/>
            <w:hideMark/>
          </w:tcPr>
          <w:p w14:paraId="45FB0261" w14:textId="77777777" w:rsidR="00D6251F" w:rsidRPr="00D83917" w:rsidRDefault="00D6251F" w:rsidP="005D1496">
            <w:pPr>
              <w:jc w:val="center"/>
            </w:pPr>
            <w:r w:rsidRPr="00D83917">
              <w:t>18</w:t>
            </w:r>
          </w:p>
        </w:tc>
        <w:tc>
          <w:tcPr>
            <w:tcW w:w="8351" w:type="dxa"/>
            <w:noWrap/>
            <w:hideMark/>
          </w:tcPr>
          <w:p w14:paraId="49970CBE" w14:textId="1C4A8442"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(86.67%), </w:t>
            </w:r>
            <w:r w:rsidR="00AC4963" w:rsidRPr="00D83917">
              <w:t>Urine creatinine</w:t>
            </w:r>
            <w:r w:rsidRPr="00D83917">
              <w:t xml:space="preserve">(76.67%), </w:t>
            </w:r>
            <w:r w:rsidR="00564C1A" w:rsidRPr="00D83917">
              <w:t>Systolic blood pressure</w:t>
            </w:r>
            <w:r w:rsidRPr="00D83917">
              <w:t xml:space="preserve">(73.33%), Calcium(73.33%), Albumin(66.67%), Creatinine(66.67%), </w:t>
            </w:r>
            <w:r w:rsidR="00BC6D77" w:rsidRPr="00D83917">
              <w:t>Race</w:t>
            </w:r>
            <w:r w:rsidRPr="00D83917">
              <w:t xml:space="preserve">(63.33%), </w:t>
            </w:r>
            <w:r w:rsidR="00AC4963" w:rsidRPr="00D83917">
              <w:t>Uric acid</w:t>
            </w:r>
            <w:r w:rsidRPr="00D83917">
              <w:t xml:space="preserve">(60%), </w:t>
            </w:r>
            <w:r w:rsidR="00BC6D77" w:rsidRPr="00D83917">
              <w:t>Alcohol usage status</w:t>
            </w:r>
            <w:r w:rsidRPr="00D83917">
              <w:t xml:space="preserve">(56.67%), </w:t>
            </w:r>
            <w:r w:rsidR="00AC4963" w:rsidRPr="00D83917">
              <w:t>LDL</w:t>
            </w:r>
            <w:r w:rsidRPr="00D83917">
              <w:t xml:space="preserve">(56.67%), </w:t>
            </w:r>
            <w:r w:rsidR="00AC4963" w:rsidRPr="00D83917">
              <w:t>Urine micro albumin</w:t>
            </w:r>
            <w:r w:rsidRPr="00D83917">
              <w:t xml:space="preserve">(56.67%), </w:t>
            </w:r>
            <w:r w:rsidR="00906649" w:rsidRPr="00D83917">
              <w:t>Body mass index</w:t>
            </w:r>
            <w:r w:rsidRPr="00D83917">
              <w:t xml:space="preserve">(53.33%), </w:t>
            </w:r>
            <w:proofErr w:type="spellStart"/>
            <w:r w:rsidR="00AC4963" w:rsidRPr="00D83917">
              <w:t>Bicarbs</w:t>
            </w:r>
            <w:proofErr w:type="spellEnd"/>
            <w:r w:rsidR="00AC4963" w:rsidRPr="00D83917">
              <w:t xml:space="preserve"> CO2</w:t>
            </w:r>
            <w:r w:rsidRPr="00D83917">
              <w:t xml:space="preserve">(53.33%), </w:t>
            </w:r>
            <w:r w:rsidR="00AC4963" w:rsidRPr="00D83917">
              <w:t>Blood urea nitrogen</w:t>
            </w:r>
            <w:r w:rsidRPr="00D83917">
              <w:t xml:space="preserve">(53.33%), Ferritin(53.33%), </w:t>
            </w:r>
            <w:r w:rsidR="00906649" w:rsidRPr="00D83917">
              <w:t>Oxygen saturation</w:t>
            </w:r>
            <w:r w:rsidRPr="00D83917">
              <w:t xml:space="preserve">(50%), </w:t>
            </w:r>
            <w:proofErr w:type="spellStart"/>
            <w:r w:rsidRPr="00D83917">
              <w:t>Hgb</w:t>
            </w:r>
            <w:proofErr w:type="spellEnd"/>
            <w:r w:rsidRPr="00D83917">
              <w:t>(50%)</w:t>
            </w:r>
            <w:r w:rsidR="00E03EAF" w:rsidRPr="00D83917">
              <w:t>, …</w:t>
            </w:r>
          </w:p>
        </w:tc>
      </w:tr>
      <w:tr w:rsidR="00D83917" w:rsidRPr="00D83917" w14:paraId="68EEB195" w14:textId="77777777" w:rsidTr="005D1496">
        <w:trPr>
          <w:trHeight w:val="320"/>
        </w:trPr>
        <w:tc>
          <w:tcPr>
            <w:tcW w:w="1435" w:type="dxa"/>
            <w:noWrap/>
            <w:vAlign w:val="center"/>
            <w:hideMark/>
          </w:tcPr>
          <w:p w14:paraId="5BE7F969" w14:textId="77777777" w:rsidR="00D6251F" w:rsidRPr="00D83917" w:rsidRDefault="00D6251F" w:rsidP="005D1496">
            <w:pPr>
              <w:jc w:val="center"/>
            </w:pPr>
            <w:r w:rsidRPr="00D83917">
              <w:t>19</w:t>
            </w:r>
          </w:p>
        </w:tc>
        <w:tc>
          <w:tcPr>
            <w:tcW w:w="8351" w:type="dxa"/>
            <w:noWrap/>
            <w:hideMark/>
          </w:tcPr>
          <w:p w14:paraId="6D5820C9" w14:textId="71C095DD"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(86.67%), </w:t>
            </w:r>
            <w:r w:rsidR="00AC4963" w:rsidRPr="00D83917">
              <w:t>Urine creatinine</w:t>
            </w:r>
            <w:r w:rsidRPr="00D83917">
              <w:t xml:space="preserve">(76.67%), </w:t>
            </w:r>
            <w:r w:rsidR="00564C1A" w:rsidRPr="00D83917">
              <w:t>Systolic blood pressure</w:t>
            </w:r>
            <w:r w:rsidRPr="00D83917">
              <w:t xml:space="preserve">(73.33%), Calcium(73.33%), Creatinine(73.33%), Albumin(70%), </w:t>
            </w:r>
            <w:r w:rsidR="00BC6D77" w:rsidRPr="00D83917">
              <w:t xml:space="preserve">Race </w:t>
            </w:r>
            <w:r w:rsidRPr="00D83917">
              <w:t xml:space="preserve">(70%), </w:t>
            </w:r>
            <w:r w:rsidR="00BC6D77" w:rsidRPr="00D83917">
              <w:t>Alcohol usage status</w:t>
            </w:r>
            <w:r w:rsidRPr="00D83917">
              <w:t xml:space="preserve">(60%), </w:t>
            </w:r>
            <w:proofErr w:type="spellStart"/>
            <w:r w:rsidR="00AC4963" w:rsidRPr="00D83917">
              <w:t>Bicarbs</w:t>
            </w:r>
            <w:proofErr w:type="spellEnd"/>
            <w:r w:rsidR="00AC4963" w:rsidRPr="00D83917">
              <w:t xml:space="preserve"> CO2</w:t>
            </w:r>
            <w:r w:rsidRPr="00D83917">
              <w:t xml:space="preserve">(60%), </w:t>
            </w:r>
            <w:r w:rsidR="00AC4963" w:rsidRPr="00D83917">
              <w:t>Uric acid</w:t>
            </w:r>
            <w:r w:rsidRPr="00D83917">
              <w:t xml:space="preserve">(60%), </w:t>
            </w:r>
            <w:r w:rsidR="00AC4963" w:rsidRPr="00D83917">
              <w:t>Urine micro albumin</w:t>
            </w:r>
            <w:r w:rsidRPr="00D83917">
              <w:t xml:space="preserve">(60%), </w:t>
            </w:r>
            <w:r w:rsidR="00AC4963" w:rsidRPr="00D83917">
              <w:t>LDL</w:t>
            </w:r>
            <w:r w:rsidRPr="00D83917">
              <w:t>(56.67%), Triglycerides(56.67%), Vitamin</w:t>
            </w:r>
            <w:r w:rsidR="00AC4963" w:rsidRPr="00D83917">
              <w:t xml:space="preserve"> </w:t>
            </w:r>
            <w:r w:rsidRPr="00D83917">
              <w:t xml:space="preserve">D25(56.67%), </w:t>
            </w:r>
            <w:r w:rsidR="00906649" w:rsidRPr="00D83917">
              <w:t>Body mass index</w:t>
            </w:r>
            <w:r w:rsidRPr="00D83917">
              <w:t xml:space="preserve">(53.33%), </w:t>
            </w:r>
            <w:r w:rsidR="00AC4963" w:rsidRPr="00D83917">
              <w:t>Blood urea nitrogen</w:t>
            </w:r>
            <w:r w:rsidRPr="00D83917">
              <w:t>(53.33%), Ferritin(53.33%), HDL(53.33%)</w:t>
            </w:r>
            <w:r w:rsidR="00E03EAF" w:rsidRPr="00D83917">
              <w:t>, …</w:t>
            </w:r>
          </w:p>
        </w:tc>
      </w:tr>
      <w:tr w:rsidR="00D83917" w:rsidRPr="00D83917" w14:paraId="463BE4B3" w14:textId="77777777" w:rsidTr="005D1496">
        <w:trPr>
          <w:trHeight w:val="320"/>
        </w:trPr>
        <w:tc>
          <w:tcPr>
            <w:tcW w:w="1435" w:type="dxa"/>
            <w:noWrap/>
            <w:vAlign w:val="center"/>
            <w:hideMark/>
          </w:tcPr>
          <w:p w14:paraId="281F96FE" w14:textId="77777777" w:rsidR="00D6251F" w:rsidRPr="00D83917" w:rsidRDefault="00D6251F" w:rsidP="005D1496">
            <w:pPr>
              <w:jc w:val="center"/>
            </w:pPr>
            <w:r w:rsidRPr="00D83917">
              <w:t>20</w:t>
            </w:r>
          </w:p>
        </w:tc>
        <w:tc>
          <w:tcPr>
            <w:tcW w:w="8351" w:type="dxa"/>
            <w:noWrap/>
            <w:hideMark/>
          </w:tcPr>
          <w:p w14:paraId="5EF05D65" w14:textId="044240D7" w:rsidR="00D6251F" w:rsidRPr="00D83917" w:rsidRDefault="00D6251F">
            <w:proofErr w:type="spellStart"/>
            <w:r w:rsidRPr="00D83917">
              <w:t>eGFR</w:t>
            </w:r>
            <w:proofErr w:type="spellEnd"/>
            <w:r w:rsidRPr="00D83917">
              <w:t xml:space="preserve">(100%), </w:t>
            </w:r>
            <w:r w:rsidR="00BC6D77" w:rsidRPr="00D83917">
              <w:t>Smoking status</w:t>
            </w:r>
            <w:r w:rsidRPr="00D83917">
              <w:t xml:space="preserve">(90%), Calcium(76.67%), Creatinine(76.67%), </w:t>
            </w:r>
            <w:r w:rsidR="00AC4963" w:rsidRPr="00D83917">
              <w:t>Urine creatinine</w:t>
            </w:r>
            <w:r w:rsidRPr="00D83917">
              <w:t xml:space="preserve">(76.67%), Albumin(73.33%), </w:t>
            </w:r>
            <w:r w:rsidR="00564C1A" w:rsidRPr="00D83917">
              <w:t>Systolic blood pressure</w:t>
            </w:r>
            <w:r w:rsidRPr="00D83917">
              <w:t xml:space="preserve">(73.33%), </w:t>
            </w:r>
            <w:r w:rsidR="00AC4963" w:rsidRPr="00D83917">
              <w:t>R</w:t>
            </w:r>
            <w:r w:rsidR="00B6442B" w:rsidRPr="00D83917">
              <w:t>ace</w:t>
            </w:r>
            <w:r w:rsidRPr="00D83917">
              <w:t xml:space="preserve">(70%), </w:t>
            </w:r>
            <w:r w:rsidR="00AC4963" w:rsidRPr="00D83917">
              <w:t>Uric acid</w:t>
            </w:r>
            <w:r w:rsidRPr="00D83917">
              <w:t xml:space="preserve">(70%), </w:t>
            </w:r>
            <w:r w:rsidR="00BC6D77" w:rsidRPr="00D83917">
              <w:t>Alcohol usage status</w:t>
            </w:r>
            <w:r w:rsidRPr="00D83917">
              <w:t xml:space="preserve">(63.33%), </w:t>
            </w:r>
            <w:proofErr w:type="spellStart"/>
            <w:r w:rsidR="00AC4963" w:rsidRPr="00D83917">
              <w:t>Bicarbs</w:t>
            </w:r>
            <w:proofErr w:type="spellEnd"/>
            <w:r w:rsidR="00AC4963" w:rsidRPr="00D83917">
              <w:t xml:space="preserve"> CO2</w:t>
            </w:r>
            <w:r w:rsidRPr="00D83917">
              <w:t xml:space="preserve">(63.33%), </w:t>
            </w:r>
            <w:r w:rsidR="00AC4963" w:rsidRPr="00D83917">
              <w:t>LDL</w:t>
            </w:r>
            <w:r w:rsidRPr="00D83917">
              <w:t xml:space="preserve">(63.33%), </w:t>
            </w:r>
            <w:r w:rsidR="00AC4963" w:rsidRPr="00D83917">
              <w:t>Urine micro albumin</w:t>
            </w:r>
            <w:r w:rsidRPr="00D83917">
              <w:t xml:space="preserve">(60%), </w:t>
            </w:r>
            <w:r w:rsidR="00BC6D77" w:rsidRPr="00D83917">
              <w:t>Urine RBC count</w:t>
            </w:r>
            <w:r w:rsidRPr="00D83917">
              <w:t>(60%), Vitamin</w:t>
            </w:r>
            <w:r w:rsidR="00AC4963" w:rsidRPr="00D83917">
              <w:t xml:space="preserve"> </w:t>
            </w:r>
            <w:r w:rsidRPr="00D83917">
              <w:lastRenderedPageBreak/>
              <w:t xml:space="preserve">D25(60%), </w:t>
            </w:r>
            <w:r w:rsidR="00906649" w:rsidRPr="00D83917">
              <w:t>Body mass index</w:t>
            </w:r>
            <w:r w:rsidRPr="00D83917">
              <w:t xml:space="preserve">(56.67%), </w:t>
            </w:r>
            <w:r w:rsidR="00AC4963" w:rsidRPr="00D83917">
              <w:t>Blood urea nitrogen</w:t>
            </w:r>
            <w:r w:rsidRPr="00D83917">
              <w:t>(56.67%), Ferritin(56.67%), HDL(56.67%), HbgA1C(56.67%)</w:t>
            </w:r>
            <w:r w:rsidR="00E03EAF" w:rsidRPr="00D83917">
              <w:t>, …</w:t>
            </w:r>
          </w:p>
        </w:tc>
      </w:tr>
    </w:tbl>
    <w:p w14:paraId="0133BE6A" w14:textId="68EE7A41" w:rsidR="00D6251F" w:rsidRPr="00D83917" w:rsidRDefault="00F24DB4" w:rsidP="00B04F7C">
      <w:pPr>
        <w:rPr>
          <w:sz w:val="22"/>
          <w:szCs w:val="22"/>
        </w:rPr>
      </w:pPr>
      <w:r w:rsidRPr="00D83917">
        <w:rPr>
          <w:sz w:val="22"/>
          <w:szCs w:val="22"/>
        </w:rPr>
        <w:lastRenderedPageBreak/>
        <w:t xml:space="preserve">Percentages in parentheses </w:t>
      </w:r>
      <w:r w:rsidR="00E03EAF" w:rsidRPr="00D83917">
        <w:rPr>
          <w:sz w:val="22"/>
          <w:szCs w:val="22"/>
        </w:rPr>
        <w:t>indicate the frequencies of the variables being selected across cross-validation trials. Variables are ordered by the selection frequency.</w:t>
      </w:r>
    </w:p>
    <w:p w14:paraId="0E3DF1FE" w14:textId="4BBB3A19" w:rsidR="00BB75D0" w:rsidRPr="00D83917" w:rsidRDefault="00BB75D0" w:rsidP="00B04F7C"/>
    <w:p w14:paraId="68B09C3C" w14:textId="5A668AC1" w:rsidR="00A67F21" w:rsidRPr="00D83917" w:rsidRDefault="00A67F21" w:rsidP="00B04F7C"/>
    <w:p w14:paraId="20B52D3F" w14:textId="2D973F94" w:rsidR="002700C0" w:rsidRPr="00D83917" w:rsidRDefault="002700C0" w:rsidP="00A15DDE">
      <w:pPr>
        <w:jc w:val="both"/>
      </w:pPr>
      <w:r w:rsidRPr="00D83917">
        <w:tab/>
      </w:r>
    </w:p>
    <w:p w14:paraId="3E078854" w14:textId="34575283" w:rsidR="00BB75D0" w:rsidRPr="00D83917" w:rsidRDefault="00BB75D0" w:rsidP="00B04F7C">
      <w:pPr>
        <w:rPr>
          <w:b/>
          <w:sz w:val="28"/>
          <w:szCs w:val="28"/>
        </w:rPr>
      </w:pPr>
      <w:r w:rsidRPr="00D83917">
        <w:rPr>
          <w:b/>
          <w:sz w:val="28"/>
          <w:szCs w:val="28"/>
        </w:rPr>
        <w:t>References</w:t>
      </w:r>
    </w:p>
    <w:p w14:paraId="469FC6B8" w14:textId="77777777" w:rsidR="00BB75D0" w:rsidRPr="00D83917" w:rsidRDefault="00BB75D0" w:rsidP="00B04F7C"/>
    <w:p w14:paraId="1CEE1F57" w14:textId="77777777" w:rsidR="008C6EAC" w:rsidRPr="00D83917" w:rsidRDefault="00BB75D0" w:rsidP="008C6EAC">
      <w:pPr>
        <w:pStyle w:val="EndNoteBibliography"/>
        <w:ind w:left="720" w:hanging="720"/>
        <w:rPr>
          <w:noProof/>
        </w:rPr>
      </w:pPr>
      <w:r w:rsidRPr="00D83917">
        <w:fldChar w:fldCharType="begin"/>
      </w:r>
      <w:r w:rsidRPr="00D83917">
        <w:instrText xml:space="preserve"> ADDIN EN.REFLIST </w:instrText>
      </w:r>
      <w:r w:rsidRPr="00D83917">
        <w:fldChar w:fldCharType="separate"/>
      </w:r>
      <w:r w:rsidR="008C6EAC" w:rsidRPr="00D83917">
        <w:rPr>
          <w:noProof/>
        </w:rPr>
        <w:t>1</w:t>
      </w:r>
      <w:r w:rsidR="008C6EAC" w:rsidRPr="00D83917">
        <w:rPr>
          <w:noProof/>
        </w:rPr>
        <w:tab/>
        <w:t xml:space="preserve">Ba, J. &amp; Kingma, D. in </w:t>
      </w:r>
      <w:r w:rsidR="008C6EAC" w:rsidRPr="00D83917">
        <w:rPr>
          <w:i/>
          <w:noProof/>
        </w:rPr>
        <w:t>International Conference on Learning Representations (ICLR)</w:t>
      </w:r>
      <w:r w:rsidR="008C6EAC" w:rsidRPr="00D83917">
        <w:rPr>
          <w:noProof/>
        </w:rPr>
        <w:t xml:space="preserve">    (2015).</w:t>
      </w:r>
    </w:p>
    <w:p w14:paraId="6FE5559B" w14:textId="16643266" w:rsidR="00EF6B15" w:rsidRPr="00D83917" w:rsidRDefault="00BB75D0" w:rsidP="00B04F7C">
      <w:r w:rsidRPr="00D83917">
        <w:fldChar w:fldCharType="end"/>
      </w:r>
    </w:p>
    <w:sectPr w:rsidR="00EF6B15" w:rsidRPr="00D83917" w:rsidSect="00D83917">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9A316" w14:textId="77777777" w:rsidR="00F821A2" w:rsidRDefault="00F821A2" w:rsidP="00842CB1">
      <w:r>
        <w:separator/>
      </w:r>
    </w:p>
  </w:endnote>
  <w:endnote w:type="continuationSeparator" w:id="0">
    <w:p w14:paraId="197ACABC" w14:textId="77777777" w:rsidR="00F821A2" w:rsidRDefault="00F821A2" w:rsidP="0084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ヒラギノ角ゴ Pro W3">
    <w:altName w:val="MS Mincho"/>
    <w:charset w:val="80"/>
    <w:family w:val="swiss"/>
    <w:pitch w:val="variable"/>
    <w:sig w:usb0="E00002FF" w:usb1="7AC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45033449"/>
      <w:docPartObj>
        <w:docPartGallery w:val="Page Numbers (Bottom of Page)"/>
        <w:docPartUnique/>
      </w:docPartObj>
    </w:sdtPr>
    <w:sdtEndPr>
      <w:rPr>
        <w:rStyle w:val="PageNumber"/>
      </w:rPr>
    </w:sdtEndPr>
    <w:sdtContent>
      <w:p w14:paraId="22F70782" w14:textId="4CBFFE0D" w:rsidR="00BC6D77" w:rsidRDefault="00BC6D77" w:rsidP="00E56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E590F7" w14:textId="77777777" w:rsidR="00BC6D77" w:rsidRDefault="00BC6D77" w:rsidP="00842C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04850018"/>
      <w:docPartObj>
        <w:docPartGallery w:val="Page Numbers (Bottom of Page)"/>
        <w:docPartUnique/>
      </w:docPartObj>
    </w:sdtPr>
    <w:sdtEndPr>
      <w:rPr>
        <w:rStyle w:val="PageNumber"/>
      </w:rPr>
    </w:sdtEndPr>
    <w:sdtContent>
      <w:p w14:paraId="27B66DCE" w14:textId="36AF0A1D" w:rsidR="00BC6D77" w:rsidRDefault="00BC6D77" w:rsidP="00E56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3917">
          <w:rPr>
            <w:rStyle w:val="PageNumber"/>
            <w:noProof/>
          </w:rPr>
          <w:t>1</w:t>
        </w:r>
        <w:r>
          <w:rPr>
            <w:rStyle w:val="PageNumber"/>
          </w:rPr>
          <w:fldChar w:fldCharType="end"/>
        </w:r>
      </w:p>
    </w:sdtContent>
  </w:sdt>
  <w:p w14:paraId="0ACE4EEC" w14:textId="77777777" w:rsidR="00BC6D77" w:rsidRDefault="00BC6D77" w:rsidP="00842C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A64A" w14:textId="77777777" w:rsidR="00F821A2" w:rsidRDefault="00F821A2" w:rsidP="00842CB1">
      <w:r>
        <w:separator/>
      </w:r>
    </w:p>
  </w:footnote>
  <w:footnote w:type="continuationSeparator" w:id="0">
    <w:p w14:paraId="4175BF1B" w14:textId="77777777" w:rsidR="00F821A2" w:rsidRDefault="00F821A2" w:rsidP="00842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decimal"/>
      <w:lvlText w:val="%1."/>
      <w:lvlJc w:val="left"/>
      <w:pPr>
        <w:ind w:left="820" w:hanging="360"/>
      </w:pPr>
      <w:rPr>
        <w:rFonts w:ascii="Calibri Light" w:hAnsi="Calibri Light" w:cs="Calibri Light"/>
        <w:b w:val="0"/>
        <w:bCs w:val="0"/>
        <w:i w:val="0"/>
        <w:iCs w:val="0"/>
        <w:color w:val="262626"/>
        <w:spacing w:val="-2"/>
        <w:w w:val="100"/>
        <w:sz w:val="22"/>
        <w:szCs w:val="22"/>
      </w:rPr>
    </w:lvl>
    <w:lvl w:ilvl="1">
      <w:numFmt w:val="bullet"/>
      <w:lvlText w:val="•"/>
      <w:lvlJc w:val="left"/>
      <w:pPr>
        <w:ind w:left="1688" w:hanging="360"/>
      </w:pPr>
    </w:lvl>
    <w:lvl w:ilvl="2">
      <w:numFmt w:val="bullet"/>
      <w:lvlText w:val="•"/>
      <w:lvlJc w:val="left"/>
      <w:pPr>
        <w:ind w:left="2556" w:hanging="360"/>
      </w:pPr>
    </w:lvl>
    <w:lvl w:ilvl="3">
      <w:numFmt w:val="bullet"/>
      <w:lvlText w:val="•"/>
      <w:lvlJc w:val="left"/>
      <w:pPr>
        <w:ind w:left="3424" w:hanging="360"/>
      </w:pPr>
    </w:lvl>
    <w:lvl w:ilvl="4">
      <w:numFmt w:val="bullet"/>
      <w:lvlText w:val="•"/>
      <w:lvlJc w:val="left"/>
      <w:pPr>
        <w:ind w:left="4292" w:hanging="360"/>
      </w:pPr>
    </w:lvl>
    <w:lvl w:ilvl="5">
      <w:numFmt w:val="bullet"/>
      <w:lvlText w:val="•"/>
      <w:lvlJc w:val="left"/>
      <w:pPr>
        <w:ind w:left="5160" w:hanging="360"/>
      </w:pPr>
    </w:lvl>
    <w:lvl w:ilvl="6">
      <w:numFmt w:val="bullet"/>
      <w:lvlText w:val="•"/>
      <w:lvlJc w:val="left"/>
      <w:pPr>
        <w:ind w:left="6028" w:hanging="360"/>
      </w:pPr>
    </w:lvl>
    <w:lvl w:ilvl="7">
      <w:numFmt w:val="bullet"/>
      <w:lvlText w:val="•"/>
      <w:lvlJc w:val="left"/>
      <w:pPr>
        <w:ind w:left="6896" w:hanging="360"/>
      </w:pPr>
    </w:lvl>
    <w:lvl w:ilvl="8">
      <w:numFmt w:val="bullet"/>
      <w:lvlText w:val="•"/>
      <w:lvlJc w:val="left"/>
      <w:pPr>
        <w:ind w:left="7764" w:hanging="360"/>
      </w:pPr>
    </w:lvl>
  </w:abstractNum>
  <w:abstractNum w:abstractNumId="1" w15:restartNumberingAfterBreak="0">
    <w:nsid w:val="1FBA6AB0"/>
    <w:multiLevelType w:val="hybridMultilevel"/>
    <w:tmpl w:val="469E80EE"/>
    <w:lvl w:ilvl="0" w:tplc="2E92EDF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_Scientific-Repor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fp50xstpd5fxe0sadx9tanffvad9pr2wfs&quot;&gt;BioInfoReferences-Saved-AbbreviatedName-Converted&lt;record-ids&gt;&lt;item&gt;248&lt;/item&gt;&lt;/record-ids&gt;&lt;/item&gt;&lt;/Libraries&gt;"/>
  </w:docVars>
  <w:rsids>
    <w:rsidRoot w:val="00745EEF"/>
    <w:rsid w:val="00002FB4"/>
    <w:rsid w:val="00003274"/>
    <w:rsid w:val="000172A0"/>
    <w:rsid w:val="0002141A"/>
    <w:rsid w:val="00022B14"/>
    <w:rsid w:val="00025FBA"/>
    <w:rsid w:val="0003429C"/>
    <w:rsid w:val="00034830"/>
    <w:rsid w:val="00034AB5"/>
    <w:rsid w:val="000403E0"/>
    <w:rsid w:val="00040AF0"/>
    <w:rsid w:val="00042263"/>
    <w:rsid w:val="000429E4"/>
    <w:rsid w:val="00043E61"/>
    <w:rsid w:val="00045963"/>
    <w:rsid w:val="00046BEA"/>
    <w:rsid w:val="00047130"/>
    <w:rsid w:val="00047236"/>
    <w:rsid w:val="00047A70"/>
    <w:rsid w:val="000503B1"/>
    <w:rsid w:val="000506C3"/>
    <w:rsid w:val="000512ED"/>
    <w:rsid w:val="00053C02"/>
    <w:rsid w:val="00053DA9"/>
    <w:rsid w:val="0005544C"/>
    <w:rsid w:val="00056263"/>
    <w:rsid w:val="00060E60"/>
    <w:rsid w:val="00060F3C"/>
    <w:rsid w:val="0006106D"/>
    <w:rsid w:val="00061114"/>
    <w:rsid w:val="0006364F"/>
    <w:rsid w:val="00066AD2"/>
    <w:rsid w:val="000671FE"/>
    <w:rsid w:val="00067EBD"/>
    <w:rsid w:val="00071F1B"/>
    <w:rsid w:val="00072813"/>
    <w:rsid w:val="000750B8"/>
    <w:rsid w:val="000757DE"/>
    <w:rsid w:val="00076B03"/>
    <w:rsid w:val="00077C36"/>
    <w:rsid w:val="000807ED"/>
    <w:rsid w:val="000810C8"/>
    <w:rsid w:val="0008374E"/>
    <w:rsid w:val="00083A50"/>
    <w:rsid w:val="000859FD"/>
    <w:rsid w:val="000862DB"/>
    <w:rsid w:val="00086DB0"/>
    <w:rsid w:val="00091213"/>
    <w:rsid w:val="000916F5"/>
    <w:rsid w:val="000919A1"/>
    <w:rsid w:val="00094978"/>
    <w:rsid w:val="00094AC8"/>
    <w:rsid w:val="00094B6E"/>
    <w:rsid w:val="000A08AF"/>
    <w:rsid w:val="000A144E"/>
    <w:rsid w:val="000A14FD"/>
    <w:rsid w:val="000A36B0"/>
    <w:rsid w:val="000A423F"/>
    <w:rsid w:val="000A6C43"/>
    <w:rsid w:val="000A7FC3"/>
    <w:rsid w:val="000B0B4B"/>
    <w:rsid w:val="000B0D76"/>
    <w:rsid w:val="000B3A85"/>
    <w:rsid w:val="000B3D45"/>
    <w:rsid w:val="000B3F3E"/>
    <w:rsid w:val="000B4160"/>
    <w:rsid w:val="000C141A"/>
    <w:rsid w:val="000C2602"/>
    <w:rsid w:val="000C4F74"/>
    <w:rsid w:val="000C6799"/>
    <w:rsid w:val="000C7796"/>
    <w:rsid w:val="000D44C3"/>
    <w:rsid w:val="000D4EDB"/>
    <w:rsid w:val="000D53E9"/>
    <w:rsid w:val="000D5E95"/>
    <w:rsid w:val="000D6B87"/>
    <w:rsid w:val="000E004A"/>
    <w:rsid w:val="000E067B"/>
    <w:rsid w:val="000E0C3F"/>
    <w:rsid w:val="000E20BC"/>
    <w:rsid w:val="000E37AB"/>
    <w:rsid w:val="000E3D1C"/>
    <w:rsid w:val="000E48CA"/>
    <w:rsid w:val="000E51DB"/>
    <w:rsid w:val="000F05FA"/>
    <w:rsid w:val="000F1035"/>
    <w:rsid w:val="000F3DF2"/>
    <w:rsid w:val="000F40A9"/>
    <w:rsid w:val="000F52D6"/>
    <w:rsid w:val="000F7EB2"/>
    <w:rsid w:val="000F7F4A"/>
    <w:rsid w:val="001032C8"/>
    <w:rsid w:val="00104B96"/>
    <w:rsid w:val="0010505B"/>
    <w:rsid w:val="001060DD"/>
    <w:rsid w:val="00106D8B"/>
    <w:rsid w:val="001072C0"/>
    <w:rsid w:val="001112C2"/>
    <w:rsid w:val="001117BB"/>
    <w:rsid w:val="00113AB1"/>
    <w:rsid w:val="00113D09"/>
    <w:rsid w:val="00114C88"/>
    <w:rsid w:val="001158CC"/>
    <w:rsid w:val="001177C6"/>
    <w:rsid w:val="00117C7B"/>
    <w:rsid w:val="001210D3"/>
    <w:rsid w:val="00121654"/>
    <w:rsid w:val="0012170A"/>
    <w:rsid w:val="00121C26"/>
    <w:rsid w:val="00122E2A"/>
    <w:rsid w:val="00123E8B"/>
    <w:rsid w:val="00124100"/>
    <w:rsid w:val="001264ED"/>
    <w:rsid w:val="0012666E"/>
    <w:rsid w:val="0013359D"/>
    <w:rsid w:val="00135A33"/>
    <w:rsid w:val="001375F0"/>
    <w:rsid w:val="001405FA"/>
    <w:rsid w:val="00142F49"/>
    <w:rsid w:val="001434D1"/>
    <w:rsid w:val="001460FE"/>
    <w:rsid w:val="00147309"/>
    <w:rsid w:val="0015149D"/>
    <w:rsid w:val="00152164"/>
    <w:rsid w:val="00162A91"/>
    <w:rsid w:val="0016348C"/>
    <w:rsid w:val="00163ADB"/>
    <w:rsid w:val="00163E57"/>
    <w:rsid w:val="00164E4F"/>
    <w:rsid w:val="0016625E"/>
    <w:rsid w:val="0016668D"/>
    <w:rsid w:val="00166C04"/>
    <w:rsid w:val="001707D9"/>
    <w:rsid w:val="00170A21"/>
    <w:rsid w:val="00171E49"/>
    <w:rsid w:val="00173BD9"/>
    <w:rsid w:val="00174537"/>
    <w:rsid w:val="00174CC5"/>
    <w:rsid w:val="0017533D"/>
    <w:rsid w:val="00175888"/>
    <w:rsid w:val="00176C81"/>
    <w:rsid w:val="00176D97"/>
    <w:rsid w:val="001779B1"/>
    <w:rsid w:val="00181589"/>
    <w:rsid w:val="00181CFE"/>
    <w:rsid w:val="00184912"/>
    <w:rsid w:val="00184A35"/>
    <w:rsid w:val="001851EC"/>
    <w:rsid w:val="001862B5"/>
    <w:rsid w:val="0018685F"/>
    <w:rsid w:val="00186991"/>
    <w:rsid w:val="00187B8E"/>
    <w:rsid w:val="00190F9D"/>
    <w:rsid w:val="001941E9"/>
    <w:rsid w:val="00196344"/>
    <w:rsid w:val="001A031B"/>
    <w:rsid w:val="001A0691"/>
    <w:rsid w:val="001A0B37"/>
    <w:rsid w:val="001A0D00"/>
    <w:rsid w:val="001A1688"/>
    <w:rsid w:val="001A4D1E"/>
    <w:rsid w:val="001A6ABB"/>
    <w:rsid w:val="001A710D"/>
    <w:rsid w:val="001A74F0"/>
    <w:rsid w:val="001B15EF"/>
    <w:rsid w:val="001B17F9"/>
    <w:rsid w:val="001B233B"/>
    <w:rsid w:val="001B3650"/>
    <w:rsid w:val="001B46BC"/>
    <w:rsid w:val="001B5060"/>
    <w:rsid w:val="001B62A1"/>
    <w:rsid w:val="001C4CA2"/>
    <w:rsid w:val="001C6287"/>
    <w:rsid w:val="001C7253"/>
    <w:rsid w:val="001D06F9"/>
    <w:rsid w:val="001D0BBC"/>
    <w:rsid w:val="001D0F8F"/>
    <w:rsid w:val="001D1038"/>
    <w:rsid w:val="001D1B0F"/>
    <w:rsid w:val="001D4909"/>
    <w:rsid w:val="001D5CB6"/>
    <w:rsid w:val="001D6512"/>
    <w:rsid w:val="001D6618"/>
    <w:rsid w:val="001D7A07"/>
    <w:rsid w:val="001E0788"/>
    <w:rsid w:val="001E0D68"/>
    <w:rsid w:val="001E101A"/>
    <w:rsid w:val="001E10E2"/>
    <w:rsid w:val="001E14AB"/>
    <w:rsid w:val="001E1E52"/>
    <w:rsid w:val="001E369C"/>
    <w:rsid w:val="001E37B9"/>
    <w:rsid w:val="001E6591"/>
    <w:rsid w:val="001F148C"/>
    <w:rsid w:val="001F15D0"/>
    <w:rsid w:val="001F1CAB"/>
    <w:rsid w:val="001F29F5"/>
    <w:rsid w:val="001F5028"/>
    <w:rsid w:val="00202042"/>
    <w:rsid w:val="00202521"/>
    <w:rsid w:val="00204ABE"/>
    <w:rsid w:val="00205293"/>
    <w:rsid w:val="00205B41"/>
    <w:rsid w:val="002068D0"/>
    <w:rsid w:val="00207652"/>
    <w:rsid w:val="00207C45"/>
    <w:rsid w:val="002109D6"/>
    <w:rsid w:val="00211264"/>
    <w:rsid w:val="00211904"/>
    <w:rsid w:val="00211BEB"/>
    <w:rsid w:val="00214781"/>
    <w:rsid w:val="00220A19"/>
    <w:rsid w:val="00223B57"/>
    <w:rsid w:val="0022504F"/>
    <w:rsid w:val="002254BC"/>
    <w:rsid w:val="00230A3E"/>
    <w:rsid w:val="00230C00"/>
    <w:rsid w:val="002315C0"/>
    <w:rsid w:val="002350C8"/>
    <w:rsid w:val="00235C2D"/>
    <w:rsid w:val="00236473"/>
    <w:rsid w:val="002375C7"/>
    <w:rsid w:val="002403AF"/>
    <w:rsid w:val="002408E4"/>
    <w:rsid w:val="00241B73"/>
    <w:rsid w:val="00241D6A"/>
    <w:rsid w:val="00241F5C"/>
    <w:rsid w:val="002462F7"/>
    <w:rsid w:val="002463CD"/>
    <w:rsid w:val="00246D18"/>
    <w:rsid w:val="00247001"/>
    <w:rsid w:val="002476A3"/>
    <w:rsid w:val="00250EC5"/>
    <w:rsid w:val="002533A5"/>
    <w:rsid w:val="00253AD3"/>
    <w:rsid w:val="0025668A"/>
    <w:rsid w:val="002571FF"/>
    <w:rsid w:val="00257C23"/>
    <w:rsid w:val="00260BED"/>
    <w:rsid w:val="00262274"/>
    <w:rsid w:val="00263424"/>
    <w:rsid w:val="00267984"/>
    <w:rsid w:val="0027004A"/>
    <w:rsid w:val="002700C0"/>
    <w:rsid w:val="00270623"/>
    <w:rsid w:val="00272638"/>
    <w:rsid w:val="002745C8"/>
    <w:rsid w:val="00275244"/>
    <w:rsid w:val="002760BB"/>
    <w:rsid w:val="00276972"/>
    <w:rsid w:val="002779BF"/>
    <w:rsid w:val="002813A2"/>
    <w:rsid w:val="002815A3"/>
    <w:rsid w:val="002821D6"/>
    <w:rsid w:val="00282CD8"/>
    <w:rsid w:val="0028787E"/>
    <w:rsid w:val="002901D8"/>
    <w:rsid w:val="002921E2"/>
    <w:rsid w:val="00295ED9"/>
    <w:rsid w:val="0029612F"/>
    <w:rsid w:val="0029726C"/>
    <w:rsid w:val="002979D7"/>
    <w:rsid w:val="002A19BA"/>
    <w:rsid w:val="002A4F5B"/>
    <w:rsid w:val="002A4FD6"/>
    <w:rsid w:val="002A73E5"/>
    <w:rsid w:val="002B09E0"/>
    <w:rsid w:val="002B0A6E"/>
    <w:rsid w:val="002B32F5"/>
    <w:rsid w:val="002B380B"/>
    <w:rsid w:val="002B418D"/>
    <w:rsid w:val="002B49FB"/>
    <w:rsid w:val="002B6D05"/>
    <w:rsid w:val="002B7FCF"/>
    <w:rsid w:val="002C0492"/>
    <w:rsid w:val="002C0A39"/>
    <w:rsid w:val="002C18C2"/>
    <w:rsid w:val="002C1CC6"/>
    <w:rsid w:val="002C2E17"/>
    <w:rsid w:val="002C4D01"/>
    <w:rsid w:val="002C4D5E"/>
    <w:rsid w:val="002C6D9B"/>
    <w:rsid w:val="002C75A3"/>
    <w:rsid w:val="002C7D07"/>
    <w:rsid w:val="002D12D1"/>
    <w:rsid w:val="002D217C"/>
    <w:rsid w:val="002D4699"/>
    <w:rsid w:val="002D55E3"/>
    <w:rsid w:val="002D5748"/>
    <w:rsid w:val="002D7ED2"/>
    <w:rsid w:val="002E0B20"/>
    <w:rsid w:val="002E25AE"/>
    <w:rsid w:val="002E31F3"/>
    <w:rsid w:val="002E4B12"/>
    <w:rsid w:val="002E6437"/>
    <w:rsid w:val="002F34B7"/>
    <w:rsid w:val="002F4AFE"/>
    <w:rsid w:val="002F6A9A"/>
    <w:rsid w:val="002F7EBD"/>
    <w:rsid w:val="00304DDD"/>
    <w:rsid w:val="00305504"/>
    <w:rsid w:val="0030763F"/>
    <w:rsid w:val="00310514"/>
    <w:rsid w:val="00310FBE"/>
    <w:rsid w:val="00312118"/>
    <w:rsid w:val="00315BAB"/>
    <w:rsid w:val="0031761D"/>
    <w:rsid w:val="00317E10"/>
    <w:rsid w:val="003229B7"/>
    <w:rsid w:val="00322ACD"/>
    <w:rsid w:val="00323DA0"/>
    <w:rsid w:val="003241C2"/>
    <w:rsid w:val="00327705"/>
    <w:rsid w:val="00327A61"/>
    <w:rsid w:val="003300B8"/>
    <w:rsid w:val="00330A64"/>
    <w:rsid w:val="00332770"/>
    <w:rsid w:val="00332E4A"/>
    <w:rsid w:val="0033357E"/>
    <w:rsid w:val="00334181"/>
    <w:rsid w:val="00334A97"/>
    <w:rsid w:val="00334DFB"/>
    <w:rsid w:val="00337550"/>
    <w:rsid w:val="00337910"/>
    <w:rsid w:val="00337B7A"/>
    <w:rsid w:val="003403BF"/>
    <w:rsid w:val="0034106A"/>
    <w:rsid w:val="00342897"/>
    <w:rsid w:val="00343F00"/>
    <w:rsid w:val="00344236"/>
    <w:rsid w:val="00344CCC"/>
    <w:rsid w:val="00346497"/>
    <w:rsid w:val="00350928"/>
    <w:rsid w:val="00350CB9"/>
    <w:rsid w:val="00351BF8"/>
    <w:rsid w:val="003529FB"/>
    <w:rsid w:val="003530D7"/>
    <w:rsid w:val="003542E0"/>
    <w:rsid w:val="00356B8D"/>
    <w:rsid w:val="00357602"/>
    <w:rsid w:val="00362AEB"/>
    <w:rsid w:val="00362BF0"/>
    <w:rsid w:val="00363159"/>
    <w:rsid w:val="00364677"/>
    <w:rsid w:val="003646AA"/>
    <w:rsid w:val="0036507E"/>
    <w:rsid w:val="00365AC2"/>
    <w:rsid w:val="00365CCA"/>
    <w:rsid w:val="0037021D"/>
    <w:rsid w:val="00370E07"/>
    <w:rsid w:val="003739EA"/>
    <w:rsid w:val="00374292"/>
    <w:rsid w:val="00374A2F"/>
    <w:rsid w:val="00375C8F"/>
    <w:rsid w:val="00375D5A"/>
    <w:rsid w:val="0038027D"/>
    <w:rsid w:val="0038188E"/>
    <w:rsid w:val="00381F7A"/>
    <w:rsid w:val="003832F6"/>
    <w:rsid w:val="0038363F"/>
    <w:rsid w:val="003838C4"/>
    <w:rsid w:val="00383D29"/>
    <w:rsid w:val="00385469"/>
    <w:rsid w:val="00385607"/>
    <w:rsid w:val="00385842"/>
    <w:rsid w:val="00387EE0"/>
    <w:rsid w:val="003908F3"/>
    <w:rsid w:val="00390ED6"/>
    <w:rsid w:val="00393EFF"/>
    <w:rsid w:val="003A0F5A"/>
    <w:rsid w:val="003A119A"/>
    <w:rsid w:val="003A2148"/>
    <w:rsid w:val="003A2753"/>
    <w:rsid w:val="003A2C34"/>
    <w:rsid w:val="003A5783"/>
    <w:rsid w:val="003A59C2"/>
    <w:rsid w:val="003A6A73"/>
    <w:rsid w:val="003A6B78"/>
    <w:rsid w:val="003A6BDD"/>
    <w:rsid w:val="003B187B"/>
    <w:rsid w:val="003B3E05"/>
    <w:rsid w:val="003B42DB"/>
    <w:rsid w:val="003C0771"/>
    <w:rsid w:val="003C1621"/>
    <w:rsid w:val="003C1958"/>
    <w:rsid w:val="003C2EB5"/>
    <w:rsid w:val="003C39CB"/>
    <w:rsid w:val="003D1B43"/>
    <w:rsid w:val="003D3630"/>
    <w:rsid w:val="003D496E"/>
    <w:rsid w:val="003D5DC4"/>
    <w:rsid w:val="003D7C1A"/>
    <w:rsid w:val="003D7DFE"/>
    <w:rsid w:val="003E1113"/>
    <w:rsid w:val="003E18C6"/>
    <w:rsid w:val="003E1C3B"/>
    <w:rsid w:val="003E2245"/>
    <w:rsid w:val="003E301A"/>
    <w:rsid w:val="003E3865"/>
    <w:rsid w:val="003E3BFE"/>
    <w:rsid w:val="003E3F8D"/>
    <w:rsid w:val="003E4519"/>
    <w:rsid w:val="003E4C32"/>
    <w:rsid w:val="003E53F3"/>
    <w:rsid w:val="003E5BD5"/>
    <w:rsid w:val="003E72E8"/>
    <w:rsid w:val="003F1E87"/>
    <w:rsid w:val="003F363B"/>
    <w:rsid w:val="003F46FD"/>
    <w:rsid w:val="003F5D01"/>
    <w:rsid w:val="003F5FC4"/>
    <w:rsid w:val="003F6374"/>
    <w:rsid w:val="00400567"/>
    <w:rsid w:val="004006CE"/>
    <w:rsid w:val="00400ABD"/>
    <w:rsid w:val="0040143E"/>
    <w:rsid w:val="004015A3"/>
    <w:rsid w:val="00402E50"/>
    <w:rsid w:val="00406224"/>
    <w:rsid w:val="0040767F"/>
    <w:rsid w:val="004079AB"/>
    <w:rsid w:val="00410939"/>
    <w:rsid w:val="0041201D"/>
    <w:rsid w:val="004127B9"/>
    <w:rsid w:val="00412907"/>
    <w:rsid w:val="0041346E"/>
    <w:rsid w:val="00413A0C"/>
    <w:rsid w:val="00421619"/>
    <w:rsid w:val="0042299F"/>
    <w:rsid w:val="004239E9"/>
    <w:rsid w:val="004239F0"/>
    <w:rsid w:val="00424709"/>
    <w:rsid w:val="00433487"/>
    <w:rsid w:val="004338DF"/>
    <w:rsid w:val="00434D40"/>
    <w:rsid w:val="00435D83"/>
    <w:rsid w:val="00436CD7"/>
    <w:rsid w:val="00441977"/>
    <w:rsid w:val="00441E96"/>
    <w:rsid w:val="00442925"/>
    <w:rsid w:val="00444A04"/>
    <w:rsid w:val="00444DFF"/>
    <w:rsid w:val="00446D73"/>
    <w:rsid w:val="00446E50"/>
    <w:rsid w:val="00450148"/>
    <w:rsid w:val="00450B72"/>
    <w:rsid w:val="004515B8"/>
    <w:rsid w:val="0045295A"/>
    <w:rsid w:val="0045479B"/>
    <w:rsid w:val="00455300"/>
    <w:rsid w:val="00455AA1"/>
    <w:rsid w:val="00456F3B"/>
    <w:rsid w:val="00460182"/>
    <w:rsid w:val="00462D59"/>
    <w:rsid w:val="00462DEF"/>
    <w:rsid w:val="00463E6A"/>
    <w:rsid w:val="0046468E"/>
    <w:rsid w:val="00464BBB"/>
    <w:rsid w:val="00464DC8"/>
    <w:rsid w:val="00466C27"/>
    <w:rsid w:val="0046722A"/>
    <w:rsid w:val="00467700"/>
    <w:rsid w:val="004701B0"/>
    <w:rsid w:val="004744F5"/>
    <w:rsid w:val="00474608"/>
    <w:rsid w:val="00482886"/>
    <w:rsid w:val="00482A6F"/>
    <w:rsid w:val="00482DB2"/>
    <w:rsid w:val="0048449C"/>
    <w:rsid w:val="004846EB"/>
    <w:rsid w:val="00484C58"/>
    <w:rsid w:val="00485E88"/>
    <w:rsid w:val="00486C5F"/>
    <w:rsid w:val="0049070B"/>
    <w:rsid w:val="004917B8"/>
    <w:rsid w:val="00491EEB"/>
    <w:rsid w:val="00493378"/>
    <w:rsid w:val="0049580F"/>
    <w:rsid w:val="004961C8"/>
    <w:rsid w:val="00497DF9"/>
    <w:rsid w:val="004A1765"/>
    <w:rsid w:val="004A1B28"/>
    <w:rsid w:val="004A29C7"/>
    <w:rsid w:val="004A2AFD"/>
    <w:rsid w:val="004A42F1"/>
    <w:rsid w:val="004A51FC"/>
    <w:rsid w:val="004A5CE6"/>
    <w:rsid w:val="004A745F"/>
    <w:rsid w:val="004A7B58"/>
    <w:rsid w:val="004B1899"/>
    <w:rsid w:val="004B2BBF"/>
    <w:rsid w:val="004B35CA"/>
    <w:rsid w:val="004B5D72"/>
    <w:rsid w:val="004C049F"/>
    <w:rsid w:val="004C16DD"/>
    <w:rsid w:val="004C1839"/>
    <w:rsid w:val="004C2DD3"/>
    <w:rsid w:val="004C3EC7"/>
    <w:rsid w:val="004D0B3E"/>
    <w:rsid w:val="004D1491"/>
    <w:rsid w:val="004D2963"/>
    <w:rsid w:val="004D6762"/>
    <w:rsid w:val="004E0258"/>
    <w:rsid w:val="004E0A22"/>
    <w:rsid w:val="004E1474"/>
    <w:rsid w:val="004E1932"/>
    <w:rsid w:val="004E1A64"/>
    <w:rsid w:val="004E30D1"/>
    <w:rsid w:val="004E479B"/>
    <w:rsid w:val="004E52CD"/>
    <w:rsid w:val="004F5AA6"/>
    <w:rsid w:val="004F63C9"/>
    <w:rsid w:val="004F760A"/>
    <w:rsid w:val="004F7C05"/>
    <w:rsid w:val="00500B41"/>
    <w:rsid w:val="005011A4"/>
    <w:rsid w:val="00501BA9"/>
    <w:rsid w:val="00504537"/>
    <w:rsid w:val="00504915"/>
    <w:rsid w:val="00507A8A"/>
    <w:rsid w:val="00511F27"/>
    <w:rsid w:val="0051274B"/>
    <w:rsid w:val="00514C55"/>
    <w:rsid w:val="0051510A"/>
    <w:rsid w:val="00516326"/>
    <w:rsid w:val="00516597"/>
    <w:rsid w:val="005167B7"/>
    <w:rsid w:val="00517C1F"/>
    <w:rsid w:val="00524A4D"/>
    <w:rsid w:val="00524D73"/>
    <w:rsid w:val="00526F53"/>
    <w:rsid w:val="0052768B"/>
    <w:rsid w:val="0053148E"/>
    <w:rsid w:val="00532BF3"/>
    <w:rsid w:val="0053380B"/>
    <w:rsid w:val="005351B5"/>
    <w:rsid w:val="00536628"/>
    <w:rsid w:val="00537A40"/>
    <w:rsid w:val="00537F69"/>
    <w:rsid w:val="00540ECD"/>
    <w:rsid w:val="00542BED"/>
    <w:rsid w:val="00543850"/>
    <w:rsid w:val="00543C48"/>
    <w:rsid w:val="00546FD0"/>
    <w:rsid w:val="00553440"/>
    <w:rsid w:val="00554DDB"/>
    <w:rsid w:val="00556A43"/>
    <w:rsid w:val="0055701B"/>
    <w:rsid w:val="0055788E"/>
    <w:rsid w:val="0056179E"/>
    <w:rsid w:val="00561C63"/>
    <w:rsid w:val="00562B0B"/>
    <w:rsid w:val="00563C3A"/>
    <w:rsid w:val="00564C1A"/>
    <w:rsid w:val="00565F02"/>
    <w:rsid w:val="00570160"/>
    <w:rsid w:val="005705A3"/>
    <w:rsid w:val="0057312E"/>
    <w:rsid w:val="00576129"/>
    <w:rsid w:val="00576492"/>
    <w:rsid w:val="00577491"/>
    <w:rsid w:val="0058374D"/>
    <w:rsid w:val="00586198"/>
    <w:rsid w:val="0058622F"/>
    <w:rsid w:val="00586D9A"/>
    <w:rsid w:val="00586F91"/>
    <w:rsid w:val="00587B7A"/>
    <w:rsid w:val="005909C3"/>
    <w:rsid w:val="00590B1D"/>
    <w:rsid w:val="00590E5A"/>
    <w:rsid w:val="00593162"/>
    <w:rsid w:val="005A06EA"/>
    <w:rsid w:val="005A1406"/>
    <w:rsid w:val="005A2219"/>
    <w:rsid w:val="005A3E56"/>
    <w:rsid w:val="005B031D"/>
    <w:rsid w:val="005B12BF"/>
    <w:rsid w:val="005B2934"/>
    <w:rsid w:val="005B346F"/>
    <w:rsid w:val="005B4A4B"/>
    <w:rsid w:val="005B7E6B"/>
    <w:rsid w:val="005C08F4"/>
    <w:rsid w:val="005C10C3"/>
    <w:rsid w:val="005C3F6D"/>
    <w:rsid w:val="005C4B06"/>
    <w:rsid w:val="005C6AB9"/>
    <w:rsid w:val="005D1496"/>
    <w:rsid w:val="005D1D6F"/>
    <w:rsid w:val="005D272B"/>
    <w:rsid w:val="005D4310"/>
    <w:rsid w:val="005D68AA"/>
    <w:rsid w:val="005D79AD"/>
    <w:rsid w:val="005D7B23"/>
    <w:rsid w:val="005D7FC9"/>
    <w:rsid w:val="005E03F1"/>
    <w:rsid w:val="005E2427"/>
    <w:rsid w:val="005E2943"/>
    <w:rsid w:val="005E53F1"/>
    <w:rsid w:val="005E7138"/>
    <w:rsid w:val="005F132F"/>
    <w:rsid w:val="005F2632"/>
    <w:rsid w:val="005F3771"/>
    <w:rsid w:val="005F51E3"/>
    <w:rsid w:val="005F60EE"/>
    <w:rsid w:val="006009F3"/>
    <w:rsid w:val="0060387B"/>
    <w:rsid w:val="0060395A"/>
    <w:rsid w:val="006048E8"/>
    <w:rsid w:val="00604C99"/>
    <w:rsid w:val="0060516B"/>
    <w:rsid w:val="00605448"/>
    <w:rsid w:val="006063F1"/>
    <w:rsid w:val="00606F9F"/>
    <w:rsid w:val="00607771"/>
    <w:rsid w:val="006111CA"/>
    <w:rsid w:val="00611527"/>
    <w:rsid w:val="006139F7"/>
    <w:rsid w:val="00614742"/>
    <w:rsid w:val="006160B0"/>
    <w:rsid w:val="0061633D"/>
    <w:rsid w:val="00623016"/>
    <w:rsid w:val="00623F70"/>
    <w:rsid w:val="006247C8"/>
    <w:rsid w:val="006255B9"/>
    <w:rsid w:val="006272B8"/>
    <w:rsid w:val="006309C9"/>
    <w:rsid w:val="00631E8B"/>
    <w:rsid w:val="00632635"/>
    <w:rsid w:val="00632AAC"/>
    <w:rsid w:val="00635116"/>
    <w:rsid w:val="00640202"/>
    <w:rsid w:val="006408EC"/>
    <w:rsid w:val="0064336B"/>
    <w:rsid w:val="0064628F"/>
    <w:rsid w:val="00652A7C"/>
    <w:rsid w:val="006550AA"/>
    <w:rsid w:val="00655178"/>
    <w:rsid w:val="00657EF1"/>
    <w:rsid w:val="006622F0"/>
    <w:rsid w:val="00664A02"/>
    <w:rsid w:val="00666714"/>
    <w:rsid w:val="006667C0"/>
    <w:rsid w:val="006672AC"/>
    <w:rsid w:val="0067579F"/>
    <w:rsid w:val="006769BD"/>
    <w:rsid w:val="00676D19"/>
    <w:rsid w:val="006777A1"/>
    <w:rsid w:val="00682DF1"/>
    <w:rsid w:val="00683CDA"/>
    <w:rsid w:val="00686B05"/>
    <w:rsid w:val="00686D2D"/>
    <w:rsid w:val="00690069"/>
    <w:rsid w:val="0069028E"/>
    <w:rsid w:val="00691763"/>
    <w:rsid w:val="00692276"/>
    <w:rsid w:val="00695CCA"/>
    <w:rsid w:val="00695E79"/>
    <w:rsid w:val="00697276"/>
    <w:rsid w:val="00697549"/>
    <w:rsid w:val="00697AAA"/>
    <w:rsid w:val="006A0CE2"/>
    <w:rsid w:val="006A2656"/>
    <w:rsid w:val="006A3425"/>
    <w:rsid w:val="006A4146"/>
    <w:rsid w:val="006A46F5"/>
    <w:rsid w:val="006A6259"/>
    <w:rsid w:val="006A7679"/>
    <w:rsid w:val="006B1059"/>
    <w:rsid w:val="006B26C8"/>
    <w:rsid w:val="006B292A"/>
    <w:rsid w:val="006B3639"/>
    <w:rsid w:val="006B3EB3"/>
    <w:rsid w:val="006B5BDE"/>
    <w:rsid w:val="006C0B7C"/>
    <w:rsid w:val="006C264A"/>
    <w:rsid w:val="006C468C"/>
    <w:rsid w:val="006C488D"/>
    <w:rsid w:val="006C540C"/>
    <w:rsid w:val="006C5E4F"/>
    <w:rsid w:val="006C66ED"/>
    <w:rsid w:val="006D022D"/>
    <w:rsid w:val="006D1FB7"/>
    <w:rsid w:val="006D2680"/>
    <w:rsid w:val="006D59B2"/>
    <w:rsid w:val="006D6229"/>
    <w:rsid w:val="006E1812"/>
    <w:rsid w:val="006E21C3"/>
    <w:rsid w:val="006E36C4"/>
    <w:rsid w:val="006E4A24"/>
    <w:rsid w:val="006E6BF0"/>
    <w:rsid w:val="006E7802"/>
    <w:rsid w:val="006F11F1"/>
    <w:rsid w:val="006F18F8"/>
    <w:rsid w:val="006F1B9A"/>
    <w:rsid w:val="006F1D94"/>
    <w:rsid w:val="006F301B"/>
    <w:rsid w:val="006F320C"/>
    <w:rsid w:val="006F5EE6"/>
    <w:rsid w:val="006F61EF"/>
    <w:rsid w:val="006F7C6F"/>
    <w:rsid w:val="00700407"/>
    <w:rsid w:val="00702149"/>
    <w:rsid w:val="00702F00"/>
    <w:rsid w:val="0070368B"/>
    <w:rsid w:val="00703EA9"/>
    <w:rsid w:val="00704B08"/>
    <w:rsid w:val="0070658A"/>
    <w:rsid w:val="00707FC5"/>
    <w:rsid w:val="0071021F"/>
    <w:rsid w:val="007102B6"/>
    <w:rsid w:val="007142A3"/>
    <w:rsid w:val="007163BD"/>
    <w:rsid w:val="00717307"/>
    <w:rsid w:val="00720658"/>
    <w:rsid w:val="0072171B"/>
    <w:rsid w:val="00722CF6"/>
    <w:rsid w:val="00722F8D"/>
    <w:rsid w:val="007254AB"/>
    <w:rsid w:val="00725D3C"/>
    <w:rsid w:val="00726743"/>
    <w:rsid w:val="007318CA"/>
    <w:rsid w:val="00732439"/>
    <w:rsid w:val="00734F02"/>
    <w:rsid w:val="00735FD4"/>
    <w:rsid w:val="0073784F"/>
    <w:rsid w:val="00741D79"/>
    <w:rsid w:val="00743AE8"/>
    <w:rsid w:val="007444E9"/>
    <w:rsid w:val="00745EEF"/>
    <w:rsid w:val="00750353"/>
    <w:rsid w:val="00753EE8"/>
    <w:rsid w:val="00754114"/>
    <w:rsid w:val="00754A37"/>
    <w:rsid w:val="00755012"/>
    <w:rsid w:val="0075531C"/>
    <w:rsid w:val="007575BF"/>
    <w:rsid w:val="007602F6"/>
    <w:rsid w:val="0076221C"/>
    <w:rsid w:val="00764D99"/>
    <w:rsid w:val="0076794D"/>
    <w:rsid w:val="00767AF4"/>
    <w:rsid w:val="007703BE"/>
    <w:rsid w:val="007706C6"/>
    <w:rsid w:val="00770967"/>
    <w:rsid w:val="00770D19"/>
    <w:rsid w:val="00770E12"/>
    <w:rsid w:val="00771102"/>
    <w:rsid w:val="00775143"/>
    <w:rsid w:val="00777AE3"/>
    <w:rsid w:val="00781287"/>
    <w:rsid w:val="0078160D"/>
    <w:rsid w:val="00781B37"/>
    <w:rsid w:val="00784469"/>
    <w:rsid w:val="0078520A"/>
    <w:rsid w:val="00785B1D"/>
    <w:rsid w:val="00786D3B"/>
    <w:rsid w:val="00786DA9"/>
    <w:rsid w:val="00787AA0"/>
    <w:rsid w:val="0079027F"/>
    <w:rsid w:val="007931A9"/>
    <w:rsid w:val="00794451"/>
    <w:rsid w:val="007946DD"/>
    <w:rsid w:val="00795A1E"/>
    <w:rsid w:val="00795B84"/>
    <w:rsid w:val="007960F6"/>
    <w:rsid w:val="00796FB9"/>
    <w:rsid w:val="00797072"/>
    <w:rsid w:val="00797608"/>
    <w:rsid w:val="0079777B"/>
    <w:rsid w:val="00797867"/>
    <w:rsid w:val="007A0A21"/>
    <w:rsid w:val="007A1E10"/>
    <w:rsid w:val="007A325C"/>
    <w:rsid w:val="007A465D"/>
    <w:rsid w:val="007A7CA0"/>
    <w:rsid w:val="007B07A0"/>
    <w:rsid w:val="007B095D"/>
    <w:rsid w:val="007B1EF4"/>
    <w:rsid w:val="007B4149"/>
    <w:rsid w:val="007B7A62"/>
    <w:rsid w:val="007B7D51"/>
    <w:rsid w:val="007C0805"/>
    <w:rsid w:val="007C39CA"/>
    <w:rsid w:val="007C3F37"/>
    <w:rsid w:val="007C4634"/>
    <w:rsid w:val="007C4EB7"/>
    <w:rsid w:val="007C6ECD"/>
    <w:rsid w:val="007D0989"/>
    <w:rsid w:val="007D142D"/>
    <w:rsid w:val="007D1820"/>
    <w:rsid w:val="007D5C5E"/>
    <w:rsid w:val="007D679B"/>
    <w:rsid w:val="007D68F0"/>
    <w:rsid w:val="007D71FC"/>
    <w:rsid w:val="007D7A2B"/>
    <w:rsid w:val="007E0304"/>
    <w:rsid w:val="007E2748"/>
    <w:rsid w:val="007E5E62"/>
    <w:rsid w:val="007E675C"/>
    <w:rsid w:val="007E6A5B"/>
    <w:rsid w:val="007F2D8A"/>
    <w:rsid w:val="007F2F78"/>
    <w:rsid w:val="007F56D1"/>
    <w:rsid w:val="007F5A30"/>
    <w:rsid w:val="008033E6"/>
    <w:rsid w:val="00803407"/>
    <w:rsid w:val="00803595"/>
    <w:rsid w:val="008044F6"/>
    <w:rsid w:val="00804A47"/>
    <w:rsid w:val="00804E9F"/>
    <w:rsid w:val="0080604A"/>
    <w:rsid w:val="008067DD"/>
    <w:rsid w:val="00807200"/>
    <w:rsid w:val="00810995"/>
    <w:rsid w:val="00810B70"/>
    <w:rsid w:val="00811054"/>
    <w:rsid w:val="00814E80"/>
    <w:rsid w:val="00814E81"/>
    <w:rsid w:val="008200C8"/>
    <w:rsid w:val="008210BF"/>
    <w:rsid w:val="0082276C"/>
    <w:rsid w:val="008244F4"/>
    <w:rsid w:val="0082494B"/>
    <w:rsid w:val="00825555"/>
    <w:rsid w:val="00826B1C"/>
    <w:rsid w:val="00827F61"/>
    <w:rsid w:val="00830788"/>
    <w:rsid w:val="008316A4"/>
    <w:rsid w:val="00833E69"/>
    <w:rsid w:val="008349C1"/>
    <w:rsid w:val="00834F76"/>
    <w:rsid w:val="00835065"/>
    <w:rsid w:val="008377AC"/>
    <w:rsid w:val="00837AE4"/>
    <w:rsid w:val="00840F9E"/>
    <w:rsid w:val="00841791"/>
    <w:rsid w:val="00842CB1"/>
    <w:rsid w:val="0084372E"/>
    <w:rsid w:val="008444E3"/>
    <w:rsid w:val="00844791"/>
    <w:rsid w:val="0084483C"/>
    <w:rsid w:val="008451DE"/>
    <w:rsid w:val="00850001"/>
    <w:rsid w:val="008508BB"/>
    <w:rsid w:val="0085140B"/>
    <w:rsid w:val="00853FB6"/>
    <w:rsid w:val="00856706"/>
    <w:rsid w:val="00856B1E"/>
    <w:rsid w:val="008577CF"/>
    <w:rsid w:val="00861B63"/>
    <w:rsid w:val="00863156"/>
    <w:rsid w:val="00864E1F"/>
    <w:rsid w:val="008669A1"/>
    <w:rsid w:val="00866C47"/>
    <w:rsid w:val="00871571"/>
    <w:rsid w:val="00871B49"/>
    <w:rsid w:val="00871E4A"/>
    <w:rsid w:val="00871F08"/>
    <w:rsid w:val="00872263"/>
    <w:rsid w:val="008738D1"/>
    <w:rsid w:val="008738DE"/>
    <w:rsid w:val="008739C9"/>
    <w:rsid w:val="008749BA"/>
    <w:rsid w:val="0087622D"/>
    <w:rsid w:val="00880843"/>
    <w:rsid w:val="008809CF"/>
    <w:rsid w:val="00880D7F"/>
    <w:rsid w:val="0088290C"/>
    <w:rsid w:val="00882E5E"/>
    <w:rsid w:val="00884BA8"/>
    <w:rsid w:val="00884BCA"/>
    <w:rsid w:val="008870EA"/>
    <w:rsid w:val="00893335"/>
    <w:rsid w:val="00894704"/>
    <w:rsid w:val="00894796"/>
    <w:rsid w:val="00894919"/>
    <w:rsid w:val="00896997"/>
    <w:rsid w:val="008A020D"/>
    <w:rsid w:val="008A47C5"/>
    <w:rsid w:val="008A65FD"/>
    <w:rsid w:val="008A7434"/>
    <w:rsid w:val="008B14DD"/>
    <w:rsid w:val="008B577B"/>
    <w:rsid w:val="008B6C4D"/>
    <w:rsid w:val="008C0AB1"/>
    <w:rsid w:val="008C1339"/>
    <w:rsid w:val="008C138F"/>
    <w:rsid w:val="008C1800"/>
    <w:rsid w:val="008C186E"/>
    <w:rsid w:val="008C3A17"/>
    <w:rsid w:val="008C3FC4"/>
    <w:rsid w:val="008C5F8E"/>
    <w:rsid w:val="008C6EAC"/>
    <w:rsid w:val="008C7203"/>
    <w:rsid w:val="008D02C0"/>
    <w:rsid w:val="008D1E00"/>
    <w:rsid w:val="008D2497"/>
    <w:rsid w:val="008D2863"/>
    <w:rsid w:val="008D2C06"/>
    <w:rsid w:val="008D3844"/>
    <w:rsid w:val="008D3E17"/>
    <w:rsid w:val="008D6772"/>
    <w:rsid w:val="008D79C5"/>
    <w:rsid w:val="008E00B8"/>
    <w:rsid w:val="008E034E"/>
    <w:rsid w:val="008E2751"/>
    <w:rsid w:val="008E2874"/>
    <w:rsid w:val="008E35AF"/>
    <w:rsid w:val="008E5ED9"/>
    <w:rsid w:val="008E6E09"/>
    <w:rsid w:val="008E7990"/>
    <w:rsid w:val="008F1B12"/>
    <w:rsid w:val="008F3BA9"/>
    <w:rsid w:val="008F65D3"/>
    <w:rsid w:val="008F662F"/>
    <w:rsid w:val="00901474"/>
    <w:rsid w:val="0090226B"/>
    <w:rsid w:val="00903D3D"/>
    <w:rsid w:val="00906649"/>
    <w:rsid w:val="00910ECF"/>
    <w:rsid w:val="00911B20"/>
    <w:rsid w:val="0091265A"/>
    <w:rsid w:val="00912F73"/>
    <w:rsid w:val="009140B9"/>
    <w:rsid w:val="0092065E"/>
    <w:rsid w:val="009218D9"/>
    <w:rsid w:val="00923FA6"/>
    <w:rsid w:val="0092415E"/>
    <w:rsid w:val="00925602"/>
    <w:rsid w:val="00925A7D"/>
    <w:rsid w:val="00925F81"/>
    <w:rsid w:val="009308EF"/>
    <w:rsid w:val="00932B90"/>
    <w:rsid w:val="00932CE5"/>
    <w:rsid w:val="0093308E"/>
    <w:rsid w:val="009335F0"/>
    <w:rsid w:val="0093437B"/>
    <w:rsid w:val="009351C0"/>
    <w:rsid w:val="009368E7"/>
    <w:rsid w:val="00937454"/>
    <w:rsid w:val="00937812"/>
    <w:rsid w:val="0094449B"/>
    <w:rsid w:val="00945F15"/>
    <w:rsid w:val="00945F45"/>
    <w:rsid w:val="00946C2B"/>
    <w:rsid w:val="0095047B"/>
    <w:rsid w:val="009510FB"/>
    <w:rsid w:val="009511BE"/>
    <w:rsid w:val="009517A8"/>
    <w:rsid w:val="00951B88"/>
    <w:rsid w:val="00952D9D"/>
    <w:rsid w:val="00953279"/>
    <w:rsid w:val="00954116"/>
    <w:rsid w:val="00956D92"/>
    <w:rsid w:val="009610DF"/>
    <w:rsid w:val="009611FC"/>
    <w:rsid w:val="00961A77"/>
    <w:rsid w:val="00961D29"/>
    <w:rsid w:val="009652CF"/>
    <w:rsid w:val="00966F0F"/>
    <w:rsid w:val="00967269"/>
    <w:rsid w:val="0097026B"/>
    <w:rsid w:val="0097061D"/>
    <w:rsid w:val="009707E3"/>
    <w:rsid w:val="00970924"/>
    <w:rsid w:val="00972977"/>
    <w:rsid w:val="00974A05"/>
    <w:rsid w:val="009754D1"/>
    <w:rsid w:val="009761E6"/>
    <w:rsid w:val="00980410"/>
    <w:rsid w:val="00981523"/>
    <w:rsid w:val="00981E55"/>
    <w:rsid w:val="00984263"/>
    <w:rsid w:val="0098428C"/>
    <w:rsid w:val="009856E8"/>
    <w:rsid w:val="0099136E"/>
    <w:rsid w:val="0099457C"/>
    <w:rsid w:val="0099468C"/>
    <w:rsid w:val="00994A0B"/>
    <w:rsid w:val="00996665"/>
    <w:rsid w:val="00996AD4"/>
    <w:rsid w:val="009A270A"/>
    <w:rsid w:val="009A3FE5"/>
    <w:rsid w:val="009A75E5"/>
    <w:rsid w:val="009B0AB4"/>
    <w:rsid w:val="009B1988"/>
    <w:rsid w:val="009B582C"/>
    <w:rsid w:val="009B6658"/>
    <w:rsid w:val="009C0598"/>
    <w:rsid w:val="009C07EE"/>
    <w:rsid w:val="009C1937"/>
    <w:rsid w:val="009C26EE"/>
    <w:rsid w:val="009C2980"/>
    <w:rsid w:val="009C37B6"/>
    <w:rsid w:val="009C471A"/>
    <w:rsid w:val="009C4D56"/>
    <w:rsid w:val="009C4FAB"/>
    <w:rsid w:val="009C58F7"/>
    <w:rsid w:val="009C687F"/>
    <w:rsid w:val="009D049F"/>
    <w:rsid w:val="009D0B87"/>
    <w:rsid w:val="009D5D2E"/>
    <w:rsid w:val="009D6F65"/>
    <w:rsid w:val="009E123F"/>
    <w:rsid w:val="009E4879"/>
    <w:rsid w:val="009E54E7"/>
    <w:rsid w:val="009E5C08"/>
    <w:rsid w:val="009E6FE3"/>
    <w:rsid w:val="009F067F"/>
    <w:rsid w:val="009F08A7"/>
    <w:rsid w:val="009F15AA"/>
    <w:rsid w:val="009F431D"/>
    <w:rsid w:val="009F481D"/>
    <w:rsid w:val="009F518E"/>
    <w:rsid w:val="009F52E9"/>
    <w:rsid w:val="009F6862"/>
    <w:rsid w:val="009F7E5B"/>
    <w:rsid w:val="00A0337A"/>
    <w:rsid w:val="00A0345B"/>
    <w:rsid w:val="00A03A8F"/>
    <w:rsid w:val="00A049CD"/>
    <w:rsid w:val="00A108D3"/>
    <w:rsid w:val="00A120EF"/>
    <w:rsid w:val="00A138FE"/>
    <w:rsid w:val="00A15DDE"/>
    <w:rsid w:val="00A167B4"/>
    <w:rsid w:val="00A16D16"/>
    <w:rsid w:val="00A20C31"/>
    <w:rsid w:val="00A21122"/>
    <w:rsid w:val="00A22180"/>
    <w:rsid w:val="00A23C88"/>
    <w:rsid w:val="00A23E25"/>
    <w:rsid w:val="00A24B05"/>
    <w:rsid w:val="00A25BFA"/>
    <w:rsid w:val="00A2651C"/>
    <w:rsid w:val="00A27D1F"/>
    <w:rsid w:val="00A3103C"/>
    <w:rsid w:val="00A31AD9"/>
    <w:rsid w:val="00A32D4A"/>
    <w:rsid w:val="00A34D63"/>
    <w:rsid w:val="00A37877"/>
    <w:rsid w:val="00A37D22"/>
    <w:rsid w:val="00A40226"/>
    <w:rsid w:val="00A40E9C"/>
    <w:rsid w:val="00A415E7"/>
    <w:rsid w:val="00A4191A"/>
    <w:rsid w:val="00A42EF4"/>
    <w:rsid w:val="00A44CE9"/>
    <w:rsid w:val="00A467EF"/>
    <w:rsid w:val="00A50284"/>
    <w:rsid w:val="00A50C00"/>
    <w:rsid w:val="00A51C34"/>
    <w:rsid w:val="00A51D5C"/>
    <w:rsid w:val="00A53446"/>
    <w:rsid w:val="00A54E7F"/>
    <w:rsid w:val="00A56B6B"/>
    <w:rsid w:val="00A57761"/>
    <w:rsid w:val="00A61011"/>
    <w:rsid w:val="00A61AB5"/>
    <w:rsid w:val="00A61D24"/>
    <w:rsid w:val="00A63479"/>
    <w:rsid w:val="00A67735"/>
    <w:rsid w:val="00A67F21"/>
    <w:rsid w:val="00A70408"/>
    <w:rsid w:val="00A7050C"/>
    <w:rsid w:val="00A718E6"/>
    <w:rsid w:val="00A71B9F"/>
    <w:rsid w:val="00A72BEE"/>
    <w:rsid w:val="00A73577"/>
    <w:rsid w:val="00A77241"/>
    <w:rsid w:val="00A77F42"/>
    <w:rsid w:val="00A80235"/>
    <w:rsid w:val="00A8287B"/>
    <w:rsid w:val="00A82D4A"/>
    <w:rsid w:val="00A82FC6"/>
    <w:rsid w:val="00A84996"/>
    <w:rsid w:val="00A85496"/>
    <w:rsid w:val="00A85966"/>
    <w:rsid w:val="00A9083F"/>
    <w:rsid w:val="00A90BA7"/>
    <w:rsid w:val="00A90C58"/>
    <w:rsid w:val="00A92B9F"/>
    <w:rsid w:val="00A93176"/>
    <w:rsid w:val="00A93D0A"/>
    <w:rsid w:val="00A95863"/>
    <w:rsid w:val="00A9617F"/>
    <w:rsid w:val="00A971A5"/>
    <w:rsid w:val="00A97953"/>
    <w:rsid w:val="00A9798B"/>
    <w:rsid w:val="00AA041F"/>
    <w:rsid w:val="00AA0667"/>
    <w:rsid w:val="00AA0A27"/>
    <w:rsid w:val="00AA4EC6"/>
    <w:rsid w:val="00AA5650"/>
    <w:rsid w:val="00AA741A"/>
    <w:rsid w:val="00AA750A"/>
    <w:rsid w:val="00AB0081"/>
    <w:rsid w:val="00AB09E6"/>
    <w:rsid w:val="00AB2933"/>
    <w:rsid w:val="00AB29BF"/>
    <w:rsid w:val="00AB2EA4"/>
    <w:rsid w:val="00AB586D"/>
    <w:rsid w:val="00AC06CF"/>
    <w:rsid w:val="00AC204E"/>
    <w:rsid w:val="00AC3109"/>
    <w:rsid w:val="00AC47D1"/>
    <w:rsid w:val="00AC47FE"/>
    <w:rsid w:val="00AC4963"/>
    <w:rsid w:val="00AC4E2D"/>
    <w:rsid w:val="00AC506B"/>
    <w:rsid w:val="00AC729F"/>
    <w:rsid w:val="00AC7EBA"/>
    <w:rsid w:val="00AD2308"/>
    <w:rsid w:val="00AE5220"/>
    <w:rsid w:val="00AE7EEC"/>
    <w:rsid w:val="00AF1B68"/>
    <w:rsid w:val="00AF2BBB"/>
    <w:rsid w:val="00AF4D7C"/>
    <w:rsid w:val="00AF4EE6"/>
    <w:rsid w:val="00AF5EF7"/>
    <w:rsid w:val="00B0057E"/>
    <w:rsid w:val="00B00F02"/>
    <w:rsid w:val="00B00F7C"/>
    <w:rsid w:val="00B04F7C"/>
    <w:rsid w:val="00B07311"/>
    <w:rsid w:val="00B07540"/>
    <w:rsid w:val="00B0762F"/>
    <w:rsid w:val="00B077E4"/>
    <w:rsid w:val="00B07E58"/>
    <w:rsid w:val="00B1061A"/>
    <w:rsid w:val="00B107B7"/>
    <w:rsid w:val="00B11C39"/>
    <w:rsid w:val="00B125FD"/>
    <w:rsid w:val="00B13171"/>
    <w:rsid w:val="00B1370E"/>
    <w:rsid w:val="00B13E91"/>
    <w:rsid w:val="00B1474E"/>
    <w:rsid w:val="00B147AA"/>
    <w:rsid w:val="00B20A02"/>
    <w:rsid w:val="00B20BD6"/>
    <w:rsid w:val="00B22047"/>
    <w:rsid w:val="00B23B1F"/>
    <w:rsid w:val="00B24DAE"/>
    <w:rsid w:val="00B3026A"/>
    <w:rsid w:val="00B3311A"/>
    <w:rsid w:val="00B33502"/>
    <w:rsid w:val="00B33E58"/>
    <w:rsid w:val="00B37C78"/>
    <w:rsid w:val="00B44E37"/>
    <w:rsid w:val="00B452A2"/>
    <w:rsid w:val="00B452FB"/>
    <w:rsid w:val="00B45C4A"/>
    <w:rsid w:val="00B472ED"/>
    <w:rsid w:val="00B47320"/>
    <w:rsid w:val="00B5100B"/>
    <w:rsid w:val="00B53CE2"/>
    <w:rsid w:val="00B54514"/>
    <w:rsid w:val="00B5490C"/>
    <w:rsid w:val="00B570BE"/>
    <w:rsid w:val="00B6291E"/>
    <w:rsid w:val="00B63299"/>
    <w:rsid w:val="00B6334C"/>
    <w:rsid w:val="00B6442B"/>
    <w:rsid w:val="00B65CDE"/>
    <w:rsid w:val="00B65F44"/>
    <w:rsid w:val="00B66A2D"/>
    <w:rsid w:val="00B67DB6"/>
    <w:rsid w:val="00B7194E"/>
    <w:rsid w:val="00B73AD1"/>
    <w:rsid w:val="00B74EE7"/>
    <w:rsid w:val="00B75607"/>
    <w:rsid w:val="00B77774"/>
    <w:rsid w:val="00B77A3F"/>
    <w:rsid w:val="00B80BE1"/>
    <w:rsid w:val="00B81196"/>
    <w:rsid w:val="00B83DC2"/>
    <w:rsid w:val="00B8657C"/>
    <w:rsid w:val="00B92A80"/>
    <w:rsid w:val="00B9422F"/>
    <w:rsid w:val="00B942E3"/>
    <w:rsid w:val="00B963CA"/>
    <w:rsid w:val="00B96CA8"/>
    <w:rsid w:val="00B96F4E"/>
    <w:rsid w:val="00BA0579"/>
    <w:rsid w:val="00BA2297"/>
    <w:rsid w:val="00BA392A"/>
    <w:rsid w:val="00BA59FF"/>
    <w:rsid w:val="00BA66B8"/>
    <w:rsid w:val="00BA67C8"/>
    <w:rsid w:val="00BA7C38"/>
    <w:rsid w:val="00BB0445"/>
    <w:rsid w:val="00BB068A"/>
    <w:rsid w:val="00BB0F06"/>
    <w:rsid w:val="00BB2195"/>
    <w:rsid w:val="00BB29F3"/>
    <w:rsid w:val="00BB4B30"/>
    <w:rsid w:val="00BB563F"/>
    <w:rsid w:val="00BB58BE"/>
    <w:rsid w:val="00BB5EA0"/>
    <w:rsid w:val="00BB75D0"/>
    <w:rsid w:val="00BC1AC0"/>
    <w:rsid w:val="00BC27AE"/>
    <w:rsid w:val="00BC35A7"/>
    <w:rsid w:val="00BC5C37"/>
    <w:rsid w:val="00BC60D9"/>
    <w:rsid w:val="00BC6D77"/>
    <w:rsid w:val="00BC73F2"/>
    <w:rsid w:val="00BD1693"/>
    <w:rsid w:val="00BD2631"/>
    <w:rsid w:val="00BD4C63"/>
    <w:rsid w:val="00BD4FD9"/>
    <w:rsid w:val="00BD5598"/>
    <w:rsid w:val="00BE00FB"/>
    <w:rsid w:val="00BE057C"/>
    <w:rsid w:val="00BE7176"/>
    <w:rsid w:val="00BE7B5A"/>
    <w:rsid w:val="00BF23FC"/>
    <w:rsid w:val="00BF28F6"/>
    <w:rsid w:val="00BF33F5"/>
    <w:rsid w:val="00BF4861"/>
    <w:rsid w:val="00BF590F"/>
    <w:rsid w:val="00BF6BCF"/>
    <w:rsid w:val="00C00255"/>
    <w:rsid w:val="00C025C9"/>
    <w:rsid w:val="00C03BFA"/>
    <w:rsid w:val="00C042E6"/>
    <w:rsid w:val="00C050B3"/>
    <w:rsid w:val="00C0672A"/>
    <w:rsid w:val="00C10ECF"/>
    <w:rsid w:val="00C11C53"/>
    <w:rsid w:val="00C12011"/>
    <w:rsid w:val="00C144B2"/>
    <w:rsid w:val="00C15D9E"/>
    <w:rsid w:val="00C160CF"/>
    <w:rsid w:val="00C17296"/>
    <w:rsid w:val="00C17380"/>
    <w:rsid w:val="00C21554"/>
    <w:rsid w:val="00C2247C"/>
    <w:rsid w:val="00C23A3C"/>
    <w:rsid w:val="00C24344"/>
    <w:rsid w:val="00C25AD0"/>
    <w:rsid w:val="00C26638"/>
    <w:rsid w:val="00C27F99"/>
    <w:rsid w:val="00C31B56"/>
    <w:rsid w:val="00C328CB"/>
    <w:rsid w:val="00C328DE"/>
    <w:rsid w:val="00C33201"/>
    <w:rsid w:val="00C332B3"/>
    <w:rsid w:val="00C34E49"/>
    <w:rsid w:val="00C35CDC"/>
    <w:rsid w:val="00C379AD"/>
    <w:rsid w:val="00C37F86"/>
    <w:rsid w:val="00C42D48"/>
    <w:rsid w:val="00C44B85"/>
    <w:rsid w:val="00C45782"/>
    <w:rsid w:val="00C45936"/>
    <w:rsid w:val="00C468F7"/>
    <w:rsid w:val="00C47D3A"/>
    <w:rsid w:val="00C502C4"/>
    <w:rsid w:val="00C52FB5"/>
    <w:rsid w:val="00C54556"/>
    <w:rsid w:val="00C566E4"/>
    <w:rsid w:val="00C56838"/>
    <w:rsid w:val="00C57F7A"/>
    <w:rsid w:val="00C600E9"/>
    <w:rsid w:val="00C610A5"/>
    <w:rsid w:val="00C638AD"/>
    <w:rsid w:val="00C638BA"/>
    <w:rsid w:val="00C65DF3"/>
    <w:rsid w:val="00C66946"/>
    <w:rsid w:val="00C67842"/>
    <w:rsid w:val="00C720CF"/>
    <w:rsid w:val="00C72D23"/>
    <w:rsid w:val="00C738FE"/>
    <w:rsid w:val="00C7452B"/>
    <w:rsid w:val="00C746D3"/>
    <w:rsid w:val="00C750F7"/>
    <w:rsid w:val="00C756F0"/>
    <w:rsid w:val="00C777E0"/>
    <w:rsid w:val="00C77E7F"/>
    <w:rsid w:val="00C80321"/>
    <w:rsid w:val="00C80434"/>
    <w:rsid w:val="00C80AA9"/>
    <w:rsid w:val="00C823BC"/>
    <w:rsid w:val="00C906F2"/>
    <w:rsid w:val="00C90E7B"/>
    <w:rsid w:val="00C91A05"/>
    <w:rsid w:val="00C91EB5"/>
    <w:rsid w:val="00C92631"/>
    <w:rsid w:val="00C92A28"/>
    <w:rsid w:val="00C94F5F"/>
    <w:rsid w:val="00C96436"/>
    <w:rsid w:val="00C971B2"/>
    <w:rsid w:val="00CA05C3"/>
    <w:rsid w:val="00CA068C"/>
    <w:rsid w:val="00CA076A"/>
    <w:rsid w:val="00CA2A50"/>
    <w:rsid w:val="00CA3CF3"/>
    <w:rsid w:val="00CA3F3E"/>
    <w:rsid w:val="00CA4989"/>
    <w:rsid w:val="00CA54CA"/>
    <w:rsid w:val="00CB07E3"/>
    <w:rsid w:val="00CB3285"/>
    <w:rsid w:val="00CB396D"/>
    <w:rsid w:val="00CB4B2B"/>
    <w:rsid w:val="00CB5D00"/>
    <w:rsid w:val="00CB6869"/>
    <w:rsid w:val="00CB68CB"/>
    <w:rsid w:val="00CB7868"/>
    <w:rsid w:val="00CC02E7"/>
    <w:rsid w:val="00CC1DEF"/>
    <w:rsid w:val="00CC2A95"/>
    <w:rsid w:val="00CC33F2"/>
    <w:rsid w:val="00CD0ECF"/>
    <w:rsid w:val="00CD1789"/>
    <w:rsid w:val="00CD1FB9"/>
    <w:rsid w:val="00CD2B26"/>
    <w:rsid w:val="00CD3C22"/>
    <w:rsid w:val="00CD3D81"/>
    <w:rsid w:val="00CD42EE"/>
    <w:rsid w:val="00CD71B9"/>
    <w:rsid w:val="00CD76B3"/>
    <w:rsid w:val="00CE2AEF"/>
    <w:rsid w:val="00CE30FB"/>
    <w:rsid w:val="00CE40DF"/>
    <w:rsid w:val="00CE5CBB"/>
    <w:rsid w:val="00CF16D1"/>
    <w:rsid w:val="00CF2E0F"/>
    <w:rsid w:val="00CF32FC"/>
    <w:rsid w:val="00CF4BBE"/>
    <w:rsid w:val="00CF4C75"/>
    <w:rsid w:val="00CF5B6E"/>
    <w:rsid w:val="00D00285"/>
    <w:rsid w:val="00D0068B"/>
    <w:rsid w:val="00D009A2"/>
    <w:rsid w:val="00D00F33"/>
    <w:rsid w:val="00D016C7"/>
    <w:rsid w:val="00D02A59"/>
    <w:rsid w:val="00D03D2A"/>
    <w:rsid w:val="00D06C89"/>
    <w:rsid w:val="00D10B58"/>
    <w:rsid w:val="00D11275"/>
    <w:rsid w:val="00D11B9A"/>
    <w:rsid w:val="00D16244"/>
    <w:rsid w:val="00D21ACB"/>
    <w:rsid w:val="00D225B0"/>
    <w:rsid w:val="00D23FCC"/>
    <w:rsid w:val="00D24D32"/>
    <w:rsid w:val="00D25AD9"/>
    <w:rsid w:val="00D25BD4"/>
    <w:rsid w:val="00D25C6A"/>
    <w:rsid w:val="00D27F86"/>
    <w:rsid w:val="00D342A4"/>
    <w:rsid w:val="00D344E8"/>
    <w:rsid w:val="00D35E00"/>
    <w:rsid w:val="00D35EDD"/>
    <w:rsid w:val="00D37018"/>
    <w:rsid w:val="00D37ACC"/>
    <w:rsid w:val="00D403A2"/>
    <w:rsid w:val="00D415BE"/>
    <w:rsid w:val="00D435D8"/>
    <w:rsid w:val="00D45AFF"/>
    <w:rsid w:val="00D465DF"/>
    <w:rsid w:val="00D471D3"/>
    <w:rsid w:val="00D506EF"/>
    <w:rsid w:val="00D50F16"/>
    <w:rsid w:val="00D520D9"/>
    <w:rsid w:val="00D5494F"/>
    <w:rsid w:val="00D57D01"/>
    <w:rsid w:val="00D6251F"/>
    <w:rsid w:val="00D63A57"/>
    <w:rsid w:val="00D663A2"/>
    <w:rsid w:val="00D706A9"/>
    <w:rsid w:val="00D72935"/>
    <w:rsid w:val="00D730EE"/>
    <w:rsid w:val="00D7395E"/>
    <w:rsid w:val="00D74D6B"/>
    <w:rsid w:val="00D75074"/>
    <w:rsid w:val="00D766F4"/>
    <w:rsid w:val="00D7695D"/>
    <w:rsid w:val="00D76D68"/>
    <w:rsid w:val="00D83917"/>
    <w:rsid w:val="00D8470E"/>
    <w:rsid w:val="00D907A4"/>
    <w:rsid w:val="00D95677"/>
    <w:rsid w:val="00D964EB"/>
    <w:rsid w:val="00DA11EF"/>
    <w:rsid w:val="00DA162F"/>
    <w:rsid w:val="00DA2357"/>
    <w:rsid w:val="00DA457C"/>
    <w:rsid w:val="00DA6BCF"/>
    <w:rsid w:val="00DA788A"/>
    <w:rsid w:val="00DB0AE5"/>
    <w:rsid w:val="00DB13F4"/>
    <w:rsid w:val="00DB1C6F"/>
    <w:rsid w:val="00DB40CB"/>
    <w:rsid w:val="00DB5564"/>
    <w:rsid w:val="00DB7237"/>
    <w:rsid w:val="00DB7560"/>
    <w:rsid w:val="00DC1D71"/>
    <w:rsid w:val="00DC7A35"/>
    <w:rsid w:val="00DD0ADF"/>
    <w:rsid w:val="00DD189B"/>
    <w:rsid w:val="00DD30D8"/>
    <w:rsid w:val="00DD3156"/>
    <w:rsid w:val="00DD4714"/>
    <w:rsid w:val="00DD471E"/>
    <w:rsid w:val="00DD49D7"/>
    <w:rsid w:val="00DE0D26"/>
    <w:rsid w:val="00DE1317"/>
    <w:rsid w:val="00DE2734"/>
    <w:rsid w:val="00DE39B4"/>
    <w:rsid w:val="00DE48D3"/>
    <w:rsid w:val="00DE5563"/>
    <w:rsid w:val="00DE55B1"/>
    <w:rsid w:val="00DE5719"/>
    <w:rsid w:val="00DF016E"/>
    <w:rsid w:val="00DF153A"/>
    <w:rsid w:val="00DF15C1"/>
    <w:rsid w:val="00DF19DC"/>
    <w:rsid w:val="00DF2926"/>
    <w:rsid w:val="00DF4091"/>
    <w:rsid w:val="00DF67FF"/>
    <w:rsid w:val="00E005B0"/>
    <w:rsid w:val="00E022B8"/>
    <w:rsid w:val="00E02BDA"/>
    <w:rsid w:val="00E03EAF"/>
    <w:rsid w:val="00E04832"/>
    <w:rsid w:val="00E07EF1"/>
    <w:rsid w:val="00E1042C"/>
    <w:rsid w:val="00E10AEB"/>
    <w:rsid w:val="00E10E72"/>
    <w:rsid w:val="00E11AFC"/>
    <w:rsid w:val="00E128B6"/>
    <w:rsid w:val="00E1364E"/>
    <w:rsid w:val="00E13839"/>
    <w:rsid w:val="00E1560F"/>
    <w:rsid w:val="00E201AC"/>
    <w:rsid w:val="00E21D3B"/>
    <w:rsid w:val="00E23BB3"/>
    <w:rsid w:val="00E245CD"/>
    <w:rsid w:val="00E25BFF"/>
    <w:rsid w:val="00E2658E"/>
    <w:rsid w:val="00E26813"/>
    <w:rsid w:val="00E27B4B"/>
    <w:rsid w:val="00E27BFE"/>
    <w:rsid w:val="00E3014C"/>
    <w:rsid w:val="00E314E9"/>
    <w:rsid w:val="00E31DF8"/>
    <w:rsid w:val="00E31EBE"/>
    <w:rsid w:val="00E32044"/>
    <w:rsid w:val="00E35209"/>
    <w:rsid w:val="00E364E4"/>
    <w:rsid w:val="00E369AB"/>
    <w:rsid w:val="00E4058B"/>
    <w:rsid w:val="00E40694"/>
    <w:rsid w:val="00E40DE8"/>
    <w:rsid w:val="00E41899"/>
    <w:rsid w:val="00E44A78"/>
    <w:rsid w:val="00E45417"/>
    <w:rsid w:val="00E47936"/>
    <w:rsid w:val="00E47946"/>
    <w:rsid w:val="00E529B8"/>
    <w:rsid w:val="00E53529"/>
    <w:rsid w:val="00E54D3F"/>
    <w:rsid w:val="00E5547B"/>
    <w:rsid w:val="00E55734"/>
    <w:rsid w:val="00E56018"/>
    <w:rsid w:val="00E60000"/>
    <w:rsid w:val="00E61350"/>
    <w:rsid w:val="00E61608"/>
    <w:rsid w:val="00E620E2"/>
    <w:rsid w:val="00E64A28"/>
    <w:rsid w:val="00E725E5"/>
    <w:rsid w:val="00E74222"/>
    <w:rsid w:val="00E7512B"/>
    <w:rsid w:val="00E756DE"/>
    <w:rsid w:val="00E76932"/>
    <w:rsid w:val="00E80406"/>
    <w:rsid w:val="00E8112B"/>
    <w:rsid w:val="00E81AC9"/>
    <w:rsid w:val="00E81B31"/>
    <w:rsid w:val="00E82DF4"/>
    <w:rsid w:val="00E83CDA"/>
    <w:rsid w:val="00E85D62"/>
    <w:rsid w:val="00E86775"/>
    <w:rsid w:val="00E879AF"/>
    <w:rsid w:val="00E87EC3"/>
    <w:rsid w:val="00E913A6"/>
    <w:rsid w:val="00E93137"/>
    <w:rsid w:val="00E9313C"/>
    <w:rsid w:val="00E944E3"/>
    <w:rsid w:val="00E97584"/>
    <w:rsid w:val="00EA35DB"/>
    <w:rsid w:val="00EA363E"/>
    <w:rsid w:val="00EA46A5"/>
    <w:rsid w:val="00EA4A87"/>
    <w:rsid w:val="00EA4B23"/>
    <w:rsid w:val="00EA50C7"/>
    <w:rsid w:val="00EA600A"/>
    <w:rsid w:val="00EA6E5B"/>
    <w:rsid w:val="00EB01E4"/>
    <w:rsid w:val="00EB2C8C"/>
    <w:rsid w:val="00EB3CB2"/>
    <w:rsid w:val="00EB3F8D"/>
    <w:rsid w:val="00EB47DC"/>
    <w:rsid w:val="00EB4A30"/>
    <w:rsid w:val="00EB6EDB"/>
    <w:rsid w:val="00EB77D6"/>
    <w:rsid w:val="00ED16EC"/>
    <w:rsid w:val="00ED17F2"/>
    <w:rsid w:val="00ED1A4C"/>
    <w:rsid w:val="00ED1DE4"/>
    <w:rsid w:val="00ED5B7A"/>
    <w:rsid w:val="00EE09FA"/>
    <w:rsid w:val="00EE0EA7"/>
    <w:rsid w:val="00EE18C7"/>
    <w:rsid w:val="00EE305A"/>
    <w:rsid w:val="00EE3135"/>
    <w:rsid w:val="00EE3F8E"/>
    <w:rsid w:val="00EF1B2B"/>
    <w:rsid w:val="00EF53BD"/>
    <w:rsid w:val="00EF5AE2"/>
    <w:rsid w:val="00EF67BF"/>
    <w:rsid w:val="00EF6A6A"/>
    <w:rsid w:val="00EF6B15"/>
    <w:rsid w:val="00EF7B9E"/>
    <w:rsid w:val="00F02036"/>
    <w:rsid w:val="00F02ADF"/>
    <w:rsid w:val="00F02EBB"/>
    <w:rsid w:val="00F039C3"/>
    <w:rsid w:val="00F04C89"/>
    <w:rsid w:val="00F069EA"/>
    <w:rsid w:val="00F0702C"/>
    <w:rsid w:val="00F11BA8"/>
    <w:rsid w:val="00F12AB7"/>
    <w:rsid w:val="00F134B2"/>
    <w:rsid w:val="00F13AF4"/>
    <w:rsid w:val="00F15A2F"/>
    <w:rsid w:val="00F15BE2"/>
    <w:rsid w:val="00F17F97"/>
    <w:rsid w:val="00F2137A"/>
    <w:rsid w:val="00F22AA2"/>
    <w:rsid w:val="00F23390"/>
    <w:rsid w:val="00F24DB4"/>
    <w:rsid w:val="00F24DE8"/>
    <w:rsid w:val="00F24E86"/>
    <w:rsid w:val="00F256AB"/>
    <w:rsid w:val="00F25E57"/>
    <w:rsid w:val="00F262D7"/>
    <w:rsid w:val="00F27A0B"/>
    <w:rsid w:val="00F3135F"/>
    <w:rsid w:val="00F33FFD"/>
    <w:rsid w:val="00F35924"/>
    <w:rsid w:val="00F36885"/>
    <w:rsid w:val="00F37A49"/>
    <w:rsid w:val="00F4135F"/>
    <w:rsid w:val="00F418D7"/>
    <w:rsid w:val="00F41AA0"/>
    <w:rsid w:val="00F43846"/>
    <w:rsid w:val="00F4487F"/>
    <w:rsid w:val="00F44BC3"/>
    <w:rsid w:val="00F504E6"/>
    <w:rsid w:val="00F51A63"/>
    <w:rsid w:val="00F536DF"/>
    <w:rsid w:val="00F547B2"/>
    <w:rsid w:val="00F55B3C"/>
    <w:rsid w:val="00F60934"/>
    <w:rsid w:val="00F6171E"/>
    <w:rsid w:val="00F62DA8"/>
    <w:rsid w:val="00F62F62"/>
    <w:rsid w:val="00F635F6"/>
    <w:rsid w:val="00F668F2"/>
    <w:rsid w:val="00F67746"/>
    <w:rsid w:val="00F7259F"/>
    <w:rsid w:val="00F73186"/>
    <w:rsid w:val="00F756A7"/>
    <w:rsid w:val="00F76323"/>
    <w:rsid w:val="00F7713B"/>
    <w:rsid w:val="00F77279"/>
    <w:rsid w:val="00F80241"/>
    <w:rsid w:val="00F821A2"/>
    <w:rsid w:val="00F82D84"/>
    <w:rsid w:val="00F83096"/>
    <w:rsid w:val="00F856C3"/>
    <w:rsid w:val="00F85F12"/>
    <w:rsid w:val="00F870A3"/>
    <w:rsid w:val="00F910F0"/>
    <w:rsid w:val="00F92305"/>
    <w:rsid w:val="00F930E2"/>
    <w:rsid w:val="00F93E8B"/>
    <w:rsid w:val="00F975E3"/>
    <w:rsid w:val="00FA117A"/>
    <w:rsid w:val="00FA16A7"/>
    <w:rsid w:val="00FA17A8"/>
    <w:rsid w:val="00FA35B8"/>
    <w:rsid w:val="00FA4067"/>
    <w:rsid w:val="00FA4A1F"/>
    <w:rsid w:val="00FA716A"/>
    <w:rsid w:val="00FB1040"/>
    <w:rsid w:val="00FB57C8"/>
    <w:rsid w:val="00FB6D4D"/>
    <w:rsid w:val="00FB7190"/>
    <w:rsid w:val="00FB7C2A"/>
    <w:rsid w:val="00FC2104"/>
    <w:rsid w:val="00FC2F03"/>
    <w:rsid w:val="00FC3E03"/>
    <w:rsid w:val="00FC4AF9"/>
    <w:rsid w:val="00FC5342"/>
    <w:rsid w:val="00FC5CCC"/>
    <w:rsid w:val="00FC63FD"/>
    <w:rsid w:val="00FC6F65"/>
    <w:rsid w:val="00FC749E"/>
    <w:rsid w:val="00FD054B"/>
    <w:rsid w:val="00FD1670"/>
    <w:rsid w:val="00FD1CCB"/>
    <w:rsid w:val="00FD5101"/>
    <w:rsid w:val="00FD5463"/>
    <w:rsid w:val="00FD5A25"/>
    <w:rsid w:val="00FD61F1"/>
    <w:rsid w:val="00FD62FB"/>
    <w:rsid w:val="00FD646E"/>
    <w:rsid w:val="00FD7A1C"/>
    <w:rsid w:val="00FE0F76"/>
    <w:rsid w:val="00FE1127"/>
    <w:rsid w:val="00FE11EF"/>
    <w:rsid w:val="00FE1D8B"/>
    <w:rsid w:val="00FE38FE"/>
    <w:rsid w:val="00FE485F"/>
    <w:rsid w:val="00FF0C29"/>
    <w:rsid w:val="00FF21BF"/>
    <w:rsid w:val="00FF3BC4"/>
    <w:rsid w:val="00FF4E3F"/>
    <w:rsid w:val="00FF51B1"/>
    <w:rsid w:val="00FF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BBC3F"/>
  <w15:chartTrackingRefBased/>
  <w15:docId w15:val="{ECFA1E9F-114D-8443-9B6A-DC16245F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51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A2651C"/>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364E4"/>
  </w:style>
  <w:style w:type="character" w:styleId="Hyperlink">
    <w:name w:val="Hyperlink"/>
    <w:rsid w:val="00FB7190"/>
    <w:rPr>
      <w:color w:val="0000FF"/>
      <w:u w:val="single"/>
    </w:rPr>
  </w:style>
  <w:style w:type="character" w:styleId="PlaceholderText">
    <w:name w:val="Placeholder Text"/>
    <w:basedOn w:val="DefaultParagraphFont"/>
    <w:uiPriority w:val="99"/>
    <w:semiHidden/>
    <w:rsid w:val="00B23B1F"/>
    <w:rPr>
      <w:color w:val="808080"/>
    </w:rPr>
  </w:style>
  <w:style w:type="table" w:styleId="TableGrid">
    <w:name w:val="Table Grid"/>
    <w:basedOn w:val="TableNormal"/>
    <w:uiPriority w:val="39"/>
    <w:rsid w:val="0049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7AA0"/>
    <w:pPr>
      <w:spacing w:before="100" w:beforeAutospacing="1" w:after="100" w:afterAutospacing="1"/>
    </w:pPr>
  </w:style>
  <w:style w:type="paragraph" w:customStyle="1" w:styleId="EndNoteBibliographyTitle">
    <w:name w:val="EndNote Bibliography Title"/>
    <w:basedOn w:val="Normal"/>
    <w:link w:val="EndNoteBibliographyTitleChar"/>
    <w:rsid w:val="00DD0ADF"/>
    <w:pPr>
      <w:jc w:val="center"/>
    </w:pPr>
    <w:rPr>
      <w:rFonts w:ascii="Calibri" w:eastAsiaTheme="minorEastAsia" w:hAnsi="Calibri" w:cs="Calibri"/>
    </w:rPr>
  </w:style>
  <w:style w:type="character" w:customStyle="1" w:styleId="EndNoteBibliographyTitleChar">
    <w:name w:val="EndNote Bibliography Title Char"/>
    <w:basedOn w:val="DefaultParagraphFont"/>
    <w:link w:val="EndNoteBibliographyTitle"/>
    <w:rsid w:val="00DD0ADF"/>
    <w:rPr>
      <w:rFonts w:ascii="Calibri" w:hAnsi="Calibri" w:cs="Calibri"/>
    </w:rPr>
  </w:style>
  <w:style w:type="paragraph" w:customStyle="1" w:styleId="EndNoteBibliography">
    <w:name w:val="EndNote Bibliography"/>
    <w:basedOn w:val="Normal"/>
    <w:link w:val="EndNoteBibliographyChar"/>
    <w:rsid w:val="00DD0ADF"/>
    <w:rPr>
      <w:rFonts w:ascii="Calibri" w:eastAsiaTheme="minorEastAsia" w:hAnsi="Calibri" w:cs="Calibri"/>
    </w:rPr>
  </w:style>
  <w:style w:type="character" w:customStyle="1" w:styleId="EndNoteBibliographyChar">
    <w:name w:val="EndNote Bibliography Char"/>
    <w:basedOn w:val="DefaultParagraphFont"/>
    <w:link w:val="EndNoteBibliography"/>
    <w:rsid w:val="00DD0ADF"/>
    <w:rPr>
      <w:rFonts w:ascii="Calibri" w:hAnsi="Calibri" w:cs="Calibri"/>
    </w:rPr>
  </w:style>
  <w:style w:type="character" w:customStyle="1" w:styleId="UnresolvedMention">
    <w:name w:val="Unresolved Mention"/>
    <w:basedOn w:val="DefaultParagraphFont"/>
    <w:uiPriority w:val="99"/>
    <w:semiHidden/>
    <w:unhideWhenUsed/>
    <w:rsid w:val="00DD0ADF"/>
    <w:rPr>
      <w:color w:val="605E5C"/>
      <w:shd w:val="clear" w:color="auto" w:fill="E1DFDD"/>
    </w:rPr>
  </w:style>
  <w:style w:type="paragraph" w:styleId="Footer">
    <w:name w:val="footer"/>
    <w:basedOn w:val="Normal"/>
    <w:link w:val="FooterChar"/>
    <w:uiPriority w:val="99"/>
    <w:unhideWhenUsed/>
    <w:rsid w:val="00842CB1"/>
    <w:pPr>
      <w:tabs>
        <w:tab w:val="center" w:pos="4680"/>
        <w:tab w:val="right" w:pos="9360"/>
      </w:tabs>
    </w:pPr>
  </w:style>
  <w:style w:type="character" w:customStyle="1" w:styleId="FooterChar">
    <w:name w:val="Footer Char"/>
    <w:basedOn w:val="DefaultParagraphFont"/>
    <w:link w:val="Footer"/>
    <w:uiPriority w:val="99"/>
    <w:rsid w:val="00842CB1"/>
    <w:rPr>
      <w:rFonts w:ascii="Times New Roman" w:eastAsia="Times New Roman" w:hAnsi="Times New Roman" w:cs="Times New Roman"/>
    </w:rPr>
  </w:style>
  <w:style w:type="character" w:styleId="PageNumber">
    <w:name w:val="page number"/>
    <w:basedOn w:val="DefaultParagraphFont"/>
    <w:uiPriority w:val="99"/>
    <w:semiHidden/>
    <w:unhideWhenUsed/>
    <w:rsid w:val="00842CB1"/>
  </w:style>
  <w:style w:type="character" w:customStyle="1" w:styleId="DefaultChar">
    <w:name w:val="Default Char"/>
    <w:basedOn w:val="DefaultParagraphFont"/>
    <w:link w:val="Default"/>
    <w:rsid w:val="00EE09FA"/>
    <w:rPr>
      <w:rFonts w:ascii="Times New Roman" w:hAnsi="Times New Roman" w:cs="Times New Roman"/>
      <w:color w:val="000000"/>
    </w:rPr>
  </w:style>
  <w:style w:type="character" w:styleId="CommentReference">
    <w:name w:val="annotation reference"/>
    <w:basedOn w:val="DefaultParagraphFont"/>
    <w:uiPriority w:val="99"/>
    <w:semiHidden/>
    <w:unhideWhenUsed/>
    <w:rsid w:val="002E31F3"/>
    <w:rPr>
      <w:sz w:val="16"/>
      <w:szCs w:val="16"/>
    </w:rPr>
  </w:style>
  <w:style w:type="paragraph" w:styleId="CommentText">
    <w:name w:val="annotation text"/>
    <w:basedOn w:val="Normal"/>
    <w:link w:val="CommentTextChar"/>
    <w:uiPriority w:val="99"/>
    <w:semiHidden/>
    <w:unhideWhenUsed/>
    <w:rsid w:val="002E31F3"/>
    <w:rPr>
      <w:sz w:val="20"/>
      <w:szCs w:val="20"/>
    </w:rPr>
  </w:style>
  <w:style w:type="character" w:customStyle="1" w:styleId="CommentTextChar">
    <w:name w:val="Comment Text Char"/>
    <w:basedOn w:val="DefaultParagraphFont"/>
    <w:link w:val="CommentText"/>
    <w:uiPriority w:val="99"/>
    <w:semiHidden/>
    <w:rsid w:val="002E3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F3"/>
    <w:rPr>
      <w:b/>
      <w:bCs/>
    </w:rPr>
  </w:style>
  <w:style w:type="character" w:customStyle="1" w:styleId="CommentSubjectChar">
    <w:name w:val="Comment Subject Char"/>
    <w:basedOn w:val="CommentTextChar"/>
    <w:link w:val="CommentSubject"/>
    <w:uiPriority w:val="99"/>
    <w:semiHidden/>
    <w:rsid w:val="002E31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31F3"/>
    <w:rPr>
      <w:sz w:val="18"/>
      <w:szCs w:val="18"/>
    </w:rPr>
  </w:style>
  <w:style w:type="character" w:customStyle="1" w:styleId="BalloonTextChar">
    <w:name w:val="Balloon Text Char"/>
    <w:basedOn w:val="DefaultParagraphFont"/>
    <w:link w:val="BalloonText"/>
    <w:uiPriority w:val="99"/>
    <w:semiHidden/>
    <w:rsid w:val="002E31F3"/>
    <w:rPr>
      <w:rFonts w:ascii="Times New Roman" w:eastAsia="Times New Roman" w:hAnsi="Times New Roman" w:cs="Times New Roman"/>
      <w:sz w:val="18"/>
      <w:szCs w:val="18"/>
    </w:rPr>
  </w:style>
  <w:style w:type="paragraph" w:styleId="ListParagraph">
    <w:name w:val="List Paragraph"/>
    <w:basedOn w:val="Normal"/>
    <w:uiPriority w:val="34"/>
    <w:qFormat/>
    <w:rsid w:val="00BA0579"/>
    <w:pPr>
      <w:ind w:left="720"/>
      <w:contextualSpacing/>
    </w:pPr>
    <w:rPr>
      <w:rFonts w:asciiTheme="minorHAnsi" w:eastAsiaTheme="minorEastAsia" w:hAnsiTheme="minorHAnsi" w:cstheme="minorBidi"/>
    </w:rPr>
  </w:style>
  <w:style w:type="paragraph" w:styleId="Revision">
    <w:name w:val="Revision"/>
    <w:hidden/>
    <w:uiPriority w:val="99"/>
    <w:semiHidden/>
    <w:rsid w:val="00564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B6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7115">
      <w:bodyDiv w:val="1"/>
      <w:marLeft w:val="0"/>
      <w:marRight w:val="0"/>
      <w:marTop w:val="0"/>
      <w:marBottom w:val="0"/>
      <w:divBdr>
        <w:top w:val="none" w:sz="0" w:space="0" w:color="auto"/>
        <w:left w:val="none" w:sz="0" w:space="0" w:color="auto"/>
        <w:bottom w:val="none" w:sz="0" w:space="0" w:color="auto"/>
        <w:right w:val="none" w:sz="0" w:space="0" w:color="auto"/>
      </w:divBdr>
    </w:div>
    <w:div w:id="122503950">
      <w:bodyDiv w:val="1"/>
      <w:marLeft w:val="0"/>
      <w:marRight w:val="0"/>
      <w:marTop w:val="0"/>
      <w:marBottom w:val="0"/>
      <w:divBdr>
        <w:top w:val="none" w:sz="0" w:space="0" w:color="auto"/>
        <w:left w:val="none" w:sz="0" w:space="0" w:color="auto"/>
        <w:bottom w:val="none" w:sz="0" w:space="0" w:color="auto"/>
        <w:right w:val="none" w:sz="0" w:space="0" w:color="auto"/>
      </w:divBdr>
    </w:div>
    <w:div w:id="148598216">
      <w:bodyDiv w:val="1"/>
      <w:marLeft w:val="0"/>
      <w:marRight w:val="0"/>
      <w:marTop w:val="0"/>
      <w:marBottom w:val="0"/>
      <w:divBdr>
        <w:top w:val="none" w:sz="0" w:space="0" w:color="auto"/>
        <w:left w:val="none" w:sz="0" w:space="0" w:color="auto"/>
        <w:bottom w:val="none" w:sz="0" w:space="0" w:color="auto"/>
        <w:right w:val="none" w:sz="0" w:space="0" w:color="auto"/>
      </w:divBdr>
    </w:div>
    <w:div w:id="224606866">
      <w:bodyDiv w:val="1"/>
      <w:marLeft w:val="0"/>
      <w:marRight w:val="0"/>
      <w:marTop w:val="0"/>
      <w:marBottom w:val="0"/>
      <w:divBdr>
        <w:top w:val="none" w:sz="0" w:space="0" w:color="auto"/>
        <w:left w:val="none" w:sz="0" w:space="0" w:color="auto"/>
        <w:bottom w:val="none" w:sz="0" w:space="0" w:color="auto"/>
        <w:right w:val="none" w:sz="0" w:space="0" w:color="auto"/>
      </w:divBdr>
    </w:div>
    <w:div w:id="316999076">
      <w:bodyDiv w:val="1"/>
      <w:marLeft w:val="0"/>
      <w:marRight w:val="0"/>
      <w:marTop w:val="0"/>
      <w:marBottom w:val="0"/>
      <w:divBdr>
        <w:top w:val="none" w:sz="0" w:space="0" w:color="auto"/>
        <w:left w:val="none" w:sz="0" w:space="0" w:color="auto"/>
        <w:bottom w:val="none" w:sz="0" w:space="0" w:color="auto"/>
        <w:right w:val="none" w:sz="0" w:space="0" w:color="auto"/>
      </w:divBdr>
    </w:div>
    <w:div w:id="422384139">
      <w:bodyDiv w:val="1"/>
      <w:marLeft w:val="0"/>
      <w:marRight w:val="0"/>
      <w:marTop w:val="0"/>
      <w:marBottom w:val="0"/>
      <w:divBdr>
        <w:top w:val="none" w:sz="0" w:space="0" w:color="auto"/>
        <w:left w:val="none" w:sz="0" w:space="0" w:color="auto"/>
        <w:bottom w:val="none" w:sz="0" w:space="0" w:color="auto"/>
        <w:right w:val="none" w:sz="0" w:space="0" w:color="auto"/>
      </w:divBdr>
    </w:div>
    <w:div w:id="439884650">
      <w:bodyDiv w:val="1"/>
      <w:marLeft w:val="0"/>
      <w:marRight w:val="0"/>
      <w:marTop w:val="0"/>
      <w:marBottom w:val="0"/>
      <w:divBdr>
        <w:top w:val="none" w:sz="0" w:space="0" w:color="auto"/>
        <w:left w:val="none" w:sz="0" w:space="0" w:color="auto"/>
        <w:bottom w:val="none" w:sz="0" w:space="0" w:color="auto"/>
        <w:right w:val="none" w:sz="0" w:space="0" w:color="auto"/>
      </w:divBdr>
      <w:divsChild>
        <w:div w:id="2108303419">
          <w:marLeft w:val="0"/>
          <w:marRight w:val="0"/>
          <w:marTop w:val="0"/>
          <w:marBottom w:val="0"/>
          <w:divBdr>
            <w:top w:val="none" w:sz="0" w:space="0" w:color="auto"/>
            <w:left w:val="none" w:sz="0" w:space="0" w:color="auto"/>
            <w:bottom w:val="none" w:sz="0" w:space="0" w:color="auto"/>
            <w:right w:val="none" w:sz="0" w:space="0" w:color="auto"/>
          </w:divBdr>
        </w:div>
        <w:div w:id="80181250">
          <w:marLeft w:val="0"/>
          <w:marRight w:val="0"/>
          <w:marTop w:val="0"/>
          <w:marBottom w:val="0"/>
          <w:divBdr>
            <w:top w:val="none" w:sz="0" w:space="0" w:color="auto"/>
            <w:left w:val="none" w:sz="0" w:space="0" w:color="auto"/>
            <w:bottom w:val="none" w:sz="0" w:space="0" w:color="auto"/>
            <w:right w:val="none" w:sz="0" w:space="0" w:color="auto"/>
          </w:divBdr>
        </w:div>
        <w:div w:id="540363557">
          <w:marLeft w:val="0"/>
          <w:marRight w:val="0"/>
          <w:marTop w:val="0"/>
          <w:marBottom w:val="0"/>
          <w:divBdr>
            <w:top w:val="none" w:sz="0" w:space="0" w:color="auto"/>
            <w:left w:val="none" w:sz="0" w:space="0" w:color="auto"/>
            <w:bottom w:val="none" w:sz="0" w:space="0" w:color="auto"/>
            <w:right w:val="none" w:sz="0" w:space="0" w:color="auto"/>
          </w:divBdr>
        </w:div>
        <w:div w:id="1710762560">
          <w:marLeft w:val="0"/>
          <w:marRight w:val="0"/>
          <w:marTop w:val="0"/>
          <w:marBottom w:val="0"/>
          <w:divBdr>
            <w:top w:val="none" w:sz="0" w:space="0" w:color="auto"/>
            <w:left w:val="none" w:sz="0" w:space="0" w:color="auto"/>
            <w:bottom w:val="none" w:sz="0" w:space="0" w:color="auto"/>
            <w:right w:val="none" w:sz="0" w:space="0" w:color="auto"/>
          </w:divBdr>
        </w:div>
        <w:div w:id="1836721989">
          <w:marLeft w:val="0"/>
          <w:marRight w:val="0"/>
          <w:marTop w:val="0"/>
          <w:marBottom w:val="0"/>
          <w:divBdr>
            <w:top w:val="none" w:sz="0" w:space="0" w:color="auto"/>
            <w:left w:val="none" w:sz="0" w:space="0" w:color="auto"/>
            <w:bottom w:val="none" w:sz="0" w:space="0" w:color="auto"/>
            <w:right w:val="none" w:sz="0" w:space="0" w:color="auto"/>
          </w:divBdr>
        </w:div>
        <w:div w:id="405884788">
          <w:marLeft w:val="0"/>
          <w:marRight w:val="0"/>
          <w:marTop w:val="0"/>
          <w:marBottom w:val="0"/>
          <w:divBdr>
            <w:top w:val="none" w:sz="0" w:space="0" w:color="auto"/>
            <w:left w:val="none" w:sz="0" w:space="0" w:color="auto"/>
            <w:bottom w:val="none" w:sz="0" w:space="0" w:color="auto"/>
            <w:right w:val="none" w:sz="0" w:space="0" w:color="auto"/>
          </w:divBdr>
        </w:div>
        <w:div w:id="773868750">
          <w:marLeft w:val="0"/>
          <w:marRight w:val="0"/>
          <w:marTop w:val="0"/>
          <w:marBottom w:val="0"/>
          <w:divBdr>
            <w:top w:val="none" w:sz="0" w:space="0" w:color="auto"/>
            <w:left w:val="none" w:sz="0" w:space="0" w:color="auto"/>
            <w:bottom w:val="none" w:sz="0" w:space="0" w:color="auto"/>
            <w:right w:val="none" w:sz="0" w:space="0" w:color="auto"/>
          </w:divBdr>
        </w:div>
        <w:div w:id="205684430">
          <w:marLeft w:val="0"/>
          <w:marRight w:val="0"/>
          <w:marTop w:val="0"/>
          <w:marBottom w:val="0"/>
          <w:divBdr>
            <w:top w:val="none" w:sz="0" w:space="0" w:color="auto"/>
            <w:left w:val="none" w:sz="0" w:space="0" w:color="auto"/>
            <w:bottom w:val="none" w:sz="0" w:space="0" w:color="auto"/>
            <w:right w:val="none" w:sz="0" w:space="0" w:color="auto"/>
          </w:divBdr>
        </w:div>
        <w:div w:id="1446147981">
          <w:marLeft w:val="0"/>
          <w:marRight w:val="0"/>
          <w:marTop w:val="0"/>
          <w:marBottom w:val="0"/>
          <w:divBdr>
            <w:top w:val="none" w:sz="0" w:space="0" w:color="auto"/>
            <w:left w:val="none" w:sz="0" w:space="0" w:color="auto"/>
            <w:bottom w:val="none" w:sz="0" w:space="0" w:color="auto"/>
            <w:right w:val="none" w:sz="0" w:space="0" w:color="auto"/>
          </w:divBdr>
        </w:div>
        <w:div w:id="335618912">
          <w:marLeft w:val="0"/>
          <w:marRight w:val="0"/>
          <w:marTop w:val="0"/>
          <w:marBottom w:val="0"/>
          <w:divBdr>
            <w:top w:val="none" w:sz="0" w:space="0" w:color="auto"/>
            <w:left w:val="none" w:sz="0" w:space="0" w:color="auto"/>
            <w:bottom w:val="none" w:sz="0" w:space="0" w:color="auto"/>
            <w:right w:val="none" w:sz="0" w:space="0" w:color="auto"/>
          </w:divBdr>
        </w:div>
        <w:div w:id="530345033">
          <w:marLeft w:val="0"/>
          <w:marRight w:val="0"/>
          <w:marTop w:val="0"/>
          <w:marBottom w:val="0"/>
          <w:divBdr>
            <w:top w:val="none" w:sz="0" w:space="0" w:color="auto"/>
            <w:left w:val="none" w:sz="0" w:space="0" w:color="auto"/>
            <w:bottom w:val="none" w:sz="0" w:space="0" w:color="auto"/>
            <w:right w:val="none" w:sz="0" w:space="0" w:color="auto"/>
          </w:divBdr>
        </w:div>
        <w:div w:id="1164903931">
          <w:marLeft w:val="0"/>
          <w:marRight w:val="0"/>
          <w:marTop w:val="0"/>
          <w:marBottom w:val="0"/>
          <w:divBdr>
            <w:top w:val="none" w:sz="0" w:space="0" w:color="auto"/>
            <w:left w:val="none" w:sz="0" w:space="0" w:color="auto"/>
            <w:bottom w:val="none" w:sz="0" w:space="0" w:color="auto"/>
            <w:right w:val="none" w:sz="0" w:space="0" w:color="auto"/>
          </w:divBdr>
        </w:div>
        <w:div w:id="2048524918">
          <w:marLeft w:val="0"/>
          <w:marRight w:val="0"/>
          <w:marTop w:val="0"/>
          <w:marBottom w:val="0"/>
          <w:divBdr>
            <w:top w:val="none" w:sz="0" w:space="0" w:color="auto"/>
            <w:left w:val="none" w:sz="0" w:space="0" w:color="auto"/>
            <w:bottom w:val="none" w:sz="0" w:space="0" w:color="auto"/>
            <w:right w:val="none" w:sz="0" w:space="0" w:color="auto"/>
          </w:divBdr>
        </w:div>
        <w:div w:id="1624843293">
          <w:marLeft w:val="0"/>
          <w:marRight w:val="0"/>
          <w:marTop w:val="0"/>
          <w:marBottom w:val="0"/>
          <w:divBdr>
            <w:top w:val="none" w:sz="0" w:space="0" w:color="auto"/>
            <w:left w:val="none" w:sz="0" w:space="0" w:color="auto"/>
            <w:bottom w:val="none" w:sz="0" w:space="0" w:color="auto"/>
            <w:right w:val="none" w:sz="0" w:space="0" w:color="auto"/>
          </w:divBdr>
        </w:div>
        <w:div w:id="2093702618">
          <w:marLeft w:val="0"/>
          <w:marRight w:val="0"/>
          <w:marTop w:val="0"/>
          <w:marBottom w:val="0"/>
          <w:divBdr>
            <w:top w:val="none" w:sz="0" w:space="0" w:color="auto"/>
            <w:left w:val="none" w:sz="0" w:space="0" w:color="auto"/>
            <w:bottom w:val="none" w:sz="0" w:space="0" w:color="auto"/>
            <w:right w:val="none" w:sz="0" w:space="0" w:color="auto"/>
          </w:divBdr>
        </w:div>
      </w:divsChild>
    </w:div>
    <w:div w:id="460418290">
      <w:bodyDiv w:val="1"/>
      <w:marLeft w:val="0"/>
      <w:marRight w:val="0"/>
      <w:marTop w:val="0"/>
      <w:marBottom w:val="0"/>
      <w:divBdr>
        <w:top w:val="none" w:sz="0" w:space="0" w:color="auto"/>
        <w:left w:val="none" w:sz="0" w:space="0" w:color="auto"/>
        <w:bottom w:val="none" w:sz="0" w:space="0" w:color="auto"/>
        <w:right w:val="none" w:sz="0" w:space="0" w:color="auto"/>
      </w:divBdr>
    </w:div>
    <w:div w:id="471141288">
      <w:bodyDiv w:val="1"/>
      <w:marLeft w:val="0"/>
      <w:marRight w:val="0"/>
      <w:marTop w:val="0"/>
      <w:marBottom w:val="0"/>
      <w:divBdr>
        <w:top w:val="none" w:sz="0" w:space="0" w:color="auto"/>
        <w:left w:val="none" w:sz="0" w:space="0" w:color="auto"/>
        <w:bottom w:val="none" w:sz="0" w:space="0" w:color="auto"/>
        <w:right w:val="none" w:sz="0" w:space="0" w:color="auto"/>
      </w:divBdr>
    </w:div>
    <w:div w:id="513498000">
      <w:bodyDiv w:val="1"/>
      <w:marLeft w:val="0"/>
      <w:marRight w:val="0"/>
      <w:marTop w:val="0"/>
      <w:marBottom w:val="0"/>
      <w:divBdr>
        <w:top w:val="none" w:sz="0" w:space="0" w:color="auto"/>
        <w:left w:val="none" w:sz="0" w:space="0" w:color="auto"/>
        <w:bottom w:val="none" w:sz="0" w:space="0" w:color="auto"/>
        <w:right w:val="none" w:sz="0" w:space="0" w:color="auto"/>
      </w:divBdr>
    </w:div>
    <w:div w:id="572858351">
      <w:bodyDiv w:val="1"/>
      <w:marLeft w:val="0"/>
      <w:marRight w:val="0"/>
      <w:marTop w:val="0"/>
      <w:marBottom w:val="0"/>
      <w:divBdr>
        <w:top w:val="none" w:sz="0" w:space="0" w:color="auto"/>
        <w:left w:val="none" w:sz="0" w:space="0" w:color="auto"/>
        <w:bottom w:val="none" w:sz="0" w:space="0" w:color="auto"/>
        <w:right w:val="none" w:sz="0" w:space="0" w:color="auto"/>
      </w:divBdr>
    </w:div>
    <w:div w:id="584848045">
      <w:bodyDiv w:val="1"/>
      <w:marLeft w:val="0"/>
      <w:marRight w:val="0"/>
      <w:marTop w:val="0"/>
      <w:marBottom w:val="0"/>
      <w:divBdr>
        <w:top w:val="none" w:sz="0" w:space="0" w:color="auto"/>
        <w:left w:val="none" w:sz="0" w:space="0" w:color="auto"/>
        <w:bottom w:val="none" w:sz="0" w:space="0" w:color="auto"/>
        <w:right w:val="none" w:sz="0" w:space="0" w:color="auto"/>
      </w:divBdr>
    </w:div>
    <w:div w:id="597829568">
      <w:bodyDiv w:val="1"/>
      <w:marLeft w:val="0"/>
      <w:marRight w:val="0"/>
      <w:marTop w:val="0"/>
      <w:marBottom w:val="0"/>
      <w:divBdr>
        <w:top w:val="none" w:sz="0" w:space="0" w:color="auto"/>
        <w:left w:val="none" w:sz="0" w:space="0" w:color="auto"/>
        <w:bottom w:val="none" w:sz="0" w:space="0" w:color="auto"/>
        <w:right w:val="none" w:sz="0" w:space="0" w:color="auto"/>
      </w:divBdr>
    </w:div>
    <w:div w:id="616643812">
      <w:bodyDiv w:val="1"/>
      <w:marLeft w:val="0"/>
      <w:marRight w:val="0"/>
      <w:marTop w:val="0"/>
      <w:marBottom w:val="0"/>
      <w:divBdr>
        <w:top w:val="none" w:sz="0" w:space="0" w:color="auto"/>
        <w:left w:val="none" w:sz="0" w:space="0" w:color="auto"/>
        <w:bottom w:val="none" w:sz="0" w:space="0" w:color="auto"/>
        <w:right w:val="none" w:sz="0" w:space="0" w:color="auto"/>
      </w:divBdr>
    </w:div>
    <w:div w:id="669451742">
      <w:bodyDiv w:val="1"/>
      <w:marLeft w:val="0"/>
      <w:marRight w:val="0"/>
      <w:marTop w:val="0"/>
      <w:marBottom w:val="0"/>
      <w:divBdr>
        <w:top w:val="none" w:sz="0" w:space="0" w:color="auto"/>
        <w:left w:val="none" w:sz="0" w:space="0" w:color="auto"/>
        <w:bottom w:val="none" w:sz="0" w:space="0" w:color="auto"/>
        <w:right w:val="none" w:sz="0" w:space="0" w:color="auto"/>
      </w:divBdr>
    </w:div>
    <w:div w:id="738790049">
      <w:bodyDiv w:val="1"/>
      <w:marLeft w:val="0"/>
      <w:marRight w:val="0"/>
      <w:marTop w:val="0"/>
      <w:marBottom w:val="0"/>
      <w:divBdr>
        <w:top w:val="none" w:sz="0" w:space="0" w:color="auto"/>
        <w:left w:val="none" w:sz="0" w:space="0" w:color="auto"/>
        <w:bottom w:val="none" w:sz="0" w:space="0" w:color="auto"/>
        <w:right w:val="none" w:sz="0" w:space="0" w:color="auto"/>
      </w:divBdr>
    </w:div>
    <w:div w:id="802039740">
      <w:bodyDiv w:val="1"/>
      <w:marLeft w:val="0"/>
      <w:marRight w:val="0"/>
      <w:marTop w:val="0"/>
      <w:marBottom w:val="0"/>
      <w:divBdr>
        <w:top w:val="none" w:sz="0" w:space="0" w:color="auto"/>
        <w:left w:val="none" w:sz="0" w:space="0" w:color="auto"/>
        <w:bottom w:val="none" w:sz="0" w:space="0" w:color="auto"/>
        <w:right w:val="none" w:sz="0" w:space="0" w:color="auto"/>
      </w:divBdr>
    </w:div>
    <w:div w:id="873923146">
      <w:bodyDiv w:val="1"/>
      <w:marLeft w:val="0"/>
      <w:marRight w:val="0"/>
      <w:marTop w:val="0"/>
      <w:marBottom w:val="0"/>
      <w:divBdr>
        <w:top w:val="none" w:sz="0" w:space="0" w:color="auto"/>
        <w:left w:val="none" w:sz="0" w:space="0" w:color="auto"/>
        <w:bottom w:val="none" w:sz="0" w:space="0" w:color="auto"/>
        <w:right w:val="none" w:sz="0" w:space="0" w:color="auto"/>
      </w:divBdr>
    </w:div>
    <w:div w:id="883518606">
      <w:bodyDiv w:val="1"/>
      <w:marLeft w:val="0"/>
      <w:marRight w:val="0"/>
      <w:marTop w:val="0"/>
      <w:marBottom w:val="0"/>
      <w:divBdr>
        <w:top w:val="none" w:sz="0" w:space="0" w:color="auto"/>
        <w:left w:val="none" w:sz="0" w:space="0" w:color="auto"/>
        <w:bottom w:val="none" w:sz="0" w:space="0" w:color="auto"/>
        <w:right w:val="none" w:sz="0" w:space="0" w:color="auto"/>
      </w:divBdr>
    </w:div>
    <w:div w:id="953559409">
      <w:bodyDiv w:val="1"/>
      <w:marLeft w:val="0"/>
      <w:marRight w:val="0"/>
      <w:marTop w:val="0"/>
      <w:marBottom w:val="0"/>
      <w:divBdr>
        <w:top w:val="none" w:sz="0" w:space="0" w:color="auto"/>
        <w:left w:val="none" w:sz="0" w:space="0" w:color="auto"/>
        <w:bottom w:val="none" w:sz="0" w:space="0" w:color="auto"/>
        <w:right w:val="none" w:sz="0" w:space="0" w:color="auto"/>
      </w:divBdr>
    </w:div>
    <w:div w:id="972520441">
      <w:bodyDiv w:val="1"/>
      <w:marLeft w:val="0"/>
      <w:marRight w:val="0"/>
      <w:marTop w:val="0"/>
      <w:marBottom w:val="0"/>
      <w:divBdr>
        <w:top w:val="none" w:sz="0" w:space="0" w:color="auto"/>
        <w:left w:val="none" w:sz="0" w:space="0" w:color="auto"/>
        <w:bottom w:val="none" w:sz="0" w:space="0" w:color="auto"/>
        <w:right w:val="none" w:sz="0" w:space="0" w:color="auto"/>
      </w:divBdr>
      <w:divsChild>
        <w:div w:id="1043136541">
          <w:marLeft w:val="1080"/>
          <w:marRight w:val="0"/>
          <w:marTop w:val="120"/>
          <w:marBottom w:val="0"/>
          <w:divBdr>
            <w:top w:val="none" w:sz="0" w:space="0" w:color="auto"/>
            <w:left w:val="none" w:sz="0" w:space="0" w:color="auto"/>
            <w:bottom w:val="none" w:sz="0" w:space="0" w:color="auto"/>
            <w:right w:val="none" w:sz="0" w:space="0" w:color="auto"/>
          </w:divBdr>
        </w:div>
        <w:div w:id="1527668579">
          <w:marLeft w:val="1080"/>
          <w:marRight w:val="0"/>
          <w:marTop w:val="120"/>
          <w:marBottom w:val="0"/>
          <w:divBdr>
            <w:top w:val="none" w:sz="0" w:space="0" w:color="auto"/>
            <w:left w:val="none" w:sz="0" w:space="0" w:color="auto"/>
            <w:bottom w:val="none" w:sz="0" w:space="0" w:color="auto"/>
            <w:right w:val="none" w:sz="0" w:space="0" w:color="auto"/>
          </w:divBdr>
        </w:div>
        <w:div w:id="1371371233">
          <w:marLeft w:val="1080"/>
          <w:marRight w:val="0"/>
          <w:marTop w:val="120"/>
          <w:marBottom w:val="0"/>
          <w:divBdr>
            <w:top w:val="none" w:sz="0" w:space="0" w:color="auto"/>
            <w:left w:val="none" w:sz="0" w:space="0" w:color="auto"/>
            <w:bottom w:val="none" w:sz="0" w:space="0" w:color="auto"/>
            <w:right w:val="none" w:sz="0" w:space="0" w:color="auto"/>
          </w:divBdr>
        </w:div>
      </w:divsChild>
    </w:div>
    <w:div w:id="1023436327">
      <w:bodyDiv w:val="1"/>
      <w:marLeft w:val="0"/>
      <w:marRight w:val="0"/>
      <w:marTop w:val="0"/>
      <w:marBottom w:val="0"/>
      <w:divBdr>
        <w:top w:val="none" w:sz="0" w:space="0" w:color="auto"/>
        <w:left w:val="none" w:sz="0" w:space="0" w:color="auto"/>
        <w:bottom w:val="none" w:sz="0" w:space="0" w:color="auto"/>
        <w:right w:val="none" w:sz="0" w:space="0" w:color="auto"/>
      </w:divBdr>
    </w:div>
    <w:div w:id="1048454556">
      <w:bodyDiv w:val="1"/>
      <w:marLeft w:val="0"/>
      <w:marRight w:val="0"/>
      <w:marTop w:val="0"/>
      <w:marBottom w:val="0"/>
      <w:divBdr>
        <w:top w:val="none" w:sz="0" w:space="0" w:color="auto"/>
        <w:left w:val="none" w:sz="0" w:space="0" w:color="auto"/>
        <w:bottom w:val="none" w:sz="0" w:space="0" w:color="auto"/>
        <w:right w:val="none" w:sz="0" w:space="0" w:color="auto"/>
      </w:divBdr>
    </w:div>
    <w:div w:id="1061252743">
      <w:bodyDiv w:val="1"/>
      <w:marLeft w:val="0"/>
      <w:marRight w:val="0"/>
      <w:marTop w:val="0"/>
      <w:marBottom w:val="0"/>
      <w:divBdr>
        <w:top w:val="none" w:sz="0" w:space="0" w:color="auto"/>
        <w:left w:val="none" w:sz="0" w:space="0" w:color="auto"/>
        <w:bottom w:val="none" w:sz="0" w:space="0" w:color="auto"/>
        <w:right w:val="none" w:sz="0" w:space="0" w:color="auto"/>
      </w:divBdr>
    </w:div>
    <w:div w:id="1093862812">
      <w:bodyDiv w:val="1"/>
      <w:marLeft w:val="0"/>
      <w:marRight w:val="0"/>
      <w:marTop w:val="0"/>
      <w:marBottom w:val="0"/>
      <w:divBdr>
        <w:top w:val="none" w:sz="0" w:space="0" w:color="auto"/>
        <w:left w:val="none" w:sz="0" w:space="0" w:color="auto"/>
        <w:bottom w:val="none" w:sz="0" w:space="0" w:color="auto"/>
        <w:right w:val="none" w:sz="0" w:space="0" w:color="auto"/>
      </w:divBdr>
    </w:div>
    <w:div w:id="1131098435">
      <w:bodyDiv w:val="1"/>
      <w:marLeft w:val="0"/>
      <w:marRight w:val="0"/>
      <w:marTop w:val="0"/>
      <w:marBottom w:val="0"/>
      <w:divBdr>
        <w:top w:val="none" w:sz="0" w:space="0" w:color="auto"/>
        <w:left w:val="none" w:sz="0" w:space="0" w:color="auto"/>
        <w:bottom w:val="none" w:sz="0" w:space="0" w:color="auto"/>
        <w:right w:val="none" w:sz="0" w:space="0" w:color="auto"/>
      </w:divBdr>
    </w:div>
    <w:div w:id="1133913862">
      <w:bodyDiv w:val="1"/>
      <w:marLeft w:val="0"/>
      <w:marRight w:val="0"/>
      <w:marTop w:val="0"/>
      <w:marBottom w:val="0"/>
      <w:divBdr>
        <w:top w:val="none" w:sz="0" w:space="0" w:color="auto"/>
        <w:left w:val="none" w:sz="0" w:space="0" w:color="auto"/>
        <w:bottom w:val="none" w:sz="0" w:space="0" w:color="auto"/>
        <w:right w:val="none" w:sz="0" w:space="0" w:color="auto"/>
      </w:divBdr>
    </w:div>
    <w:div w:id="1154101603">
      <w:bodyDiv w:val="1"/>
      <w:marLeft w:val="0"/>
      <w:marRight w:val="0"/>
      <w:marTop w:val="0"/>
      <w:marBottom w:val="0"/>
      <w:divBdr>
        <w:top w:val="none" w:sz="0" w:space="0" w:color="auto"/>
        <w:left w:val="none" w:sz="0" w:space="0" w:color="auto"/>
        <w:bottom w:val="none" w:sz="0" w:space="0" w:color="auto"/>
        <w:right w:val="none" w:sz="0" w:space="0" w:color="auto"/>
      </w:divBdr>
    </w:div>
    <w:div w:id="1216238572">
      <w:bodyDiv w:val="1"/>
      <w:marLeft w:val="0"/>
      <w:marRight w:val="0"/>
      <w:marTop w:val="0"/>
      <w:marBottom w:val="0"/>
      <w:divBdr>
        <w:top w:val="none" w:sz="0" w:space="0" w:color="auto"/>
        <w:left w:val="none" w:sz="0" w:space="0" w:color="auto"/>
        <w:bottom w:val="none" w:sz="0" w:space="0" w:color="auto"/>
        <w:right w:val="none" w:sz="0" w:space="0" w:color="auto"/>
      </w:divBdr>
      <w:divsChild>
        <w:div w:id="1191260821">
          <w:marLeft w:val="0"/>
          <w:marRight w:val="0"/>
          <w:marTop w:val="0"/>
          <w:marBottom w:val="0"/>
          <w:divBdr>
            <w:top w:val="none" w:sz="0" w:space="0" w:color="auto"/>
            <w:left w:val="none" w:sz="0" w:space="0" w:color="auto"/>
            <w:bottom w:val="none" w:sz="0" w:space="0" w:color="auto"/>
            <w:right w:val="none" w:sz="0" w:space="0" w:color="auto"/>
          </w:divBdr>
        </w:div>
        <w:div w:id="612246811">
          <w:marLeft w:val="0"/>
          <w:marRight w:val="0"/>
          <w:marTop w:val="0"/>
          <w:marBottom w:val="0"/>
          <w:divBdr>
            <w:top w:val="none" w:sz="0" w:space="0" w:color="auto"/>
            <w:left w:val="none" w:sz="0" w:space="0" w:color="auto"/>
            <w:bottom w:val="none" w:sz="0" w:space="0" w:color="auto"/>
            <w:right w:val="none" w:sz="0" w:space="0" w:color="auto"/>
          </w:divBdr>
        </w:div>
        <w:div w:id="57939369">
          <w:marLeft w:val="0"/>
          <w:marRight w:val="0"/>
          <w:marTop w:val="0"/>
          <w:marBottom w:val="0"/>
          <w:divBdr>
            <w:top w:val="none" w:sz="0" w:space="0" w:color="auto"/>
            <w:left w:val="none" w:sz="0" w:space="0" w:color="auto"/>
            <w:bottom w:val="none" w:sz="0" w:space="0" w:color="auto"/>
            <w:right w:val="none" w:sz="0" w:space="0" w:color="auto"/>
          </w:divBdr>
        </w:div>
        <w:div w:id="353270765">
          <w:marLeft w:val="0"/>
          <w:marRight w:val="0"/>
          <w:marTop w:val="0"/>
          <w:marBottom w:val="0"/>
          <w:divBdr>
            <w:top w:val="none" w:sz="0" w:space="0" w:color="auto"/>
            <w:left w:val="none" w:sz="0" w:space="0" w:color="auto"/>
            <w:bottom w:val="none" w:sz="0" w:space="0" w:color="auto"/>
            <w:right w:val="none" w:sz="0" w:space="0" w:color="auto"/>
          </w:divBdr>
        </w:div>
        <w:div w:id="1368019227">
          <w:marLeft w:val="0"/>
          <w:marRight w:val="0"/>
          <w:marTop w:val="0"/>
          <w:marBottom w:val="0"/>
          <w:divBdr>
            <w:top w:val="none" w:sz="0" w:space="0" w:color="auto"/>
            <w:left w:val="none" w:sz="0" w:space="0" w:color="auto"/>
            <w:bottom w:val="none" w:sz="0" w:space="0" w:color="auto"/>
            <w:right w:val="none" w:sz="0" w:space="0" w:color="auto"/>
          </w:divBdr>
        </w:div>
        <w:div w:id="164591778">
          <w:marLeft w:val="0"/>
          <w:marRight w:val="0"/>
          <w:marTop w:val="0"/>
          <w:marBottom w:val="0"/>
          <w:divBdr>
            <w:top w:val="none" w:sz="0" w:space="0" w:color="auto"/>
            <w:left w:val="none" w:sz="0" w:space="0" w:color="auto"/>
            <w:bottom w:val="none" w:sz="0" w:space="0" w:color="auto"/>
            <w:right w:val="none" w:sz="0" w:space="0" w:color="auto"/>
          </w:divBdr>
        </w:div>
        <w:div w:id="124081875">
          <w:marLeft w:val="0"/>
          <w:marRight w:val="0"/>
          <w:marTop w:val="0"/>
          <w:marBottom w:val="0"/>
          <w:divBdr>
            <w:top w:val="none" w:sz="0" w:space="0" w:color="auto"/>
            <w:left w:val="none" w:sz="0" w:space="0" w:color="auto"/>
            <w:bottom w:val="none" w:sz="0" w:space="0" w:color="auto"/>
            <w:right w:val="none" w:sz="0" w:space="0" w:color="auto"/>
          </w:divBdr>
        </w:div>
        <w:div w:id="1857960973">
          <w:marLeft w:val="0"/>
          <w:marRight w:val="0"/>
          <w:marTop w:val="0"/>
          <w:marBottom w:val="0"/>
          <w:divBdr>
            <w:top w:val="none" w:sz="0" w:space="0" w:color="auto"/>
            <w:left w:val="none" w:sz="0" w:space="0" w:color="auto"/>
            <w:bottom w:val="none" w:sz="0" w:space="0" w:color="auto"/>
            <w:right w:val="none" w:sz="0" w:space="0" w:color="auto"/>
          </w:divBdr>
        </w:div>
        <w:div w:id="1456295779">
          <w:marLeft w:val="0"/>
          <w:marRight w:val="0"/>
          <w:marTop w:val="0"/>
          <w:marBottom w:val="0"/>
          <w:divBdr>
            <w:top w:val="none" w:sz="0" w:space="0" w:color="auto"/>
            <w:left w:val="none" w:sz="0" w:space="0" w:color="auto"/>
            <w:bottom w:val="none" w:sz="0" w:space="0" w:color="auto"/>
            <w:right w:val="none" w:sz="0" w:space="0" w:color="auto"/>
          </w:divBdr>
        </w:div>
        <w:div w:id="644093692">
          <w:marLeft w:val="0"/>
          <w:marRight w:val="0"/>
          <w:marTop w:val="0"/>
          <w:marBottom w:val="0"/>
          <w:divBdr>
            <w:top w:val="none" w:sz="0" w:space="0" w:color="auto"/>
            <w:left w:val="none" w:sz="0" w:space="0" w:color="auto"/>
            <w:bottom w:val="none" w:sz="0" w:space="0" w:color="auto"/>
            <w:right w:val="none" w:sz="0" w:space="0" w:color="auto"/>
          </w:divBdr>
        </w:div>
      </w:divsChild>
    </w:div>
    <w:div w:id="1430932460">
      <w:bodyDiv w:val="1"/>
      <w:marLeft w:val="0"/>
      <w:marRight w:val="0"/>
      <w:marTop w:val="0"/>
      <w:marBottom w:val="0"/>
      <w:divBdr>
        <w:top w:val="none" w:sz="0" w:space="0" w:color="auto"/>
        <w:left w:val="none" w:sz="0" w:space="0" w:color="auto"/>
        <w:bottom w:val="none" w:sz="0" w:space="0" w:color="auto"/>
        <w:right w:val="none" w:sz="0" w:space="0" w:color="auto"/>
      </w:divBdr>
    </w:div>
    <w:div w:id="1535076560">
      <w:bodyDiv w:val="1"/>
      <w:marLeft w:val="0"/>
      <w:marRight w:val="0"/>
      <w:marTop w:val="0"/>
      <w:marBottom w:val="0"/>
      <w:divBdr>
        <w:top w:val="none" w:sz="0" w:space="0" w:color="auto"/>
        <w:left w:val="none" w:sz="0" w:space="0" w:color="auto"/>
        <w:bottom w:val="none" w:sz="0" w:space="0" w:color="auto"/>
        <w:right w:val="none" w:sz="0" w:space="0" w:color="auto"/>
      </w:divBdr>
    </w:div>
    <w:div w:id="1698584254">
      <w:bodyDiv w:val="1"/>
      <w:marLeft w:val="0"/>
      <w:marRight w:val="0"/>
      <w:marTop w:val="0"/>
      <w:marBottom w:val="0"/>
      <w:divBdr>
        <w:top w:val="none" w:sz="0" w:space="0" w:color="auto"/>
        <w:left w:val="none" w:sz="0" w:space="0" w:color="auto"/>
        <w:bottom w:val="none" w:sz="0" w:space="0" w:color="auto"/>
        <w:right w:val="none" w:sz="0" w:space="0" w:color="auto"/>
      </w:divBdr>
    </w:div>
    <w:div w:id="1761556990">
      <w:bodyDiv w:val="1"/>
      <w:marLeft w:val="0"/>
      <w:marRight w:val="0"/>
      <w:marTop w:val="0"/>
      <w:marBottom w:val="0"/>
      <w:divBdr>
        <w:top w:val="none" w:sz="0" w:space="0" w:color="auto"/>
        <w:left w:val="none" w:sz="0" w:space="0" w:color="auto"/>
        <w:bottom w:val="none" w:sz="0" w:space="0" w:color="auto"/>
        <w:right w:val="none" w:sz="0" w:space="0" w:color="auto"/>
      </w:divBdr>
    </w:div>
    <w:div w:id="1771075638">
      <w:bodyDiv w:val="1"/>
      <w:marLeft w:val="0"/>
      <w:marRight w:val="0"/>
      <w:marTop w:val="0"/>
      <w:marBottom w:val="0"/>
      <w:divBdr>
        <w:top w:val="none" w:sz="0" w:space="0" w:color="auto"/>
        <w:left w:val="none" w:sz="0" w:space="0" w:color="auto"/>
        <w:bottom w:val="none" w:sz="0" w:space="0" w:color="auto"/>
        <w:right w:val="none" w:sz="0" w:space="0" w:color="auto"/>
      </w:divBdr>
    </w:div>
    <w:div w:id="1863593232">
      <w:bodyDiv w:val="1"/>
      <w:marLeft w:val="0"/>
      <w:marRight w:val="0"/>
      <w:marTop w:val="0"/>
      <w:marBottom w:val="0"/>
      <w:divBdr>
        <w:top w:val="none" w:sz="0" w:space="0" w:color="auto"/>
        <w:left w:val="none" w:sz="0" w:space="0" w:color="auto"/>
        <w:bottom w:val="none" w:sz="0" w:space="0" w:color="auto"/>
        <w:right w:val="none" w:sz="0" w:space="0" w:color="auto"/>
      </w:divBdr>
    </w:div>
    <w:div w:id="1881357024">
      <w:bodyDiv w:val="1"/>
      <w:marLeft w:val="0"/>
      <w:marRight w:val="0"/>
      <w:marTop w:val="0"/>
      <w:marBottom w:val="0"/>
      <w:divBdr>
        <w:top w:val="none" w:sz="0" w:space="0" w:color="auto"/>
        <w:left w:val="none" w:sz="0" w:space="0" w:color="auto"/>
        <w:bottom w:val="none" w:sz="0" w:space="0" w:color="auto"/>
        <w:right w:val="none" w:sz="0" w:space="0" w:color="auto"/>
      </w:divBdr>
    </w:div>
    <w:div w:id="1938248386">
      <w:bodyDiv w:val="1"/>
      <w:marLeft w:val="0"/>
      <w:marRight w:val="0"/>
      <w:marTop w:val="0"/>
      <w:marBottom w:val="0"/>
      <w:divBdr>
        <w:top w:val="none" w:sz="0" w:space="0" w:color="auto"/>
        <w:left w:val="none" w:sz="0" w:space="0" w:color="auto"/>
        <w:bottom w:val="none" w:sz="0" w:space="0" w:color="auto"/>
        <w:right w:val="none" w:sz="0" w:space="0" w:color="auto"/>
      </w:divBdr>
    </w:div>
    <w:div w:id="1977372643">
      <w:bodyDiv w:val="1"/>
      <w:marLeft w:val="0"/>
      <w:marRight w:val="0"/>
      <w:marTop w:val="0"/>
      <w:marBottom w:val="0"/>
      <w:divBdr>
        <w:top w:val="none" w:sz="0" w:space="0" w:color="auto"/>
        <w:left w:val="none" w:sz="0" w:space="0" w:color="auto"/>
        <w:bottom w:val="none" w:sz="0" w:space="0" w:color="auto"/>
        <w:right w:val="none" w:sz="0" w:space="0" w:color="auto"/>
      </w:divBdr>
    </w:div>
    <w:div w:id="2025471701">
      <w:bodyDiv w:val="1"/>
      <w:marLeft w:val="0"/>
      <w:marRight w:val="0"/>
      <w:marTop w:val="0"/>
      <w:marBottom w:val="0"/>
      <w:divBdr>
        <w:top w:val="none" w:sz="0" w:space="0" w:color="auto"/>
        <w:left w:val="none" w:sz="0" w:space="0" w:color="auto"/>
        <w:bottom w:val="none" w:sz="0" w:space="0" w:color="auto"/>
        <w:right w:val="none" w:sz="0" w:space="0" w:color="auto"/>
      </w:divBdr>
    </w:div>
    <w:div w:id="2099330441">
      <w:bodyDiv w:val="1"/>
      <w:marLeft w:val="0"/>
      <w:marRight w:val="0"/>
      <w:marTop w:val="0"/>
      <w:marBottom w:val="0"/>
      <w:divBdr>
        <w:top w:val="none" w:sz="0" w:space="0" w:color="auto"/>
        <w:left w:val="none" w:sz="0" w:space="0" w:color="auto"/>
        <w:bottom w:val="none" w:sz="0" w:space="0" w:color="auto"/>
        <w:right w:val="none" w:sz="0" w:space="0" w:color="auto"/>
      </w:divBdr>
    </w:div>
    <w:div w:id="212199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tan.zhu@anl.gov" TargetMode="External"/><Relationship Id="rId13" Type="http://schemas.openxmlformats.org/officeDocument/2006/relationships/hyperlink" Target="https://scikit-lear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nsorflow.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ras.i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yji@health.bsd.uchicago.edu" TargetMode="External"/><Relationship Id="rId14" Type="http://schemas.openxmlformats.org/officeDocument/2006/relationships/hyperlink" Target="https://lightgbm.readthedocs.io/en/lates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2D3E7-ACE7-4A3C-955B-8E81A27B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Yitan</dc:creator>
  <cp:keywords/>
  <dc:description/>
  <cp:lastModifiedBy>Ramya G</cp:lastModifiedBy>
  <cp:revision>7</cp:revision>
  <dcterms:created xsi:type="dcterms:W3CDTF">2023-09-04T00:08:00Z</dcterms:created>
  <dcterms:modified xsi:type="dcterms:W3CDTF">2023-12-07T09:07:00Z</dcterms:modified>
</cp:coreProperties>
</file>