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394"/>
        <w:tblW w:w="4931" w:type="pct"/>
        <w:tblLook w:val="04A0" w:firstRow="1" w:lastRow="0" w:firstColumn="1" w:lastColumn="0" w:noHBand="0" w:noVBand="1"/>
      </w:tblPr>
      <w:tblGrid>
        <w:gridCol w:w="1063"/>
        <w:gridCol w:w="858"/>
        <w:gridCol w:w="690"/>
        <w:gridCol w:w="1094"/>
        <w:gridCol w:w="732"/>
        <w:gridCol w:w="626"/>
        <w:gridCol w:w="1096"/>
        <w:gridCol w:w="815"/>
        <w:gridCol w:w="626"/>
        <w:gridCol w:w="615"/>
        <w:gridCol w:w="568"/>
        <w:gridCol w:w="1068"/>
        <w:gridCol w:w="790"/>
      </w:tblGrid>
      <w:tr w:rsidR="00AC4CFB" w:rsidRPr="0062587B" w14:paraId="7F89AFD5" w14:textId="77777777" w:rsidTr="00AC4CFB">
        <w:trPr>
          <w:trHeight w:val="260"/>
        </w:trPr>
        <w:tc>
          <w:tcPr>
            <w:tcW w:w="499" w:type="pct"/>
            <w:vMerge w:val="restart"/>
            <w:vAlign w:val="center"/>
          </w:tcPr>
          <w:p w14:paraId="09159535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Sample</w:t>
            </w:r>
          </w:p>
        </w:tc>
        <w:tc>
          <w:tcPr>
            <w:tcW w:w="727" w:type="pct"/>
            <w:gridSpan w:val="2"/>
            <w:vMerge w:val="restart"/>
            <w:vAlign w:val="center"/>
          </w:tcPr>
          <w:p w14:paraId="1C09BE50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Mapped reads</w:t>
            </w:r>
          </w:p>
        </w:tc>
        <w:tc>
          <w:tcPr>
            <w:tcW w:w="2344" w:type="pct"/>
            <w:gridSpan w:val="6"/>
            <w:tcBorders>
              <w:bottom w:val="single" w:sz="4" w:space="0" w:color="auto"/>
            </w:tcBorders>
            <w:vAlign w:val="center"/>
          </w:tcPr>
          <w:p w14:paraId="3CD6D569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Lambda</w:t>
            </w:r>
          </w:p>
        </w:tc>
        <w:tc>
          <w:tcPr>
            <w:tcW w:w="1058" w:type="pct"/>
            <w:gridSpan w:val="3"/>
            <w:vMerge w:val="restart"/>
            <w:vAlign w:val="center"/>
          </w:tcPr>
          <w:p w14:paraId="18C5E886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pUC19 (5hmC)</w:t>
            </w:r>
          </w:p>
        </w:tc>
        <w:tc>
          <w:tcPr>
            <w:tcW w:w="371" w:type="pct"/>
            <w:vMerge w:val="restart"/>
            <w:vAlign w:val="center"/>
          </w:tcPr>
          <w:p w14:paraId="7B762C2D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Genome coverage</w:t>
            </w:r>
          </w:p>
        </w:tc>
      </w:tr>
      <w:tr w:rsidR="00AC4CFB" w:rsidRPr="0062587B" w14:paraId="7BD1B32B" w14:textId="77777777" w:rsidTr="00AC4CFB">
        <w:trPr>
          <w:trHeight w:val="215"/>
        </w:trPr>
        <w:tc>
          <w:tcPr>
            <w:tcW w:w="499" w:type="pct"/>
            <w:vMerge/>
            <w:vAlign w:val="center"/>
          </w:tcPr>
          <w:p w14:paraId="602B7763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27" w:type="pct"/>
            <w:gridSpan w:val="2"/>
            <w:vMerge/>
            <w:vAlign w:val="center"/>
          </w:tcPr>
          <w:p w14:paraId="7E8FF84A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5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51B3A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CpG sites (5mC)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7316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Non-CpG sites</w:t>
            </w:r>
          </w:p>
        </w:tc>
        <w:tc>
          <w:tcPr>
            <w:tcW w:w="1058" w:type="pct"/>
            <w:gridSpan w:val="3"/>
            <w:vMerge/>
            <w:vAlign w:val="center"/>
          </w:tcPr>
          <w:p w14:paraId="3FE5E5F0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71" w:type="pct"/>
            <w:vMerge/>
            <w:vAlign w:val="center"/>
          </w:tcPr>
          <w:p w14:paraId="71B304F2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</w:p>
        </w:tc>
      </w:tr>
      <w:tr w:rsidR="00AC4CFB" w:rsidRPr="0062587B" w14:paraId="17C066C1" w14:textId="77777777" w:rsidTr="001128C9">
        <w:trPr>
          <w:trHeight w:val="322"/>
        </w:trPr>
        <w:tc>
          <w:tcPr>
            <w:tcW w:w="499" w:type="pct"/>
            <w:vMerge/>
            <w:vAlign w:val="center"/>
          </w:tcPr>
          <w:p w14:paraId="36D3712E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center"/>
          </w:tcPr>
          <w:p w14:paraId="68A9D597" w14:textId="13E99D57" w:rsidR="00AC4CFB" w:rsidRPr="0062587B" w:rsidRDefault="00AC4CFB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number</w:t>
            </w:r>
          </w:p>
        </w:tc>
        <w:tc>
          <w:tcPr>
            <w:tcW w:w="324" w:type="pct"/>
            <w:tcBorders>
              <w:top w:val="single" w:sz="4" w:space="0" w:color="auto"/>
            </w:tcBorders>
            <w:vAlign w:val="center"/>
          </w:tcPr>
          <w:p w14:paraId="5673E090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%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center"/>
          </w:tcPr>
          <w:p w14:paraId="367AE4EE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methylated Cs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23AD5887" w14:textId="737E8E62" w:rsidR="00AC4CFB" w:rsidRPr="00AC4CFB" w:rsidRDefault="00AC4CFB" w:rsidP="0062587B">
            <w:pPr>
              <w:jc w:val="center"/>
              <w:rPr>
                <w:b/>
                <w:sz w:val="12"/>
                <w:szCs w:val="12"/>
              </w:rPr>
            </w:pPr>
            <w:r w:rsidRPr="00AC4CFB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294" w:type="pct"/>
            <w:tcBorders>
              <w:top w:val="single" w:sz="4" w:space="0" w:color="auto"/>
            </w:tcBorders>
            <w:vAlign w:val="center"/>
          </w:tcPr>
          <w:p w14:paraId="4C29F342" w14:textId="77777777" w:rsidR="00AC4CFB" w:rsidRPr="0062587B" w:rsidRDefault="00AC4CFB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center"/>
          </w:tcPr>
          <w:p w14:paraId="0065F802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methylated Cs</w:t>
            </w:r>
          </w:p>
        </w:tc>
        <w:tc>
          <w:tcPr>
            <w:tcW w:w="383" w:type="pct"/>
            <w:tcBorders>
              <w:top w:val="single" w:sz="4" w:space="0" w:color="auto"/>
            </w:tcBorders>
            <w:vAlign w:val="center"/>
          </w:tcPr>
          <w:p w14:paraId="62E80DB6" w14:textId="004A3523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Total</w:t>
            </w:r>
          </w:p>
        </w:tc>
        <w:tc>
          <w:tcPr>
            <w:tcW w:w="294" w:type="pct"/>
            <w:tcBorders>
              <w:top w:val="single" w:sz="4" w:space="0" w:color="auto"/>
            </w:tcBorders>
            <w:vAlign w:val="center"/>
          </w:tcPr>
          <w:p w14:paraId="7B62E6AB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14:paraId="1C381766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5hmC</w:t>
            </w: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EE65F79" w14:textId="75320A6C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Total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center"/>
          </w:tcPr>
          <w:p w14:paraId="56E9805E" w14:textId="25512BDB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Protection rate</w:t>
            </w:r>
          </w:p>
        </w:tc>
        <w:tc>
          <w:tcPr>
            <w:tcW w:w="371" w:type="pct"/>
            <w:vMerge/>
            <w:vAlign w:val="center"/>
          </w:tcPr>
          <w:p w14:paraId="56EE8710" w14:textId="77777777" w:rsidR="00AC4CFB" w:rsidRPr="0062587B" w:rsidRDefault="00AC4CFB" w:rsidP="0062587B">
            <w:pPr>
              <w:jc w:val="center"/>
              <w:rPr>
                <w:sz w:val="12"/>
                <w:szCs w:val="12"/>
              </w:rPr>
            </w:pPr>
          </w:p>
        </w:tc>
      </w:tr>
      <w:tr w:rsidR="00AC4CFB" w:rsidRPr="0062587B" w14:paraId="61CE6E22" w14:textId="77777777" w:rsidTr="00EE775C">
        <w:trPr>
          <w:trHeight w:val="246"/>
        </w:trPr>
        <w:tc>
          <w:tcPr>
            <w:tcW w:w="499" w:type="pct"/>
            <w:vAlign w:val="center"/>
          </w:tcPr>
          <w:p w14:paraId="4B32A9D8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PPARg2-High</w:t>
            </w:r>
            <w:bookmarkStart w:id="0" w:name="_GoBack"/>
            <w:bookmarkEnd w:id="0"/>
          </w:p>
        </w:tc>
        <w:tc>
          <w:tcPr>
            <w:tcW w:w="403" w:type="pct"/>
            <w:vAlign w:val="center"/>
          </w:tcPr>
          <w:p w14:paraId="71AA91FE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7,144,386</w:t>
            </w:r>
          </w:p>
        </w:tc>
        <w:tc>
          <w:tcPr>
            <w:tcW w:w="324" w:type="pct"/>
            <w:vAlign w:val="center"/>
          </w:tcPr>
          <w:p w14:paraId="6855ED7C" w14:textId="159A2EF1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36.18%</w:t>
            </w:r>
          </w:p>
        </w:tc>
        <w:tc>
          <w:tcPr>
            <w:tcW w:w="514" w:type="pct"/>
            <w:vAlign w:val="center"/>
          </w:tcPr>
          <w:p w14:paraId="50B0E65E" w14:textId="16E2C069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6,818</w:t>
            </w:r>
          </w:p>
        </w:tc>
        <w:tc>
          <w:tcPr>
            <w:tcW w:w="344" w:type="pct"/>
            <w:vAlign w:val="center"/>
          </w:tcPr>
          <w:p w14:paraId="00BB1503" w14:textId="6A9A776B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699,586</w:t>
            </w:r>
          </w:p>
        </w:tc>
        <w:tc>
          <w:tcPr>
            <w:tcW w:w="294" w:type="pct"/>
            <w:vAlign w:val="center"/>
          </w:tcPr>
          <w:p w14:paraId="3CD28FCB" w14:textId="03C2C7BD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0.97%</w:t>
            </w:r>
          </w:p>
        </w:tc>
        <w:tc>
          <w:tcPr>
            <w:tcW w:w="515" w:type="pct"/>
            <w:vAlign w:val="center"/>
          </w:tcPr>
          <w:p w14:paraId="49A46F38" w14:textId="4C7B9AB1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14,560</w:t>
            </w:r>
          </w:p>
        </w:tc>
        <w:tc>
          <w:tcPr>
            <w:tcW w:w="383" w:type="pct"/>
            <w:vAlign w:val="center"/>
          </w:tcPr>
          <w:p w14:paraId="24636ED9" w14:textId="0313B5E1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2,076,320</w:t>
            </w:r>
          </w:p>
        </w:tc>
        <w:tc>
          <w:tcPr>
            <w:tcW w:w="294" w:type="pct"/>
            <w:vAlign w:val="center"/>
          </w:tcPr>
          <w:p w14:paraId="15A04709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0.70%</w:t>
            </w:r>
          </w:p>
        </w:tc>
        <w:tc>
          <w:tcPr>
            <w:tcW w:w="289" w:type="pct"/>
            <w:vAlign w:val="center"/>
          </w:tcPr>
          <w:p w14:paraId="517EBBD2" w14:textId="1CC28844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3,268</w:t>
            </w:r>
          </w:p>
        </w:tc>
        <w:tc>
          <w:tcPr>
            <w:tcW w:w="267" w:type="pct"/>
            <w:vAlign w:val="center"/>
          </w:tcPr>
          <w:p w14:paraId="1F7185F7" w14:textId="60401386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6,244</w:t>
            </w:r>
          </w:p>
        </w:tc>
        <w:tc>
          <w:tcPr>
            <w:tcW w:w="502" w:type="pct"/>
            <w:vAlign w:val="center"/>
          </w:tcPr>
          <w:p w14:paraId="19E270EF" w14:textId="4DA846FF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52.3%</w:t>
            </w:r>
          </w:p>
        </w:tc>
        <w:tc>
          <w:tcPr>
            <w:tcW w:w="371" w:type="pct"/>
            <w:vAlign w:val="center"/>
          </w:tcPr>
          <w:p w14:paraId="4111C564" w14:textId="2E25EC09" w:rsidR="00351213" w:rsidRPr="00EE775C" w:rsidRDefault="00351213" w:rsidP="00EE775C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0.41</w:t>
            </w:r>
          </w:p>
        </w:tc>
      </w:tr>
      <w:tr w:rsidR="00AC4CFB" w:rsidRPr="0062587B" w14:paraId="6D902DEA" w14:textId="77777777" w:rsidTr="00AC4CFB">
        <w:tc>
          <w:tcPr>
            <w:tcW w:w="499" w:type="pct"/>
            <w:vAlign w:val="center"/>
          </w:tcPr>
          <w:p w14:paraId="47640244" w14:textId="77777777" w:rsidR="00351213" w:rsidRPr="0062587B" w:rsidRDefault="00351213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PPARg2-Med and Low</w:t>
            </w:r>
          </w:p>
        </w:tc>
        <w:tc>
          <w:tcPr>
            <w:tcW w:w="403" w:type="pct"/>
            <w:vAlign w:val="center"/>
          </w:tcPr>
          <w:p w14:paraId="3EF8FA4C" w14:textId="589A14C8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6,143,977</w:t>
            </w:r>
          </w:p>
        </w:tc>
        <w:tc>
          <w:tcPr>
            <w:tcW w:w="324" w:type="pct"/>
            <w:vAlign w:val="center"/>
          </w:tcPr>
          <w:p w14:paraId="54955A1C" w14:textId="0D284F21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35.98%</w:t>
            </w:r>
          </w:p>
        </w:tc>
        <w:tc>
          <w:tcPr>
            <w:tcW w:w="514" w:type="pct"/>
            <w:vAlign w:val="center"/>
          </w:tcPr>
          <w:p w14:paraId="4EE99AA7" w14:textId="4DE98ADB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6,962</w:t>
            </w:r>
          </w:p>
        </w:tc>
        <w:tc>
          <w:tcPr>
            <w:tcW w:w="344" w:type="pct"/>
            <w:vAlign w:val="center"/>
          </w:tcPr>
          <w:p w14:paraId="6966E08D" w14:textId="237CAE95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704,566</w:t>
            </w:r>
          </w:p>
        </w:tc>
        <w:tc>
          <w:tcPr>
            <w:tcW w:w="294" w:type="pct"/>
            <w:vAlign w:val="center"/>
          </w:tcPr>
          <w:p w14:paraId="5867741E" w14:textId="48800B5B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0.99%</w:t>
            </w:r>
          </w:p>
        </w:tc>
        <w:tc>
          <w:tcPr>
            <w:tcW w:w="515" w:type="pct"/>
            <w:vAlign w:val="center"/>
          </w:tcPr>
          <w:p w14:paraId="5D9CFFB4" w14:textId="1333036F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15,146</w:t>
            </w:r>
          </w:p>
        </w:tc>
        <w:tc>
          <w:tcPr>
            <w:tcW w:w="383" w:type="pct"/>
            <w:vAlign w:val="center"/>
          </w:tcPr>
          <w:p w14:paraId="0ED61F89" w14:textId="604D12E5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2,096,005</w:t>
            </w:r>
          </w:p>
        </w:tc>
        <w:tc>
          <w:tcPr>
            <w:tcW w:w="294" w:type="pct"/>
            <w:vAlign w:val="center"/>
          </w:tcPr>
          <w:p w14:paraId="478482BE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0.72%</w:t>
            </w:r>
          </w:p>
        </w:tc>
        <w:tc>
          <w:tcPr>
            <w:tcW w:w="289" w:type="pct"/>
            <w:vAlign w:val="center"/>
          </w:tcPr>
          <w:p w14:paraId="129200C8" w14:textId="4EFDEC45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2,916</w:t>
            </w:r>
          </w:p>
        </w:tc>
        <w:tc>
          <w:tcPr>
            <w:tcW w:w="267" w:type="pct"/>
            <w:vAlign w:val="center"/>
          </w:tcPr>
          <w:p w14:paraId="2F5D3346" w14:textId="68538EE1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5,767</w:t>
            </w:r>
          </w:p>
        </w:tc>
        <w:tc>
          <w:tcPr>
            <w:tcW w:w="502" w:type="pct"/>
            <w:vAlign w:val="center"/>
          </w:tcPr>
          <w:p w14:paraId="71EE95AA" w14:textId="7FD04060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50.6%</w:t>
            </w:r>
          </w:p>
        </w:tc>
        <w:tc>
          <w:tcPr>
            <w:tcW w:w="371" w:type="pct"/>
            <w:vAlign w:val="center"/>
          </w:tcPr>
          <w:p w14:paraId="68F080F5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0.35</w:t>
            </w:r>
          </w:p>
        </w:tc>
      </w:tr>
      <w:tr w:rsidR="00AC4CFB" w:rsidRPr="0062587B" w14:paraId="5024E2D0" w14:textId="77777777" w:rsidTr="00AC4CFB">
        <w:trPr>
          <w:trHeight w:val="251"/>
        </w:trPr>
        <w:tc>
          <w:tcPr>
            <w:tcW w:w="499" w:type="pct"/>
            <w:vAlign w:val="center"/>
          </w:tcPr>
          <w:p w14:paraId="4F3E4DF6" w14:textId="77777777" w:rsidR="00351213" w:rsidRPr="0062587B" w:rsidRDefault="00351213" w:rsidP="0062587B">
            <w:pPr>
              <w:jc w:val="center"/>
              <w:rPr>
                <w:sz w:val="12"/>
                <w:szCs w:val="12"/>
              </w:rPr>
            </w:pPr>
            <w:r w:rsidRPr="0062587B">
              <w:rPr>
                <w:rFonts w:ascii="Arial" w:hAnsi="Arial" w:cs="Arial"/>
                <w:b/>
                <w:sz w:val="12"/>
                <w:szCs w:val="12"/>
              </w:rPr>
              <w:t>PPARg2-Neg</w:t>
            </w:r>
          </w:p>
        </w:tc>
        <w:tc>
          <w:tcPr>
            <w:tcW w:w="403" w:type="pct"/>
            <w:vAlign w:val="center"/>
          </w:tcPr>
          <w:p w14:paraId="08DD9E3D" w14:textId="12AED6C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6,980,655</w:t>
            </w:r>
          </w:p>
        </w:tc>
        <w:tc>
          <w:tcPr>
            <w:tcW w:w="324" w:type="pct"/>
            <w:vAlign w:val="center"/>
          </w:tcPr>
          <w:p w14:paraId="24803514" w14:textId="6D80823C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36.45%</w:t>
            </w:r>
          </w:p>
        </w:tc>
        <w:tc>
          <w:tcPr>
            <w:tcW w:w="514" w:type="pct"/>
            <w:vAlign w:val="center"/>
          </w:tcPr>
          <w:p w14:paraId="2482D31B" w14:textId="493FB39C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6,854</w:t>
            </w:r>
          </w:p>
        </w:tc>
        <w:tc>
          <w:tcPr>
            <w:tcW w:w="344" w:type="pct"/>
            <w:vAlign w:val="center"/>
          </w:tcPr>
          <w:p w14:paraId="1A001074" w14:textId="29338C83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728,707</w:t>
            </w:r>
          </w:p>
        </w:tc>
        <w:tc>
          <w:tcPr>
            <w:tcW w:w="294" w:type="pct"/>
            <w:vAlign w:val="center"/>
          </w:tcPr>
          <w:p w14:paraId="5337A29F" w14:textId="09825363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0.94%</w:t>
            </w:r>
          </w:p>
        </w:tc>
        <w:tc>
          <w:tcPr>
            <w:tcW w:w="515" w:type="pct"/>
            <w:vAlign w:val="center"/>
          </w:tcPr>
          <w:p w14:paraId="2F5EBCC6" w14:textId="6B95D38F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14,490</w:t>
            </w:r>
          </w:p>
        </w:tc>
        <w:tc>
          <w:tcPr>
            <w:tcW w:w="383" w:type="pct"/>
            <w:vAlign w:val="center"/>
          </w:tcPr>
          <w:p w14:paraId="3006BE8D" w14:textId="6FD7FD9D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2,159,023</w:t>
            </w:r>
          </w:p>
        </w:tc>
        <w:tc>
          <w:tcPr>
            <w:tcW w:w="294" w:type="pct"/>
            <w:vAlign w:val="center"/>
          </w:tcPr>
          <w:p w14:paraId="0DC8E4BE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0.67%</w:t>
            </w:r>
          </w:p>
        </w:tc>
        <w:tc>
          <w:tcPr>
            <w:tcW w:w="289" w:type="pct"/>
            <w:vAlign w:val="center"/>
          </w:tcPr>
          <w:p w14:paraId="5566D7C4" w14:textId="7A06E41B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3,245</w:t>
            </w:r>
          </w:p>
        </w:tc>
        <w:tc>
          <w:tcPr>
            <w:tcW w:w="267" w:type="pct"/>
            <w:vAlign w:val="center"/>
          </w:tcPr>
          <w:p w14:paraId="21607B27" w14:textId="75792B95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6,698</w:t>
            </w:r>
          </w:p>
        </w:tc>
        <w:tc>
          <w:tcPr>
            <w:tcW w:w="502" w:type="pct"/>
            <w:vAlign w:val="center"/>
          </w:tcPr>
          <w:p w14:paraId="6949B8A0" w14:textId="7AEBB796" w:rsidR="00351213" w:rsidRPr="0062587B" w:rsidRDefault="00351213" w:rsidP="0062587B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2587B">
              <w:rPr>
                <w:rFonts w:ascii="Arial" w:hAnsi="Arial" w:cs="Arial"/>
                <w:color w:val="000000"/>
                <w:sz w:val="12"/>
                <w:szCs w:val="12"/>
              </w:rPr>
              <w:t>48.4%</w:t>
            </w:r>
          </w:p>
        </w:tc>
        <w:tc>
          <w:tcPr>
            <w:tcW w:w="371" w:type="pct"/>
            <w:vAlign w:val="center"/>
          </w:tcPr>
          <w:p w14:paraId="4C3CB627" w14:textId="77777777" w:rsidR="00351213" w:rsidRPr="0062587B" w:rsidRDefault="00351213" w:rsidP="0062587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587B">
              <w:rPr>
                <w:rFonts w:ascii="Arial" w:hAnsi="Arial" w:cs="Arial"/>
                <w:sz w:val="12"/>
                <w:szCs w:val="12"/>
              </w:rPr>
              <w:t>0.40</w:t>
            </w:r>
          </w:p>
        </w:tc>
      </w:tr>
    </w:tbl>
    <w:p w14:paraId="149D7D2A" w14:textId="5DD9B1D9" w:rsidR="00BB35F0" w:rsidRPr="00BB35F0" w:rsidRDefault="009621FD" w:rsidP="0077520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S3</w:t>
      </w:r>
      <w:r w:rsidR="00775203">
        <w:rPr>
          <w:rFonts w:ascii="Arial" w:hAnsi="Arial" w:cs="Arial"/>
          <w:sz w:val="20"/>
          <w:szCs w:val="20"/>
        </w:rPr>
        <w:t xml:space="preserve">: </w:t>
      </w:r>
      <w:r w:rsidR="00BB35F0">
        <w:rPr>
          <w:rFonts w:ascii="Arial" w:hAnsi="Arial" w:cs="Arial"/>
          <w:sz w:val="20"/>
          <w:szCs w:val="20"/>
        </w:rPr>
        <w:t xml:space="preserve"> </w:t>
      </w:r>
      <w:r w:rsidR="007432EB">
        <w:rPr>
          <w:rFonts w:ascii="Arial" w:hAnsi="Arial" w:cs="Arial"/>
          <w:sz w:val="20"/>
          <w:szCs w:val="20"/>
        </w:rPr>
        <w:t>TAB-s</w:t>
      </w:r>
      <w:r w:rsidR="00775203">
        <w:rPr>
          <w:rFonts w:ascii="Arial" w:hAnsi="Arial" w:cs="Arial"/>
          <w:sz w:val="20"/>
          <w:szCs w:val="20"/>
        </w:rPr>
        <w:t xml:space="preserve">eq Analysis </w:t>
      </w:r>
      <w:r w:rsidR="00EE775C">
        <w:rPr>
          <w:rFonts w:ascii="Arial" w:hAnsi="Arial" w:cs="Arial"/>
          <w:sz w:val="20"/>
          <w:szCs w:val="20"/>
        </w:rPr>
        <w:t>Summary</w:t>
      </w:r>
    </w:p>
    <w:p w14:paraId="0F2E4CB2" w14:textId="77777777" w:rsidR="00AF7579" w:rsidRDefault="00AF7579">
      <w:pPr>
        <w:rPr>
          <w:rFonts w:ascii="Arial" w:hAnsi="Arial" w:cs="Arial"/>
          <w:sz w:val="20"/>
          <w:szCs w:val="20"/>
        </w:rPr>
      </w:pPr>
    </w:p>
    <w:p w14:paraId="7E410E6B" w14:textId="3C26A0C5" w:rsidR="00B16CA5" w:rsidRPr="009308AC" w:rsidRDefault="00C62724">
      <w:pPr>
        <w:rPr>
          <w:rFonts w:ascii="Arial" w:hAnsi="Arial" w:cs="Arial"/>
          <w:sz w:val="20"/>
          <w:szCs w:val="20"/>
        </w:rPr>
      </w:pPr>
      <w:r w:rsidRPr="009308AC">
        <w:rPr>
          <w:rFonts w:ascii="Arial" w:hAnsi="Arial" w:cs="Arial"/>
          <w:sz w:val="20"/>
          <w:szCs w:val="20"/>
        </w:rPr>
        <w:t xml:space="preserve">Provided in the table are </w:t>
      </w:r>
      <w:r w:rsidR="00071631">
        <w:rPr>
          <w:rFonts w:ascii="Arial" w:hAnsi="Arial" w:cs="Arial"/>
          <w:sz w:val="20"/>
          <w:szCs w:val="20"/>
        </w:rPr>
        <w:t>the metrics related to the TAB-s</w:t>
      </w:r>
      <w:r w:rsidRPr="009308AC">
        <w:rPr>
          <w:rFonts w:ascii="Arial" w:hAnsi="Arial" w:cs="Arial"/>
          <w:sz w:val="20"/>
          <w:szCs w:val="20"/>
        </w:rPr>
        <w:t>eq analysis. The genom</w:t>
      </w:r>
      <w:r w:rsidR="00195B5C">
        <w:rPr>
          <w:rFonts w:ascii="Arial" w:hAnsi="Arial" w:cs="Arial"/>
          <w:sz w:val="20"/>
          <w:szCs w:val="20"/>
        </w:rPr>
        <w:t>e coverage achieved by our TAB-s</w:t>
      </w:r>
      <w:r w:rsidRPr="009308AC">
        <w:rPr>
          <w:rFonts w:ascii="Arial" w:hAnsi="Arial" w:cs="Arial"/>
          <w:sz w:val="20"/>
          <w:szCs w:val="20"/>
        </w:rPr>
        <w:t>eq meta-analy</w:t>
      </w:r>
      <w:r w:rsidR="004F3ACA">
        <w:rPr>
          <w:rFonts w:ascii="Arial" w:hAnsi="Arial" w:cs="Arial"/>
          <w:sz w:val="20"/>
          <w:szCs w:val="20"/>
        </w:rPr>
        <w:t>sis is listed in the last column</w:t>
      </w:r>
      <w:r w:rsidRPr="009308AC">
        <w:rPr>
          <w:rFonts w:ascii="Arial" w:hAnsi="Arial" w:cs="Arial"/>
          <w:sz w:val="20"/>
          <w:szCs w:val="20"/>
        </w:rPr>
        <w:t xml:space="preserve"> as a fraction of our coverage to the </w:t>
      </w:r>
      <w:r w:rsidR="00D6711D" w:rsidRPr="00937212">
        <w:rPr>
          <w:rFonts w:ascii="Arial" w:hAnsi="Arial" w:cs="Arial"/>
          <w:i/>
          <w:sz w:val="20"/>
          <w:szCs w:val="20"/>
        </w:rPr>
        <w:t>Sus scrofa</w:t>
      </w:r>
      <w:r w:rsidR="00D6711D">
        <w:rPr>
          <w:rFonts w:ascii="Arial" w:hAnsi="Arial" w:cs="Arial"/>
          <w:sz w:val="20"/>
          <w:szCs w:val="20"/>
        </w:rPr>
        <w:t xml:space="preserve"> reference genome </w:t>
      </w:r>
      <w:r w:rsidR="00D6711D" w:rsidRPr="00846F5D">
        <w:rPr>
          <w:rFonts w:ascii="Arial" w:hAnsi="Arial" w:cs="Arial"/>
          <w:i/>
          <w:sz w:val="20"/>
          <w:szCs w:val="20"/>
        </w:rPr>
        <w:t>Sscrofa</w:t>
      </w:r>
      <w:r w:rsidR="00D6711D">
        <w:rPr>
          <w:rFonts w:ascii="Arial" w:hAnsi="Arial" w:cs="Arial"/>
          <w:sz w:val="20"/>
          <w:szCs w:val="20"/>
        </w:rPr>
        <w:t>10.2.</w:t>
      </w:r>
    </w:p>
    <w:sectPr w:rsidR="00B16CA5" w:rsidRPr="009308AC" w:rsidSect="000321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D3B2" w14:textId="77777777" w:rsidR="003D2A78" w:rsidRDefault="003D2A78" w:rsidP="00BA7A5D">
      <w:pPr>
        <w:spacing w:after="0" w:line="240" w:lineRule="auto"/>
      </w:pPr>
      <w:r>
        <w:separator/>
      </w:r>
    </w:p>
  </w:endnote>
  <w:endnote w:type="continuationSeparator" w:id="0">
    <w:p w14:paraId="013F7B4A" w14:textId="77777777" w:rsidR="003D2A78" w:rsidRDefault="003D2A78" w:rsidP="00BA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556B8" w14:textId="77777777" w:rsidR="003D2A78" w:rsidRDefault="003D2A78" w:rsidP="00BA7A5D">
      <w:pPr>
        <w:spacing w:after="0" w:line="240" w:lineRule="auto"/>
      </w:pPr>
      <w:r>
        <w:separator/>
      </w:r>
    </w:p>
  </w:footnote>
  <w:footnote w:type="continuationSeparator" w:id="0">
    <w:p w14:paraId="4FF7DF01" w14:textId="77777777" w:rsidR="003D2A78" w:rsidRDefault="003D2A78" w:rsidP="00BA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F0"/>
    <w:rsid w:val="000321DE"/>
    <w:rsid w:val="00034E84"/>
    <w:rsid w:val="000370FC"/>
    <w:rsid w:val="0004098B"/>
    <w:rsid w:val="00071631"/>
    <w:rsid w:val="000C4F10"/>
    <w:rsid w:val="000F6C28"/>
    <w:rsid w:val="00186D2D"/>
    <w:rsid w:val="00195B5C"/>
    <w:rsid w:val="00202C25"/>
    <w:rsid w:val="00225314"/>
    <w:rsid w:val="002C26F9"/>
    <w:rsid w:val="003129C9"/>
    <w:rsid w:val="00341D14"/>
    <w:rsid w:val="003473A0"/>
    <w:rsid w:val="00350CEB"/>
    <w:rsid w:val="00351133"/>
    <w:rsid w:val="00351213"/>
    <w:rsid w:val="003A5D8A"/>
    <w:rsid w:val="003A639E"/>
    <w:rsid w:val="003C3C8F"/>
    <w:rsid w:val="003D2A78"/>
    <w:rsid w:val="00423975"/>
    <w:rsid w:val="004A7BA5"/>
    <w:rsid w:val="004F3624"/>
    <w:rsid w:val="004F3ACA"/>
    <w:rsid w:val="005466D2"/>
    <w:rsid w:val="00550264"/>
    <w:rsid w:val="00573B26"/>
    <w:rsid w:val="005B7C3A"/>
    <w:rsid w:val="0062587B"/>
    <w:rsid w:val="006567D0"/>
    <w:rsid w:val="00694F2C"/>
    <w:rsid w:val="006A2ED0"/>
    <w:rsid w:val="006B45D1"/>
    <w:rsid w:val="006C0951"/>
    <w:rsid w:val="006E330C"/>
    <w:rsid w:val="00706D41"/>
    <w:rsid w:val="00725606"/>
    <w:rsid w:val="007427FA"/>
    <w:rsid w:val="007432EB"/>
    <w:rsid w:val="00775203"/>
    <w:rsid w:val="007E4260"/>
    <w:rsid w:val="007F4C3B"/>
    <w:rsid w:val="008012AF"/>
    <w:rsid w:val="00822150"/>
    <w:rsid w:val="008229F7"/>
    <w:rsid w:val="00846F5D"/>
    <w:rsid w:val="008507B7"/>
    <w:rsid w:val="008C3E03"/>
    <w:rsid w:val="008D3D42"/>
    <w:rsid w:val="008D4381"/>
    <w:rsid w:val="008D4B32"/>
    <w:rsid w:val="009308AC"/>
    <w:rsid w:val="00937212"/>
    <w:rsid w:val="009621FD"/>
    <w:rsid w:val="00963E8B"/>
    <w:rsid w:val="009A2493"/>
    <w:rsid w:val="009D710A"/>
    <w:rsid w:val="009E3D78"/>
    <w:rsid w:val="00A22FDB"/>
    <w:rsid w:val="00A56924"/>
    <w:rsid w:val="00A82170"/>
    <w:rsid w:val="00AC4CFB"/>
    <w:rsid w:val="00AC7055"/>
    <w:rsid w:val="00AD60AE"/>
    <w:rsid w:val="00AF7579"/>
    <w:rsid w:val="00B16CA5"/>
    <w:rsid w:val="00B87DEE"/>
    <w:rsid w:val="00BA57BE"/>
    <w:rsid w:val="00BA7A5D"/>
    <w:rsid w:val="00BB35F0"/>
    <w:rsid w:val="00BE578F"/>
    <w:rsid w:val="00C20DB7"/>
    <w:rsid w:val="00C41734"/>
    <w:rsid w:val="00C62724"/>
    <w:rsid w:val="00D03ED4"/>
    <w:rsid w:val="00D26613"/>
    <w:rsid w:val="00D4118D"/>
    <w:rsid w:val="00D62517"/>
    <w:rsid w:val="00D6711D"/>
    <w:rsid w:val="00E7628F"/>
    <w:rsid w:val="00E84108"/>
    <w:rsid w:val="00EE775C"/>
    <w:rsid w:val="00F52D55"/>
    <w:rsid w:val="00F92BB6"/>
    <w:rsid w:val="00F9791F"/>
    <w:rsid w:val="00FA35A2"/>
    <w:rsid w:val="00FC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C1CAEA"/>
  <w15:docId w15:val="{56BF38DA-5159-4D39-8307-61363256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16C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5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A7A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A5D"/>
  </w:style>
  <w:style w:type="paragraph" w:styleId="Footer">
    <w:name w:val="footer"/>
    <w:basedOn w:val="Normal"/>
    <w:link w:val="FooterChar"/>
    <w:uiPriority w:val="99"/>
    <w:semiHidden/>
    <w:unhideWhenUsed/>
    <w:rsid w:val="00BA7A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A5D"/>
  </w:style>
  <w:style w:type="paragraph" w:styleId="BalloonText">
    <w:name w:val="Balloon Text"/>
    <w:basedOn w:val="Normal"/>
    <w:link w:val="BalloonTextChar"/>
    <w:uiPriority w:val="99"/>
    <w:semiHidden/>
    <w:unhideWhenUsed/>
    <w:rsid w:val="002C2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Ping</dc:creator>
  <cp:keywords/>
  <dc:description/>
  <cp:lastModifiedBy>Lexiang Ji</cp:lastModifiedBy>
  <cp:revision>9</cp:revision>
  <cp:lastPrinted>2016-03-31T19:45:00Z</cp:lastPrinted>
  <dcterms:created xsi:type="dcterms:W3CDTF">2016-04-05T01:35:00Z</dcterms:created>
  <dcterms:modified xsi:type="dcterms:W3CDTF">2016-04-05T14:57:00Z</dcterms:modified>
</cp:coreProperties>
</file>