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5126B9" w14:textId="77777777" w:rsidR="00A53ACE" w:rsidRDefault="00A53ACE" w:rsidP="00BF5EAD">
      <w:pPr>
        <w:jc w:val="center"/>
        <w:rPr>
          <w:color w:val="000000"/>
        </w:rPr>
      </w:pPr>
    </w:p>
    <w:p w14:paraId="4B4767B7" w14:textId="77777777" w:rsidR="00A53ACE" w:rsidRDefault="00A53ACE" w:rsidP="00BF5EAD">
      <w:pPr>
        <w:jc w:val="center"/>
        <w:rPr>
          <w:color w:val="000000"/>
        </w:rPr>
      </w:pPr>
    </w:p>
    <w:p w14:paraId="6C6781FA" w14:textId="6095814E" w:rsidR="005B2857" w:rsidRPr="00E0191F" w:rsidRDefault="0067759C" w:rsidP="00BF5EAD">
      <w:pPr>
        <w:jc w:val="center"/>
        <w:rPr>
          <w:rFonts w:cs="Arial"/>
          <w:b/>
          <w:szCs w:val="22"/>
        </w:rPr>
      </w:pPr>
      <w:r w:rsidRPr="00E0191F">
        <w:rPr>
          <w:b/>
          <w:color w:val="000000"/>
        </w:rPr>
        <w:t>Table S4</w:t>
      </w:r>
      <w:r w:rsidR="00ED0DEC" w:rsidRPr="00E0191F">
        <w:rPr>
          <w:b/>
          <w:color w:val="000000"/>
        </w:rPr>
        <w:t xml:space="preserve">: </w:t>
      </w:r>
      <w:r w:rsidR="00BF5EAD" w:rsidRPr="00E0191F">
        <w:rPr>
          <w:b/>
          <w:color w:val="000000"/>
        </w:rPr>
        <w:t>Summary information and references on the properties of the marker genes being assayed</w:t>
      </w:r>
    </w:p>
    <w:tbl>
      <w:tblPr>
        <w:tblStyle w:val="TableGrid"/>
        <w:tblpPr w:leftFromText="180" w:rightFromText="180" w:vertAnchor="page" w:horzAnchor="page" w:tblpX="706" w:tblpY="2324"/>
        <w:tblW w:w="11178" w:type="dxa"/>
        <w:tblLayout w:type="fixed"/>
        <w:tblLook w:val="00A0" w:firstRow="1" w:lastRow="0" w:firstColumn="1" w:lastColumn="0" w:noHBand="0" w:noVBand="0"/>
      </w:tblPr>
      <w:tblGrid>
        <w:gridCol w:w="1638"/>
        <w:gridCol w:w="2160"/>
        <w:gridCol w:w="7380"/>
      </w:tblGrid>
      <w:tr w:rsidR="00226EF3" w:rsidRPr="00226EF3" w14:paraId="515CBC1B" w14:textId="77777777" w:rsidTr="00B47758">
        <w:trPr>
          <w:trHeight w:val="184"/>
        </w:trPr>
        <w:tc>
          <w:tcPr>
            <w:tcW w:w="1638" w:type="dxa"/>
            <w:tcBorders>
              <w:bottom w:val="single" w:sz="4" w:space="0" w:color="auto"/>
            </w:tcBorders>
          </w:tcPr>
          <w:p w14:paraId="3CF5AC18" w14:textId="286BC87D" w:rsidR="00226EF3" w:rsidRPr="00226EF3" w:rsidRDefault="00FE38BB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Symbol 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7D7F155" w14:textId="58BC03A0" w:rsidR="00226EF3" w:rsidRPr="00226EF3" w:rsidRDefault="00FE38BB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Full Name </w:t>
            </w:r>
          </w:p>
        </w:tc>
        <w:tc>
          <w:tcPr>
            <w:tcW w:w="7380" w:type="dxa"/>
            <w:tcBorders>
              <w:bottom w:val="single" w:sz="4" w:space="0" w:color="auto"/>
            </w:tcBorders>
          </w:tcPr>
          <w:p w14:paraId="725210D5" w14:textId="401D391F" w:rsidR="00226EF3" w:rsidRPr="00226EF3" w:rsidRDefault="003463CF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D</w:t>
            </w:r>
            <w:r w:rsidR="00FE38BB">
              <w:rPr>
                <w:rFonts w:ascii="Arial" w:eastAsia="Times New Roman" w:hAnsi="Arial" w:cs="Arial"/>
                <w:sz w:val="22"/>
                <w:szCs w:val="22"/>
              </w:rPr>
              <w:t>escription</w:t>
            </w:r>
          </w:p>
        </w:tc>
      </w:tr>
      <w:tr w:rsidR="00A764BA" w:rsidRPr="006E6774" w14:paraId="6A32DBE8" w14:textId="77777777" w:rsidTr="00B47758">
        <w:trPr>
          <w:trHeight w:val="71"/>
        </w:trPr>
        <w:tc>
          <w:tcPr>
            <w:tcW w:w="1638" w:type="dxa"/>
            <w:tcBorders>
              <w:top w:val="single" w:sz="4" w:space="0" w:color="auto"/>
            </w:tcBorders>
          </w:tcPr>
          <w:p w14:paraId="66B155A1" w14:textId="3D97BCB1" w:rsidR="00A764BA" w:rsidRPr="006E6774" w:rsidRDefault="00A764BA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E6774">
              <w:rPr>
                <w:rFonts w:ascii="Arial" w:eastAsia="Times New Roman" w:hAnsi="Arial" w:cs="Arial"/>
                <w:sz w:val="22"/>
                <w:szCs w:val="22"/>
              </w:rPr>
              <w:t>ACTB/Bactin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C2EE37F" w14:textId="3EC2EBA9" w:rsidR="00A764BA" w:rsidRPr="006E6774" w:rsidRDefault="0066627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A764BA" w:rsidRPr="006E6774">
              <w:rPr>
                <w:rFonts w:ascii="Arial" w:hAnsi="Arial" w:cs="Arial"/>
                <w:sz w:val="22"/>
                <w:szCs w:val="22"/>
              </w:rPr>
              <w:t>eta actin</w:t>
            </w:r>
          </w:p>
        </w:tc>
        <w:tc>
          <w:tcPr>
            <w:tcW w:w="7380" w:type="dxa"/>
            <w:tcBorders>
              <w:top w:val="single" w:sz="4" w:space="0" w:color="auto"/>
            </w:tcBorders>
          </w:tcPr>
          <w:p w14:paraId="6DDA4917" w14:textId="5DD22369" w:rsidR="00A764BA" w:rsidRPr="006E6774" w:rsidRDefault="00654D14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E6774">
              <w:rPr>
                <w:rFonts w:ascii="Arial" w:eastAsia="Times New Roman" w:hAnsi="Arial" w:cs="Arial"/>
                <w:sz w:val="22"/>
                <w:szCs w:val="22"/>
              </w:rPr>
              <w:t>This gene encodes one of six different actin proteins. Actin</w:t>
            </w:r>
            <w:r w:rsidR="00F0353E" w:rsidRPr="006E6774">
              <w:rPr>
                <w:rFonts w:ascii="Arial" w:eastAsia="Times New Roman" w:hAnsi="Arial" w:cs="Arial"/>
                <w:sz w:val="22"/>
                <w:szCs w:val="22"/>
              </w:rPr>
              <w:t>s are highly conserved proteins. Thi</w:t>
            </w:r>
            <w:r w:rsidR="00216EE3">
              <w:rPr>
                <w:rFonts w:ascii="Arial" w:eastAsia="Times New Roman" w:hAnsi="Arial" w:cs="Arial"/>
                <w:sz w:val="22"/>
                <w:szCs w:val="22"/>
              </w:rPr>
              <w:t>s actin is a major constitute of</w:t>
            </w:r>
            <w:r w:rsidR="00F0353E" w:rsidRPr="006E6774">
              <w:rPr>
                <w:rFonts w:ascii="Arial" w:eastAsia="Times New Roman" w:hAnsi="Arial" w:cs="Arial"/>
                <w:sz w:val="22"/>
                <w:szCs w:val="22"/>
              </w:rPr>
              <w:t xml:space="preserve"> the contractile apparatus and one of the two nonmuscle cytoskeletal actins. </w:t>
            </w:r>
          </w:p>
        </w:tc>
      </w:tr>
      <w:tr w:rsidR="00226EF3" w:rsidRPr="006E6774" w14:paraId="46A6AA12" w14:textId="77777777" w:rsidTr="00B47758">
        <w:trPr>
          <w:trHeight w:val="786"/>
        </w:trPr>
        <w:tc>
          <w:tcPr>
            <w:tcW w:w="1638" w:type="dxa"/>
            <w:tcBorders>
              <w:bottom w:val="single" w:sz="4" w:space="0" w:color="auto"/>
            </w:tcBorders>
          </w:tcPr>
          <w:p w14:paraId="6DA9340B" w14:textId="363F1425" w:rsidR="00226EF3" w:rsidRPr="006E6774" w:rsidRDefault="00A82A82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ADIPOQ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F3E7AD7" w14:textId="4AA06F45" w:rsidR="00226EF3" w:rsidRPr="006E6774" w:rsidRDefault="0066627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226EF3" w:rsidRPr="006E6774">
              <w:rPr>
                <w:rFonts w:ascii="Arial" w:hAnsi="Arial" w:cs="Arial"/>
                <w:sz w:val="22"/>
                <w:szCs w:val="22"/>
              </w:rPr>
              <w:t xml:space="preserve">diponectin </w:t>
            </w:r>
          </w:p>
        </w:tc>
        <w:tc>
          <w:tcPr>
            <w:tcW w:w="7380" w:type="dxa"/>
            <w:tcBorders>
              <w:bottom w:val="single" w:sz="4" w:space="0" w:color="auto"/>
            </w:tcBorders>
          </w:tcPr>
          <w:p w14:paraId="6AFB52DC" w14:textId="17A3369D" w:rsidR="00226EF3" w:rsidRPr="006E6774" w:rsidRDefault="004526B3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E6774">
              <w:rPr>
                <w:rFonts w:ascii="Arial" w:eastAsia="Times New Roman" w:hAnsi="Arial" w:cs="Arial"/>
                <w:sz w:val="22"/>
                <w:szCs w:val="22"/>
              </w:rPr>
              <w:t xml:space="preserve">This gene is expressed in adipose tissue exclusively. </w:t>
            </w:r>
            <w:r w:rsidR="006C728D" w:rsidRPr="006E6774">
              <w:rPr>
                <w:rFonts w:ascii="Arial" w:eastAsia="Times New Roman" w:hAnsi="Arial" w:cs="Arial"/>
                <w:sz w:val="22"/>
                <w:szCs w:val="22"/>
              </w:rPr>
              <w:t>It is an important adipokine involved in the control of fat metabolism and</w:t>
            </w:r>
            <w:r w:rsidR="009D773C" w:rsidRPr="006E6774">
              <w:rPr>
                <w:rFonts w:ascii="Arial" w:eastAsia="Times New Roman" w:hAnsi="Arial" w:cs="Arial"/>
                <w:sz w:val="22"/>
                <w:szCs w:val="22"/>
              </w:rPr>
              <w:t xml:space="preserve"> insulin sensitivity. It is expressed in white, beige, and brown adipose tissue.</w:t>
            </w:r>
          </w:p>
        </w:tc>
      </w:tr>
      <w:tr w:rsidR="009D773C" w:rsidRPr="006E6774" w14:paraId="49EB34A1" w14:textId="77777777" w:rsidTr="00B47758">
        <w:trPr>
          <w:trHeight w:val="225"/>
        </w:trPr>
        <w:tc>
          <w:tcPr>
            <w:tcW w:w="1638" w:type="dxa"/>
            <w:tcBorders>
              <w:top w:val="single" w:sz="4" w:space="0" w:color="auto"/>
            </w:tcBorders>
          </w:tcPr>
          <w:p w14:paraId="6B639384" w14:textId="0809C62A" w:rsidR="009D773C" w:rsidRPr="006E6774" w:rsidRDefault="006E6774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E6774">
              <w:rPr>
                <w:rFonts w:ascii="Arial" w:eastAsia="Times New Roman" w:hAnsi="Arial" w:cs="Arial"/>
                <w:sz w:val="22"/>
                <w:szCs w:val="22"/>
              </w:rPr>
              <w:t>AICDA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61F2CAE" w14:textId="11990572" w:rsidR="009D773C" w:rsidRPr="006E6774" w:rsidRDefault="005F14F4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86572D">
              <w:rPr>
                <w:rFonts w:ascii="Arial" w:hAnsi="Arial" w:cs="Arial"/>
                <w:sz w:val="22"/>
                <w:szCs w:val="22"/>
              </w:rPr>
              <w:t xml:space="preserve">ctivation-induced cytidine deaminase </w:t>
            </w:r>
          </w:p>
        </w:tc>
        <w:tc>
          <w:tcPr>
            <w:tcW w:w="7380" w:type="dxa"/>
            <w:tcBorders>
              <w:top w:val="single" w:sz="4" w:space="0" w:color="auto"/>
            </w:tcBorders>
          </w:tcPr>
          <w:p w14:paraId="5502079F" w14:textId="59BCC6D7" w:rsidR="009D773C" w:rsidRPr="006E6774" w:rsidRDefault="009D773C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E677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61777F">
              <w:rPr>
                <w:rFonts w:ascii="Arial" w:eastAsia="Times New Roman" w:hAnsi="Arial" w:cs="Arial"/>
                <w:sz w:val="22"/>
                <w:szCs w:val="22"/>
              </w:rPr>
              <w:t xml:space="preserve">This gene encodes a RNA-editing deaminase that is a member of the cytidine deaminase family. </w:t>
            </w:r>
          </w:p>
        </w:tc>
      </w:tr>
      <w:tr w:rsidR="00226EF3" w:rsidRPr="006E6774" w14:paraId="717E54C8" w14:textId="77777777" w:rsidTr="00B47758">
        <w:trPr>
          <w:trHeight w:val="786"/>
        </w:trPr>
        <w:tc>
          <w:tcPr>
            <w:tcW w:w="1638" w:type="dxa"/>
          </w:tcPr>
          <w:p w14:paraId="02D760F7" w14:textId="265EE448" w:rsidR="00226EF3" w:rsidRPr="004B1BB1" w:rsidRDefault="004B1BB1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FABP4</w:t>
            </w:r>
            <w:r w:rsidR="00226EF3" w:rsidRPr="004B1BB1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14:paraId="1BAF90D7" w14:textId="7196E9E8" w:rsidR="00226EF3" w:rsidRPr="006E6774" w:rsidRDefault="00674C7C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A</w:t>
            </w:r>
            <w:r w:rsidR="001F001F">
              <w:rPr>
                <w:rFonts w:ascii="Arial" w:eastAsia="Times New Roman" w:hAnsi="Arial" w:cs="Arial"/>
                <w:sz w:val="22"/>
                <w:szCs w:val="22"/>
              </w:rPr>
              <w:t>dipocyte protein 2, fatty acid binding protein 4</w:t>
            </w:r>
          </w:p>
        </w:tc>
        <w:tc>
          <w:tcPr>
            <w:tcW w:w="7380" w:type="dxa"/>
          </w:tcPr>
          <w:p w14:paraId="395448EC" w14:textId="39070E0A" w:rsidR="00226EF3" w:rsidRPr="006E6774" w:rsidRDefault="00A549C9" w:rsidP="00B477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This gene encodes the fatty acid binding protein found in adipocytes. Its roles include fatty acid uptake, transport, and metabolism. </w:t>
            </w:r>
            <w:r w:rsidR="008C2812">
              <w:rPr>
                <w:rFonts w:ascii="Arial" w:hAnsi="Arial" w:cs="Arial"/>
                <w:sz w:val="22"/>
                <w:szCs w:val="22"/>
              </w:rPr>
              <w:t>A</w:t>
            </w:r>
            <w:r w:rsidR="00226EF3" w:rsidRPr="006E6774">
              <w:rPr>
                <w:rFonts w:ascii="Arial" w:hAnsi="Arial" w:cs="Arial"/>
                <w:sz w:val="22"/>
                <w:szCs w:val="22"/>
              </w:rPr>
              <w:t>fter 10 days of 3T3-L1 differentiation, aP2 was induced 150-fold in differentiated adipocytes</w:t>
            </w:r>
            <w:r w:rsidR="008C2812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226EF3" w:rsidRPr="006E6774" w14:paraId="46E8295B" w14:textId="77777777" w:rsidTr="00B47758">
        <w:trPr>
          <w:trHeight w:val="804"/>
        </w:trPr>
        <w:tc>
          <w:tcPr>
            <w:tcW w:w="1638" w:type="dxa"/>
          </w:tcPr>
          <w:p w14:paraId="16876EB3" w14:textId="526C4635" w:rsidR="00226EF3" w:rsidRPr="006E6774" w:rsidRDefault="006603E8" w:rsidP="00062497">
            <w:pPr>
              <w:rPr>
                <w:rFonts w:ascii="Arial" w:eastAsia="Times New Roman" w:hAnsi="Arial" w:cs="Arial"/>
                <w:sz w:val="22"/>
                <w:szCs w:val="22"/>
                <w:highlight w:val="yellow"/>
              </w:rPr>
            </w:pPr>
            <w:r w:rsidRPr="006E6774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CF5F2D">
              <w:rPr>
                <w:rFonts w:ascii="Arial" w:eastAsia="Times New Roman" w:hAnsi="Arial" w:cs="Arial"/>
                <w:sz w:val="22"/>
                <w:szCs w:val="22"/>
              </w:rPr>
              <w:t>ARID1A</w:t>
            </w:r>
          </w:p>
        </w:tc>
        <w:tc>
          <w:tcPr>
            <w:tcW w:w="2160" w:type="dxa"/>
          </w:tcPr>
          <w:p w14:paraId="64AE8E2F" w14:textId="05025C46" w:rsidR="00226EF3" w:rsidRPr="006E6774" w:rsidRDefault="006603E8" w:rsidP="00B47758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Cs/>
                <w:kern w:val="36"/>
                <w:sz w:val="22"/>
                <w:szCs w:val="22"/>
                <w:highlight w:val="yellow"/>
              </w:rPr>
            </w:pPr>
            <w:r w:rsidRPr="006E6774">
              <w:rPr>
                <w:rFonts w:ascii="Arial" w:eastAsia="Times New Roman" w:hAnsi="Arial" w:cs="Arial"/>
                <w:bCs/>
                <w:kern w:val="36"/>
                <w:sz w:val="22"/>
                <w:szCs w:val="22"/>
              </w:rPr>
              <w:t>AT rich interactive domain 1A</w:t>
            </w:r>
          </w:p>
        </w:tc>
        <w:tc>
          <w:tcPr>
            <w:tcW w:w="7380" w:type="dxa"/>
          </w:tcPr>
          <w:p w14:paraId="17919404" w14:textId="067906A0" w:rsidR="00226EF3" w:rsidRPr="006E6774" w:rsidRDefault="006F5855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E6774">
              <w:rPr>
                <w:rFonts w:ascii="Arial" w:eastAsia="Times New Roman" w:hAnsi="Arial" w:cs="Arial"/>
                <w:sz w:val="22"/>
                <w:szCs w:val="22"/>
              </w:rPr>
              <w:t xml:space="preserve">This gene encodes a member of the SWI/SNF family, which have helicase and ATPase activities and are able to regulate transcription of certain genes by altering the chromatin structure around those genes. </w:t>
            </w:r>
            <w:r w:rsidR="004727C4" w:rsidRPr="006E6774">
              <w:rPr>
                <w:rFonts w:ascii="Arial" w:eastAsia="Times New Roman" w:hAnsi="Arial" w:cs="Arial"/>
                <w:sz w:val="22"/>
                <w:szCs w:val="22"/>
              </w:rPr>
              <w:t>It is r</w:t>
            </w:r>
            <w:r w:rsidR="00226EF3" w:rsidRPr="006E6774">
              <w:rPr>
                <w:rFonts w:ascii="Arial" w:eastAsia="Times New Roman" w:hAnsi="Arial" w:cs="Arial"/>
                <w:sz w:val="22"/>
                <w:szCs w:val="22"/>
              </w:rPr>
              <w:t>equired for adipogenesis from ES cells</w:t>
            </w:r>
            <w:r w:rsidR="004727C4" w:rsidRPr="006E6774">
              <w:rPr>
                <w:rFonts w:ascii="Arial" w:eastAsia="Times New Roman" w:hAnsi="Arial" w:cs="Arial"/>
                <w:sz w:val="22"/>
                <w:szCs w:val="22"/>
              </w:rPr>
              <w:t xml:space="preserve">. Controls Sox2, Utf1, and Oct4 expressin. </w:t>
            </w:r>
          </w:p>
        </w:tc>
      </w:tr>
      <w:tr w:rsidR="00226EF3" w:rsidRPr="006E6774" w14:paraId="109F9CD8" w14:textId="77777777" w:rsidTr="00B47758">
        <w:trPr>
          <w:trHeight w:val="804"/>
        </w:trPr>
        <w:tc>
          <w:tcPr>
            <w:tcW w:w="1638" w:type="dxa"/>
          </w:tcPr>
          <w:p w14:paraId="538761F9" w14:textId="2DA756D8" w:rsidR="00226EF3" w:rsidRPr="00AF2522" w:rsidRDefault="00AF2522" w:rsidP="007237F0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AF2522">
              <w:rPr>
                <w:rFonts w:ascii="Arial" w:hAnsi="Arial" w:cs="Arial"/>
                <w:sz w:val="22"/>
                <w:szCs w:val="22"/>
              </w:rPr>
              <w:t>CARM1</w:t>
            </w:r>
          </w:p>
        </w:tc>
        <w:tc>
          <w:tcPr>
            <w:tcW w:w="2160" w:type="dxa"/>
          </w:tcPr>
          <w:p w14:paraId="5547A259" w14:textId="526BB2D4" w:rsidR="00226EF3" w:rsidRPr="006E6774" w:rsidRDefault="00DA0C0A" w:rsidP="00B4775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</w:t>
            </w:r>
            <w:r w:rsidR="00AF2522" w:rsidRPr="00AF2522">
              <w:rPr>
                <w:rFonts w:ascii="Arial" w:hAnsi="Arial" w:cs="Arial"/>
                <w:noProof/>
                <w:sz w:val="22"/>
                <w:szCs w:val="22"/>
              </w:rPr>
              <w:t>oactivator-associated arginine methyltransferase 1</w:t>
            </w:r>
          </w:p>
        </w:tc>
        <w:tc>
          <w:tcPr>
            <w:tcW w:w="7380" w:type="dxa"/>
          </w:tcPr>
          <w:p w14:paraId="382C254C" w14:textId="535F03B1" w:rsidR="00226EF3" w:rsidRPr="006E6774" w:rsidRDefault="00AF2522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This gene belongs to the protein arginine methyltransferase (PRMT) family. </w:t>
            </w:r>
            <w:r w:rsidR="003B57ED">
              <w:rPr>
                <w:rFonts w:ascii="Arial" w:hAnsi="Arial" w:cs="Arial"/>
                <w:noProof/>
                <w:sz w:val="22"/>
                <w:szCs w:val="22"/>
              </w:rPr>
              <w:t>It methylates histone H3 at Arg-17(H3R17me), forming</w:t>
            </w:r>
            <w:r w:rsidR="00885C64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AF2522">
              <w:rPr>
                <w:rFonts w:ascii="Arial" w:hAnsi="Arial" w:cs="Arial"/>
                <w:noProof/>
                <w:sz w:val="22"/>
                <w:szCs w:val="22"/>
              </w:rPr>
              <w:t>H3R17me2</w:t>
            </w:r>
            <w:r w:rsidR="003B57ED">
              <w:rPr>
                <w:rFonts w:ascii="Arial" w:hAnsi="Arial" w:cs="Arial"/>
                <w:noProof/>
                <w:sz w:val="22"/>
                <w:szCs w:val="22"/>
              </w:rPr>
              <w:t xml:space="preserve">, leading to activate transcription via chromatin remodeling. </w:t>
            </w:r>
          </w:p>
        </w:tc>
      </w:tr>
      <w:tr w:rsidR="00226EF3" w:rsidRPr="006E6774" w14:paraId="2C1C4BF2" w14:textId="77777777" w:rsidTr="00B47758">
        <w:tc>
          <w:tcPr>
            <w:tcW w:w="1638" w:type="dxa"/>
          </w:tcPr>
          <w:p w14:paraId="5650C1D7" w14:textId="1EE2266E" w:rsidR="00226EF3" w:rsidRPr="006E6774" w:rsidRDefault="00BD46C4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CD31/PECAM-1</w:t>
            </w:r>
          </w:p>
        </w:tc>
        <w:tc>
          <w:tcPr>
            <w:tcW w:w="2160" w:type="dxa"/>
          </w:tcPr>
          <w:p w14:paraId="732937DC" w14:textId="234454B2" w:rsidR="00226EF3" w:rsidRPr="006E6774" w:rsidRDefault="006670BA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BD46C4">
              <w:rPr>
                <w:rFonts w:ascii="Arial" w:hAnsi="Arial" w:cs="Arial"/>
                <w:sz w:val="22"/>
                <w:szCs w:val="22"/>
              </w:rPr>
              <w:t>luster of differentiation 31</w:t>
            </w:r>
          </w:p>
        </w:tc>
        <w:tc>
          <w:tcPr>
            <w:tcW w:w="7380" w:type="dxa"/>
          </w:tcPr>
          <w:p w14:paraId="0F50DC33" w14:textId="365517BB" w:rsidR="00226EF3" w:rsidRPr="006E6774" w:rsidRDefault="002E612B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This protein is found on the surface of platelets, monocytes, neutrophils, and some types of T-cells, and makes up a large portion of endothelial cell intercellular junctions. </w:t>
            </w:r>
          </w:p>
        </w:tc>
      </w:tr>
      <w:tr w:rsidR="00226EF3" w:rsidRPr="006E6774" w14:paraId="59FD67A0" w14:textId="77777777" w:rsidTr="00B47758">
        <w:tc>
          <w:tcPr>
            <w:tcW w:w="1638" w:type="dxa"/>
          </w:tcPr>
          <w:p w14:paraId="549A5E53" w14:textId="1EA696A0" w:rsidR="00226EF3" w:rsidRPr="009129D0" w:rsidRDefault="00F67638" w:rsidP="00B47758">
            <w:pPr>
              <w:rPr>
                <w:rFonts w:ascii="Arial" w:hAnsi="Arial" w:cs="Arial"/>
                <w:sz w:val="22"/>
                <w:szCs w:val="22"/>
              </w:rPr>
            </w:pPr>
            <w:r w:rsidRPr="009129D0">
              <w:rPr>
                <w:rFonts w:ascii="Arial" w:hAnsi="Arial" w:cs="Arial"/>
                <w:color w:val="000000"/>
                <w:sz w:val="22"/>
                <w:szCs w:val="22"/>
              </w:rPr>
              <w:t>DNMT1</w:t>
            </w:r>
          </w:p>
        </w:tc>
        <w:tc>
          <w:tcPr>
            <w:tcW w:w="2160" w:type="dxa"/>
          </w:tcPr>
          <w:p w14:paraId="41218712" w14:textId="57CA9ECE" w:rsidR="00226EF3" w:rsidRPr="006E6774" w:rsidRDefault="00F270F3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DNA methyltransferase 1</w:t>
            </w:r>
          </w:p>
        </w:tc>
        <w:tc>
          <w:tcPr>
            <w:tcW w:w="7380" w:type="dxa"/>
          </w:tcPr>
          <w:p w14:paraId="73CEB248" w14:textId="37FCB121" w:rsidR="00F67638" w:rsidRPr="006E6774" w:rsidRDefault="004E5747" w:rsidP="00B477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DNMT1 has a role in the establishment and regulation of tissue-specific patterns of methylated cytosine residues. </w:t>
            </w:r>
            <w:r w:rsidR="00F67638" w:rsidRPr="006E6774">
              <w:rPr>
                <w:rFonts w:ascii="Arial" w:hAnsi="Arial" w:cs="Arial"/>
                <w:color w:val="000000"/>
                <w:sz w:val="22"/>
                <w:szCs w:val="22"/>
              </w:rPr>
              <w:t>DNA methyltransferases preserve the</w:t>
            </w:r>
          </w:p>
          <w:p w14:paraId="3E478D1D" w14:textId="4C69DB1B" w:rsidR="00226EF3" w:rsidRPr="006E6774" w:rsidRDefault="00F67638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E6774">
              <w:rPr>
                <w:rFonts w:ascii="Arial" w:hAnsi="Arial" w:cs="Arial"/>
                <w:color w:val="000000"/>
                <w:sz w:val="22"/>
                <w:szCs w:val="22"/>
              </w:rPr>
              <w:t>methylation pattern of the parent cell during mitosis by methylating the nonconserved strand during replication (</w:t>
            </w:r>
            <w:r w:rsidRPr="006E307E">
              <w:rPr>
                <w:rFonts w:ascii="Arial" w:hAnsi="Arial" w:cs="Arial"/>
                <w:color w:val="FF0000"/>
                <w:sz w:val="22"/>
                <w:szCs w:val="22"/>
              </w:rPr>
              <w:t>Okano et al., 1999</w:t>
            </w:r>
            <w:r w:rsidRPr="006E6774">
              <w:rPr>
                <w:rFonts w:ascii="Arial" w:hAnsi="Arial" w:cs="Arial"/>
                <w:color w:val="000000"/>
                <w:sz w:val="22"/>
                <w:szCs w:val="22"/>
              </w:rPr>
              <w:t xml:space="preserve">). </w:t>
            </w:r>
          </w:p>
        </w:tc>
      </w:tr>
      <w:tr w:rsidR="00226EF3" w:rsidRPr="006E6774" w14:paraId="5F02879F" w14:textId="77777777" w:rsidTr="00B47758">
        <w:tc>
          <w:tcPr>
            <w:tcW w:w="1638" w:type="dxa"/>
          </w:tcPr>
          <w:p w14:paraId="697D5A03" w14:textId="531D6DBB" w:rsidR="00226EF3" w:rsidRPr="00E018BD" w:rsidRDefault="00E018BD" w:rsidP="00B47758">
            <w:pPr>
              <w:rPr>
                <w:rFonts w:ascii="Arial" w:hAnsi="Arial" w:cs="Arial"/>
                <w:sz w:val="22"/>
                <w:szCs w:val="22"/>
              </w:rPr>
            </w:pPr>
            <w:r w:rsidRPr="00E018BD">
              <w:rPr>
                <w:rFonts w:ascii="Arial" w:hAnsi="Arial" w:cs="Arial"/>
                <w:color w:val="000000"/>
                <w:sz w:val="22"/>
                <w:szCs w:val="22"/>
              </w:rPr>
              <w:t>DNMT3A</w:t>
            </w:r>
          </w:p>
        </w:tc>
        <w:tc>
          <w:tcPr>
            <w:tcW w:w="2160" w:type="dxa"/>
          </w:tcPr>
          <w:p w14:paraId="08F30CB8" w14:textId="4BE6B127" w:rsidR="00226EF3" w:rsidRPr="006E6774" w:rsidRDefault="00E018BD" w:rsidP="00B47758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DNA methyltransferase 3A</w:t>
            </w:r>
          </w:p>
        </w:tc>
        <w:tc>
          <w:tcPr>
            <w:tcW w:w="7380" w:type="dxa"/>
          </w:tcPr>
          <w:p w14:paraId="6F3BAA56" w14:textId="1537CA7E" w:rsidR="00226EF3" w:rsidRPr="006E6774" w:rsidRDefault="006C4DA9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DNMT3A is required for genome-wide de novo methylation and is essential for the establishment of DNA methylation patterns during development. </w:t>
            </w:r>
          </w:p>
        </w:tc>
      </w:tr>
      <w:tr w:rsidR="00226EF3" w:rsidRPr="006E6774" w14:paraId="0E8BBA1D" w14:textId="77777777" w:rsidTr="00B47758">
        <w:tc>
          <w:tcPr>
            <w:tcW w:w="1638" w:type="dxa"/>
          </w:tcPr>
          <w:p w14:paraId="7F19CBA1" w14:textId="78036F04" w:rsidR="00226EF3" w:rsidRPr="00487A66" w:rsidRDefault="00487A66" w:rsidP="00B47758">
            <w:pPr>
              <w:rPr>
                <w:rFonts w:ascii="Arial" w:hAnsi="Arial" w:cs="Arial"/>
                <w:sz w:val="22"/>
                <w:szCs w:val="22"/>
              </w:rPr>
            </w:pPr>
            <w:r w:rsidRPr="00487A66">
              <w:rPr>
                <w:rFonts w:ascii="Arial" w:hAnsi="Arial" w:cs="Arial"/>
                <w:sz w:val="22"/>
                <w:szCs w:val="22"/>
              </w:rPr>
              <w:t>ERG3</w:t>
            </w:r>
          </w:p>
        </w:tc>
        <w:tc>
          <w:tcPr>
            <w:tcW w:w="2160" w:type="dxa"/>
          </w:tcPr>
          <w:p w14:paraId="1BA5DCC5" w14:textId="5389DBB4" w:rsidR="00226EF3" w:rsidRPr="00AF2522" w:rsidRDefault="006670BA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E</w:t>
            </w:r>
            <w:r w:rsidR="00730819">
              <w:rPr>
                <w:rFonts w:ascii="Arial" w:eastAsia="Times New Roman" w:hAnsi="Arial" w:cs="Arial"/>
                <w:sz w:val="22"/>
                <w:szCs w:val="22"/>
              </w:rPr>
              <w:t>arly growth response protein 3</w:t>
            </w:r>
          </w:p>
        </w:tc>
        <w:tc>
          <w:tcPr>
            <w:tcW w:w="7380" w:type="dxa"/>
          </w:tcPr>
          <w:p w14:paraId="45134004" w14:textId="0150F58C" w:rsidR="00226EF3" w:rsidRPr="00AF2522" w:rsidRDefault="00BE3360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This gene encodes a transcriptional regulator that belongs to the EGR family of C2H2-type zinc-finger proteins. It plays a role in muscle development, lymphocyte development, endothelial cell growth and migration. </w:t>
            </w:r>
            <w:r w:rsidR="00AF1808">
              <w:rPr>
                <w:rFonts w:ascii="Arial" w:eastAsia="Times New Roman" w:hAnsi="Arial" w:cs="Arial"/>
                <w:sz w:val="22"/>
                <w:szCs w:val="22"/>
              </w:rPr>
              <w:t>It is a sterol C5-desaturase involved in cholesterol biosynthesis (</w:t>
            </w:r>
            <w:r w:rsidR="00AF1808" w:rsidRPr="006E307E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Acimovic et al., 2011</w:t>
            </w:r>
            <w:r w:rsidR="00AF1808">
              <w:rPr>
                <w:rFonts w:ascii="Arial" w:eastAsia="Times New Roman" w:hAnsi="Arial" w:cs="Arial"/>
                <w:sz w:val="22"/>
                <w:szCs w:val="22"/>
              </w:rPr>
              <w:t>).</w:t>
            </w:r>
          </w:p>
        </w:tc>
      </w:tr>
      <w:tr w:rsidR="00226EF3" w:rsidRPr="006E6774" w14:paraId="27916A82" w14:textId="77777777" w:rsidTr="00B47758">
        <w:tc>
          <w:tcPr>
            <w:tcW w:w="1638" w:type="dxa"/>
          </w:tcPr>
          <w:p w14:paraId="216FAA27" w14:textId="2174AA2A" w:rsidR="00226EF3" w:rsidRPr="00F50ECE" w:rsidRDefault="00657FBC" w:rsidP="00B47758">
            <w:pPr>
              <w:rPr>
                <w:rFonts w:ascii="Arial" w:hAnsi="Arial" w:cs="Arial"/>
                <w:sz w:val="22"/>
                <w:szCs w:val="22"/>
              </w:rPr>
            </w:pPr>
            <w:r w:rsidRPr="00F50ECE">
              <w:rPr>
                <w:rFonts w:ascii="Arial" w:eastAsia="Times New Roman" w:hAnsi="Arial" w:cs="Arial"/>
                <w:sz w:val="22"/>
                <w:szCs w:val="22"/>
              </w:rPr>
              <w:t>GATA2</w:t>
            </w:r>
          </w:p>
        </w:tc>
        <w:tc>
          <w:tcPr>
            <w:tcW w:w="2160" w:type="dxa"/>
          </w:tcPr>
          <w:p w14:paraId="53DF55CF" w14:textId="2234EB66" w:rsidR="00226EF3" w:rsidRPr="006E6774" w:rsidRDefault="00F50ECE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GATA binding protein 2 </w:t>
            </w:r>
          </w:p>
        </w:tc>
        <w:tc>
          <w:tcPr>
            <w:tcW w:w="7380" w:type="dxa"/>
          </w:tcPr>
          <w:p w14:paraId="39EBD684" w14:textId="3572EA4D" w:rsidR="00226EF3" w:rsidRPr="006E6774" w:rsidRDefault="00CF5E4E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It promotes the different</w:t>
            </w:r>
            <w:r w:rsidR="001631AA">
              <w:rPr>
                <w:rFonts w:ascii="Arial" w:eastAsia="Times New Roman" w:hAnsi="Arial" w:cs="Arial"/>
                <w:sz w:val="22"/>
                <w:szCs w:val="22"/>
              </w:rPr>
              <w:t>iation of MSCs into adipocytes (</w:t>
            </w:r>
            <w:r w:rsidR="001631AA" w:rsidRPr="001631AA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Kamata et al., 2014</w:t>
            </w:r>
            <w:r w:rsidR="001631AA">
              <w:rPr>
                <w:rFonts w:ascii="Arial" w:eastAsia="Times New Roman" w:hAnsi="Arial" w:cs="Arial"/>
                <w:sz w:val="22"/>
                <w:szCs w:val="22"/>
              </w:rPr>
              <w:t>)</w:t>
            </w:r>
            <w:r w:rsidR="00FE4C7E">
              <w:rPr>
                <w:rFonts w:ascii="Arial" w:eastAsia="Times New Roman" w:hAnsi="Arial" w:cs="Arial"/>
                <w:sz w:val="22"/>
                <w:szCs w:val="22"/>
              </w:rPr>
              <w:t xml:space="preserve">. </w:t>
            </w:r>
          </w:p>
        </w:tc>
      </w:tr>
      <w:tr w:rsidR="00226EF3" w:rsidRPr="006E6774" w14:paraId="06467E33" w14:textId="77777777" w:rsidTr="00B47758">
        <w:tc>
          <w:tcPr>
            <w:tcW w:w="1638" w:type="dxa"/>
          </w:tcPr>
          <w:p w14:paraId="10AFCDED" w14:textId="45AB5F7D" w:rsidR="00226EF3" w:rsidRPr="00D16E68" w:rsidRDefault="00BC3D25" w:rsidP="00B47758">
            <w:pPr>
              <w:rPr>
                <w:rFonts w:ascii="Arial" w:hAnsi="Arial" w:cs="Arial"/>
                <w:sz w:val="22"/>
                <w:szCs w:val="22"/>
              </w:rPr>
            </w:pPr>
            <w:r w:rsidRPr="00D16E68">
              <w:rPr>
                <w:rFonts w:ascii="Arial" w:eastAsia="Times New Roman" w:hAnsi="Arial" w:cs="Arial"/>
                <w:sz w:val="22"/>
                <w:szCs w:val="22"/>
              </w:rPr>
              <w:t>HDAC2</w:t>
            </w:r>
          </w:p>
        </w:tc>
        <w:tc>
          <w:tcPr>
            <w:tcW w:w="2160" w:type="dxa"/>
          </w:tcPr>
          <w:p w14:paraId="437BC8A0" w14:textId="2538180C" w:rsidR="00226EF3" w:rsidRPr="006E6774" w:rsidRDefault="00EE0DFC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H</w:t>
            </w:r>
            <w:r w:rsidR="00D16E68">
              <w:rPr>
                <w:rFonts w:ascii="Arial" w:eastAsia="Times New Roman" w:hAnsi="Arial" w:cs="Arial"/>
                <w:sz w:val="22"/>
                <w:szCs w:val="22"/>
              </w:rPr>
              <w:t>istone lysine deacetylase 2</w:t>
            </w:r>
          </w:p>
        </w:tc>
        <w:tc>
          <w:tcPr>
            <w:tcW w:w="7380" w:type="dxa"/>
          </w:tcPr>
          <w:p w14:paraId="7ECC7F8F" w14:textId="24FF1CC0" w:rsidR="00226EF3" w:rsidRPr="006E6774" w:rsidRDefault="00F106AC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It is responsible for the deacetylation of lysine residue at the N-terminal regions of core histones. It plays an important role in transcription regulation, cell cycle progression and development. </w:t>
            </w:r>
          </w:p>
        </w:tc>
      </w:tr>
      <w:tr w:rsidR="00226EF3" w:rsidRPr="006E6774" w14:paraId="7E5B48A9" w14:textId="77777777" w:rsidTr="00B47758">
        <w:tc>
          <w:tcPr>
            <w:tcW w:w="1638" w:type="dxa"/>
          </w:tcPr>
          <w:p w14:paraId="596417B5" w14:textId="595CE645" w:rsidR="00226EF3" w:rsidRPr="00D16E68" w:rsidRDefault="00BC3D25" w:rsidP="00B47758">
            <w:pPr>
              <w:rPr>
                <w:rFonts w:ascii="Arial" w:hAnsi="Arial" w:cs="Arial"/>
                <w:sz w:val="22"/>
                <w:szCs w:val="22"/>
              </w:rPr>
            </w:pPr>
            <w:r w:rsidRPr="00D16E68">
              <w:rPr>
                <w:rFonts w:ascii="Arial" w:eastAsia="Times New Roman" w:hAnsi="Arial" w:cs="Arial"/>
                <w:sz w:val="22"/>
                <w:szCs w:val="22"/>
              </w:rPr>
              <w:t>HDAC3</w:t>
            </w:r>
          </w:p>
        </w:tc>
        <w:tc>
          <w:tcPr>
            <w:tcW w:w="2160" w:type="dxa"/>
          </w:tcPr>
          <w:p w14:paraId="6FEE68E5" w14:textId="5A47824F" w:rsidR="00226EF3" w:rsidRPr="006E6774" w:rsidRDefault="00650A40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H</w:t>
            </w:r>
            <w:r w:rsidR="00D16E68">
              <w:rPr>
                <w:rFonts w:ascii="Arial" w:eastAsia="Times New Roman" w:hAnsi="Arial" w:cs="Arial"/>
                <w:sz w:val="22"/>
                <w:szCs w:val="22"/>
              </w:rPr>
              <w:t>istone lysine deacetylase 3</w:t>
            </w:r>
          </w:p>
        </w:tc>
        <w:tc>
          <w:tcPr>
            <w:tcW w:w="7380" w:type="dxa"/>
          </w:tcPr>
          <w:p w14:paraId="283B19D8" w14:textId="4B6584E7" w:rsidR="00226EF3" w:rsidRPr="006E6774" w:rsidRDefault="00E04C6F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It plays a critical role in transcription regulation, cell cycle progression, and development. It has deacetylase activity and represses transcription when tethered to a promoter. </w:t>
            </w:r>
          </w:p>
        </w:tc>
      </w:tr>
      <w:tr w:rsidR="00226EF3" w:rsidRPr="006E6774" w14:paraId="23650C78" w14:textId="77777777" w:rsidTr="00B47758">
        <w:tc>
          <w:tcPr>
            <w:tcW w:w="1638" w:type="dxa"/>
          </w:tcPr>
          <w:p w14:paraId="0EFF6965" w14:textId="418B58F1" w:rsidR="00226EF3" w:rsidRPr="006E6774" w:rsidRDefault="00BB004E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IKZF1</w:t>
            </w:r>
          </w:p>
        </w:tc>
        <w:tc>
          <w:tcPr>
            <w:tcW w:w="2160" w:type="dxa"/>
          </w:tcPr>
          <w:p w14:paraId="777AEDAD" w14:textId="0C5B1AAE" w:rsidR="00226EF3" w:rsidRPr="006E6774" w:rsidRDefault="00BB004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Ikaros family zinc finger protein 1 </w:t>
            </w:r>
          </w:p>
        </w:tc>
        <w:tc>
          <w:tcPr>
            <w:tcW w:w="7380" w:type="dxa"/>
          </w:tcPr>
          <w:p w14:paraId="41FD0992" w14:textId="44477E2B" w:rsidR="00226EF3" w:rsidRPr="006B075D" w:rsidRDefault="006B075D" w:rsidP="00B47758">
            <w:pPr>
              <w:rPr>
                <w:rFonts w:ascii="Arial" w:eastAsia="Times New Roman" w:hAnsi="Arial" w:cs="Arial"/>
                <w:sz w:val="22"/>
                <w:szCs w:val="22"/>
                <w:u w:val="double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The gene encodes a transcription factor that belongs to the family of zinc-finger DNA-binding proteins associated with chromatin remodeling. The expression of this protein is restricted to the hemo-lymphopoietic system, and it functions as a regulator of lymphocyte differentiation. </w:t>
            </w:r>
          </w:p>
        </w:tc>
      </w:tr>
      <w:tr w:rsidR="00226EF3" w:rsidRPr="006E6774" w14:paraId="4B16667A" w14:textId="77777777" w:rsidTr="00B47758">
        <w:trPr>
          <w:trHeight w:val="521"/>
        </w:trPr>
        <w:tc>
          <w:tcPr>
            <w:tcW w:w="1638" w:type="dxa"/>
            <w:tcBorders>
              <w:bottom w:val="single" w:sz="4" w:space="0" w:color="auto"/>
            </w:tcBorders>
          </w:tcPr>
          <w:p w14:paraId="769C16AE" w14:textId="109D193F" w:rsidR="00226EF3" w:rsidRPr="000C0ABF" w:rsidRDefault="000C0ABF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0C0ABF">
              <w:rPr>
                <w:rFonts w:ascii="Arial" w:eastAsia="Times New Roman" w:hAnsi="Arial" w:cs="Arial"/>
                <w:sz w:val="22"/>
                <w:szCs w:val="22"/>
              </w:rPr>
              <w:t>IHH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D1F0F2A" w14:textId="18BEE9EE" w:rsidR="00226EF3" w:rsidRPr="000C0ABF" w:rsidRDefault="00004AFB" w:rsidP="00B47758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0C0ABF" w:rsidRPr="006E6774">
              <w:rPr>
                <w:rFonts w:ascii="Arial" w:hAnsi="Arial" w:cs="Arial"/>
                <w:sz w:val="22"/>
                <w:szCs w:val="22"/>
              </w:rPr>
              <w:t>ndian Hedgehog</w:t>
            </w:r>
          </w:p>
        </w:tc>
        <w:tc>
          <w:tcPr>
            <w:tcW w:w="7380" w:type="dxa"/>
            <w:tcBorders>
              <w:bottom w:val="single" w:sz="4" w:space="0" w:color="auto"/>
            </w:tcBorders>
          </w:tcPr>
          <w:p w14:paraId="06ECF241" w14:textId="1D8B6545" w:rsidR="00226EF3" w:rsidRPr="000C0ABF" w:rsidRDefault="005A5D34" w:rsidP="00B4775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IHH is present in preadipocytes and its expression</w:t>
            </w:r>
            <w:r w:rsidR="00D37C00">
              <w:rPr>
                <w:rFonts w:ascii="Arial" w:hAnsi="Arial" w:cs="Arial"/>
                <w:sz w:val="22"/>
                <w:szCs w:val="22"/>
              </w:rPr>
              <w:t xml:space="preserve"> decreases upon differentiation</w:t>
            </w:r>
            <w:r w:rsidR="000C0ABF" w:rsidRPr="006E6774">
              <w:rPr>
                <w:rFonts w:ascii="Arial" w:hAnsi="Arial" w:cs="Arial"/>
                <w:sz w:val="22"/>
                <w:szCs w:val="22"/>
              </w:rPr>
              <w:t>.</w:t>
            </w:r>
            <w:r w:rsidR="00D37C00">
              <w:rPr>
                <w:rFonts w:ascii="Arial" w:hAnsi="Arial" w:cs="Arial"/>
                <w:sz w:val="22"/>
                <w:szCs w:val="22"/>
              </w:rPr>
              <w:t xml:space="preserve"> As mesenchymal cells commit into adipocytes they lose</w:t>
            </w:r>
            <w:r w:rsidR="002A43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7758">
              <w:rPr>
                <w:rFonts w:ascii="Arial" w:hAnsi="Arial" w:cs="Arial"/>
                <w:sz w:val="22"/>
                <w:szCs w:val="22"/>
              </w:rPr>
              <w:t xml:space="preserve"> their ability to express Ihh </w:t>
            </w:r>
            <w:r w:rsidR="00B47758">
              <w:rPr>
                <w:rFonts w:cs="Arial"/>
                <w:szCs w:val="22"/>
              </w:rPr>
              <w:fldChar w:fldCharType="begin"/>
            </w:r>
            <w:r w:rsidR="00B47758">
              <w:rPr>
                <w:rFonts w:ascii="Arial" w:hAnsi="Arial" w:cs="Arial"/>
                <w:sz w:val="22"/>
                <w:szCs w:val="22"/>
              </w:rPr>
              <w:instrText xml:space="preserve"> ADDIN EN.CITE &lt;EndNote&gt;&lt;Cite&gt;&lt;Author&gt;Cousin&lt;/Author&gt;&lt;Year&gt;2006&lt;/Year&gt;&lt;RecNum&gt;202&lt;/RecNum&gt;&lt;DisplayText&gt;(Cousin, Dani et al. 2006)&lt;/DisplayText&gt;&lt;record&gt;&lt;rec-number&gt;202&lt;/rec-number&gt;&lt;foreign-keys&gt;&lt;key app="EN" db-id="z22pzwsr80wp5kezdw8padzdrdr2xzd5fp55" timestamp="1443119078"&gt;202&lt;/key&gt;&lt;/foreign-keys&gt;&lt;ref-type name="Journal Article"&gt;17&lt;/ref-type&gt;&lt;contributors&gt;&lt;authors&gt;&lt;author&gt;Cousin, W.&lt;/author&gt;&lt;author&gt;Dani, C.&lt;/author&gt;&lt;author&gt;Peraldi, P.&lt;/author&gt;&lt;/authors&gt;&lt;/contributors&gt;&lt;auth-address&gt;Institute of Signaling, Developmental Biology and Cancer CNRS UMR6543, Universite de Nice Sophia-Antipolis, Stem Cells and Differentiation, Nice, France.&lt;/auth-address&gt;&lt;titles&gt;&lt;title&gt;Inhibition of the anti-adipogenic Hedgehog signaling pathway by cyclopamine does not trigger adipocyte differentiation&lt;/title&gt;&lt;secondary-title&gt;Biochem Biophys Res Commun&lt;/secondary-title&gt;&lt;/titles&gt;&lt;periodical&gt;&lt;full-title&gt;Biochem Biophys Res Commun&lt;/full-title&gt;&lt;/periodical&gt;&lt;pages&gt;799-803&lt;/pages&gt;&lt;volume&gt;349&lt;/volume&gt;&lt;number&gt;2&lt;/number&gt;&lt;keywords&gt;&lt;keyword&gt;1-Methyl-3-isobutylxanthine/pharmacology&lt;/keyword&gt;&lt;keyword&gt;3T3-L1 Cells&lt;/keyword&gt;&lt;keyword&gt;Adipocytes/*cytology/metabolism&lt;/keyword&gt;&lt;keyword&gt;Animals&lt;/keyword&gt;&lt;keyword&gt;Cell Differentiation&lt;/keyword&gt;&lt;keyword&gt;Dexamethasone/pharmacology&lt;/keyword&gt;&lt;keyword&gt;Hedgehog Proteins&lt;/keyword&gt;&lt;keyword&gt;Insulin/metabolism&lt;/keyword&gt;&lt;keyword&gt;Lipodystrophy/metabolism&lt;/keyword&gt;&lt;keyword&gt;Mice&lt;/keyword&gt;&lt;keyword&gt;Oncogene Proteins/metabolism&lt;/keyword&gt;&lt;keyword&gt;Signal Transduction&lt;/keyword&gt;&lt;keyword&gt;Time Factors&lt;/keyword&gt;&lt;keyword&gt;Trans-Activators/antagonists &amp;amp; inhibitors/*metabolism&lt;/keyword&gt;&lt;keyword&gt;Veratrum Alkaloids/metabolism/*pharmacology&lt;/keyword&gt;&lt;/keywords&gt;&lt;dates&gt;&lt;year&gt;2006&lt;/year&gt;&lt;pub-dates&gt;&lt;date&gt;Oct 20&lt;/date&gt;&lt;/pub-dates&gt;&lt;/dates&gt;&lt;isbn&gt;0006-291X (Print)&amp;#xD;0006-291X (Linking)&lt;/isbn&gt;&lt;accession-num&gt;16949046&lt;/accession-num&gt;&lt;urls&gt;&lt;related-urls&gt;&lt;url&gt;http://www.ncbi.nlm.nih.gov/pubmed/16949046&lt;/url&gt;&lt;/related-urls&gt;&lt;/urls&gt;&lt;electronic-resource-num&gt;10.1016/j.bbrc.2006.08.112&lt;/electronic-resource-num&gt;&lt;/record&gt;&lt;/Cite&gt;&lt;/EndNote&gt;</w:instrText>
            </w:r>
            <w:r w:rsidR="00B47758">
              <w:rPr>
                <w:rFonts w:cs="Arial"/>
                <w:szCs w:val="22"/>
              </w:rPr>
              <w:fldChar w:fldCharType="separate"/>
            </w:r>
            <w:r w:rsidR="00B47758">
              <w:rPr>
                <w:rFonts w:ascii="Arial" w:hAnsi="Arial" w:cs="Arial"/>
                <w:noProof/>
                <w:sz w:val="22"/>
                <w:szCs w:val="22"/>
              </w:rPr>
              <w:t>(Cousin, Dani et al. 2006)</w:t>
            </w:r>
            <w:r w:rsidR="00B47758">
              <w:rPr>
                <w:rFonts w:cs="Arial"/>
                <w:szCs w:val="22"/>
              </w:rPr>
              <w:fldChar w:fldCharType="end"/>
            </w:r>
            <w:r w:rsidR="00B4775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47758" w:rsidRPr="006E6774" w14:paraId="075A7760" w14:textId="77777777" w:rsidTr="00B47758">
        <w:trPr>
          <w:trHeight w:val="245"/>
        </w:trPr>
        <w:tc>
          <w:tcPr>
            <w:tcW w:w="1638" w:type="dxa"/>
            <w:tcBorders>
              <w:top w:val="single" w:sz="4" w:space="0" w:color="auto"/>
            </w:tcBorders>
          </w:tcPr>
          <w:p w14:paraId="65E30939" w14:textId="77777777" w:rsidR="00B47758" w:rsidRDefault="00364A0F" w:rsidP="00B477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JMJD6</w:t>
            </w:r>
          </w:p>
          <w:p w14:paraId="5FC83793" w14:textId="2D385A0A" w:rsidR="00364A0F" w:rsidRPr="000C0ABF" w:rsidRDefault="00364A0F" w:rsidP="00B47758">
            <w:pPr>
              <w:rPr>
                <w:rFonts w:eastAsia="Times New Roman" w:cs="Arial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F08E755" w14:textId="7A5BC1C8" w:rsidR="00B47758" w:rsidRPr="005903F0" w:rsidRDefault="00D102F6" w:rsidP="00B477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="005903F0" w:rsidRPr="005903F0">
              <w:rPr>
                <w:rFonts w:ascii="Arial" w:hAnsi="Arial" w:cs="Arial"/>
                <w:sz w:val="22"/>
                <w:szCs w:val="22"/>
              </w:rPr>
              <w:t>umonji Domain Containing 6</w:t>
            </w:r>
          </w:p>
        </w:tc>
        <w:tc>
          <w:tcPr>
            <w:tcW w:w="7380" w:type="dxa"/>
            <w:tcBorders>
              <w:top w:val="single" w:sz="4" w:space="0" w:color="auto"/>
            </w:tcBorders>
          </w:tcPr>
          <w:p w14:paraId="339F750E" w14:textId="4E171179" w:rsidR="00B47758" w:rsidRDefault="0018266C" w:rsidP="00B47758">
            <w:pPr>
              <w:widowControl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This gene encodes a nuclear protein with a JmjC </w:t>
            </w:r>
            <w:r w:rsidR="00290292">
              <w:rPr>
                <w:rFonts w:cs="Arial"/>
                <w:szCs w:val="22"/>
              </w:rPr>
              <w:t xml:space="preserve">domain. </w:t>
            </w:r>
            <w:r w:rsidR="005903F0">
              <w:rPr>
                <w:rFonts w:cs="Arial"/>
                <w:szCs w:val="22"/>
              </w:rPr>
              <w:t xml:space="preserve">It is a histone arginine demethylase. </w:t>
            </w:r>
          </w:p>
        </w:tc>
      </w:tr>
      <w:tr w:rsidR="00226EF3" w:rsidRPr="006E6774" w14:paraId="721ACD8F" w14:textId="77777777" w:rsidTr="00B47758">
        <w:tc>
          <w:tcPr>
            <w:tcW w:w="1638" w:type="dxa"/>
          </w:tcPr>
          <w:p w14:paraId="35663F5F" w14:textId="15E10042" w:rsidR="00226EF3" w:rsidRPr="004A3425" w:rsidRDefault="004A3425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4A3425">
              <w:rPr>
                <w:rFonts w:ascii="Arial" w:eastAsia="Times New Roman" w:hAnsi="Arial" w:cs="Arial"/>
                <w:sz w:val="22"/>
                <w:szCs w:val="22"/>
              </w:rPr>
              <w:t>KAT2B</w:t>
            </w:r>
          </w:p>
        </w:tc>
        <w:tc>
          <w:tcPr>
            <w:tcW w:w="2160" w:type="dxa"/>
          </w:tcPr>
          <w:p w14:paraId="2E99EC51" w14:textId="401C9FC5" w:rsidR="00226EF3" w:rsidRPr="006E6774" w:rsidRDefault="00522276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L</w:t>
            </w:r>
            <w:r w:rsidR="004A3425">
              <w:rPr>
                <w:rFonts w:ascii="Arial" w:eastAsia="Times New Roman" w:hAnsi="Arial" w:cs="Arial"/>
                <w:sz w:val="22"/>
                <w:szCs w:val="22"/>
              </w:rPr>
              <w:t>ysine acetyltransferase 2B</w:t>
            </w:r>
            <w:r w:rsidR="00042252">
              <w:rPr>
                <w:rFonts w:ascii="Arial" w:eastAsia="Times New Roman" w:hAnsi="Arial" w:cs="Arial"/>
                <w:sz w:val="22"/>
                <w:szCs w:val="22"/>
              </w:rPr>
              <w:t xml:space="preserve"> or P300/CBP-associated factor </w:t>
            </w:r>
          </w:p>
        </w:tc>
        <w:tc>
          <w:tcPr>
            <w:tcW w:w="7380" w:type="dxa"/>
          </w:tcPr>
          <w:p w14:paraId="620B99DE" w14:textId="4618B46E" w:rsidR="00226EF3" w:rsidRPr="006E6774" w:rsidRDefault="00855201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It is a histone acetyltransferase to promote transcription activation. </w:t>
            </w:r>
            <w:r w:rsidR="008B6EF6">
              <w:rPr>
                <w:rFonts w:ascii="Arial" w:eastAsia="Times New Roman" w:hAnsi="Arial" w:cs="Arial"/>
                <w:sz w:val="22"/>
                <w:szCs w:val="22"/>
              </w:rPr>
              <w:t xml:space="preserve">It has significant histone acetyltransferase acticity with core histones (H3 and H4), and also with nucleosome core particles. </w:t>
            </w:r>
          </w:p>
        </w:tc>
      </w:tr>
      <w:tr w:rsidR="00821600" w:rsidRPr="006E6774" w14:paraId="4BA9BAF1" w14:textId="77777777" w:rsidTr="00B47758">
        <w:tc>
          <w:tcPr>
            <w:tcW w:w="1638" w:type="dxa"/>
          </w:tcPr>
          <w:p w14:paraId="094CE715" w14:textId="73BD638A" w:rsidR="00821600" w:rsidRPr="00821600" w:rsidRDefault="00821600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821600">
              <w:rPr>
                <w:rFonts w:ascii="Arial" w:eastAsia="Times New Roman" w:hAnsi="Arial" w:cs="Arial"/>
                <w:sz w:val="22"/>
                <w:szCs w:val="22"/>
              </w:rPr>
              <w:t>KAT3B</w:t>
            </w:r>
          </w:p>
        </w:tc>
        <w:tc>
          <w:tcPr>
            <w:tcW w:w="2160" w:type="dxa"/>
          </w:tcPr>
          <w:p w14:paraId="6649B51E" w14:textId="47308FC2" w:rsidR="00821600" w:rsidRPr="006E6774" w:rsidRDefault="000F215C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L</w:t>
            </w:r>
            <w:r w:rsidR="00CD1E06">
              <w:rPr>
                <w:rFonts w:ascii="Arial" w:eastAsia="Times New Roman" w:hAnsi="Arial" w:cs="Arial"/>
                <w:sz w:val="22"/>
                <w:szCs w:val="22"/>
              </w:rPr>
              <w:t>ysine acetyltransferase P300</w:t>
            </w:r>
          </w:p>
        </w:tc>
        <w:tc>
          <w:tcPr>
            <w:tcW w:w="7380" w:type="dxa"/>
          </w:tcPr>
          <w:p w14:paraId="34B62B59" w14:textId="7D76E1AC" w:rsidR="00821600" w:rsidRPr="006E6774" w:rsidRDefault="00CD1E06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It functions as histone acetyltransferase that regulate transcription via chromatin remodeling. </w:t>
            </w:r>
          </w:p>
        </w:tc>
      </w:tr>
      <w:tr w:rsidR="00821600" w:rsidRPr="006E6774" w14:paraId="0D2A5D47" w14:textId="77777777" w:rsidTr="00B47758">
        <w:tc>
          <w:tcPr>
            <w:tcW w:w="1638" w:type="dxa"/>
          </w:tcPr>
          <w:p w14:paraId="4FA526DB" w14:textId="1C6B66B3" w:rsidR="00821600" w:rsidRPr="006E6774" w:rsidRDefault="001C4186" w:rsidP="0006249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KDM4A</w:t>
            </w:r>
          </w:p>
        </w:tc>
        <w:tc>
          <w:tcPr>
            <w:tcW w:w="2160" w:type="dxa"/>
          </w:tcPr>
          <w:p w14:paraId="0DD07A14" w14:textId="066E615B" w:rsidR="00821600" w:rsidRPr="006E6774" w:rsidRDefault="000F215C" w:rsidP="00B47758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</w:rPr>
              <w:t>L</w:t>
            </w:r>
            <w:r w:rsidR="00FD3490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ysine-specific demethylase 4A </w:t>
            </w:r>
          </w:p>
        </w:tc>
        <w:tc>
          <w:tcPr>
            <w:tcW w:w="7380" w:type="dxa"/>
          </w:tcPr>
          <w:p w14:paraId="11E80592" w14:textId="1FB46582" w:rsidR="00821600" w:rsidRPr="006E6774" w:rsidRDefault="003F4C19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Histone demethylase that specifically demethylates lysine 9 and lysine 36 residues of histone H3. </w:t>
            </w:r>
            <w:r w:rsidR="00DA17C5">
              <w:rPr>
                <w:rFonts w:ascii="Arial" w:eastAsia="Times New Roman" w:hAnsi="Arial" w:cs="Arial"/>
                <w:sz w:val="22"/>
                <w:szCs w:val="22"/>
              </w:rPr>
              <w:t xml:space="preserve">KDM4A generates H3K9Me from the di-and tri-methylated forms. </w:t>
            </w:r>
          </w:p>
        </w:tc>
      </w:tr>
      <w:tr w:rsidR="00821600" w:rsidRPr="006E6774" w14:paraId="562DFFFD" w14:textId="77777777" w:rsidTr="00B47758">
        <w:tc>
          <w:tcPr>
            <w:tcW w:w="1638" w:type="dxa"/>
          </w:tcPr>
          <w:p w14:paraId="49757F93" w14:textId="0003007E" w:rsidR="00821600" w:rsidRPr="006E6774" w:rsidRDefault="00DE2C5C" w:rsidP="00B477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KLF4</w:t>
            </w:r>
          </w:p>
        </w:tc>
        <w:tc>
          <w:tcPr>
            <w:tcW w:w="2160" w:type="dxa"/>
          </w:tcPr>
          <w:p w14:paraId="3BAC03F1" w14:textId="0208300B" w:rsidR="00821600" w:rsidRPr="006E6774" w:rsidRDefault="000F215C" w:rsidP="00B47758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</w:rPr>
              <w:t>K</w:t>
            </w:r>
            <w:r w:rsidR="00DE2C5C">
              <w:rPr>
                <w:rFonts w:ascii="Arial" w:eastAsia="Times New Roman" w:hAnsi="Arial" w:cs="Arial"/>
                <w:bCs/>
                <w:sz w:val="22"/>
                <w:szCs w:val="22"/>
              </w:rPr>
              <w:t>ruppel-like factor 4</w:t>
            </w:r>
          </w:p>
        </w:tc>
        <w:tc>
          <w:tcPr>
            <w:tcW w:w="7380" w:type="dxa"/>
          </w:tcPr>
          <w:p w14:paraId="512010B6" w14:textId="353794FA" w:rsidR="00821600" w:rsidRPr="006E6774" w:rsidRDefault="00383C5F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It regulates the expression of key transcription factors during embryonic development. Plays an important role in maintaining embryonic stem cells, and in preventing their differentiation. </w:t>
            </w:r>
          </w:p>
        </w:tc>
      </w:tr>
      <w:tr w:rsidR="00821600" w:rsidRPr="006E6774" w14:paraId="72F4D1AE" w14:textId="77777777" w:rsidTr="00B47758">
        <w:tc>
          <w:tcPr>
            <w:tcW w:w="1638" w:type="dxa"/>
          </w:tcPr>
          <w:p w14:paraId="3DC28000" w14:textId="3645D099" w:rsidR="00821600" w:rsidRPr="006E6774" w:rsidRDefault="00062497" w:rsidP="00B477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KMT2C</w:t>
            </w:r>
          </w:p>
        </w:tc>
        <w:tc>
          <w:tcPr>
            <w:tcW w:w="2160" w:type="dxa"/>
          </w:tcPr>
          <w:p w14:paraId="69B559D6" w14:textId="1A163698" w:rsidR="00821600" w:rsidRPr="006E6774" w:rsidRDefault="00792C8E" w:rsidP="00B47758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Cs/>
                <w:sz w:val="22"/>
                <w:szCs w:val="22"/>
              </w:rPr>
              <w:t>L</w:t>
            </w:r>
            <w:r w:rsidR="00F158F4">
              <w:rPr>
                <w:rFonts w:ascii="Arial" w:eastAsia="Times New Roman" w:hAnsi="Arial" w:cs="Arial"/>
                <w:bCs/>
                <w:sz w:val="22"/>
                <w:szCs w:val="22"/>
              </w:rPr>
              <w:t>ysine specific methyltransferase 2C</w:t>
            </w:r>
          </w:p>
        </w:tc>
        <w:tc>
          <w:tcPr>
            <w:tcW w:w="7380" w:type="dxa"/>
          </w:tcPr>
          <w:p w14:paraId="6D445EC6" w14:textId="51FA0F0E" w:rsidR="00821600" w:rsidRPr="006E6774" w:rsidRDefault="00AC26AE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It is a histone lysine methyltransferase that methylate lysine 4 of histone H3. H4K4 methylation represents a specific tag for epigenetic transcription activation. </w:t>
            </w:r>
          </w:p>
        </w:tc>
      </w:tr>
      <w:tr w:rsidR="00821600" w:rsidRPr="006E6774" w14:paraId="49CD3856" w14:textId="77777777" w:rsidTr="00B47758">
        <w:tc>
          <w:tcPr>
            <w:tcW w:w="1638" w:type="dxa"/>
          </w:tcPr>
          <w:p w14:paraId="351CF4E0" w14:textId="6E219737" w:rsidR="00821600" w:rsidRPr="006E6774" w:rsidRDefault="00B87745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MBD4</w:t>
            </w:r>
          </w:p>
        </w:tc>
        <w:tc>
          <w:tcPr>
            <w:tcW w:w="2160" w:type="dxa"/>
          </w:tcPr>
          <w:p w14:paraId="32EB082C" w14:textId="52F60E44" w:rsidR="00821600" w:rsidRPr="006E6774" w:rsidRDefault="00792C8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B87745">
              <w:rPr>
                <w:rFonts w:ascii="Arial" w:hAnsi="Arial" w:cs="Arial"/>
                <w:sz w:val="22"/>
                <w:szCs w:val="22"/>
              </w:rPr>
              <w:t xml:space="preserve">ethyl-CpG biding domain protein 4 </w:t>
            </w:r>
          </w:p>
        </w:tc>
        <w:tc>
          <w:tcPr>
            <w:tcW w:w="7380" w:type="dxa"/>
          </w:tcPr>
          <w:p w14:paraId="7DA54ECE" w14:textId="76A001E2" w:rsidR="00821600" w:rsidRPr="006E6774" w:rsidRDefault="00681071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Mismatch-specific DNA N-glycosylase involved in DNA repair. It has thymine glycosylase acticity and is specific for G:T mismatches within methylated and unmethylated CpG sites. It can also remove uracil or 5-fluorouracil in G:U mismatches. </w:t>
            </w:r>
          </w:p>
        </w:tc>
      </w:tr>
      <w:tr w:rsidR="00821600" w:rsidRPr="006E6774" w14:paraId="2E64F64E" w14:textId="77777777" w:rsidTr="00B47758">
        <w:tc>
          <w:tcPr>
            <w:tcW w:w="1638" w:type="dxa"/>
          </w:tcPr>
          <w:p w14:paraId="60F70CB0" w14:textId="7274E438" w:rsidR="00821600" w:rsidRPr="006722D1" w:rsidRDefault="006722D1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722D1">
              <w:rPr>
                <w:rFonts w:ascii="Arial" w:eastAsia="Times New Roman" w:hAnsi="Arial" w:cs="Arial"/>
                <w:sz w:val="22"/>
                <w:szCs w:val="22"/>
              </w:rPr>
              <w:t>MYC</w:t>
            </w:r>
          </w:p>
        </w:tc>
        <w:tc>
          <w:tcPr>
            <w:tcW w:w="2160" w:type="dxa"/>
          </w:tcPr>
          <w:p w14:paraId="00AEA6CA" w14:textId="1329D133" w:rsidR="00821600" w:rsidRPr="006E6774" w:rsidRDefault="00792C8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7B58B8">
              <w:rPr>
                <w:rFonts w:ascii="Arial" w:hAnsi="Arial" w:cs="Arial"/>
                <w:sz w:val="22"/>
                <w:szCs w:val="22"/>
              </w:rPr>
              <w:t>roto-oncogene C-Myc</w:t>
            </w:r>
          </w:p>
        </w:tc>
        <w:tc>
          <w:tcPr>
            <w:tcW w:w="7380" w:type="dxa"/>
          </w:tcPr>
          <w:p w14:paraId="4741479C" w14:textId="01DF0523" w:rsidR="00821600" w:rsidRPr="006E6774" w:rsidRDefault="00203991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The protein encoded by this gene</w:t>
            </w:r>
            <w:r w:rsidRPr="00203991">
              <w:rPr>
                <w:rFonts w:ascii="Arial" w:eastAsia="Times New Roman" w:hAnsi="Arial" w:cs="Arial"/>
                <w:sz w:val="22"/>
                <w:szCs w:val="22"/>
              </w:rPr>
              <w:t xml:space="preserve"> is a multifunctional, nuclear phosphoprotein that plays a role in cell cycle progression, apoptosis and cellular transformation.</w:t>
            </w:r>
          </w:p>
        </w:tc>
      </w:tr>
      <w:tr w:rsidR="00821600" w:rsidRPr="006E6774" w14:paraId="16F98AA3" w14:textId="77777777" w:rsidTr="00B47758">
        <w:tc>
          <w:tcPr>
            <w:tcW w:w="1638" w:type="dxa"/>
          </w:tcPr>
          <w:p w14:paraId="7249C9FA" w14:textId="1A11CF86" w:rsidR="00821600" w:rsidRPr="006E6774" w:rsidRDefault="00062497" w:rsidP="00B47758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PAXIP1</w:t>
            </w:r>
          </w:p>
        </w:tc>
        <w:tc>
          <w:tcPr>
            <w:tcW w:w="2160" w:type="dxa"/>
          </w:tcPr>
          <w:p w14:paraId="13D66C24" w14:textId="1A052F46" w:rsidR="00821600" w:rsidRPr="006703F8" w:rsidRDefault="006703F8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 w:rsidRPr="006703F8">
              <w:rPr>
                <w:rFonts w:ascii="Arial" w:hAnsi="Arial" w:cs="Arial"/>
                <w:sz w:val="22"/>
                <w:szCs w:val="22"/>
              </w:rPr>
              <w:t>PAX Interacting (With Transcription-Activation Domain) Protein 1</w:t>
            </w:r>
          </w:p>
        </w:tc>
        <w:tc>
          <w:tcPr>
            <w:tcW w:w="7380" w:type="dxa"/>
          </w:tcPr>
          <w:p w14:paraId="1CA9B4A7" w14:textId="71DC7500" w:rsidR="00F92B8C" w:rsidRPr="006703F8" w:rsidRDefault="00F92B8C" w:rsidP="00F92B8C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bCs/>
                <w:kern w:val="36"/>
                <w:sz w:val="22"/>
                <w:szCs w:val="22"/>
              </w:rPr>
            </w:pPr>
            <w:r w:rsidRPr="006703F8">
              <w:rPr>
                <w:rFonts w:ascii="Arial" w:eastAsia="Times New Roman" w:hAnsi="Arial" w:cs="Arial"/>
                <w:bCs/>
                <w:kern w:val="36"/>
                <w:sz w:val="22"/>
                <w:szCs w:val="22"/>
              </w:rPr>
              <w:t xml:space="preserve">Histone Methylation Regulator PTIP Is Required for </w:t>
            </w:r>
            <w:r w:rsidRPr="006703F8">
              <w:rPr>
                <w:rFonts w:ascii="Arial" w:eastAsia="Times New Roman" w:hAnsi="Arial" w:cs="Arial"/>
                <w:bCs/>
                <w:i/>
                <w:iCs/>
                <w:kern w:val="36"/>
                <w:sz w:val="22"/>
                <w:szCs w:val="22"/>
              </w:rPr>
              <w:t>PPAR</w:t>
            </w:r>
            <w:r w:rsidRPr="006703F8">
              <w:rPr>
                <w:rFonts w:ascii="Arial" w:eastAsia="Times New Roman" w:hAnsi="Arial" w:cs="Arial"/>
                <w:bCs/>
                <w:kern w:val="36"/>
                <w:sz w:val="22"/>
                <w:szCs w:val="22"/>
              </w:rPr>
              <w:t xml:space="preserve">γ and </w:t>
            </w:r>
            <w:r w:rsidRPr="006703F8">
              <w:rPr>
                <w:rFonts w:ascii="Arial" w:eastAsia="Times New Roman" w:hAnsi="Arial" w:cs="Arial"/>
                <w:bCs/>
                <w:i/>
                <w:iCs/>
                <w:kern w:val="36"/>
                <w:sz w:val="22"/>
                <w:szCs w:val="22"/>
              </w:rPr>
              <w:t>C/EBP</w:t>
            </w:r>
            <w:r w:rsidRPr="006703F8">
              <w:rPr>
                <w:rFonts w:ascii="Arial" w:eastAsia="Times New Roman" w:hAnsi="Arial" w:cs="Arial"/>
                <w:bCs/>
                <w:kern w:val="36"/>
                <w:sz w:val="22"/>
                <w:szCs w:val="22"/>
              </w:rPr>
              <w:t xml:space="preserve">α Expression and Adipogenesis. </w:t>
            </w:r>
            <w:r w:rsidRPr="006703F8">
              <w:rPr>
                <w:rFonts w:ascii="Arial" w:eastAsia="Times New Roman" w:hAnsi="Arial" w:cs="Arial"/>
                <w:bCs/>
                <w:sz w:val="22"/>
                <w:szCs w:val="22"/>
              </w:rPr>
              <w:t>PTIP</w:t>
            </w:r>
            <w:r w:rsidR="006703F8" w:rsidRPr="006703F8">
              <w:rPr>
                <w:rFonts w:ascii="Arial" w:eastAsia="Times New Roman" w:hAnsi="Arial" w:cs="Arial"/>
                <w:sz w:val="22"/>
                <w:szCs w:val="22"/>
              </w:rPr>
              <w:t xml:space="preserve"> is </w:t>
            </w:r>
            <w:r w:rsidRPr="006703F8">
              <w:rPr>
                <w:rFonts w:ascii="Arial" w:eastAsia="Times New Roman" w:hAnsi="Arial" w:cs="Arial"/>
                <w:sz w:val="22"/>
                <w:szCs w:val="22"/>
              </w:rPr>
              <w:t>a protein that associates with histone H3K4 methyltransferases</w:t>
            </w:r>
            <w:r w:rsidR="006703F8" w:rsidRPr="006703F8">
              <w:rPr>
                <w:rFonts w:ascii="Arial" w:eastAsia="Times New Roman" w:hAnsi="Arial" w:cs="Arial"/>
                <w:sz w:val="22"/>
                <w:szCs w:val="22"/>
              </w:rPr>
              <w:t xml:space="preserve">. </w:t>
            </w:r>
            <w:r w:rsidRPr="006703F8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14:paraId="23FF5F58" w14:textId="6E1BDAD5" w:rsidR="00821600" w:rsidRPr="006E6774" w:rsidRDefault="00821600" w:rsidP="006703F8">
            <w:pPr>
              <w:spacing w:before="100" w:beforeAutospacing="1" w:after="100" w:afterAutospacing="1"/>
              <w:outlineLvl w:val="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21600" w:rsidRPr="006E6774" w14:paraId="72DF26FE" w14:textId="77777777" w:rsidTr="00B47758">
        <w:tc>
          <w:tcPr>
            <w:tcW w:w="1638" w:type="dxa"/>
          </w:tcPr>
          <w:p w14:paraId="7E48569E" w14:textId="19EB79F1" w:rsidR="00821600" w:rsidRPr="00F175E8" w:rsidRDefault="00F175E8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F175E8">
              <w:rPr>
                <w:rFonts w:ascii="Arial" w:eastAsia="Times New Roman" w:hAnsi="Arial" w:cs="Arial"/>
                <w:sz w:val="22"/>
                <w:szCs w:val="22"/>
              </w:rPr>
              <w:t>PCNA</w:t>
            </w:r>
          </w:p>
        </w:tc>
        <w:tc>
          <w:tcPr>
            <w:tcW w:w="2160" w:type="dxa"/>
          </w:tcPr>
          <w:p w14:paraId="382FEF93" w14:textId="4362EBF3" w:rsidR="00821600" w:rsidRPr="006E6774" w:rsidRDefault="00792C8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F175E8">
              <w:rPr>
                <w:rFonts w:ascii="Arial" w:hAnsi="Arial" w:cs="Arial"/>
                <w:sz w:val="22"/>
                <w:szCs w:val="22"/>
              </w:rPr>
              <w:t xml:space="preserve">roliferating cellular nuclear antigen </w:t>
            </w:r>
          </w:p>
        </w:tc>
        <w:tc>
          <w:tcPr>
            <w:tcW w:w="7380" w:type="dxa"/>
          </w:tcPr>
          <w:p w14:paraId="22069DC4" w14:textId="1A38E58B" w:rsidR="00821600" w:rsidRPr="006E6774" w:rsidRDefault="00182898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PCNA acts as a homotrimer and helps increase the processivity of leading strand synthesis during DNA replication. </w:t>
            </w:r>
          </w:p>
        </w:tc>
      </w:tr>
      <w:tr w:rsidR="00821600" w:rsidRPr="006E6774" w14:paraId="20853C3C" w14:textId="77777777" w:rsidTr="00B47758">
        <w:tc>
          <w:tcPr>
            <w:tcW w:w="1638" w:type="dxa"/>
          </w:tcPr>
          <w:p w14:paraId="75E7C05A" w14:textId="23F09543" w:rsidR="00821600" w:rsidRPr="00814A83" w:rsidRDefault="00CD29DC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PPARg</w:t>
            </w:r>
          </w:p>
        </w:tc>
        <w:tc>
          <w:tcPr>
            <w:tcW w:w="2160" w:type="dxa"/>
          </w:tcPr>
          <w:p w14:paraId="56CB340E" w14:textId="346BB379" w:rsidR="00821600" w:rsidRPr="006E6774" w:rsidRDefault="00792C8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CD29DC" w:rsidRPr="00226EF3">
              <w:rPr>
                <w:rFonts w:ascii="Arial" w:hAnsi="Arial" w:cs="Arial"/>
                <w:sz w:val="22"/>
                <w:szCs w:val="22"/>
              </w:rPr>
              <w:t>eroxisome proliferator-activated receptor gamma</w:t>
            </w:r>
          </w:p>
        </w:tc>
        <w:tc>
          <w:tcPr>
            <w:tcW w:w="7380" w:type="dxa"/>
          </w:tcPr>
          <w:p w14:paraId="4C98E490" w14:textId="7EBF8F99" w:rsidR="00821600" w:rsidRPr="006E6774" w:rsidRDefault="00011D7F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This gene encodes a member of the </w:t>
            </w:r>
            <w:r w:rsidRPr="00226EF3">
              <w:rPr>
                <w:rFonts w:ascii="Arial" w:hAnsi="Arial" w:cs="Arial"/>
                <w:sz w:val="22"/>
                <w:szCs w:val="22"/>
              </w:rPr>
              <w:t>peroxisome proliferator-activated receptor</w:t>
            </w:r>
            <w:r>
              <w:rPr>
                <w:rFonts w:ascii="Arial" w:hAnsi="Arial" w:cs="Arial"/>
                <w:sz w:val="22"/>
                <w:szCs w:val="22"/>
              </w:rPr>
              <w:t xml:space="preserve"> (PPAR) subfamily of nuclear receptors. </w:t>
            </w:r>
            <w:r w:rsidR="004F776E">
              <w:rPr>
                <w:rFonts w:ascii="Arial" w:hAnsi="Arial" w:cs="Arial"/>
                <w:sz w:val="22"/>
                <w:szCs w:val="22"/>
              </w:rPr>
              <w:t xml:space="preserve">PPAR gamma is a regulator of adipocyte differentiation. </w:t>
            </w:r>
          </w:p>
        </w:tc>
      </w:tr>
      <w:tr w:rsidR="00821600" w:rsidRPr="006E6774" w14:paraId="3F7A8B63" w14:textId="77777777" w:rsidTr="00B47758">
        <w:tc>
          <w:tcPr>
            <w:tcW w:w="1638" w:type="dxa"/>
          </w:tcPr>
          <w:p w14:paraId="32648E0F" w14:textId="6268DD0B" w:rsidR="00821600" w:rsidRPr="006E6774" w:rsidRDefault="00814A83" w:rsidP="00B47758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14A83">
              <w:rPr>
                <w:rFonts w:ascii="Arial" w:eastAsia="Times New Roman" w:hAnsi="Arial" w:cs="Arial"/>
                <w:sz w:val="22"/>
                <w:szCs w:val="22"/>
              </w:rPr>
              <w:t>PPARg2</w:t>
            </w:r>
          </w:p>
        </w:tc>
        <w:tc>
          <w:tcPr>
            <w:tcW w:w="2160" w:type="dxa"/>
          </w:tcPr>
          <w:p w14:paraId="56AA9B22" w14:textId="2902AB05" w:rsidR="00821600" w:rsidRPr="00D021F5" w:rsidRDefault="00792C8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A</w:t>
            </w:r>
            <w:r w:rsidR="009E160D" w:rsidRPr="00D021F5">
              <w:rPr>
                <w:rFonts w:ascii="Arial" w:eastAsia="MS Mincho" w:hAnsi="Arial" w:cs="Arial"/>
                <w:sz w:val="22"/>
                <w:szCs w:val="22"/>
              </w:rPr>
              <w:t>dipocyte specific 2</w:t>
            </w:r>
            <w:r w:rsidR="009E160D" w:rsidRPr="00D021F5">
              <w:rPr>
                <w:rFonts w:ascii="Arial" w:eastAsia="MS Mincho" w:hAnsi="Arial" w:cs="Arial"/>
                <w:sz w:val="22"/>
                <w:szCs w:val="22"/>
                <w:vertAlign w:val="superscript"/>
              </w:rPr>
              <w:t>nd</w:t>
            </w:r>
            <w:r w:rsidR="009E160D" w:rsidRPr="00D021F5">
              <w:rPr>
                <w:rFonts w:ascii="Arial" w:eastAsia="MS Mincho" w:hAnsi="Arial" w:cs="Arial"/>
                <w:sz w:val="22"/>
                <w:szCs w:val="22"/>
              </w:rPr>
              <w:t xml:space="preserve"> isoform of </w:t>
            </w:r>
            <w:r w:rsidR="009E160D" w:rsidRPr="00D021F5">
              <w:rPr>
                <w:rStyle w:val="tgc"/>
                <w:rFonts w:ascii="Arial" w:eastAsia="Times New Roman" w:hAnsi="Arial" w:cs="Arial"/>
                <w:sz w:val="22"/>
                <w:szCs w:val="22"/>
              </w:rPr>
              <w:t>peroxisome proliferator-activated receptor gamma</w:t>
            </w:r>
          </w:p>
        </w:tc>
        <w:tc>
          <w:tcPr>
            <w:tcW w:w="7380" w:type="dxa"/>
          </w:tcPr>
          <w:p w14:paraId="6A0E3E57" w14:textId="5D92638E" w:rsidR="00821600" w:rsidRPr="006E6774" w:rsidRDefault="00CB4E23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N-</w:t>
            </w:r>
            <w:r w:rsidR="0095136B" w:rsidRPr="00226EF3">
              <w:rPr>
                <w:rFonts w:ascii="Arial" w:hAnsi="Arial" w:cs="Arial"/>
                <w:sz w:val="22"/>
                <w:szCs w:val="22"/>
              </w:rPr>
              <w:t>terminal domain isoform</w:t>
            </w:r>
            <w:r w:rsidR="0095136B">
              <w:rPr>
                <w:rFonts w:ascii="Arial" w:eastAsia="Times New Roman" w:hAnsi="Arial" w:cs="Arial"/>
                <w:sz w:val="22"/>
                <w:szCs w:val="22"/>
              </w:rPr>
              <w:t xml:space="preserve"> of PPARg. </w:t>
            </w:r>
            <w:r w:rsidR="00EB197D">
              <w:rPr>
                <w:rFonts w:ascii="Arial" w:eastAsia="Times New Roman" w:hAnsi="Arial" w:cs="Arial"/>
                <w:sz w:val="22"/>
                <w:szCs w:val="22"/>
              </w:rPr>
              <w:t xml:space="preserve">It has highest expression in adipose tissue than any other tissues, like muscle, spleen, heart and liver. It is 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m</w:t>
            </w:r>
            <w:r w:rsidR="00A7530C" w:rsidRPr="00226EF3">
              <w:rPr>
                <w:rFonts w:ascii="Arial" w:eastAsia="Times New Roman" w:hAnsi="Arial" w:cs="Arial"/>
                <w:sz w:val="22"/>
                <w:szCs w:val="22"/>
              </w:rPr>
              <w:t>ore adip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ocyte specific. </w:t>
            </w:r>
            <w:r w:rsidR="003D7290">
              <w:rPr>
                <w:rFonts w:ascii="Arial" w:eastAsia="Times New Roman" w:hAnsi="Arial" w:cs="Arial"/>
                <w:sz w:val="22"/>
                <w:szCs w:val="22"/>
              </w:rPr>
              <w:t xml:space="preserve">It is a nuclear receptor that binds peroxisome proliferators such as fatty acids. </w:t>
            </w:r>
            <w:r w:rsidR="001B1067">
              <w:rPr>
                <w:rFonts w:ascii="Arial" w:eastAsia="Times New Roman" w:hAnsi="Arial" w:cs="Arial"/>
                <w:sz w:val="22"/>
                <w:szCs w:val="22"/>
              </w:rPr>
              <w:t xml:space="preserve">Once activated by a ligand, the nuclear receptor binds to DNA specific PPAR response elements (PPRE) and modulates the transcription of its target genes. </w:t>
            </w:r>
          </w:p>
        </w:tc>
      </w:tr>
      <w:tr w:rsidR="00821600" w:rsidRPr="006E6774" w14:paraId="058E5CED" w14:textId="77777777" w:rsidTr="00B47758">
        <w:tc>
          <w:tcPr>
            <w:tcW w:w="1638" w:type="dxa"/>
          </w:tcPr>
          <w:p w14:paraId="5B423180" w14:textId="48FCAFEC" w:rsidR="00821600" w:rsidRPr="000E37AC" w:rsidRDefault="00A804BC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0E37AC">
              <w:rPr>
                <w:rFonts w:ascii="Arial" w:eastAsia="Times New Roman" w:hAnsi="Arial" w:cs="Arial"/>
                <w:sz w:val="22"/>
                <w:szCs w:val="22"/>
              </w:rPr>
              <w:t>PRMT5</w:t>
            </w:r>
          </w:p>
        </w:tc>
        <w:tc>
          <w:tcPr>
            <w:tcW w:w="2160" w:type="dxa"/>
          </w:tcPr>
          <w:p w14:paraId="1571E1DB" w14:textId="4D57D29F" w:rsidR="00821600" w:rsidRPr="00EF75C5" w:rsidRDefault="00792C8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4E2D38">
              <w:rPr>
                <w:rFonts w:ascii="Arial" w:hAnsi="Arial" w:cs="Arial"/>
                <w:sz w:val="22"/>
                <w:szCs w:val="22"/>
              </w:rPr>
              <w:t>rotein arginine m</w:t>
            </w:r>
            <w:r w:rsidR="00EF75C5" w:rsidRPr="00EF75C5">
              <w:rPr>
                <w:rFonts w:ascii="Arial" w:hAnsi="Arial" w:cs="Arial"/>
                <w:sz w:val="22"/>
                <w:szCs w:val="22"/>
              </w:rPr>
              <w:t>ethyltransferase 5</w:t>
            </w:r>
          </w:p>
        </w:tc>
        <w:tc>
          <w:tcPr>
            <w:tcW w:w="7380" w:type="dxa"/>
          </w:tcPr>
          <w:p w14:paraId="2EEA040D" w14:textId="77777777" w:rsidR="00CA320F" w:rsidRDefault="00FE5F1D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This gene encodes a histone arginine methyltransferase 5. </w:t>
            </w:r>
          </w:p>
          <w:p w14:paraId="7F713A0F" w14:textId="62AA2EBA" w:rsidR="00821600" w:rsidRDefault="00FE5F1D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PRMT5 plays a high-level causal role in adipogenesis, as small RNA silencing PRMT5 expression blocks PPARg2 expression and efficiently blocks the differentiation of 3T3-L1 preadipocytes into mature lipid-containing adipocytes (</w:t>
            </w:r>
            <w:r w:rsidRPr="00E42A68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LeBlanc et al., 2012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).</w:t>
            </w:r>
            <w:r w:rsidR="00CA320F">
              <w:rPr>
                <w:rFonts w:ascii="Arial" w:eastAsia="Times New Roman" w:hAnsi="Arial" w:cs="Arial"/>
                <w:sz w:val="22"/>
                <w:szCs w:val="22"/>
              </w:rPr>
              <w:t xml:space="preserve">  </w:t>
            </w:r>
          </w:p>
          <w:p w14:paraId="4CF246AE" w14:textId="536D9B42" w:rsidR="00CA320F" w:rsidRPr="006E6774" w:rsidRDefault="00CA320F" w:rsidP="00CA320F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PRMT5 </w:t>
            </w:r>
            <w:r w:rsidRPr="00F92B8C">
              <w:rPr>
                <w:rFonts w:ascii="Arial" w:hAnsi="Arial" w:cs="Arial"/>
                <w:noProof/>
                <w:sz w:val="22"/>
                <w:szCs w:val="22"/>
              </w:rPr>
              <w:t xml:space="preserve">promotes gene expression of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PPARgamma2 </w:t>
            </w:r>
            <w:r w:rsidRPr="00F92B8C">
              <w:rPr>
                <w:rFonts w:ascii="Arial" w:hAnsi="Arial" w:cs="Arial"/>
                <w:noProof/>
                <w:sz w:val="22"/>
                <w:szCs w:val="22"/>
              </w:rPr>
              <w:t xml:space="preserve">and its target genes during adipogenesis.   </w:t>
            </w:r>
          </w:p>
        </w:tc>
      </w:tr>
      <w:tr w:rsidR="00821600" w:rsidRPr="006E6774" w14:paraId="3603E789" w14:textId="77777777" w:rsidTr="00B47758">
        <w:tc>
          <w:tcPr>
            <w:tcW w:w="1638" w:type="dxa"/>
          </w:tcPr>
          <w:p w14:paraId="418FB029" w14:textId="2B10C56F" w:rsidR="00821600" w:rsidRPr="006B7C7C" w:rsidRDefault="009B28D8" w:rsidP="009B28D8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SETDB1</w:t>
            </w:r>
            <w:bookmarkStart w:id="0" w:name="_GoBack"/>
            <w:bookmarkEnd w:id="0"/>
          </w:p>
        </w:tc>
        <w:tc>
          <w:tcPr>
            <w:tcW w:w="2160" w:type="dxa"/>
          </w:tcPr>
          <w:p w14:paraId="4065FA59" w14:textId="5D890C48" w:rsidR="00821600" w:rsidRPr="00FF63D5" w:rsidRDefault="009B264D" w:rsidP="009B264D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SET domain bifurcated 1</w:t>
            </w:r>
          </w:p>
        </w:tc>
        <w:tc>
          <w:tcPr>
            <w:tcW w:w="7380" w:type="dxa"/>
          </w:tcPr>
          <w:p w14:paraId="19CE31DB" w14:textId="77777777" w:rsidR="00D257BC" w:rsidRPr="00D257BC" w:rsidRDefault="00B27D3F" w:rsidP="00D257BC">
            <w:pPr>
              <w:rPr>
                <w:rFonts w:ascii="Arial" w:hAnsi="Arial" w:cs="Arial"/>
                <w:sz w:val="22"/>
                <w:szCs w:val="22"/>
              </w:rPr>
            </w:pPr>
            <w:r w:rsidRPr="00D257BC">
              <w:rPr>
                <w:rFonts w:ascii="Arial" w:hAnsi="Arial" w:cs="Arial"/>
                <w:sz w:val="22"/>
                <w:szCs w:val="22"/>
              </w:rPr>
              <w:t xml:space="preserve">This gene encodes a histone lysine </w:t>
            </w:r>
            <w:r w:rsidR="00D257BC" w:rsidRPr="00D257BC">
              <w:rPr>
                <w:rFonts w:ascii="Arial" w:hAnsi="Arial" w:cs="Arial"/>
                <w:sz w:val="22"/>
                <w:szCs w:val="22"/>
              </w:rPr>
              <w:t xml:space="preserve">methyltransferase.  </w:t>
            </w:r>
          </w:p>
          <w:p w14:paraId="2341FFED" w14:textId="46AE8473" w:rsidR="00821600" w:rsidRPr="006E6774" w:rsidRDefault="00D257BC" w:rsidP="00D257BC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D257BC">
              <w:rPr>
                <w:rFonts w:ascii="Arial" w:hAnsi="Arial" w:cs="Arial"/>
                <w:sz w:val="22"/>
                <w:szCs w:val="22"/>
              </w:rPr>
              <w:t>SETDB1 renders chromatin inactive through H3K9 m</w:t>
            </w:r>
            <w:r w:rsidR="003447B2">
              <w:rPr>
                <w:rFonts w:ascii="Arial" w:hAnsi="Arial" w:cs="Arial"/>
                <w:sz w:val="22"/>
                <w:szCs w:val="22"/>
              </w:rPr>
              <w:t>ethylation to shut off PPARg. SE</w:t>
            </w:r>
            <w:r w:rsidRPr="00D257BC">
              <w:rPr>
                <w:rFonts w:ascii="Arial" w:hAnsi="Arial" w:cs="Arial"/>
                <w:sz w:val="22"/>
                <w:szCs w:val="22"/>
              </w:rPr>
              <w:t>TDB1 is intriguing as this is the first methyl transferase for which its enzymatic function has been linked to a cell fate decision through epigenetic re gulation in response to extracellular stimulation (</w:t>
            </w:r>
            <w:r w:rsidRPr="00F67736">
              <w:rPr>
                <w:rFonts w:ascii="Arial" w:hAnsi="Arial" w:cs="Arial"/>
                <w:color w:val="FF0000"/>
                <w:sz w:val="22"/>
                <w:szCs w:val="22"/>
              </w:rPr>
              <w:t>Takada 2009</w:t>
            </w:r>
            <w:r w:rsidRPr="00D257BC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821600" w:rsidRPr="006E6774" w14:paraId="24FC708C" w14:textId="77777777" w:rsidTr="00B47758">
        <w:tc>
          <w:tcPr>
            <w:tcW w:w="1638" w:type="dxa"/>
          </w:tcPr>
          <w:p w14:paraId="4ED654B3" w14:textId="51444B60" w:rsidR="00821600" w:rsidRPr="008D71C6" w:rsidRDefault="008D71C6" w:rsidP="008D71C6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8D71C6">
              <w:rPr>
                <w:rFonts w:ascii="Arial" w:eastAsia="MS Mincho" w:hAnsi="Arial" w:cs="Arial"/>
                <w:sz w:val="22"/>
                <w:szCs w:val="22"/>
              </w:rPr>
              <w:lastRenderedPageBreak/>
              <w:t xml:space="preserve">SIRT1 </w:t>
            </w:r>
          </w:p>
        </w:tc>
        <w:tc>
          <w:tcPr>
            <w:tcW w:w="2160" w:type="dxa"/>
          </w:tcPr>
          <w:p w14:paraId="0F7C4061" w14:textId="76A21820" w:rsidR="00821600" w:rsidRPr="008D71C6" w:rsidRDefault="00792C8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S</w:t>
            </w:r>
            <w:r w:rsidR="008D71C6" w:rsidRPr="008D71C6">
              <w:rPr>
                <w:rFonts w:ascii="Arial" w:eastAsia="MS Mincho" w:hAnsi="Arial" w:cs="Arial"/>
                <w:sz w:val="22"/>
                <w:szCs w:val="22"/>
              </w:rPr>
              <w:t>irtuin 1 deacetylase</w:t>
            </w:r>
          </w:p>
        </w:tc>
        <w:tc>
          <w:tcPr>
            <w:tcW w:w="7380" w:type="dxa"/>
          </w:tcPr>
          <w:p w14:paraId="2CBE8B8D" w14:textId="2E2DAA0E" w:rsidR="00821600" w:rsidRPr="006E6774" w:rsidRDefault="00123550" w:rsidP="004651FE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It is also known as NAD-dependent deacetylase sirtuin-1. </w:t>
            </w:r>
            <w:r w:rsidR="004651FE">
              <w:rPr>
                <w:rFonts w:ascii="Arial" w:eastAsia="Times New Roman" w:hAnsi="Arial" w:cs="Arial"/>
                <w:sz w:val="22"/>
                <w:szCs w:val="22"/>
              </w:rPr>
              <w:t xml:space="preserve">SIRT1 is a histone deacetylase. </w:t>
            </w:r>
          </w:p>
        </w:tc>
      </w:tr>
      <w:tr w:rsidR="00821600" w:rsidRPr="006E6774" w14:paraId="67C58DF8" w14:textId="77777777" w:rsidTr="00B47758">
        <w:tc>
          <w:tcPr>
            <w:tcW w:w="1638" w:type="dxa"/>
          </w:tcPr>
          <w:p w14:paraId="037679EA" w14:textId="18962B8D" w:rsidR="00821600" w:rsidRPr="007E627D" w:rsidRDefault="007E627D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E627D">
              <w:rPr>
                <w:rFonts w:ascii="Arial" w:eastAsia="MS Mincho" w:hAnsi="Arial" w:cs="Arial"/>
                <w:sz w:val="22"/>
                <w:szCs w:val="22"/>
              </w:rPr>
              <w:t>SREBF1</w:t>
            </w:r>
          </w:p>
        </w:tc>
        <w:tc>
          <w:tcPr>
            <w:tcW w:w="2160" w:type="dxa"/>
          </w:tcPr>
          <w:p w14:paraId="732FAB52" w14:textId="6703F238" w:rsidR="00821600" w:rsidRPr="00D843AD" w:rsidRDefault="00792C8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S</w:t>
            </w:r>
            <w:r w:rsidR="00D843AD" w:rsidRPr="00D843AD">
              <w:rPr>
                <w:rFonts w:ascii="Arial" w:eastAsia="MS Mincho" w:hAnsi="Arial" w:cs="Arial"/>
                <w:sz w:val="22"/>
                <w:szCs w:val="22"/>
              </w:rPr>
              <w:t>terol regulatory element binding transcription factor 1</w:t>
            </w:r>
          </w:p>
        </w:tc>
        <w:tc>
          <w:tcPr>
            <w:tcW w:w="7380" w:type="dxa"/>
          </w:tcPr>
          <w:p w14:paraId="06CC542A" w14:textId="49B3CF1F" w:rsidR="00821600" w:rsidRPr="006E6774" w:rsidRDefault="00237E6E" w:rsidP="00062BA6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Transcriptional activator required for lipid homeostasis. It is expressed in a</w:t>
            </w:r>
            <w:r w:rsidRPr="006E6774">
              <w:rPr>
                <w:rFonts w:ascii="Arial" w:eastAsia="Times New Roman" w:hAnsi="Arial" w:cs="Arial"/>
                <w:sz w:val="22"/>
                <w:szCs w:val="22"/>
              </w:rPr>
              <w:t xml:space="preserve">dipocytes, fatty liver cells. </w:t>
            </w:r>
            <w:r w:rsidR="00062BA6">
              <w:rPr>
                <w:rFonts w:ascii="Arial" w:eastAsia="Times New Roman" w:hAnsi="Arial" w:cs="Arial"/>
                <w:sz w:val="22"/>
                <w:szCs w:val="22"/>
              </w:rPr>
              <w:t>It r</w:t>
            </w:r>
            <w:r w:rsidRPr="006E6774">
              <w:rPr>
                <w:rFonts w:ascii="Arial" w:eastAsia="Times New Roman" w:hAnsi="Arial" w:cs="Arial"/>
                <w:sz w:val="22"/>
                <w:szCs w:val="22"/>
              </w:rPr>
              <w:t>egulates glucose metabolism and fatty acid and lipid production and its expression is regulated by insulin</w:t>
            </w:r>
            <w:r w:rsidR="00062BA6">
              <w:rPr>
                <w:rFonts w:ascii="Arial" w:eastAsia="Times New Roman" w:hAnsi="Arial" w:cs="Arial"/>
                <w:sz w:val="22"/>
                <w:szCs w:val="22"/>
              </w:rPr>
              <w:t xml:space="preserve">. </w:t>
            </w:r>
          </w:p>
        </w:tc>
      </w:tr>
      <w:tr w:rsidR="00821600" w:rsidRPr="006E6774" w14:paraId="07EBDFAF" w14:textId="77777777" w:rsidTr="00B47758">
        <w:tc>
          <w:tcPr>
            <w:tcW w:w="1638" w:type="dxa"/>
          </w:tcPr>
          <w:p w14:paraId="20E46492" w14:textId="06516EB8" w:rsidR="00821600" w:rsidRPr="006E6774" w:rsidRDefault="00380438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TET1, 2, 3</w:t>
            </w:r>
          </w:p>
        </w:tc>
        <w:tc>
          <w:tcPr>
            <w:tcW w:w="2160" w:type="dxa"/>
          </w:tcPr>
          <w:p w14:paraId="74F30A14" w14:textId="26345186" w:rsidR="00821600" w:rsidRPr="000E7F7A" w:rsidRDefault="00792C8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MS Mincho" w:hAnsi="Arial" w:cs="Arial"/>
                <w:sz w:val="22"/>
                <w:szCs w:val="22"/>
              </w:rPr>
              <w:t>T</w:t>
            </w:r>
            <w:r w:rsidR="000E7F7A" w:rsidRPr="000E7F7A">
              <w:rPr>
                <w:rFonts w:ascii="Arial" w:eastAsia="MS Mincho" w:hAnsi="Arial" w:cs="Arial"/>
                <w:sz w:val="22"/>
                <w:szCs w:val="22"/>
              </w:rPr>
              <w:t>en-eleven translocation methylcytosine dioxygenases 1, 2, and 3</w:t>
            </w:r>
          </w:p>
        </w:tc>
        <w:tc>
          <w:tcPr>
            <w:tcW w:w="7380" w:type="dxa"/>
          </w:tcPr>
          <w:p w14:paraId="2AD6A7B0" w14:textId="7D2DEB6D" w:rsidR="00821600" w:rsidRPr="006E6774" w:rsidRDefault="00EF76F3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TETs catalyze the conversion of 5-methylcytosine (5mC) to 5-hydroxymethylcytosine (5hmC) and subsequent conversion 5hmC into 5-formylcytosine (5fC) and 5-carboxylcytosine (5caC), and plays a key role in active DNA demethylation. </w:t>
            </w:r>
          </w:p>
        </w:tc>
      </w:tr>
      <w:tr w:rsidR="00821600" w:rsidRPr="006E6774" w14:paraId="629FD104" w14:textId="77777777" w:rsidTr="00B47758">
        <w:tc>
          <w:tcPr>
            <w:tcW w:w="1638" w:type="dxa"/>
          </w:tcPr>
          <w:p w14:paraId="7EF100C1" w14:textId="78DC573A" w:rsidR="00821600" w:rsidRPr="006E6774" w:rsidRDefault="00A22DC4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TDG </w:t>
            </w:r>
          </w:p>
        </w:tc>
        <w:tc>
          <w:tcPr>
            <w:tcW w:w="2160" w:type="dxa"/>
          </w:tcPr>
          <w:p w14:paraId="7EB6F78D" w14:textId="2BF6D081" w:rsidR="00821600" w:rsidRPr="00A22DC4" w:rsidRDefault="00792C8E" w:rsidP="00B47758">
            <w:pPr>
              <w:pStyle w:val="HTMLPreformatted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A22DC4" w:rsidRPr="00A22DC4">
              <w:rPr>
                <w:rFonts w:ascii="Arial" w:hAnsi="Arial" w:cs="Arial"/>
                <w:sz w:val="22"/>
                <w:szCs w:val="22"/>
              </w:rPr>
              <w:t>hymine-DNA Glycosylase</w:t>
            </w:r>
          </w:p>
        </w:tc>
        <w:tc>
          <w:tcPr>
            <w:tcW w:w="7380" w:type="dxa"/>
          </w:tcPr>
          <w:p w14:paraId="4C43DDC6" w14:textId="6D7F2C60" w:rsidR="00821600" w:rsidRPr="006E6774" w:rsidRDefault="0075515E" w:rsidP="00B4775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TDG plays a key role in active DNA demethylation. It recognizes 5fC and 5caC and mediates their excision through base-excision repair to install an unmethylated cytosine. </w:t>
            </w:r>
          </w:p>
        </w:tc>
      </w:tr>
    </w:tbl>
    <w:p w14:paraId="6F2ABB61" w14:textId="77777777" w:rsidR="005D5D23" w:rsidRDefault="005D5D23">
      <w:pPr>
        <w:rPr>
          <w:rFonts w:cs="Arial"/>
          <w:szCs w:val="22"/>
        </w:rPr>
      </w:pPr>
    </w:p>
    <w:p w14:paraId="556371FF" w14:textId="77777777" w:rsidR="005D5D23" w:rsidRDefault="005D5D23">
      <w:pPr>
        <w:rPr>
          <w:rFonts w:cs="Arial"/>
          <w:szCs w:val="22"/>
        </w:rPr>
      </w:pPr>
    </w:p>
    <w:p w14:paraId="631923EB" w14:textId="110A6DE1" w:rsidR="005D5D23" w:rsidRDefault="005D5D23">
      <w:pPr>
        <w:rPr>
          <w:rFonts w:cs="Arial"/>
          <w:szCs w:val="22"/>
        </w:rPr>
      </w:pPr>
      <w:r>
        <w:rPr>
          <w:rFonts w:cs="Arial"/>
          <w:szCs w:val="22"/>
        </w:rPr>
        <w:t>Reference</w:t>
      </w:r>
      <w:r w:rsidR="00226B9D">
        <w:rPr>
          <w:rFonts w:cs="Arial"/>
          <w:szCs w:val="22"/>
        </w:rPr>
        <w:t xml:space="preserve"> inserted by end</w:t>
      </w:r>
      <w:r w:rsidR="00447DF9">
        <w:rPr>
          <w:rFonts w:cs="Arial"/>
          <w:szCs w:val="22"/>
        </w:rPr>
        <w:t>note</w:t>
      </w:r>
      <w:r w:rsidR="00622656">
        <w:rPr>
          <w:rFonts w:cs="Arial"/>
          <w:szCs w:val="22"/>
        </w:rPr>
        <w:t xml:space="preserve"> (Ping’</w:t>
      </w:r>
      <w:r w:rsidR="00226B9D">
        <w:rPr>
          <w:rFonts w:cs="Arial"/>
          <w:szCs w:val="22"/>
        </w:rPr>
        <w:t>s end</w:t>
      </w:r>
      <w:r w:rsidR="00622656">
        <w:rPr>
          <w:rFonts w:cs="Arial"/>
          <w:szCs w:val="22"/>
        </w:rPr>
        <w:t>note library)</w:t>
      </w:r>
      <w:r>
        <w:rPr>
          <w:rFonts w:cs="Arial"/>
          <w:szCs w:val="22"/>
        </w:rPr>
        <w:t xml:space="preserve">: </w:t>
      </w:r>
    </w:p>
    <w:p w14:paraId="03E3106D" w14:textId="77777777" w:rsidR="005D5D23" w:rsidRDefault="005D5D23">
      <w:pPr>
        <w:rPr>
          <w:rFonts w:cs="Arial"/>
          <w:szCs w:val="22"/>
        </w:rPr>
      </w:pPr>
    </w:p>
    <w:p w14:paraId="31700E31" w14:textId="77777777" w:rsidR="002A43B5" w:rsidRDefault="002A43B5">
      <w:pPr>
        <w:rPr>
          <w:rFonts w:cs="Arial"/>
          <w:szCs w:val="22"/>
        </w:rPr>
      </w:pPr>
    </w:p>
    <w:p w14:paraId="6D74175C" w14:textId="77777777" w:rsidR="002A43B5" w:rsidRDefault="002A43B5">
      <w:pPr>
        <w:rPr>
          <w:rFonts w:cs="Arial"/>
          <w:szCs w:val="22"/>
        </w:rPr>
      </w:pPr>
    </w:p>
    <w:p w14:paraId="4062ADC3" w14:textId="77777777" w:rsidR="002A43B5" w:rsidRPr="002A43B5" w:rsidRDefault="002A43B5" w:rsidP="002A43B5">
      <w:pPr>
        <w:pStyle w:val="EndNoteBibliography"/>
        <w:rPr>
          <w:noProof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ADDIN EN.REFLIST </w:instrText>
      </w:r>
      <w:r>
        <w:rPr>
          <w:szCs w:val="22"/>
        </w:rPr>
        <w:fldChar w:fldCharType="separate"/>
      </w:r>
      <w:r w:rsidRPr="002A43B5">
        <w:rPr>
          <w:noProof/>
        </w:rPr>
        <w:t xml:space="preserve">Cousin, W., C. Dani and P. Peraldi (2006). "Inhibition of the anti-adipogenic Hedgehog signaling pathway by cyclopamine does not trigger adipocyte differentiation." </w:t>
      </w:r>
      <w:r w:rsidRPr="002A43B5">
        <w:rPr>
          <w:noProof/>
          <w:u w:val="single"/>
        </w:rPr>
        <w:t>Biochem Biophys Res Commun</w:t>
      </w:r>
      <w:r w:rsidRPr="002A43B5">
        <w:rPr>
          <w:noProof/>
        </w:rPr>
        <w:t xml:space="preserve"> </w:t>
      </w:r>
      <w:r w:rsidRPr="002A43B5">
        <w:rPr>
          <w:b/>
          <w:noProof/>
        </w:rPr>
        <w:t>349</w:t>
      </w:r>
      <w:r w:rsidRPr="002A43B5">
        <w:rPr>
          <w:noProof/>
        </w:rPr>
        <w:t>(2): 799-803.</w:t>
      </w:r>
    </w:p>
    <w:p w14:paraId="5683D7DE" w14:textId="1F4BF780" w:rsidR="005D5D23" w:rsidRDefault="002A43B5">
      <w:pPr>
        <w:rPr>
          <w:rFonts w:cs="Arial"/>
          <w:szCs w:val="22"/>
        </w:rPr>
      </w:pPr>
      <w:r>
        <w:rPr>
          <w:rFonts w:cs="Arial"/>
          <w:szCs w:val="22"/>
        </w:rPr>
        <w:fldChar w:fldCharType="end"/>
      </w:r>
    </w:p>
    <w:p w14:paraId="33577BAB" w14:textId="77777777" w:rsidR="00447DF9" w:rsidRDefault="00447DF9">
      <w:pPr>
        <w:rPr>
          <w:rFonts w:cs="Arial"/>
          <w:szCs w:val="22"/>
        </w:rPr>
      </w:pPr>
    </w:p>
    <w:p w14:paraId="6FAD4612" w14:textId="77777777" w:rsidR="00447DF9" w:rsidRDefault="00447DF9">
      <w:pPr>
        <w:rPr>
          <w:rFonts w:cs="Arial"/>
          <w:szCs w:val="22"/>
        </w:rPr>
      </w:pPr>
    </w:p>
    <w:p w14:paraId="65661A85" w14:textId="77777777" w:rsidR="00447DF9" w:rsidRDefault="00447DF9">
      <w:pPr>
        <w:rPr>
          <w:rFonts w:cs="Arial"/>
          <w:szCs w:val="22"/>
        </w:rPr>
      </w:pPr>
    </w:p>
    <w:p w14:paraId="1914556F" w14:textId="77777777" w:rsidR="00447DF9" w:rsidRDefault="00447DF9">
      <w:pPr>
        <w:rPr>
          <w:rFonts w:cs="Arial"/>
          <w:szCs w:val="22"/>
        </w:rPr>
      </w:pPr>
    </w:p>
    <w:p w14:paraId="3E30224B" w14:textId="21F5D9B2" w:rsidR="00447DF9" w:rsidRPr="00153477" w:rsidRDefault="00447DF9">
      <w:pPr>
        <w:rPr>
          <w:rFonts w:cs="Arial"/>
          <w:color w:val="FF0000"/>
          <w:szCs w:val="22"/>
        </w:rPr>
      </w:pPr>
      <w:r w:rsidRPr="00153477">
        <w:rPr>
          <w:rFonts w:cs="Arial"/>
          <w:color w:val="FF0000"/>
          <w:szCs w:val="22"/>
        </w:rPr>
        <w:t xml:space="preserve">References waiting to be inserted: </w:t>
      </w:r>
    </w:p>
    <w:p w14:paraId="5258565C" w14:textId="77777777" w:rsidR="00447DF9" w:rsidRDefault="00447DF9">
      <w:pPr>
        <w:rPr>
          <w:rFonts w:cs="Arial"/>
          <w:szCs w:val="22"/>
        </w:rPr>
      </w:pPr>
    </w:p>
    <w:p w14:paraId="2501FE73" w14:textId="77777777" w:rsidR="004517A1" w:rsidRPr="00C9332F" w:rsidRDefault="004517A1" w:rsidP="004517A1">
      <w:pPr>
        <w:pStyle w:val="EndNoteBibliography"/>
        <w:spacing w:after="240"/>
        <w:rPr>
          <w:noProof/>
        </w:rPr>
      </w:pPr>
      <w:r w:rsidRPr="00C9332F">
        <w:rPr>
          <w:b/>
          <w:noProof/>
        </w:rPr>
        <w:t>Acimovic, J., Korosec, T., Seliskar, M., Bjorkhem, I., Monostory, K., Szabo, P., Pascussi, J.M., Belic, A., Urleb, U., Kocjan, D., and Rozman, D.</w:t>
      </w:r>
      <w:r w:rsidRPr="00C9332F">
        <w:rPr>
          <w:noProof/>
        </w:rPr>
        <w:t xml:space="preserve"> (2011). Inhibition of human sterol Delta7-reductase and other postlanosterol enzymes by LK-980, a novel inhibitor of cholesterol synthesis. Drug Metab Dispos </w:t>
      </w:r>
      <w:r w:rsidRPr="00C9332F">
        <w:rPr>
          <w:b/>
          <w:noProof/>
        </w:rPr>
        <w:t>39</w:t>
      </w:r>
      <w:r w:rsidRPr="00C9332F">
        <w:rPr>
          <w:noProof/>
        </w:rPr>
        <w:t xml:space="preserve">, 39-46. </w:t>
      </w:r>
      <w:hyperlink r:id="rId4" w:history="1">
        <w:r w:rsidRPr="00C9332F">
          <w:rPr>
            <w:rStyle w:val="Hyperlink"/>
            <w:rFonts w:cs="Times New Roman"/>
            <w:noProof/>
          </w:rPr>
          <w:t>http://www.ncbi.nlm.nih.gov/pubmed/20952551</w:t>
        </w:r>
      </w:hyperlink>
      <w:r w:rsidRPr="00C9332F">
        <w:rPr>
          <w:noProof/>
        </w:rPr>
        <w:t>.</w:t>
      </w:r>
    </w:p>
    <w:p w14:paraId="3EF183C1" w14:textId="77777777" w:rsidR="00447DF9" w:rsidRPr="00C9332F" w:rsidRDefault="00447DF9" w:rsidP="00447DF9">
      <w:pPr>
        <w:pStyle w:val="EndNoteBibliography"/>
        <w:spacing w:after="240"/>
        <w:rPr>
          <w:noProof/>
        </w:rPr>
      </w:pPr>
      <w:r w:rsidRPr="00C9332F">
        <w:rPr>
          <w:b/>
          <w:noProof/>
        </w:rPr>
        <w:t>Kamata, M., Okitsu, Y., Fujiwara, T., Kanehira, M., Nakajima, S., Takahashi, T., Inoue, A., Fukuhara, N., Onishi, Y., Ishizawa, K., Shimizu, R., Yamamoto, M., and Harigae, H.</w:t>
      </w:r>
      <w:r w:rsidRPr="00C9332F">
        <w:rPr>
          <w:noProof/>
        </w:rPr>
        <w:t xml:space="preserve"> (2014). GATA2 regulates differentiation of bone marrow-derived mesenchymal stem cells. Haematologica </w:t>
      </w:r>
      <w:r w:rsidRPr="00C9332F">
        <w:rPr>
          <w:b/>
          <w:noProof/>
        </w:rPr>
        <w:t>99</w:t>
      </w:r>
      <w:r w:rsidRPr="00C9332F">
        <w:rPr>
          <w:noProof/>
        </w:rPr>
        <w:t xml:space="preserve">, 1686-96. </w:t>
      </w:r>
      <w:hyperlink r:id="rId5" w:history="1">
        <w:r w:rsidRPr="00C9332F">
          <w:rPr>
            <w:rStyle w:val="Hyperlink"/>
            <w:rFonts w:cs="Times New Roman"/>
            <w:noProof/>
          </w:rPr>
          <w:t>http://www.ncbi.nlm.nih.gov/pubmed/25150255</w:t>
        </w:r>
      </w:hyperlink>
      <w:r w:rsidRPr="00C9332F">
        <w:rPr>
          <w:noProof/>
        </w:rPr>
        <w:t>.</w:t>
      </w:r>
    </w:p>
    <w:p w14:paraId="34FF8352" w14:textId="77777777" w:rsidR="007022E2" w:rsidRPr="00C9332F" w:rsidRDefault="007022E2" w:rsidP="007022E2">
      <w:pPr>
        <w:pStyle w:val="EndNoteBibliography"/>
        <w:spacing w:after="240"/>
        <w:rPr>
          <w:noProof/>
        </w:rPr>
      </w:pPr>
      <w:r w:rsidRPr="00C9332F">
        <w:rPr>
          <w:b/>
          <w:noProof/>
        </w:rPr>
        <w:t>LeBlanc, S.E., Konda, S., Wu, Q., Hu, Y.J., Oslowski, C.M., Sif, S., and Imbalzano, A.N.</w:t>
      </w:r>
      <w:r w:rsidRPr="00C9332F">
        <w:rPr>
          <w:noProof/>
        </w:rPr>
        <w:t xml:space="preserve"> (2012). Protein arginine methyltransferase 5 (Prmt5) promotes gene expression of peroxisome proliferator-activated receptor gamma2 (PPARgamma2) and its target genes during adipogenesis. Mol Endocrinol </w:t>
      </w:r>
      <w:r w:rsidRPr="00C9332F">
        <w:rPr>
          <w:b/>
          <w:noProof/>
        </w:rPr>
        <w:t>26</w:t>
      </w:r>
      <w:r w:rsidRPr="00C9332F">
        <w:rPr>
          <w:noProof/>
        </w:rPr>
        <w:t xml:space="preserve">, 583-97. </w:t>
      </w:r>
      <w:hyperlink r:id="rId6" w:history="1">
        <w:r w:rsidRPr="00C9332F">
          <w:rPr>
            <w:rStyle w:val="Hyperlink"/>
            <w:rFonts w:cs="Times New Roman"/>
            <w:noProof/>
          </w:rPr>
          <w:t>http://www.ncbi.nlm.nih.gov/pubmed/22361822</w:t>
        </w:r>
      </w:hyperlink>
      <w:r w:rsidRPr="00C9332F">
        <w:rPr>
          <w:noProof/>
        </w:rPr>
        <w:t>.</w:t>
      </w:r>
    </w:p>
    <w:p w14:paraId="57A0628C" w14:textId="6FD9974E" w:rsidR="00447DF9" w:rsidRPr="006E6774" w:rsidRDefault="00447DF9">
      <w:pPr>
        <w:rPr>
          <w:rFonts w:cs="Arial"/>
          <w:szCs w:val="22"/>
        </w:rPr>
      </w:pPr>
    </w:p>
    <w:sectPr w:rsidR="00447DF9" w:rsidRPr="006E6774" w:rsidSect="004526B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uthor-Date&lt;/Style&gt;&lt;LeftDelim&gt;{&lt;/LeftDelim&gt;&lt;RightDelim&gt;}&lt;/RightDelim&gt;&lt;FontName&gt;Arial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22pzwsr80wp5kezdw8padzdrdr2xzd5fp55&quot;&gt;Adipocyte&lt;record-ids&gt;&lt;item&gt;202&lt;/item&gt;&lt;/record-ids&gt;&lt;/item&gt;&lt;/Libraries&gt;"/>
  </w:docVars>
  <w:rsids>
    <w:rsidRoot w:val="006E58D0"/>
    <w:rsid w:val="00004AFB"/>
    <w:rsid w:val="00011D7F"/>
    <w:rsid w:val="00014D10"/>
    <w:rsid w:val="00015D82"/>
    <w:rsid w:val="00024552"/>
    <w:rsid w:val="00035791"/>
    <w:rsid w:val="00042252"/>
    <w:rsid w:val="00062497"/>
    <w:rsid w:val="00062BA6"/>
    <w:rsid w:val="00091774"/>
    <w:rsid w:val="000B18EE"/>
    <w:rsid w:val="000C0ABF"/>
    <w:rsid w:val="000E37AC"/>
    <w:rsid w:val="000E7F7A"/>
    <w:rsid w:val="000F215C"/>
    <w:rsid w:val="00112AFB"/>
    <w:rsid w:val="0012227C"/>
    <w:rsid w:val="00123550"/>
    <w:rsid w:val="00124A87"/>
    <w:rsid w:val="0013724F"/>
    <w:rsid w:val="00146DA2"/>
    <w:rsid w:val="00153477"/>
    <w:rsid w:val="001631AA"/>
    <w:rsid w:val="00174C49"/>
    <w:rsid w:val="0018266C"/>
    <w:rsid w:val="00182898"/>
    <w:rsid w:val="00196515"/>
    <w:rsid w:val="001A01B9"/>
    <w:rsid w:val="001B1067"/>
    <w:rsid w:val="001C4186"/>
    <w:rsid w:val="001F001F"/>
    <w:rsid w:val="00200890"/>
    <w:rsid w:val="00203991"/>
    <w:rsid w:val="00204ACC"/>
    <w:rsid w:val="002152C6"/>
    <w:rsid w:val="00216EE3"/>
    <w:rsid w:val="002202EC"/>
    <w:rsid w:val="00226B9D"/>
    <w:rsid w:val="00226EF3"/>
    <w:rsid w:val="00237E6E"/>
    <w:rsid w:val="0027457B"/>
    <w:rsid w:val="00290292"/>
    <w:rsid w:val="002A43B5"/>
    <w:rsid w:val="002E5D4C"/>
    <w:rsid w:val="002E612B"/>
    <w:rsid w:val="00302948"/>
    <w:rsid w:val="00326517"/>
    <w:rsid w:val="003434B0"/>
    <w:rsid w:val="003447B2"/>
    <w:rsid w:val="003463CF"/>
    <w:rsid w:val="003529F8"/>
    <w:rsid w:val="00364A0F"/>
    <w:rsid w:val="00365CF9"/>
    <w:rsid w:val="00380438"/>
    <w:rsid w:val="00383C5F"/>
    <w:rsid w:val="003B57ED"/>
    <w:rsid w:val="003C40C6"/>
    <w:rsid w:val="003D68CD"/>
    <w:rsid w:val="003D7290"/>
    <w:rsid w:val="003F033C"/>
    <w:rsid w:val="003F4C19"/>
    <w:rsid w:val="0041625D"/>
    <w:rsid w:val="00422A9D"/>
    <w:rsid w:val="00430C15"/>
    <w:rsid w:val="00447DF9"/>
    <w:rsid w:val="004517A1"/>
    <w:rsid w:val="004526B3"/>
    <w:rsid w:val="004651FE"/>
    <w:rsid w:val="00465ACD"/>
    <w:rsid w:val="004727C4"/>
    <w:rsid w:val="004833F1"/>
    <w:rsid w:val="00487A66"/>
    <w:rsid w:val="004A3425"/>
    <w:rsid w:val="004B1BB1"/>
    <w:rsid w:val="004E2D38"/>
    <w:rsid w:val="004E5747"/>
    <w:rsid w:val="004E6DC4"/>
    <w:rsid w:val="004F2ADA"/>
    <w:rsid w:val="004F776E"/>
    <w:rsid w:val="00522276"/>
    <w:rsid w:val="00543CBA"/>
    <w:rsid w:val="00564637"/>
    <w:rsid w:val="005903F0"/>
    <w:rsid w:val="005A5D34"/>
    <w:rsid w:val="005B2857"/>
    <w:rsid w:val="005D5D23"/>
    <w:rsid w:val="005E09AB"/>
    <w:rsid w:val="005F14F4"/>
    <w:rsid w:val="00605C0E"/>
    <w:rsid w:val="0061777F"/>
    <w:rsid w:val="00622656"/>
    <w:rsid w:val="0063259D"/>
    <w:rsid w:val="00650A40"/>
    <w:rsid w:val="00654D14"/>
    <w:rsid w:val="00657FBC"/>
    <w:rsid w:val="006603E8"/>
    <w:rsid w:val="0066627E"/>
    <w:rsid w:val="006670BA"/>
    <w:rsid w:val="006703F8"/>
    <w:rsid w:val="00670D86"/>
    <w:rsid w:val="006722D1"/>
    <w:rsid w:val="00674C7C"/>
    <w:rsid w:val="0067759C"/>
    <w:rsid w:val="00681071"/>
    <w:rsid w:val="006A4A17"/>
    <w:rsid w:val="006B075D"/>
    <w:rsid w:val="006B5F2D"/>
    <w:rsid w:val="006B7C7C"/>
    <w:rsid w:val="006C4DA9"/>
    <w:rsid w:val="006C728D"/>
    <w:rsid w:val="006D044B"/>
    <w:rsid w:val="006E307E"/>
    <w:rsid w:val="006E58D0"/>
    <w:rsid w:val="006E6774"/>
    <w:rsid w:val="006F5855"/>
    <w:rsid w:val="007022E2"/>
    <w:rsid w:val="0070695E"/>
    <w:rsid w:val="007237F0"/>
    <w:rsid w:val="00730819"/>
    <w:rsid w:val="00737A4B"/>
    <w:rsid w:val="007440A9"/>
    <w:rsid w:val="0075515E"/>
    <w:rsid w:val="00763A9A"/>
    <w:rsid w:val="00792C8E"/>
    <w:rsid w:val="007A73C2"/>
    <w:rsid w:val="007B58B8"/>
    <w:rsid w:val="007C7971"/>
    <w:rsid w:val="007E627D"/>
    <w:rsid w:val="008046C6"/>
    <w:rsid w:val="00813C1A"/>
    <w:rsid w:val="00814A83"/>
    <w:rsid w:val="008157F9"/>
    <w:rsid w:val="00821600"/>
    <w:rsid w:val="008468FB"/>
    <w:rsid w:val="00855201"/>
    <w:rsid w:val="0086572D"/>
    <w:rsid w:val="008677FC"/>
    <w:rsid w:val="00877DD0"/>
    <w:rsid w:val="00885C64"/>
    <w:rsid w:val="008A0AFB"/>
    <w:rsid w:val="008B6EF6"/>
    <w:rsid w:val="008C2812"/>
    <w:rsid w:val="008D71C6"/>
    <w:rsid w:val="009129D0"/>
    <w:rsid w:val="00917123"/>
    <w:rsid w:val="00925524"/>
    <w:rsid w:val="00926A0A"/>
    <w:rsid w:val="00934650"/>
    <w:rsid w:val="00942919"/>
    <w:rsid w:val="0095136B"/>
    <w:rsid w:val="00955B14"/>
    <w:rsid w:val="009B226E"/>
    <w:rsid w:val="009B264D"/>
    <w:rsid w:val="009B28D8"/>
    <w:rsid w:val="009D07E2"/>
    <w:rsid w:val="009D773C"/>
    <w:rsid w:val="009E160D"/>
    <w:rsid w:val="00A22DC4"/>
    <w:rsid w:val="00A53ACE"/>
    <w:rsid w:val="00A549C9"/>
    <w:rsid w:val="00A7530C"/>
    <w:rsid w:val="00A764BA"/>
    <w:rsid w:val="00A804BC"/>
    <w:rsid w:val="00A82A82"/>
    <w:rsid w:val="00A865DE"/>
    <w:rsid w:val="00AA1C7A"/>
    <w:rsid w:val="00AC26AE"/>
    <w:rsid w:val="00AF1808"/>
    <w:rsid w:val="00AF2522"/>
    <w:rsid w:val="00B06531"/>
    <w:rsid w:val="00B27D3F"/>
    <w:rsid w:val="00B307D2"/>
    <w:rsid w:val="00B47758"/>
    <w:rsid w:val="00B8381B"/>
    <w:rsid w:val="00B87745"/>
    <w:rsid w:val="00B97B79"/>
    <w:rsid w:val="00BB004E"/>
    <w:rsid w:val="00BB15F5"/>
    <w:rsid w:val="00BC049C"/>
    <w:rsid w:val="00BC0C68"/>
    <w:rsid w:val="00BC3D25"/>
    <w:rsid w:val="00BD46C4"/>
    <w:rsid w:val="00BE3360"/>
    <w:rsid w:val="00BF1CB7"/>
    <w:rsid w:val="00BF5EAD"/>
    <w:rsid w:val="00C241E7"/>
    <w:rsid w:val="00C617A7"/>
    <w:rsid w:val="00C745EB"/>
    <w:rsid w:val="00CA320F"/>
    <w:rsid w:val="00CB4E23"/>
    <w:rsid w:val="00CD1E06"/>
    <w:rsid w:val="00CD29DC"/>
    <w:rsid w:val="00CE12C1"/>
    <w:rsid w:val="00CF4775"/>
    <w:rsid w:val="00CF5E4E"/>
    <w:rsid w:val="00CF5F2D"/>
    <w:rsid w:val="00D021F5"/>
    <w:rsid w:val="00D102F6"/>
    <w:rsid w:val="00D16E68"/>
    <w:rsid w:val="00D257BC"/>
    <w:rsid w:val="00D37C00"/>
    <w:rsid w:val="00D4318F"/>
    <w:rsid w:val="00D73EE0"/>
    <w:rsid w:val="00D843AD"/>
    <w:rsid w:val="00DA0C0A"/>
    <w:rsid w:val="00DA17C5"/>
    <w:rsid w:val="00DE2C5C"/>
    <w:rsid w:val="00E018BD"/>
    <w:rsid w:val="00E0191F"/>
    <w:rsid w:val="00E036D1"/>
    <w:rsid w:val="00E04C6F"/>
    <w:rsid w:val="00E412E6"/>
    <w:rsid w:val="00E42A68"/>
    <w:rsid w:val="00E87DC9"/>
    <w:rsid w:val="00EB197D"/>
    <w:rsid w:val="00ED0DEC"/>
    <w:rsid w:val="00ED3642"/>
    <w:rsid w:val="00EE0DFC"/>
    <w:rsid w:val="00EF75C5"/>
    <w:rsid w:val="00EF76F3"/>
    <w:rsid w:val="00F0353E"/>
    <w:rsid w:val="00F106AC"/>
    <w:rsid w:val="00F1208D"/>
    <w:rsid w:val="00F158F4"/>
    <w:rsid w:val="00F175E8"/>
    <w:rsid w:val="00F270F3"/>
    <w:rsid w:val="00F50ECE"/>
    <w:rsid w:val="00F52712"/>
    <w:rsid w:val="00F610C5"/>
    <w:rsid w:val="00F67638"/>
    <w:rsid w:val="00F67736"/>
    <w:rsid w:val="00F92B8C"/>
    <w:rsid w:val="00FA1056"/>
    <w:rsid w:val="00FA55E5"/>
    <w:rsid w:val="00FD3490"/>
    <w:rsid w:val="00FE38BB"/>
    <w:rsid w:val="00FE4C7E"/>
    <w:rsid w:val="00FE5F1D"/>
    <w:rsid w:val="00FF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0490A2"/>
  <w14:defaultImageDpi w14:val="300"/>
  <w15:docId w15:val="{9BBFE391-605A-4BF9-863B-03DA6638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8D0"/>
    <w:rPr>
      <w:rFonts w:eastAsiaTheme="minorHAnsi" w:cstheme="minorBidi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8D0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rsid w:val="006E58D0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6E58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58D0"/>
    <w:rPr>
      <w:rFonts w:ascii="Courier" w:eastAsiaTheme="minorHAnsi" w:hAnsi="Courier" w:cs="Courier"/>
      <w:sz w:val="20"/>
      <w:szCs w:val="20"/>
      <w:lang w:eastAsia="en-US"/>
    </w:rPr>
  </w:style>
  <w:style w:type="character" w:customStyle="1" w:styleId="value">
    <w:name w:val="value"/>
    <w:basedOn w:val="DefaultParagraphFont"/>
    <w:rsid w:val="006E58D0"/>
  </w:style>
  <w:style w:type="character" w:customStyle="1" w:styleId="st">
    <w:name w:val="st"/>
    <w:basedOn w:val="DefaultParagraphFont"/>
    <w:rsid w:val="00174C49"/>
  </w:style>
  <w:style w:type="paragraph" w:styleId="BalloonText">
    <w:name w:val="Balloon Text"/>
    <w:basedOn w:val="Normal"/>
    <w:link w:val="BalloonTextChar"/>
    <w:uiPriority w:val="99"/>
    <w:semiHidden/>
    <w:unhideWhenUsed/>
    <w:rsid w:val="00C61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7A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EndNoteBibliography">
    <w:name w:val="EndNote Bibliography"/>
    <w:basedOn w:val="Normal"/>
    <w:rsid w:val="005D5D23"/>
    <w:rPr>
      <w:rFonts w:eastAsia="宋体" w:cs="Arial"/>
    </w:rPr>
  </w:style>
  <w:style w:type="paragraph" w:customStyle="1" w:styleId="EndNoteBibliographyTitle">
    <w:name w:val="EndNote Bibliography Title"/>
    <w:basedOn w:val="Normal"/>
    <w:link w:val="EndNoteBibliographyTitleChar"/>
    <w:rsid w:val="002A43B5"/>
    <w:pPr>
      <w:framePr w:hSpace="180" w:wrap="around" w:vAnchor="page" w:hAnchor="page" w:x="706" w:y="2324"/>
      <w:jc w:val="center"/>
    </w:pPr>
    <w:rPr>
      <w:rFonts w:cs="Arial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A43B5"/>
    <w:rPr>
      <w:rFonts w:eastAsiaTheme="minorHAnsi"/>
      <w:noProof/>
      <w:szCs w:val="24"/>
      <w:lang w:eastAsia="en-US"/>
    </w:rPr>
  </w:style>
  <w:style w:type="character" w:customStyle="1" w:styleId="tgc">
    <w:name w:val="_tgc"/>
    <w:rsid w:val="009E1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5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2361822" TargetMode="External"/><Relationship Id="rId5" Type="http://schemas.openxmlformats.org/officeDocument/2006/relationships/hyperlink" Target="http://www.ncbi.nlm.nih.gov/pubmed/25150255" TargetMode="External"/><Relationship Id="rId4" Type="http://schemas.openxmlformats.org/officeDocument/2006/relationships/hyperlink" Target="http://www.ncbi.nlm.nih.gov/pubmed/209525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UGA Genetics</Company>
  <LinksUpToDate>false</LinksUpToDate>
  <CharactersWithSpaces>11852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 Meagher</dc:creator>
  <cp:lastModifiedBy>Ping Yu</cp:lastModifiedBy>
  <cp:revision>211</cp:revision>
  <cp:lastPrinted>2015-09-24T14:51:00Z</cp:lastPrinted>
  <dcterms:created xsi:type="dcterms:W3CDTF">2015-09-24T01:49:00Z</dcterms:created>
  <dcterms:modified xsi:type="dcterms:W3CDTF">2016-02-16T02:17:00Z</dcterms:modified>
</cp:coreProperties>
</file>