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95" w:rsidRPr="006E01A7" w:rsidRDefault="00E11695" w:rsidP="00E1169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kern w:val="28"/>
        </w:rPr>
      </w:pPr>
      <w:r w:rsidRPr="006E01A7">
        <w:rPr>
          <w:rFonts w:asciiTheme="minorHAnsi" w:hAnsiTheme="minorHAnsi" w:cstheme="minorHAnsi"/>
          <w:b/>
          <w:kern w:val="28"/>
        </w:rPr>
        <w:t>Supplementa</w:t>
      </w:r>
      <w:r>
        <w:rPr>
          <w:rFonts w:asciiTheme="minorHAnsi" w:hAnsiTheme="minorHAnsi" w:cstheme="minorHAnsi"/>
          <w:b/>
          <w:kern w:val="28"/>
        </w:rPr>
        <w:t>l</w:t>
      </w:r>
      <w:r w:rsidRPr="006E01A7">
        <w:rPr>
          <w:rFonts w:asciiTheme="minorHAnsi" w:hAnsiTheme="minorHAnsi" w:cstheme="minorHAnsi"/>
          <w:b/>
          <w:kern w:val="28"/>
        </w:rPr>
        <w:t xml:space="preserve"> Figure 1. Minimum </w:t>
      </w:r>
      <w:r>
        <w:rPr>
          <w:rFonts w:asciiTheme="minorHAnsi" w:hAnsiTheme="minorHAnsi" w:cstheme="minorHAnsi"/>
          <w:b/>
          <w:kern w:val="28"/>
        </w:rPr>
        <w:t>d</w:t>
      </w:r>
      <w:r w:rsidRPr="006E01A7">
        <w:rPr>
          <w:rFonts w:asciiTheme="minorHAnsi" w:hAnsiTheme="minorHAnsi" w:cstheme="minorHAnsi"/>
          <w:b/>
          <w:kern w:val="28"/>
        </w:rPr>
        <w:t xml:space="preserve">etectable </w:t>
      </w:r>
      <w:r>
        <w:rPr>
          <w:rFonts w:asciiTheme="minorHAnsi" w:hAnsiTheme="minorHAnsi" w:cstheme="minorHAnsi"/>
          <w:b/>
          <w:kern w:val="28"/>
        </w:rPr>
        <w:t>e</w:t>
      </w:r>
      <w:r w:rsidRPr="006E01A7">
        <w:rPr>
          <w:rFonts w:asciiTheme="minorHAnsi" w:hAnsiTheme="minorHAnsi" w:cstheme="minorHAnsi"/>
          <w:b/>
          <w:kern w:val="28"/>
        </w:rPr>
        <w:t xml:space="preserve">ffect </w:t>
      </w:r>
      <w:r>
        <w:rPr>
          <w:rFonts w:asciiTheme="minorHAnsi" w:hAnsiTheme="minorHAnsi" w:cstheme="minorHAnsi"/>
          <w:b/>
          <w:kern w:val="28"/>
        </w:rPr>
        <w:t>s</w:t>
      </w:r>
      <w:r w:rsidRPr="006E01A7">
        <w:rPr>
          <w:rFonts w:asciiTheme="minorHAnsi" w:hAnsiTheme="minorHAnsi" w:cstheme="minorHAnsi"/>
          <w:b/>
          <w:kern w:val="28"/>
        </w:rPr>
        <w:t xml:space="preserve">ize </w:t>
      </w:r>
      <w:r>
        <w:rPr>
          <w:rFonts w:asciiTheme="minorHAnsi" w:hAnsiTheme="minorHAnsi" w:cstheme="minorHAnsi"/>
          <w:b/>
          <w:kern w:val="28"/>
        </w:rPr>
        <w:t>based on</w:t>
      </w:r>
      <w:r w:rsidRPr="006E01A7">
        <w:rPr>
          <w:rFonts w:asciiTheme="minorHAnsi" w:hAnsiTheme="minorHAnsi" w:cstheme="minorHAnsi"/>
          <w:b/>
          <w:kern w:val="28"/>
        </w:rPr>
        <w:t xml:space="preserve"> </w:t>
      </w:r>
      <w:r>
        <w:rPr>
          <w:rFonts w:asciiTheme="minorHAnsi" w:hAnsiTheme="minorHAnsi" w:cstheme="minorHAnsi"/>
          <w:b/>
          <w:kern w:val="28"/>
        </w:rPr>
        <w:t>n</w:t>
      </w:r>
      <w:r w:rsidRPr="006E01A7">
        <w:rPr>
          <w:rFonts w:asciiTheme="minorHAnsi" w:hAnsiTheme="minorHAnsi" w:cstheme="minorHAnsi"/>
          <w:b/>
          <w:kern w:val="28"/>
        </w:rPr>
        <w:t xml:space="preserve">on-MRSA </w:t>
      </w:r>
      <w:r>
        <w:rPr>
          <w:rFonts w:asciiTheme="minorHAnsi" w:hAnsiTheme="minorHAnsi" w:cstheme="minorHAnsi"/>
          <w:b/>
          <w:kern w:val="28"/>
        </w:rPr>
        <w:t>SSI c</w:t>
      </w:r>
      <w:r w:rsidRPr="006E01A7">
        <w:rPr>
          <w:rFonts w:asciiTheme="minorHAnsi" w:hAnsiTheme="minorHAnsi" w:cstheme="minorHAnsi"/>
          <w:b/>
          <w:kern w:val="28"/>
        </w:rPr>
        <w:t xml:space="preserve">ohort </w:t>
      </w:r>
      <w:r>
        <w:rPr>
          <w:rFonts w:asciiTheme="minorHAnsi" w:hAnsiTheme="minorHAnsi" w:cstheme="minorHAnsi"/>
          <w:b/>
          <w:kern w:val="28"/>
        </w:rPr>
        <w:t>p</w:t>
      </w:r>
      <w:r w:rsidRPr="006E01A7">
        <w:rPr>
          <w:rFonts w:asciiTheme="minorHAnsi" w:hAnsiTheme="minorHAnsi" w:cstheme="minorHAnsi"/>
          <w:b/>
          <w:kern w:val="28"/>
        </w:rPr>
        <w:t>revalence</w:t>
      </w:r>
      <w:r>
        <w:rPr>
          <w:rFonts w:asciiTheme="minorHAnsi" w:hAnsiTheme="minorHAnsi" w:cstheme="minorHAnsi"/>
          <w:b/>
          <w:kern w:val="28"/>
        </w:rPr>
        <w:t xml:space="preserve"> </w:t>
      </w:r>
    </w:p>
    <w:p w:rsidR="00E11695" w:rsidRPr="00EB2D7F" w:rsidRDefault="00E11695" w:rsidP="00E1169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</w:rPr>
      </w:pPr>
      <w:r w:rsidRPr="00695C1A">
        <w:rPr>
          <w:rFonts w:asciiTheme="minorHAnsi" w:hAnsiTheme="minorHAnsi" w:cstheme="minorHAnsi"/>
          <w:noProof/>
          <w:kern w:val="28"/>
          <w:lang w:eastAsia="en-US"/>
        </w:rPr>
        <w:drawing>
          <wp:inline distT="0" distB="0" distL="0" distR="0" wp14:anchorId="30DB5A2D" wp14:editId="6A1F2BD7">
            <wp:extent cx="5943600" cy="5155565"/>
            <wp:effectExtent l="0" t="0" r="0" b="6985"/>
            <wp:docPr id="2" name="Picture 2" descr="C:\Users\cnguyen1\Desktop\Trash\power_upper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guyen1\Desktop\Trash\power_upper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95" w:rsidRPr="00A734E6" w:rsidRDefault="00E11695" w:rsidP="00E11695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E11695" w:rsidRDefault="00E11695" w:rsidP="00E11695">
      <w:pPr>
        <w:spacing w:after="0" w:line="240" w:lineRule="auto"/>
        <w:rPr>
          <w:rFonts w:asciiTheme="minorHAnsi" w:hAnsiTheme="minorHAnsi" w:cstheme="minorHAnsi"/>
          <w:b/>
          <w:kern w:val="28"/>
        </w:rPr>
      </w:pPr>
      <w:r w:rsidRPr="005769B5">
        <w:rPr>
          <w:rFonts w:asciiTheme="minorHAnsi" w:hAnsiTheme="minorHAnsi" w:cstheme="minorHAnsi"/>
          <w:kern w:val="28"/>
        </w:rPr>
        <w:t xml:space="preserve">This figure </w:t>
      </w:r>
      <w:proofErr w:type="gramStart"/>
      <w:r w:rsidRPr="005769B5">
        <w:rPr>
          <w:rFonts w:asciiTheme="minorHAnsi" w:hAnsiTheme="minorHAnsi" w:cstheme="minorHAnsi"/>
          <w:kern w:val="28"/>
        </w:rPr>
        <w:t>was used</w:t>
      </w:r>
      <w:proofErr w:type="gramEnd"/>
      <w:r w:rsidRPr="005769B5">
        <w:rPr>
          <w:rFonts w:asciiTheme="minorHAnsi" w:hAnsiTheme="minorHAnsi" w:cstheme="minorHAnsi"/>
          <w:kern w:val="28"/>
        </w:rPr>
        <w:t xml:space="preserve"> to determine the minimum detectable effect size (y-axis) for any characteristic using the prevalence of the char</w:t>
      </w:r>
      <w:r>
        <w:rPr>
          <w:rFonts w:asciiTheme="minorHAnsi" w:hAnsiTheme="minorHAnsi" w:cstheme="minorHAnsi"/>
          <w:kern w:val="28"/>
        </w:rPr>
        <w:t>acteristic in the non-MRSA SSI population</w:t>
      </w:r>
      <w:r w:rsidRPr="005769B5">
        <w:rPr>
          <w:rFonts w:asciiTheme="minorHAnsi" w:hAnsiTheme="minorHAnsi" w:cstheme="minorHAnsi"/>
          <w:kern w:val="28"/>
        </w:rPr>
        <w:t xml:space="preserve"> (x-axis). The solid </w:t>
      </w:r>
      <w:r>
        <w:rPr>
          <w:rFonts w:asciiTheme="minorHAnsi" w:hAnsiTheme="minorHAnsi" w:cstheme="minorHAnsi"/>
          <w:kern w:val="28"/>
        </w:rPr>
        <w:t xml:space="preserve">curved line </w:t>
      </w:r>
      <w:r w:rsidRPr="005769B5">
        <w:rPr>
          <w:rFonts w:asciiTheme="minorHAnsi" w:hAnsiTheme="minorHAnsi" w:cstheme="minorHAnsi"/>
          <w:kern w:val="28"/>
        </w:rPr>
        <w:t xml:space="preserve">represents the result of the 80% power calculation. For example, in our cohort, 2.2% of the non-MRSA population had a history of MRSA colonization or infection. Therefore, our study </w:t>
      </w:r>
      <w:proofErr w:type="gramStart"/>
      <w:r w:rsidRPr="005769B5">
        <w:rPr>
          <w:rFonts w:asciiTheme="minorHAnsi" w:hAnsiTheme="minorHAnsi" w:cstheme="minorHAnsi"/>
          <w:kern w:val="28"/>
        </w:rPr>
        <w:t>was powered</w:t>
      </w:r>
      <w:proofErr w:type="gramEnd"/>
      <w:r w:rsidRPr="005769B5">
        <w:rPr>
          <w:rFonts w:asciiTheme="minorHAnsi" w:hAnsiTheme="minorHAnsi" w:cstheme="minorHAnsi"/>
          <w:kern w:val="28"/>
        </w:rPr>
        <w:t xml:space="preserve"> to detect a minimum OR of </w:t>
      </w:r>
      <w:r>
        <w:rPr>
          <w:rFonts w:asciiTheme="minorHAnsi" w:hAnsiTheme="minorHAnsi" w:cstheme="minorHAnsi"/>
          <w:kern w:val="28"/>
        </w:rPr>
        <w:t>8.53</w:t>
      </w:r>
      <w:r w:rsidRPr="005769B5">
        <w:rPr>
          <w:rFonts w:asciiTheme="minorHAnsi" w:hAnsiTheme="minorHAnsi" w:cstheme="minorHAnsi"/>
          <w:kern w:val="28"/>
        </w:rPr>
        <w:t xml:space="preserve"> (dashed line).</w:t>
      </w:r>
    </w:p>
    <w:p w:rsidR="00E11695" w:rsidRDefault="00E11695" w:rsidP="00E11695">
      <w:pPr>
        <w:spacing w:after="0" w:line="240" w:lineRule="auto"/>
        <w:jc w:val="center"/>
        <w:rPr>
          <w:rFonts w:asciiTheme="minorHAnsi" w:hAnsiTheme="minorHAnsi" w:cstheme="minorHAnsi"/>
          <w:b/>
          <w:kern w:val="28"/>
        </w:rPr>
        <w:sectPr w:rsidR="00E11695" w:rsidSect="00E116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11695" w:rsidRDefault="00E11695" w:rsidP="00E11695">
      <w:pPr>
        <w:spacing w:after="0" w:line="240" w:lineRule="auto"/>
        <w:rPr>
          <w:rFonts w:asciiTheme="minorHAnsi" w:hAnsiTheme="minorHAnsi" w:cstheme="minorHAnsi"/>
          <w:b/>
          <w:kern w:val="28"/>
        </w:rPr>
      </w:pPr>
      <w:r w:rsidRPr="00425A79">
        <w:rPr>
          <w:rFonts w:asciiTheme="minorHAnsi" w:hAnsiTheme="minorHAnsi" w:cstheme="minorHAnsi"/>
          <w:b/>
          <w:kern w:val="28"/>
        </w:rPr>
        <w:lastRenderedPageBreak/>
        <w:t xml:space="preserve">Supplemental Table 1. </w:t>
      </w:r>
      <w:r>
        <w:rPr>
          <w:rFonts w:asciiTheme="minorHAnsi" w:hAnsiTheme="minorHAnsi" w:cstheme="minorHAnsi"/>
          <w:b/>
          <w:kern w:val="28"/>
        </w:rPr>
        <w:t xml:space="preserve">Odds of MRSA SSI among patients with a characteristic for which vancomycin prophylaxis </w:t>
      </w:r>
      <w:proofErr w:type="gramStart"/>
      <w:r>
        <w:rPr>
          <w:rFonts w:asciiTheme="minorHAnsi" w:hAnsiTheme="minorHAnsi" w:cstheme="minorHAnsi"/>
          <w:b/>
          <w:kern w:val="28"/>
        </w:rPr>
        <w:t>was recommended</w:t>
      </w:r>
      <w:proofErr w:type="gramEnd"/>
      <w:r>
        <w:rPr>
          <w:rFonts w:asciiTheme="minorHAnsi" w:hAnsiTheme="minorHAnsi" w:cstheme="minorHAnsi"/>
          <w:b/>
          <w:kern w:val="28"/>
        </w:rPr>
        <w:t xml:space="preserve"> based on institutional guidelines, all patients and those who did not receive vancomycin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73"/>
        <w:gridCol w:w="1169"/>
        <w:gridCol w:w="1172"/>
        <w:gridCol w:w="1169"/>
        <w:gridCol w:w="1167"/>
      </w:tblGrid>
      <w:tr w:rsidR="00E11695" w:rsidRPr="00482C80" w:rsidTr="00512B81">
        <w:trPr>
          <w:trHeight w:val="615"/>
        </w:trPr>
        <w:tc>
          <w:tcPr>
            <w:tcW w:w="2499" w:type="pct"/>
            <w:noWrap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 </w:t>
            </w:r>
          </w:p>
        </w:tc>
        <w:tc>
          <w:tcPr>
            <w:tcW w:w="1252" w:type="pct"/>
            <w:gridSpan w:val="2"/>
            <w:vAlign w:val="center"/>
            <w:hideMark/>
          </w:tcPr>
          <w:p w:rsidR="00E11695" w:rsidRPr="000C6994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0C6994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All Patients</w:t>
            </w:r>
          </w:p>
        </w:tc>
        <w:tc>
          <w:tcPr>
            <w:tcW w:w="1249" w:type="pct"/>
            <w:gridSpan w:val="2"/>
            <w:vAlign w:val="center"/>
            <w:hideMark/>
          </w:tcPr>
          <w:p w:rsidR="00E11695" w:rsidRPr="000C6994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0C6994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Patients Who Did Not Receive Vancomycin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noWrap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 </w:t>
            </w:r>
          </w:p>
        </w:tc>
        <w:tc>
          <w:tcPr>
            <w:tcW w:w="625" w:type="pct"/>
            <w:vAlign w:val="center"/>
            <w:hideMark/>
          </w:tcPr>
          <w:p w:rsidR="00E11695" w:rsidRPr="000C6994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0C6994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OR</w:t>
            </w:r>
          </w:p>
        </w:tc>
        <w:tc>
          <w:tcPr>
            <w:tcW w:w="625" w:type="pct"/>
            <w:vAlign w:val="center"/>
            <w:hideMark/>
          </w:tcPr>
          <w:p w:rsidR="00E11695" w:rsidRPr="000C6994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0C6994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95 % CI</w:t>
            </w:r>
          </w:p>
        </w:tc>
        <w:tc>
          <w:tcPr>
            <w:tcW w:w="625" w:type="pct"/>
            <w:vAlign w:val="center"/>
            <w:hideMark/>
          </w:tcPr>
          <w:p w:rsidR="00E11695" w:rsidRPr="000C6994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0C6994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OR</w:t>
            </w:r>
          </w:p>
        </w:tc>
        <w:tc>
          <w:tcPr>
            <w:tcW w:w="625" w:type="pct"/>
            <w:vAlign w:val="center"/>
            <w:hideMark/>
          </w:tcPr>
          <w:p w:rsidR="00E11695" w:rsidRPr="000C6994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0C6994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95 % CI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 xml:space="preserve">Hip or </w:t>
            </w:r>
            <w:r>
              <w:rPr>
                <w:rFonts w:asciiTheme="minorHAnsi" w:hAnsiTheme="minorHAnsi" w:cstheme="minorHAnsi"/>
                <w:color w:val="000000"/>
                <w:lang w:eastAsia="en-US"/>
              </w:rPr>
              <w:t>k</w:t>
            </w: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 xml:space="preserve">nee </w:t>
            </w:r>
            <w:r>
              <w:rPr>
                <w:rFonts w:asciiTheme="minorHAnsi" w:hAnsiTheme="minorHAnsi" w:cstheme="minorHAnsi"/>
                <w:color w:val="000000"/>
                <w:lang w:eastAsia="en-US"/>
              </w:rPr>
              <w:t>r</w:t>
            </w: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eplacement</w:t>
            </w:r>
          </w:p>
        </w:tc>
        <w:tc>
          <w:tcPr>
            <w:tcW w:w="625" w:type="pct"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4.8</w:t>
            </w:r>
          </w:p>
        </w:tc>
        <w:tc>
          <w:tcPr>
            <w:tcW w:w="625" w:type="pct"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(1.8, 11.7)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6.3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(0.6, 34.8)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2171E">
              <w:rPr>
                <w:rFonts w:asciiTheme="minorHAnsi" w:hAnsiTheme="minorHAnsi" w:cstheme="minorHAnsi"/>
                <w:color w:val="000000"/>
                <w:lang w:eastAsia="en-US"/>
              </w:rPr>
              <w:t>History of MRSA colonization or infection</w:t>
            </w:r>
          </w:p>
        </w:tc>
        <w:tc>
          <w:tcPr>
            <w:tcW w:w="625" w:type="pct"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9.9</w:t>
            </w:r>
          </w:p>
        </w:tc>
        <w:tc>
          <w:tcPr>
            <w:tcW w:w="625" w:type="pct"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(2.1, 32.2)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10.0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(0.9, 65.8)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 xml:space="preserve">CKD on </w:t>
            </w:r>
            <w:r>
              <w:rPr>
                <w:rFonts w:asciiTheme="minorHAnsi" w:hAnsiTheme="minorHAnsi" w:cstheme="minorHAnsi"/>
                <w:color w:val="000000"/>
                <w:lang w:eastAsia="en-US"/>
              </w:rPr>
              <w:t>c</w:t>
            </w: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 xml:space="preserve">hronic </w:t>
            </w:r>
            <w:r>
              <w:rPr>
                <w:rFonts w:asciiTheme="minorHAnsi" w:hAnsiTheme="minorHAnsi" w:cstheme="minorHAnsi"/>
                <w:color w:val="000000"/>
                <w:lang w:eastAsia="en-US"/>
              </w:rPr>
              <w:t>hemodialysis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0.8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(0.0, 6.8)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3.1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(0.0, 34.0)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EB2D7F">
              <w:rPr>
                <w:rFonts w:asciiTheme="minorHAnsi" w:hAnsiTheme="minorHAnsi" w:cstheme="minorHAnsi"/>
              </w:rPr>
              <w:t xml:space="preserve">Hospitalized for 72 </w:t>
            </w:r>
            <w:proofErr w:type="spellStart"/>
            <w:r w:rsidRPr="00EB2D7F">
              <w:rPr>
                <w:rFonts w:asciiTheme="minorHAnsi" w:hAnsiTheme="minorHAnsi" w:cstheme="minorHAnsi"/>
              </w:rPr>
              <w:t>hrs</w:t>
            </w:r>
            <w:proofErr w:type="spellEnd"/>
            <w:r w:rsidRPr="00EB2D7F">
              <w:rPr>
                <w:rFonts w:asciiTheme="minorHAnsi" w:hAnsiTheme="minorHAnsi" w:cstheme="minorHAnsi"/>
              </w:rPr>
              <w:t xml:space="preserve"> within 90 days prior to procedure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1.0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(0.3, 2.7)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1.0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(0.2, 3.6)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EB2D7F">
              <w:rPr>
                <w:rFonts w:asciiTheme="minorHAnsi" w:hAnsiTheme="minorHAnsi" w:cstheme="minorHAnsi"/>
              </w:rPr>
              <w:t xml:space="preserve">Hospitalized for &gt;72 </w:t>
            </w:r>
            <w:proofErr w:type="spellStart"/>
            <w:r w:rsidRPr="00EB2D7F">
              <w:rPr>
                <w:rFonts w:asciiTheme="minorHAnsi" w:hAnsiTheme="minorHAnsi" w:cstheme="minorHAnsi"/>
              </w:rPr>
              <w:t>hrs</w:t>
            </w:r>
            <w:proofErr w:type="spellEnd"/>
            <w:r w:rsidRPr="00EB2D7F">
              <w:rPr>
                <w:rFonts w:asciiTheme="minorHAnsi" w:hAnsiTheme="minorHAnsi" w:cstheme="minorHAnsi"/>
              </w:rPr>
              <w:t xml:space="preserve"> immediately prior to </w:t>
            </w:r>
            <w:r>
              <w:rPr>
                <w:rFonts w:asciiTheme="minorHAnsi" w:hAnsiTheme="minorHAnsi" w:cstheme="minorHAnsi"/>
              </w:rPr>
              <w:t xml:space="preserve">inpatient </w:t>
            </w:r>
            <w:r w:rsidRPr="00EB2D7F">
              <w:rPr>
                <w:rFonts w:asciiTheme="minorHAnsi" w:hAnsiTheme="minorHAnsi" w:cstheme="minorHAnsi"/>
              </w:rPr>
              <w:t>procedure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0.6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(0.1, 1.9)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0.6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(0.1, 2.7)</w:t>
            </w:r>
          </w:p>
        </w:tc>
      </w:tr>
      <w:tr w:rsidR="00E11695" w:rsidRPr="00482C80" w:rsidTr="00512B81">
        <w:trPr>
          <w:trHeight w:val="300"/>
        </w:trPr>
        <w:tc>
          <w:tcPr>
            <w:tcW w:w="2499" w:type="pct"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2171E">
              <w:rPr>
                <w:rFonts w:asciiTheme="minorHAnsi" w:hAnsiTheme="minorHAnsi" w:cstheme="minorHAnsi"/>
                <w:color w:val="000000"/>
                <w:lang w:eastAsia="en-US"/>
              </w:rPr>
              <w:t>SNF, LTAC, or nursing home resident immediately prior to procedure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1B6231">
              <w:rPr>
                <w:rFonts w:asciiTheme="minorHAnsi" w:hAnsiTheme="minorHAnsi" w:cstheme="minorHAnsi"/>
                <w:color w:val="000000"/>
                <w:lang w:eastAsia="en-US"/>
              </w:rPr>
              <w:t>0.6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(0.0, 4.7)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1.3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(0.0, 10.9)</w:t>
            </w:r>
          </w:p>
        </w:tc>
      </w:tr>
      <w:tr w:rsidR="00E11695" w:rsidRPr="00482C80" w:rsidTr="00512B81">
        <w:trPr>
          <w:trHeight w:val="285"/>
        </w:trPr>
        <w:tc>
          <w:tcPr>
            <w:tcW w:w="2499" w:type="pct"/>
            <w:noWrap/>
            <w:hideMark/>
          </w:tcPr>
          <w:p w:rsidR="00E11695" w:rsidRPr="00425A79" w:rsidRDefault="00E11695" w:rsidP="00512B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EB2D7F">
              <w:rPr>
                <w:rFonts w:asciiTheme="minorHAnsi" w:hAnsiTheme="minorHAnsi" w:cstheme="minorHAnsi"/>
              </w:rPr>
              <w:t>Received home wound care 30 days prior to procedure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2.1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(0.4, 7.3)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2.3</w:t>
            </w:r>
          </w:p>
        </w:tc>
        <w:tc>
          <w:tcPr>
            <w:tcW w:w="625" w:type="pct"/>
            <w:noWrap/>
            <w:vAlign w:val="center"/>
            <w:hideMark/>
          </w:tcPr>
          <w:p w:rsidR="00E11695" w:rsidRPr="00425A79" w:rsidRDefault="00E11695" w:rsidP="00512B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425A79">
              <w:rPr>
                <w:rFonts w:asciiTheme="minorHAnsi" w:hAnsiTheme="minorHAnsi" w:cstheme="minorHAnsi"/>
                <w:color w:val="000000"/>
                <w:lang w:eastAsia="en-US"/>
              </w:rPr>
              <w:t>(0.2, 10.6)</w:t>
            </w:r>
          </w:p>
        </w:tc>
      </w:tr>
    </w:tbl>
    <w:p w:rsidR="00E11695" w:rsidRDefault="00E11695" w:rsidP="00E11695">
      <w:pPr>
        <w:spacing w:after="0" w:line="240" w:lineRule="auto"/>
        <w:jc w:val="center"/>
        <w:rPr>
          <w:rFonts w:asciiTheme="minorHAnsi" w:hAnsiTheme="minorHAnsi" w:cstheme="minorHAnsi"/>
          <w:kern w:val="28"/>
        </w:rPr>
      </w:pPr>
    </w:p>
    <w:p w:rsidR="00E11695" w:rsidRPr="00482C80" w:rsidRDefault="00E11695" w:rsidP="00E11695">
      <w:pPr>
        <w:spacing w:after="0" w:line="240" w:lineRule="auto"/>
        <w:jc w:val="center"/>
        <w:rPr>
          <w:rFonts w:asciiTheme="minorHAnsi" w:hAnsiTheme="minorHAnsi" w:cstheme="minorHAnsi"/>
          <w:kern w:val="28"/>
        </w:rPr>
      </w:pPr>
    </w:p>
    <w:p w:rsidR="008F0CC2" w:rsidRDefault="008F0CC2">
      <w:pPr>
        <w:sectPr w:rsidR="008F0CC2" w:rsidSect="00E116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0CC2" w:rsidRPr="00EB2D7F" w:rsidRDefault="008F0CC2" w:rsidP="008F0CC2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Supplemental Table 2</w:t>
      </w:r>
      <w:r w:rsidRPr="008F0CC2">
        <w:rPr>
          <w:rFonts w:cstheme="minorHAnsi"/>
          <w:b/>
        </w:rPr>
        <w:t>. Crude and adjusted odds ratios of characteristics associated with MRSA SSI</w:t>
      </w:r>
      <w:r>
        <w:rPr>
          <w:rFonts w:cstheme="minorHAnsi"/>
          <w:b/>
        </w:rPr>
        <w:t xml:space="preserve">, excluding patients who did not have an SSI </w:t>
      </w:r>
      <w:r>
        <w:rPr>
          <w:rFonts w:cstheme="minorHAnsi"/>
          <w:b/>
        </w:rPr>
        <w:t xml:space="preserve">culture obtained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5"/>
        <w:gridCol w:w="989"/>
        <w:gridCol w:w="1711"/>
        <w:gridCol w:w="1081"/>
        <w:gridCol w:w="1434"/>
      </w:tblGrid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rPr>
                <w:rFonts w:cstheme="minorHAnsi"/>
              </w:rPr>
            </w:pPr>
            <w:r w:rsidRPr="00EB2D7F">
              <w:rPr>
                <w:rFonts w:cstheme="minorHAnsi"/>
              </w:rPr>
              <w:t> </w:t>
            </w:r>
          </w:p>
        </w:tc>
        <w:tc>
          <w:tcPr>
            <w:tcW w:w="1444" w:type="pct"/>
            <w:gridSpan w:val="2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Univariate</w:t>
            </w:r>
          </w:p>
        </w:tc>
        <w:tc>
          <w:tcPr>
            <w:tcW w:w="1345" w:type="pct"/>
            <w:gridSpan w:val="2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Multivariate</w:t>
            </w:r>
          </w:p>
        </w:tc>
      </w:tr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529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OR</w:t>
            </w:r>
          </w:p>
        </w:tc>
        <w:tc>
          <w:tcPr>
            <w:tcW w:w="915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95 % CI</w:t>
            </w:r>
          </w:p>
        </w:tc>
        <w:tc>
          <w:tcPr>
            <w:tcW w:w="578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proofErr w:type="spellStart"/>
            <w:r w:rsidRPr="00EB2D7F">
              <w:rPr>
                <w:rFonts w:cstheme="minorHAnsi"/>
              </w:rPr>
              <w:t>aOR</w:t>
            </w:r>
            <w:proofErr w:type="spellEnd"/>
          </w:p>
        </w:tc>
        <w:tc>
          <w:tcPr>
            <w:tcW w:w="767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95 % CI</w:t>
            </w:r>
          </w:p>
        </w:tc>
      </w:tr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rPr>
                <w:rFonts w:cstheme="minorHAnsi"/>
              </w:rPr>
            </w:pPr>
            <w:r w:rsidRPr="00EB2D7F">
              <w:rPr>
                <w:rFonts w:cstheme="minorHAnsi"/>
              </w:rPr>
              <w:t>Hip or knee replacement</w:t>
            </w:r>
          </w:p>
        </w:tc>
        <w:tc>
          <w:tcPr>
            <w:tcW w:w="529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3.87</w:t>
            </w:r>
          </w:p>
        </w:tc>
        <w:tc>
          <w:tcPr>
            <w:tcW w:w="915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(1.45</w:t>
            </w:r>
            <w:r w:rsidRPr="00EB2D7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9.56</w:t>
            </w:r>
            <w:r w:rsidRPr="00EB2D7F">
              <w:rPr>
                <w:rFonts w:cstheme="minorHAnsi"/>
              </w:rPr>
              <w:t>)</w:t>
            </w:r>
          </w:p>
        </w:tc>
        <w:tc>
          <w:tcPr>
            <w:tcW w:w="578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3</w:t>
            </w:r>
            <w:r>
              <w:rPr>
                <w:rFonts w:cstheme="minorHAnsi"/>
              </w:rPr>
              <w:t>.44</w:t>
            </w:r>
          </w:p>
        </w:tc>
        <w:tc>
          <w:tcPr>
            <w:tcW w:w="767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(1.19, 9.20</w:t>
            </w:r>
            <w:r w:rsidRPr="00EB2D7F">
              <w:rPr>
                <w:rFonts w:cstheme="minorHAnsi"/>
              </w:rPr>
              <w:t>)</w:t>
            </w:r>
          </w:p>
        </w:tc>
      </w:tr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rPr>
                <w:rFonts w:cstheme="minorHAnsi"/>
              </w:rPr>
            </w:pPr>
            <w:r w:rsidRPr="00EB2D7F">
              <w:rPr>
                <w:rFonts w:cstheme="minorHAnsi"/>
              </w:rPr>
              <w:t>History of MRSA colonization or infection</w:t>
            </w:r>
          </w:p>
        </w:tc>
        <w:tc>
          <w:tcPr>
            <w:tcW w:w="529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11.76</w:t>
            </w:r>
          </w:p>
        </w:tc>
        <w:tc>
          <w:tcPr>
            <w:tcW w:w="915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(</w:t>
            </w:r>
            <w:r>
              <w:rPr>
                <w:rFonts w:cstheme="minorHAnsi"/>
              </w:rPr>
              <w:t>3.04</w:t>
            </w:r>
            <w:r w:rsidRPr="00EB2D7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42.35</w:t>
            </w:r>
            <w:r w:rsidRPr="00EB2D7F">
              <w:rPr>
                <w:rFonts w:cstheme="minorHAnsi"/>
              </w:rPr>
              <w:t>)</w:t>
            </w:r>
          </w:p>
        </w:tc>
        <w:tc>
          <w:tcPr>
            <w:tcW w:w="578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9</w:t>
            </w:r>
            <w:r>
              <w:rPr>
                <w:rFonts w:cstheme="minorHAnsi"/>
              </w:rPr>
              <w:t>.87</w:t>
            </w:r>
          </w:p>
        </w:tc>
        <w:tc>
          <w:tcPr>
            <w:tcW w:w="767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(2.23, 39.99</w:t>
            </w:r>
            <w:r w:rsidRPr="00EB2D7F">
              <w:rPr>
                <w:rFonts w:cstheme="minorHAnsi"/>
              </w:rPr>
              <w:t>)</w:t>
            </w:r>
          </w:p>
        </w:tc>
      </w:tr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rPr>
                <w:rFonts w:cstheme="minorHAnsi"/>
              </w:rPr>
            </w:pPr>
            <w:r w:rsidRPr="00EB2D7F">
              <w:rPr>
                <w:rFonts w:cstheme="minorHAnsi"/>
              </w:rPr>
              <w:t>Malignancy</w:t>
            </w:r>
          </w:p>
        </w:tc>
        <w:tc>
          <w:tcPr>
            <w:tcW w:w="529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0.27</w:t>
            </w:r>
          </w:p>
        </w:tc>
        <w:tc>
          <w:tcPr>
            <w:tcW w:w="915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(0.05, 0.85</w:t>
            </w:r>
            <w:r w:rsidRPr="00EB2D7F">
              <w:rPr>
                <w:rFonts w:cstheme="minorHAnsi"/>
              </w:rPr>
              <w:t>)</w:t>
            </w:r>
          </w:p>
        </w:tc>
        <w:tc>
          <w:tcPr>
            <w:tcW w:w="578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0.31</w:t>
            </w:r>
          </w:p>
        </w:tc>
        <w:tc>
          <w:tcPr>
            <w:tcW w:w="767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(0.06, 1.03</w:t>
            </w:r>
            <w:r w:rsidRPr="00EB2D7F">
              <w:rPr>
                <w:rFonts w:cstheme="minorHAnsi"/>
              </w:rPr>
              <w:t>)</w:t>
            </w:r>
          </w:p>
        </w:tc>
      </w:tr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rPr>
                <w:rFonts w:cstheme="minorHAnsi"/>
              </w:rPr>
            </w:pPr>
            <w:r w:rsidRPr="00EB2D7F">
              <w:rPr>
                <w:rFonts w:cstheme="minorHAnsi"/>
              </w:rPr>
              <w:t>Beta-lactam allergy</w:t>
            </w:r>
          </w:p>
        </w:tc>
        <w:tc>
          <w:tcPr>
            <w:tcW w:w="529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0.24</w:t>
            </w:r>
          </w:p>
        </w:tc>
        <w:tc>
          <w:tcPr>
            <w:tcW w:w="915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(0.03, 0.95</w:t>
            </w:r>
            <w:r w:rsidRPr="00EB2D7F">
              <w:rPr>
                <w:rFonts w:cstheme="minorHAnsi"/>
              </w:rPr>
              <w:t>)</w:t>
            </w:r>
          </w:p>
        </w:tc>
        <w:tc>
          <w:tcPr>
            <w:tcW w:w="578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</w:tc>
        <w:tc>
          <w:tcPr>
            <w:tcW w:w="767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</w:tc>
      </w:tr>
      <w:tr w:rsidR="008F0CC2" w:rsidRPr="00EB2D7F" w:rsidTr="006C4DC9">
        <w:trPr>
          <w:trHeight w:val="300"/>
        </w:trPr>
        <w:tc>
          <w:tcPr>
            <w:tcW w:w="2211" w:type="pct"/>
            <w:hideMark/>
          </w:tcPr>
          <w:p w:rsidR="008F0CC2" w:rsidRPr="00EB2D7F" w:rsidRDefault="008F0CC2" w:rsidP="006C4DC9">
            <w:pPr>
              <w:spacing w:line="480" w:lineRule="auto"/>
              <w:rPr>
                <w:rFonts w:cstheme="minorHAnsi"/>
              </w:rPr>
            </w:pPr>
            <w:r w:rsidRPr="00EB2D7F">
              <w:rPr>
                <w:rFonts w:cstheme="minorHAnsi"/>
              </w:rPr>
              <w:t>Hispanic</w:t>
            </w:r>
          </w:p>
        </w:tc>
        <w:tc>
          <w:tcPr>
            <w:tcW w:w="529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3.40</w:t>
            </w:r>
          </w:p>
        </w:tc>
        <w:tc>
          <w:tcPr>
            <w:tcW w:w="915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 w:rsidRPr="00EB2D7F">
              <w:rPr>
                <w:rFonts w:cstheme="minorHAnsi"/>
              </w:rPr>
              <w:t>(</w:t>
            </w:r>
            <w:r>
              <w:rPr>
                <w:rFonts w:cstheme="minorHAnsi"/>
              </w:rPr>
              <w:t>0.99, 9.68</w:t>
            </w:r>
            <w:r w:rsidRPr="00EB2D7F">
              <w:rPr>
                <w:rFonts w:cstheme="minorHAnsi"/>
              </w:rPr>
              <w:t>)</w:t>
            </w:r>
          </w:p>
        </w:tc>
        <w:tc>
          <w:tcPr>
            <w:tcW w:w="578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4.19</w:t>
            </w:r>
          </w:p>
        </w:tc>
        <w:tc>
          <w:tcPr>
            <w:tcW w:w="767" w:type="pct"/>
            <w:hideMark/>
          </w:tcPr>
          <w:p w:rsidR="008F0CC2" w:rsidRPr="00EB2D7F" w:rsidRDefault="008F0CC2" w:rsidP="006C4DC9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(1.06, 13.83</w:t>
            </w:r>
            <w:r w:rsidRPr="00EB2D7F">
              <w:rPr>
                <w:rFonts w:cstheme="minorHAnsi"/>
              </w:rPr>
              <w:t>)</w:t>
            </w:r>
          </w:p>
        </w:tc>
      </w:tr>
    </w:tbl>
    <w:p w:rsidR="00340E0A" w:rsidRDefault="00D06182">
      <w:r w:rsidRPr="00D06182">
        <w:t xml:space="preserve">Note: Beta-lactam allergy </w:t>
      </w:r>
      <w:proofErr w:type="gramStart"/>
      <w:r w:rsidRPr="00D06182">
        <w:t>was excluded</w:t>
      </w:r>
      <w:proofErr w:type="gramEnd"/>
      <w:r w:rsidRPr="00D06182">
        <w:t xml:space="preserve"> from the multivariate model after backward stepwise regression</w:t>
      </w:r>
      <w:bookmarkStart w:id="0" w:name="_GoBack"/>
      <w:bookmarkEnd w:id="0"/>
    </w:p>
    <w:sectPr w:rsidR="00340E0A" w:rsidSect="00E1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95"/>
    <w:rsid w:val="00017DA2"/>
    <w:rsid w:val="002E7B9A"/>
    <w:rsid w:val="008F0CC2"/>
    <w:rsid w:val="00D06182"/>
    <w:rsid w:val="00E11695"/>
    <w:rsid w:val="00E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541B"/>
  <w15:chartTrackingRefBased/>
  <w15:docId w15:val="{AC0D795E-3010-4F3F-902B-DB55681F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95"/>
    <w:pPr>
      <w:spacing w:after="200" w:line="276" w:lineRule="auto"/>
    </w:pPr>
    <w:rPr>
      <w:rFonts w:ascii="Calibri" w:eastAsia="Times New Roman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1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UChicago Medicine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Cynthia [UCH]</dc:creator>
  <cp:keywords/>
  <dc:description/>
  <cp:lastModifiedBy>Nguyen, Cynthia [UCH]</cp:lastModifiedBy>
  <cp:revision>3</cp:revision>
  <dcterms:created xsi:type="dcterms:W3CDTF">2023-12-12T22:07:00Z</dcterms:created>
  <dcterms:modified xsi:type="dcterms:W3CDTF">2023-12-12T22:07:00Z</dcterms:modified>
</cp:coreProperties>
</file>