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8069EE" w14:textId="2DD813F5" w:rsidR="00CA7622" w:rsidRPr="00000B8C" w:rsidRDefault="00B32A4A" w:rsidP="00CA7622">
      <w:pPr>
        <w:pStyle w:val="Heading4"/>
        <w:spacing w:before="0" w:after="200" w:line="480" w:lineRule="auto"/>
        <w:rPr>
          <w:rFonts w:ascii="Times New Roman" w:hAnsi="Times New Roman" w:cs="Times New Roman"/>
          <w:i w:val="0"/>
        </w:rPr>
      </w:pPr>
      <w:r>
        <w:rPr>
          <w:rFonts w:ascii="Times New Roman" w:hAnsi="Times New Roman" w:cs="Times New Roman"/>
          <w:i w:val="0"/>
        </w:rPr>
        <w:t xml:space="preserve">S1 </w:t>
      </w:r>
      <w:r w:rsidR="00CA7622" w:rsidRPr="00B23238">
        <w:rPr>
          <w:rFonts w:ascii="Times New Roman" w:hAnsi="Times New Roman" w:cs="Times New Roman"/>
          <w:i w:val="0"/>
        </w:rPr>
        <w:t xml:space="preserve">Table. The estimated prevalence of bipolar disorder, schizophrenia, Parkinson’s disease, personality disorder, epilepsy, and major depression from various published resources.  </w:t>
      </w:r>
      <w:bookmarkStart w:id="0" w:name="_GoBack"/>
      <w:bookmarkEnd w:id="0"/>
    </w:p>
    <w:tbl>
      <w:tblPr>
        <w:tblStyle w:val="TableGrid"/>
        <w:tblpPr w:leftFromText="180" w:rightFromText="180" w:vertAnchor="text" w:tblpY="1"/>
        <w:tblOverlap w:val="never"/>
        <w:tblW w:w="9812" w:type="dxa"/>
        <w:tblLook w:val="0000" w:firstRow="0" w:lastRow="0" w:firstColumn="0" w:lastColumn="0" w:noHBand="0" w:noVBand="0"/>
      </w:tblPr>
      <w:tblGrid>
        <w:gridCol w:w="1574"/>
        <w:gridCol w:w="1786"/>
        <w:gridCol w:w="2162"/>
        <w:gridCol w:w="1161"/>
        <w:gridCol w:w="3129"/>
      </w:tblGrid>
      <w:tr w:rsidR="00CA7622" w:rsidRPr="00B23238" w14:paraId="2A334139" w14:textId="77777777" w:rsidTr="00CA7622">
        <w:trPr>
          <w:trHeight w:val="879"/>
        </w:trPr>
        <w:tc>
          <w:tcPr>
            <w:tcW w:w="0" w:type="auto"/>
            <w:vAlign w:val="center"/>
          </w:tcPr>
          <w:p w14:paraId="286C90A6" w14:textId="77777777" w:rsidR="00CA7622" w:rsidRPr="00B23238" w:rsidRDefault="00CA7622" w:rsidP="00CA7622">
            <w:pPr>
              <w:jc w:val="center"/>
              <w:rPr>
                <w:b/>
                <w:sz w:val="21"/>
              </w:rPr>
            </w:pPr>
            <w:r w:rsidRPr="00B23238">
              <w:rPr>
                <w:b/>
                <w:bCs/>
                <w:sz w:val="21"/>
              </w:rPr>
              <w:t>Disease Phenotypes</w:t>
            </w:r>
          </w:p>
        </w:tc>
        <w:tc>
          <w:tcPr>
            <w:tcW w:w="1786" w:type="dxa"/>
            <w:vAlign w:val="center"/>
          </w:tcPr>
          <w:p w14:paraId="67F60B31" w14:textId="77777777" w:rsidR="00CA7622" w:rsidRPr="00B23238" w:rsidRDefault="00CA7622" w:rsidP="00CA7622">
            <w:pPr>
              <w:jc w:val="center"/>
              <w:rPr>
                <w:b/>
                <w:sz w:val="21"/>
              </w:rPr>
            </w:pPr>
            <w:r w:rsidRPr="00B23238">
              <w:rPr>
                <w:b/>
                <w:bCs/>
                <w:sz w:val="21"/>
              </w:rPr>
              <w:t>Estimated Prevalence</w:t>
            </w:r>
          </w:p>
        </w:tc>
        <w:tc>
          <w:tcPr>
            <w:tcW w:w="0" w:type="auto"/>
            <w:vAlign w:val="center"/>
          </w:tcPr>
          <w:p w14:paraId="65183D4D" w14:textId="77777777" w:rsidR="00CA7622" w:rsidRPr="00B23238" w:rsidRDefault="00CA7622" w:rsidP="00CA7622">
            <w:pPr>
              <w:jc w:val="center"/>
              <w:rPr>
                <w:b/>
                <w:sz w:val="21"/>
              </w:rPr>
            </w:pPr>
            <w:r w:rsidRPr="00B23238">
              <w:rPr>
                <w:b/>
                <w:sz w:val="21"/>
              </w:rPr>
              <w:t>Disease Burden in Millions (Worldwide, US)</w:t>
            </w:r>
          </w:p>
        </w:tc>
        <w:tc>
          <w:tcPr>
            <w:tcW w:w="0" w:type="auto"/>
            <w:vAlign w:val="center"/>
          </w:tcPr>
          <w:p w14:paraId="6DF49F64" w14:textId="77777777" w:rsidR="00CA7622" w:rsidRPr="00B23238" w:rsidRDefault="00CA7622" w:rsidP="00CA7622">
            <w:pPr>
              <w:jc w:val="center"/>
              <w:rPr>
                <w:b/>
                <w:sz w:val="21"/>
              </w:rPr>
            </w:pPr>
            <w:r w:rsidRPr="00B23238">
              <w:rPr>
                <w:b/>
                <w:sz w:val="21"/>
              </w:rPr>
              <w:t>Gender Effects</w:t>
            </w:r>
          </w:p>
        </w:tc>
        <w:tc>
          <w:tcPr>
            <w:tcW w:w="0" w:type="auto"/>
            <w:vAlign w:val="center"/>
          </w:tcPr>
          <w:p w14:paraId="5C93B929" w14:textId="77777777" w:rsidR="00CA7622" w:rsidRPr="00B23238" w:rsidRDefault="00CA7622" w:rsidP="00CA7622">
            <w:pPr>
              <w:jc w:val="center"/>
              <w:rPr>
                <w:b/>
                <w:sz w:val="21"/>
              </w:rPr>
            </w:pPr>
            <w:r w:rsidRPr="00B23238">
              <w:rPr>
                <w:b/>
                <w:sz w:val="21"/>
              </w:rPr>
              <w:t>Source</w:t>
            </w:r>
          </w:p>
        </w:tc>
      </w:tr>
      <w:tr w:rsidR="00CA7622" w:rsidRPr="00B23238" w14:paraId="4C666FE0" w14:textId="77777777" w:rsidTr="00CA7622">
        <w:trPr>
          <w:trHeight w:val="879"/>
        </w:trPr>
        <w:tc>
          <w:tcPr>
            <w:tcW w:w="0" w:type="auto"/>
            <w:vAlign w:val="center"/>
          </w:tcPr>
          <w:p w14:paraId="0B59EDB2" w14:textId="77777777" w:rsidR="00CA7622" w:rsidRPr="00B23238" w:rsidRDefault="00CA7622" w:rsidP="00CA7622">
            <w:pPr>
              <w:jc w:val="center"/>
              <w:rPr>
                <w:sz w:val="21"/>
              </w:rPr>
            </w:pPr>
            <w:r w:rsidRPr="00B23238">
              <w:rPr>
                <w:bCs/>
                <w:sz w:val="21"/>
              </w:rPr>
              <w:t>Bipolar Disorder</w:t>
            </w:r>
          </w:p>
        </w:tc>
        <w:tc>
          <w:tcPr>
            <w:tcW w:w="1786" w:type="dxa"/>
            <w:vAlign w:val="center"/>
          </w:tcPr>
          <w:p w14:paraId="14006BCE" w14:textId="77777777" w:rsidR="00CA7622" w:rsidRPr="00B23238" w:rsidRDefault="00CA7622" w:rsidP="00CA7622">
            <w:pPr>
              <w:jc w:val="center"/>
              <w:rPr>
                <w:sz w:val="21"/>
              </w:rPr>
            </w:pPr>
            <w:r w:rsidRPr="00B23238">
              <w:rPr>
                <w:sz w:val="21"/>
              </w:rPr>
              <w:t>1% (General)</w:t>
            </w:r>
          </w:p>
          <w:p w14:paraId="6F3482C4" w14:textId="77777777" w:rsidR="00CA7622" w:rsidRPr="00B23238" w:rsidRDefault="00CA7622" w:rsidP="00CA7622">
            <w:pPr>
              <w:jc w:val="center"/>
              <w:rPr>
                <w:sz w:val="21"/>
              </w:rPr>
            </w:pPr>
            <w:r w:rsidRPr="00B23238">
              <w:rPr>
                <w:sz w:val="21"/>
              </w:rPr>
              <w:t>2</w:t>
            </w:r>
            <w:r>
              <w:t>.</w:t>
            </w:r>
            <w:r w:rsidRPr="00B23238">
              <w:rPr>
                <w:sz w:val="21"/>
              </w:rPr>
              <w:t>4-2</w:t>
            </w:r>
            <w:r>
              <w:t>.</w:t>
            </w:r>
            <w:r w:rsidRPr="00B23238">
              <w:rPr>
                <w:sz w:val="21"/>
              </w:rPr>
              <w:t>6% (Adults)</w:t>
            </w:r>
          </w:p>
        </w:tc>
        <w:tc>
          <w:tcPr>
            <w:tcW w:w="0" w:type="auto"/>
            <w:vAlign w:val="center"/>
          </w:tcPr>
          <w:p w14:paraId="4C899D9A" w14:textId="77777777" w:rsidR="00CA7622" w:rsidRPr="00B23238" w:rsidRDefault="00CA7622" w:rsidP="00CA7622">
            <w:pPr>
              <w:jc w:val="center"/>
              <w:rPr>
                <w:sz w:val="21"/>
              </w:rPr>
            </w:pPr>
            <w:r w:rsidRPr="00B23238">
              <w:rPr>
                <w:sz w:val="21"/>
              </w:rPr>
              <w:t>60, 5</w:t>
            </w:r>
            <w:r>
              <w:t>.</w:t>
            </w:r>
            <w:r w:rsidRPr="00B23238">
              <w:rPr>
                <w:sz w:val="21"/>
              </w:rPr>
              <w:t>7</w:t>
            </w:r>
          </w:p>
        </w:tc>
        <w:tc>
          <w:tcPr>
            <w:tcW w:w="0" w:type="auto"/>
            <w:vAlign w:val="center"/>
          </w:tcPr>
          <w:p w14:paraId="566FF549" w14:textId="77777777" w:rsidR="00CA7622" w:rsidRPr="00B23238" w:rsidRDefault="00CA7622" w:rsidP="00CA7622">
            <w:pPr>
              <w:jc w:val="center"/>
              <w:rPr>
                <w:sz w:val="21"/>
              </w:rPr>
            </w:pPr>
            <w:r w:rsidRPr="00B23238">
              <w:rPr>
                <w:sz w:val="21"/>
              </w:rPr>
              <w:t>Higher in Females</w:t>
            </w:r>
          </w:p>
        </w:tc>
        <w:tc>
          <w:tcPr>
            <w:tcW w:w="0" w:type="auto"/>
            <w:vAlign w:val="center"/>
          </w:tcPr>
          <w:p w14:paraId="2021D148" w14:textId="6088D1B6" w:rsidR="00CA7622" w:rsidRPr="00B23238" w:rsidRDefault="00CA7622" w:rsidP="00CA7622">
            <w:pPr>
              <w:jc w:val="center"/>
              <w:rPr>
                <w:sz w:val="21"/>
              </w:rPr>
            </w:pPr>
            <w:r w:rsidRPr="00B23238">
              <w:rPr>
                <w:sz w:val="21"/>
              </w:rPr>
              <w:t>NIMH*, WHO</w:t>
            </w:r>
            <w:r w:rsidRPr="00B23238">
              <w:rPr>
                <w:sz w:val="21"/>
              </w:rPr>
              <w:fldChar w:fldCharType="begin" w:fldLock="1"/>
            </w:r>
            <w:r>
              <w:rPr>
                <w:sz w:val="21"/>
              </w:rPr>
              <w:instrText>ADDIN CSL_CITATION {"citationItems":[{"id":"ITEM-1","itemData":{"URL":"http://www.who.int/whr/2001/en/whr01_en.pdf","abstract":"1. Mental health 2. Mental disorders 3. Community mental health services 4. Cost of illness 5. Forecasting 6.World health – trends I.Title: Mental health : new understanding, new hope","author":[{"dropping-particle":"","family":"World Health Organisation","given":"","non-dropping-particle":"","parse-names":false,"suffix":""}],"container-title":"World Health Report","id":"ITEM-1","issued":{"date-parts":[["2001"]]},"page":"1-169","title":"The World Health Report 2001: mental health, new understanding, new hope","type":"webpage"},"uris":["http://www.mendeley.com/documents/?uuid=e9395382-e61b-4977-8954-0509e86ca9f1"]}],"mendeley":{"formattedCitation":"[1]","plainTextFormattedCitation":"[1]","previouslyFormattedCitation":"[30]"},"properties":{"noteIndex":0},"schema":"https://github.com/citation-style-language/schema/raw/master/csl-citation.json"}</w:instrText>
            </w:r>
            <w:r w:rsidRPr="00B23238">
              <w:rPr>
                <w:sz w:val="21"/>
              </w:rPr>
              <w:fldChar w:fldCharType="separate"/>
            </w:r>
            <w:r w:rsidRPr="00CA7622">
              <w:rPr>
                <w:noProof/>
                <w:sz w:val="21"/>
              </w:rPr>
              <w:t>[1]</w:t>
            </w:r>
            <w:r w:rsidRPr="00B23238">
              <w:rPr>
                <w:sz w:val="21"/>
              </w:rPr>
              <w:fldChar w:fldCharType="end"/>
            </w:r>
            <w:r w:rsidRPr="00B23238">
              <w:rPr>
                <w:sz w:val="21"/>
              </w:rPr>
              <w:t xml:space="preserve">, </w:t>
            </w:r>
            <w:r w:rsidRPr="00B23238">
              <w:rPr>
                <w:noProof/>
                <w:sz w:val="21"/>
              </w:rPr>
              <w:t>CBHSQ</w:t>
            </w:r>
            <w:r w:rsidRPr="00B23238">
              <w:rPr>
                <w:noProof/>
                <w:sz w:val="21"/>
              </w:rPr>
              <w:fldChar w:fldCharType="begin" w:fldLock="1"/>
            </w:r>
            <w:r>
              <w:rPr>
                <w:noProof/>
                <w:sz w:val="21"/>
              </w:rPr>
              <w:instrText>ADDIN CSL_CITATION {"citationItems":[{"id":"ITEM-1","itemData":{"abstract":"Results from the 2015 National Survey on Drug Use and Health: Detailed Tables is a\r\ncollection of tables presenting national estimates from the National Survey on Drug Use and\r\nHealth (NSDUH). Starting with the 2015 NSDUH, the detailed tables are now a combination of\r\nthe prior detailed tables and the mental health detailed tables. The detailed tables now consist of\r\n12 subject matter sections, with Sections 1 to 7 mapping to the sections from the previous years'\r\ndetailed tables and Sections 8 to 11 mapping to the prior year's mental health detailed tables.\r\nSection 12 contains sample size and population total tables combined from both sets of tables.\r\nThe 2015 detailed tables include various types of tables, including 2-year trend and multiyear\r\ntrend tables. Due to a partial redesign in 2015, many measures are no longer comparable with\r\nprevious years, but the 2-year trend table format was retained in the detailed tables in order to\r\nhelp illustrate this lack of comparability. Further details about the 2015 redesign and its impact\r\non estimates can be found in the 2015 NSDUH redesign changes and impact section below.\r\nMore detailed information about these table changes can be found in the table presentation\r\nsection below.\r\nThe 2015 detailed tables present information for youths aged 12 to 17 and adults 18 or\r\nolder on drug, alcohol, and tobacco use as well as substance use disorder (SUD) (also referred to\r\nas dependence or abuse), treatment, health topics, and alcohol consumption. For youths, topics\r\ninclude youth experiences and measures on mental health service utilization, major depressive\r\nepisode (MDE), and treatment for depression (among youths with MDE). For adults, topics\r\ninclude measures on any mental illness (AMI), serious mental illness (SMI), moderate mental\r\nillness, low (mild) mental illness, mental health service utilization (i.e., treatment or counseling\r\nfor mental health issues), suicidal thoughts and behaviors, MDE, treatment for depression\r\n(among adults with MDE), and serious psychological distress (SPD). Measures such as risk and\r\navailability of substance use, the co-occurrence of mental disorders with substance use or with\r\nSUDs also are presented for both adults and youths. Measures of these behaviors and\r\ncharacteristics are presented by a variety of demographic, geographic, and other variables.\r\nThe estimates in the tables include rates of the behaviors, numbers of persons engaging in these\r\nbehaviors, and other measures.…","author":[{"dropping-particle":"","family":"SAMHSA","given":"CBHSQ","non-dropping-particle":"","parse-names":false,"suffix":""}],"container-title":"2015 National Survey on Drug Use and Health","id":"ITEM-1","issued":{"date-parts":[["2015"]]},"page":"209","title":"Results from the 2015 National Survey on Drug Use and Health: Detailed Tables,","type":"article-journal"},"uris":["http://www.mendeley.com/documents/?uuid=d0632d24-0dd4-41e9-931e-3dd80159b122"]}],"mendeley":{"formattedCitation":"[2]","plainTextFormattedCitation":"[2]","previouslyFormattedCitation":"[31]"},"properties":{"noteIndex":0},"schema":"https://github.com/citation-style-language/schema/raw/master/csl-citation.json"}</w:instrText>
            </w:r>
            <w:r w:rsidRPr="00B23238">
              <w:rPr>
                <w:noProof/>
                <w:sz w:val="21"/>
              </w:rPr>
              <w:fldChar w:fldCharType="separate"/>
            </w:r>
            <w:r w:rsidRPr="00CA7622">
              <w:rPr>
                <w:noProof/>
                <w:sz w:val="21"/>
              </w:rPr>
              <w:t>[2]</w:t>
            </w:r>
            <w:r w:rsidRPr="00B23238">
              <w:rPr>
                <w:noProof/>
                <w:sz w:val="21"/>
              </w:rPr>
              <w:fldChar w:fldCharType="end"/>
            </w:r>
            <w:r w:rsidRPr="00B23238">
              <w:rPr>
                <w:noProof/>
                <w:sz w:val="21"/>
              </w:rPr>
              <w:t>, Grande et al.</w:t>
            </w:r>
            <w:r w:rsidRPr="00B23238">
              <w:rPr>
                <w:noProof/>
                <w:sz w:val="21"/>
              </w:rPr>
              <w:fldChar w:fldCharType="begin" w:fldLock="1"/>
            </w:r>
            <w:r>
              <w:rPr>
                <w:noProof/>
                <w:sz w:val="21"/>
              </w:rPr>
              <w:instrText>ADDIN CSL_CITATION {"citationItems":[{"id":"ITEM-1","itemData":{"DOI":"10.1016/S0140-6736(15)00241-X","ISBN":"0140-6736","ISSN":"1474547X","PMID":"26388529","abstract":"Bipolar disorder is a recurrent chronic disorder characterised by fluctuations in mood state and energy. It affects more than 1% of the world's population irrespective of nationality, ethnic origin, or socioeconomic status. Bipolar disorder is one of the main causes of disability among young people, leading to cognitive and functional impairment and raised mortality, particularly death by suicide. A high prevalence of psychiatric and medical comorbidities is typical in affected individuals. Accurate diagnosis of bipolar disorder is difficult in clinical practice because onset is most commonly a depressive episode and looks similar to unipolar depression. Moreover, there are currently no valid biomarkers for the disorder. Therefore, the role of clinical assessment remains key. Detection of hypomanic periods and longitudinal assessment are crucial to differentiate bipolar disorder from other conditions. Current knowledge of the evolving pharmacological and psychological strategies in bipolar disorder is of utmost importance.","author":[{"dropping-particle":"","family":"Grande","given":"Iria","non-dropping-particle":"","parse-names":false,"suffix":""},{"dropping-particle":"","family":"Berk","given":"Michael","non-dropping-particle":"","parse-names":false,"suffix":""},{"dropping-particle":"","family":"Birmaher","given":"Boris","non-dropping-particle":"","parse-names":false,"suffix":""},{"dropping-particle":"","family":"Vieta","given":"Eduard","non-dropping-particle":"","parse-names":false,"suffix":""}],"container-title":"The Lancet","id":"ITEM-1","issue":"10027","issued":{"date-parts":[["2016"]]},"page":"1561-1572","title":"Bipolar disorder","type":"article","volume":"387"},"uris":["http://www.mendeley.com/documents/?uuid=2e13f5d7-96e2-49a2-84e6-8c4bbf21845e"]}],"mendeley":{"formattedCitation":"[3]","plainTextFormattedCitation":"[3]","previouslyFormattedCitation":"[32]"},"properties":{"noteIndex":0},"schema":"https://github.com/citation-style-language/schema/raw/master/csl-citation.json"}</w:instrText>
            </w:r>
            <w:r w:rsidRPr="00B23238">
              <w:rPr>
                <w:noProof/>
                <w:sz w:val="21"/>
              </w:rPr>
              <w:fldChar w:fldCharType="separate"/>
            </w:r>
            <w:r w:rsidRPr="00CA7622">
              <w:rPr>
                <w:noProof/>
                <w:sz w:val="21"/>
              </w:rPr>
              <w:t>[3]</w:t>
            </w:r>
            <w:r w:rsidRPr="00B23238">
              <w:rPr>
                <w:noProof/>
                <w:sz w:val="21"/>
              </w:rPr>
              <w:fldChar w:fldCharType="end"/>
            </w:r>
            <w:r w:rsidRPr="00B23238">
              <w:rPr>
                <w:noProof/>
                <w:sz w:val="21"/>
              </w:rPr>
              <w:t xml:space="preserve">, </w:t>
            </w:r>
            <w:proofErr w:type="spellStart"/>
            <w:r w:rsidRPr="00B23238">
              <w:rPr>
                <w:sz w:val="21"/>
              </w:rPr>
              <w:t>Merikangas</w:t>
            </w:r>
            <w:proofErr w:type="spellEnd"/>
            <w:r w:rsidRPr="00B23238">
              <w:rPr>
                <w:sz w:val="21"/>
              </w:rPr>
              <w:t xml:space="preserve"> et al.</w:t>
            </w:r>
            <w:r w:rsidRPr="00B23238">
              <w:rPr>
                <w:sz w:val="21"/>
              </w:rPr>
              <w:fldChar w:fldCharType="begin" w:fldLock="1"/>
            </w:r>
            <w:r>
              <w:rPr>
                <w:sz w:val="21"/>
              </w:rPr>
              <w:instrText>ADDIN CSL_CITATION {"citationItems":[{"id":"ITEM-1","itemData":{"DOI":"10.1001/archgenpsychiatry.2011.12","ISBN":"1538-3636","ISSN":"1538-3636","PMID":"21383262","abstract":"CONTEXT: There is limited information on the prevalence and correlates of bipolar spectrum disorder in international population-based studies using common methods.\\n\\nOBJECTIVES: To describe the prevalence, impact, patterns of comorbidity, and patterns of service utilization for bipolar spectrum disorder (BPS) in the World Health Organization World Mental Health Survey Initiative.\\n\\nDESIGN, SETTING, AND PARTICIPANTS: Cross-sectional, face-to-face, household surveys of 61,392 community adults in 11 countries in the Americas, Europe, and Asia assessed with the World Mental Health version of the World Health Organization Composite International Diagnostic Interview, version 3.0, a fully structured, lay-administered psychiatric diagnostic interview.\\n\\nMAIN OUTCOME MEASURES: Diagnostic and Statistical Manual of Mental Disorders (Fourth Edition) disorders, severity, and treatment.\\n\\nRESULTS: The aggregate lifetime prevalences were 0.6% for bipolar type I disorder (BP-I), 0.4% for BP-II, 1.4% for subthreshold BP, and 2.4% for BPS. Twelve-month prevalences were 0.4% for BP-I, 0.3% for BP-II, 0.8% for subthreshold BP, and 1.5% for BPS. Severity of both manic and depressive symptoms as well as suicidal behavior increased monotonically from subthreshold BP to BP-I. By contrast, role impairment was similar across BP subtypes. Symptom severity was greater for depressive episodes than manic episodes, with approximately 74.0% of respondents with depression and 50.9% of respondents with mania reporting severe role impairment. Three-quarters of those with BPS met criteria for at least 1 other disorder, with anxiety disorders (particularly panic attacks) being the most common comorbid condition. Less than half of those with lifetime BPS received mental health treatment, particularly in low-income countries, where only 25.2% reported contact with the mental health system.\\n\\nCONCLUSIONS: Despite cross-site variation in the prevalence rates of BPS, the severity, impact, and patterns of comorbidity were remarkably similar internationally. The uniform increases in clinical correlates, suicidal behavior, and comorbidity across each diagnostic category provide evidence for the validity of the concept of BPS. Treatment needs for BPS are often unmet, particularly in low-income countries.","author":[{"dropping-particle":"","family":"Merikangas","given":"Kathleen R","non-dropping-particle":"","parse-names":false,"suffix":""},{"dropping-particle":"","family":"Jin","given":"Robert","non-dropping-particle":"","parse-names":false,"suffix":""},{"dropping-particle":"","family":"He","given":"Jian-Ping","non-dropping-particle":"","parse-names":false,"suffix":""},{"dropping-particle":"","family":"Kessler","given":"Ronald C","non-dropping-particle":"","parse-names":false,"suffix":""},{"dropping-particle":"","family":"Lee","given":"Sing","non-dropping-particle":"","parse-names":false,"suffix":""},{"dropping-particle":"","family":"Sampson","given":"Nancy A","non-dropping-particle":"","parse-names":false,"suffix":""},{"dropping-particle":"","family":"Viana","given":"Maria Carmen","non-dropping-particle":"","parse-names":false,"suffix":""},{"dropping-particle":"","family":"Andrade","given":"Laura Helena","non-dropping-particle":"","parse-names":false,"suffix":""},{"dropping-particle":"","family":"Hu","given":"Chiyi","non-dropping-particle":"","parse-names":false,"suffix":""},{"dropping-particle":"","family":"Karam","given":"Elie G","non-dropping-particle":"","parse-names":false,"suffix":""},{"dropping-particle":"","family":"Ladea","given":"Maria","non-dropping-particle":"","parse-names":false,"suffix":""},{"dropping-particle":"","family":"Medina-Mora","given":"Maria Elena","non-dropping-particle":"","parse-names":false,"suffix":""},{"dropping-particle":"","family":"Ono","given":"Yutaka","non-dropping-particle":"","parse-names":false,"suffix":""},{"dropping-particle":"","family":"Posada-Villa","given":"Jose","non-dropping-particle":"","parse-names":false,"suffix":""},{"dropping-particle":"","family":"Sagar","given":"Rajesh","non-dropping-particle":"","parse-names":false,"suffix":""},{"dropping-particle":"","family":"Wells","given":"J Elisabeth","non-dropping-particle":"","parse-names":false,"suffix":""},{"dropping-particle":"","family":"Zarkov","given":"Zahari","non-dropping-particle":"","parse-names":false,"suffix":""}],"container-title":"Archives of general psychiatry","id":"ITEM-1","issue":"3","issued":{"date-parts":[["2011"]]},"page":"241-51","title":"Prevalence and correlates of bipolar spectrum disorder in the world mental health survey initiative.","type":"article-journal","volume":"68"},"uris":["http://www.mendeley.com/documents/?uuid=15a836db-07e9-4a99-9c56-f3b72d00fa5d"]}],"mendeley":{"formattedCitation":"[4]","plainTextFormattedCitation":"[4]","previouslyFormattedCitation":"[33]"},"properties":{"noteIndex":0},"schema":"https://github.com/citation-style-language/schema/raw/master/csl-citation.json"}</w:instrText>
            </w:r>
            <w:r w:rsidRPr="00B23238">
              <w:rPr>
                <w:sz w:val="21"/>
              </w:rPr>
              <w:fldChar w:fldCharType="separate"/>
            </w:r>
            <w:r w:rsidRPr="00CA7622">
              <w:rPr>
                <w:noProof/>
                <w:sz w:val="21"/>
              </w:rPr>
              <w:t>[4]</w:t>
            </w:r>
            <w:r w:rsidRPr="00B23238">
              <w:rPr>
                <w:sz w:val="21"/>
              </w:rPr>
              <w:fldChar w:fldCharType="end"/>
            </w:r>
            <w:r w:rsidRPr="00B23238">
              <w:rPr>
                <w:sz w:val="21"/>
              </w:rPr>
              <w:t xml:space="preserve">, </w:t>
            </w:r>
            <w:proofErr w:type="spellStart"/>
            <w:r w:rsidRPr="00B23238">
              <w:rPr>
                <w:sz w:val="21"/>
              </w:rPr>
              <w:t>DiFlorio</w:t>
            </w:r>
            <w:proofErr w:type="spellEnd"/>
            <w:r w:rsidRPr="00B23238">
              <w:rPr>
                <w:sz w:val="21"/>
              </w:rPr>
              <w:t xml:space="preserve"> et al</w:t>
            </w:r>
            <w:r w:rsidRPr="00B23238">
              <w:rPr>
                <w:sz w:val="21"/>
              </w:rPr>
              <w:fldChar w:fldCharType="begin" w:fldLock="1"/>
            </w:r>
            <w:r>
              <w:rPr>
                <w:sz w:val="21"/>
              </w:rPr>
              <w:instrText>ADDIN CSL_CITATION {"citationItems":[{"id":"ITEM-1","itemData":{"DOI":"10.3109/09540261.2010.514601","ISBN":"0954-0261; EN :1369-1627","ISSN":"1369-1627","PMID":"21047158","abstract":"Sex is clearly important in unipolar mood disorder with compelling evidence that depression is approximately twice as common in women than in men. In the case of bipolar disorder, however, it is widely perceived that the reported equal rate of illness in men and women reflects no important gender distinctions. In this paper we review the literature on gender differences in bipolar illness and attempt to summarize what is known and what requires further study. Despite the uncertainties that remain some conclusions can be drawn. Most studies, but not all, report an almost equal gender ratio in the prevalence of bipolar disorder but the majority of studies do report an increased risk in women of bipolar II/hypomania, rapid cycling and mixed episodes. Important gender distinctions are also found in patterns of co-morbidity. No consistent gender differences have been found in a number of variables including rates of depressive episodes, age and polarity of onset, symptoms, severity of the illness, response to treatment and suicidal behaviour. Unsurprisingly, however, perhaps the major distinction between men and women with bipolar disorder is the impact that reproductive life events, particularly childbirth, have on women with this diagnosis.","author":[{"dropping-particle":"","family":"DiFlorio","given":"Arianna","non-dropping-particle":"","parse-names":false,"suffix":""},{"dropping-particle":"","family":"Jones","given":"Ian","non-dropping-particle":"","parse-names":false,"suffix":""}],"container-title":"International review of psychiatry (Abingdon, England)","id":"ITEM-1","issue":"5","issued":{"date-parts":[["2010"]]},"page":"437-52","title":"Is sex important? Gender differences in bipolar disorder.","type":"article-journal","volume":"22"},"uris":["http://www.mendeley.com/documents/?uuid=fa1ad537-879c-4a8a-a9a8-590e0cb093c7"]}],"mendeley":{"formattedCitation":"[5]","plainTextFormattedCitation":"[5]","previouslyFormattedCitation":"[34]"},"properties":{"noteIndex":0},"schema":"https://github.com/citation-style-language/schema/raw/master/csl-citation.json"}</w:instrText>
            </w:r>
            <w:r w:rsidRPr="00B23238">
              <w:rPr>
                <w:sz w:val="21"/>
              </w:rPr>
              <w:fldChar w:fldCharType="separate"/>
            </w:r>
            <w:r w:rsidRPr="00CA7622">
              <w:rPr>
                <w:noProof/>
                <w:sz w:val="21"/>
              </w:rPr>
              <w:t>[5]</w:t>
            </w:r>
            <w:r w:rsidRPr="00B23238">
              <w:rPr>
                <w:sz w:val="21"/>
              </w:rPr>
              <w:fldChar w:fldCharType="end"/>
            </w:r>
            <w:r w:rsidRPr="00B23238">
              <w:rPr>
                <w:sz w:val="21"/>
              </w:rPr>
              <w:t>.</w:t>
            </w:r>
          </w:p>
        </w:tc>
      </w:tr>
      <w:tr w:rsidR="00CA7622" w:rsidRPr="00B23238" w14:paraId="02883351" w14:textId="77777777" w:rsidTr="00CA7622">
        <w:trPr>
          <w:trHeight w:val="879"/>
        </w:trPr>
        <w:tc>
          <w:tcPr>
            <w:tcW w:w="0" w:type="auto"/>
            <w:vAlign w:val="center"/>
          </w:tcPr>
          <w:p w14:paraId="10DED179" w14:textId="77777777" w:rsidR="00CA7622" w:rsidRPr="00B23238" w:rsidRDefault="00CA7622" w:rsidP="00CA7622">
            <w:pPr>
              <w:jc w:val="center"/>
              <w:rPr>
                <w:sz w:val="21"/>
              </w:rPr>
            </w:pPr>
            <w:r w:rsidRPr="00B23238">
              <w:rPr>
                <w:bCs/>
                <w:sz w:val="21"/>
              </w:rPr>
              <w:t>Schizophrenia</w:t>
            </w:r>
          </w:p>
        </w:tc>
        <w:tc>
          <w:tcPr>
            <w:tcW w:w="1786" w:type="dxa"/>
            <w:vAlign w:val="center"/>
          </w:tcPr>
          <w:p w14:paraId="4F16D46A" w14:textId="77777777" w:rsidR="00CA7622" w:rsidRPr="00B23238" w:rsidRDefault="00CA7622" w:rsidP="00CA7622">
            <w:pPr>
              <w:jc w:val="center"/>
              <w:rPr>
                <w:sz w:val="21"/>
              </w:rPr>
            </w:pPr>
            <w:r w:rsidRPr="00B23238">
              <w:rPr>
                <w:sz w:val="21"/>
              </w:rPr>
              <w:t>0</w:t>
            </w:r>
            <w:r>
              <w:t>.</w:t>
            </w:r>
            <w:r w:rsidRPr="00B23238">
              <w:rPr>
                <w:sz w:val="21"/>
              </w:rPr>
              <w:t>3-0</w:t>
            </w:r>
            <w:r>
              <w:t>.</w:t>
            </w:r>
            <w:r w:rsidRPr="00B23238">
              <w:rPr>
                <w:sz w:val="21"/>
              </w:rPr>
              <w:t>7% (General)</w:t>
            </w:r>
          </w:p>
          <w:p w14:paraId="39DFCEF5" w14:textId="77777777" w:rsidR="00CA7622" w:rsidRPr="00B23238" w:rsidRDefault="00CA7622" w:rsidP="00CA7622">
            <w:pPr>
              <w:jc w:val="center"/>
              <w:rPr>
                <w:sz w:val="21"/>
              </w:rPr>
            </w:pPr>
            <w:r w:rsidRPr="00B23238">
              <w:rPr>
                <w:sz w:val="21"/>
              </w:rPr>
              <w:t>0</w:t>
            </w:r>
            <w:r>
              <w:t>.</w:t>
            </w:r>
            <w:r w:rsidRPr="00B23238">
              <w:rPr>
                <w:sz w:val="21"/>
              </w:rPr>
              <w:t>5-1</w:t>
            </w:r>
            <w:r>
              <w:t>.</w:t>
            </w:r>
            <w:r w:rsidRPr="00B23238">
              <w:rPr>
                <w:sz w:val="21"/>
              </w:rPr>
              <w:t>0% (Adults)</w:t>
            </w:r>
          </w:p>
        </w:tc>
        <w:tc>
          <w:tcPr>
            <w:tcW w:w="0" w:type="auto"/>
            <w:vAlign w:val="center"/>
          </w:tcPr>
          <w:p w14:paraId="5A136EC9" w14:textId="77777777" w:rsidR="00CA7622" w:rsidRPr="00B23238" w:rsidRDefault="00CA7622" w:rsidP="00CA7622">
            <w:pPr>
              <w:jc w:val="center"/>
              <w:rPr>
                <w:sz w:val="21"/>
              </w:rPr>
            </w:pPr>
            <w:r w:rsidRPr="00B23238">
              <w:rPr>
                <w:sz w:val="21"/>
              </w:rPr>
              <w:t>24, 3</w:t>
            </w:r>
            <w:r>
              <w:t>.</w:t>
            </w:r>
            <w:r w:rsidRPr="00B23238">
              <w:rPr>
                <w:sz w:val="21"/>
              </w:rPr>
              <w:t>5</w:t>
            </w:r>
          </w:p>
        </w:tc>
        <w:tc>
          <w:tcPr>
            <w:tcW w:w="0" w:type="auto"/>
            <w:vAlign w:val="center"/>
          </w:tcPr>
          <w:p w14:paraId="368DF06F" w14:textId="77777777" w:rsidR="00CA7622" w:rsidRPr="00B23238" w:rsidRDefault="00CA7622" w:rsidP="00CA7622">
            <w:pPr>
              <w:jc w:val="center"/>
              <w:rPr>
                <w:sz w:val="21"/>
              </w:rPr>
            </w:pPr>
            <w:r w:rsidRPr="00B23238">
              <w:rPr>
                <w:sz w:val="21"/>
              </w:rPr>
              <w:t>Higher in Males</w:t>
            </w:r>
          </w:p>
        </w:tc>
        <w:tc>
          <w:tcPr>
            <w:tcW w:w="0" w:type="auto"/>
            <w:vAlign w:val="center"/>
          </w:tcPr>
          <w:p w14:paraId="7E4D9CE0" w14:textId="6A7FD0DC" w:rsidR="00CA7622" w:rsidRPr="00B23238" w:rsidRDefault="00CA7622" w:rsidP="00CA7622">
            <w:pPr>
              <w:jc w:val="center"/>
              <w:rPr>
                <w:sz w:val="21"/>
              </w:rPr>
            </w:pPr>
            <w:r w:rsidRPr="00B23238">
              <w:rPr>
                <w:sz w:val="21"/>
              </w:rPr>
              <w:t>NIMH*, WHO</w:t>
            </w:r>
            <w:r w:rsidRPr="00B23238">
              <w:rPr>
                <w:sz w:val="21"/>
              </w:rPr>
              <w:fldChar w:fldCharType="begin" w:fldLock="1"/>
            </w:r>
            <w:r>
              <w:rPr>
                <w:sz w:val="21"/>
              </w:rPr>
              <w:instrText>ADDIN CSL_CITATION {"citationItems":[{"id":"ITEM-1","itemData":{"URL":"http://www.who.int/whr/2001/en/whr01_en.pdf","abstract":"1. Mental health 2. Mental disorders 3. Community mental health services 4. Cost of illness 5. Forecasting 6.World health – trends I.Title: Mental health : new understanding, new hope","author":[{"dropping-particle":"","family":"World Health Organisation","given":"","non-dropping-particle":"","parse-names":false,"suffix":""}],"container-title":"World Health Report","id":"ITEM-1","issued":{"date-parts":[["2001"]]},"page":"1-169","title":"The World Health Report 2001: mental health, new understanding, new hope","type":"webpage"},"uris":["http://www.mendeley.com/documents/?uuid=e9395382-e61b-4977-8954-0509e86ca9f1"]}],"mendeley":{"formattedCitation":"[1]","plainTextFormattedCitation":"[1]","previouslyFormattedCitation":"[30]"},"properties":{"noteIndex":0},"schema":"https://github.com/citation-style-language/schema/raw/master/csl-citation.json"}</w:instrText>
            </w:r>
            <w:r w:rsidRPr="00B23238">
              <w:rPr>
                <w:sz w:val="21"/>
              </w:rPr>
              <w:fldChar w:fldCharType="separate"/>
            </w:r>
            <w:r w:rsidRPr="00CA7622">
              <w:rPr>
                <w:noProof/>
                <w:sz w:val="21"/>
              </w:rPr>
              <w:t>[1]</w:t>
            </w:r>
            <w:r w:rsidRPr="00B23238">
              <w:rPr>
                <w:sz w:val="21"/>
              </w:rPr>
              <w:fldChar w:fldCharType="end"/>
            </w:r>
            <w:r w:rsidRPr="00B23238">
              <w:rPr>
                <w:sz w:val="21"/>
              </w:rPr>
              <w:t>, McGrath et al.</w:t>
            </w:r>
            <w:r w:rsidRPr="00B23238">
              <w:rPr>
                <w:sz w:val="21"/>
              </w:rPr>
              <w:fldChar w:fldCharType="begin" w:fldLock="1"/>
            </w:r>
            <w:r>
              <w:rPr>
                <w:sz w:val="21"/>
              </w:rPr>
              <w:instrText>ADDIN CSL_CITATION {"citationItems":[{"id":"ITEM-1","itemData":{"DOI":"10.1371/journal.pmed.0020141","ISBN":"1549-1676","ISSN":"15491277","PMID":"15916472","abstract":"BACKGROUND: Understanding the prevalence of schizophrenia has important implications for both health service planning and risk factor epidemiology. The aims of this review are to systematically identify and collate studies describing the prevalence of schizophrenia, to summarize the findings of these studies, and to explore selected factors that may influence prevalence estimates. METHODS AND FINDINGS: Studies with original data related to the prevalence of schizophrenia (published 1965-2002) were identified via searching electronic databases, reviewing citations, and writing to authors. These studies were divided into \"core\" studies, \"migrant\" studies, and studies based on \"other special groups.\" Between- and within-study filters were applied in order to identify discrete prevalence estimates. Cumulative plots of prevalence estimates were made and the distributions described when the underlying estimates were sorted according to prevalence type (point, period, lifetime, and lifetime morbid risk). Based on combined prevalence estimates, the influence of selected key variables was examined (sex, urbanicity, migrant status, country economic index, and study quality). A total of 1,721 prevalence estimates from 188 studies were identified. These estimates were drawn from 46 countries, and were based on an estimated 154,140 potentially overlapping prevalent cases. We identified 132 core studies, 15 migrant studies, and 41 studies based on other special groups. The median values per 1,000 persons (10%-90% quantiles) for the distributions for point, period, lifetime, and lifetime morbid risk were 4.6 (1.9-10.0), 3.3 (1.3-8.2), 4.0 (1.6-12.1), and 7.2 (3.1-27.1), respectively. Based on combined prevalence estimates, we found no significant difference (a) between males and females, or (b) between urban, rural, and mixed sites. The prevalence of schizophrenia in migrants was higher compared to native-born individuals: the migrant-to-native-born ratio median (10%-90% quantile) was 1.8 (0.9-6.4). When sites were grouped by economic status, prevalence estimates from \"least developed\" countries were significantly lower than those from both \"emerging\" and \"developed\" sites (p = 0.04). Studies that scored higher on a quality score had significantly higher prevalence estimates (p = 0.02). CONCLUSIONS: There is a wealth of data about the prevalence of schizophrenia. These gradients, and the variability found in prevalence estimate distributions, can provide direction for…","author":[{"dropping-particle":"","family":"Saha","given":"Sukanta","non-dropping-particle":"","parse-names":false,"suffix":""},{"dropping-particle":"","family":"Chant","given":"David","non-dropping-particle":"","parse-names":false,"suffix":""},{"dropping-particle":"","family":"Welham","given":"Joy","non-dropping-particle":"","parse-names":false,"suffix":""},{"dropping-particle":"","family":"McGrath","given":"John","non-dropping-particle":"","parse-names":false,"suffix":""}],"container-title":"PLoS Medicine","id":"ITEM-1","issue":"5","issued":{"date-parts":[["2005"]]},"page":"0413-0433","title":"A systematic review of the prevalence of schizophrenia","type":"article","volume":"2"},"uris":["http://www.mendeley.com/documents/?uuid=65f07564-8209-4631-a728-651fa30a7865"]}],"mendeley":{"formattedCitation":"[6]","plainTextFormattedCitation":"[6]","previouslyFormattedCitation":"[35]"},"properties":{"noteIndex":0},"schema":"https://github.com/citation-style-language/schema/raw/master/csl-citation.json"}</w:instrText>
            </w:r>
            <w:r w:rsidRPr="00B23238">
              <w:rPr>
                <w:sz w:val="21"/>
              </w:rPr>
              <w:fldChar w:fldCharType="separate"/>
            </w:r>
            <w:r w:rsidRPr="00CA7622">
              <w:rPr>
                <w:noProof/>
                <w:sz w:val="21"/>
              </w:rPr>
              <w:t>[6]</w:t>
            </w:r>
            <w:r w:rsidRPr="00B23238">
              <w:rPr>
                <w:sz w:val="21"/>
              </w:rPr>
              <w:fldChar w:fldCharType="end"/>
            </w:r>
            <w:r w:rsidRPr="00B23238">
              <w:rPr>
                <w:sz w:val="21"/>
              </w:rPr>
              <w:t xml:space="preserve">, </w:t>
            </w:r>
            <w:proofErr w:type="spellStart"/>
            <w:r w:rsidRPr="00B23238">
              <w:rPr>
                <w:sz w:val="21"/>
              </w:rPr>
              <w:t>Saha</w:t>
            </w:r>
            <w:proofErr w:type="spellEnd"/>
            <w:r w:rsidRPr="00B23238">
              <w:rPr>
                <w:sz w:val="21"/>
              </w:rPr>
              <w:t xml:space="preserve"> et al</w:t>
            </w:r>
            <w:r w:rsidRPr="00B23238">
              <w:rPr>
                <w:sz w:val="21"/>
              </w:rPr>
              <w:fldChar w:fldCharType="begin" w:fldLock="1"/>
            </w:r>
            <w:r>
              <w:rPr>
                <w:sz w:val="21"/>
              </w:rPr>
              <w:instrText>ADDIN CSL_CITATION {"citationItems":[{"id":"ITEM-1","itemData":{"DOI":"10.1371/journal.pmed.0020141","ISBN":"1549-1676","ISSN":"15491277","PMID":"15916472","abstract":"BACKGROUND: Understanding the prevalence of schizophrenia has important implications for both health service planning and risk factor epidemiology. The aims of this review are to systematically identify and collate studies describing the prevalence of schizophrenia, to summarize the findings of these studies, and to explore selected factors that may influence prevalence estimates. METHODS AND FINDINGS: Studies with original data related to the prevalence of schizophrenia (published 1965-2002) were identified via searching electronic databases, reviewing citations, and writing to authors. These studies were divided into \"core\" studies, \"migrant\" studies, and studies based on \"other special groups.\" Between- and within-study filters were applied in order to identify discrete prevalence estimates. Cumulative plots of prevalence estimates were made and the distributions described when the underlying estimates were sorted according to prevalence type (point, period, lifetime, and lifetime morbid risk). Based on combined prevalence estimates, the influence of selected key variables was examined (sex, urbanicity, migrant status, country economic index, and study quality). A total of 1,721 prevalence estimates from 188 studies were identified. These estimates were drawn from 46 countries, and were based on an estimated 154,140 potentially overlapping prevalent cases. We identified 132 core studies, 15 migrant studies, and 41 studies based on other special groups. The median values per 1,000 persons (10%-90% quantiles) for the distributions for point, period, lifetime, and lifetime morbid risk were 4.6 (1.9-10.0), 3.3 (1.3-8.2), 4.0 (1.6-12.1), and 7.2 (3.1-27.1), respectively. Based on combined prevalence estimates, we found no significant difference (a) between males and females, or (b) between urban, rural, and mixed sites. The prevalence of schizophrenia in migrants was higher compared to native-born individuals: the migrant-to-native-born ratio median (10%-90% quantile) was 1.8 (0.9-6.4). When sites were grouped by economic status, prevalence estimates from \"least developed\" countries were significantly lower than those from both \"emerging\" and \"developed\" sites (p = 0.04). Studies that scored higher on a quality score had significantly higher prevalence estimates (p = 0.02). CONCLUSIONS: There is a wealth of data about the prevalence of schizophrenia. These gradients, and the variability found in prevalence estimate distributions, can provide direction for…","author":[{"dropping-particle":"","family":"Saha","given":"Sukanta","non-dropping-particle":"","parse-names":false,"suffix":""},{"dropping-particle":"","family":"Chant","given":"David","non-dropping-particle":"","parse-names":false,"suffix":""},{"dropping-particle":"","family":"Welham","given":"Joy","non-dropping-particle":"","parse-names":false,"suffix":""},{"dropping-particle":"","family":"McGrath","given":"John","non-dropping-particle":"","parse-names":false,"suffix":""}],"container-title":"PLoS Medicine","id":"ITEM-1","issue":"5","issued":{"date-parts":[["2005"]]},"page":"0413-0433","title":"A systematic review of the prevalence of schizophrenia","type":"article","volume":"2"},"uris":["http://www.mendeley.com/documents/?uuid=65f07564-8209-4631-a728-651fa30a7865"]},{"id":"ITEM-2","itemData":{"DOI":"10.1093/epirev/mxn001","ISBN":"1028-8880 (Print) 1028-8880","ISSN":"0193936X","PMID":"18480098","abstract":"Recent systematic reviews have encouraged the psychiatric research community to reevaluate the contours of schizophrenia epidemiology. This paper provides a concise overview of three related systematic reviews on the incidence, prevalence, and mortality associated with schizophrenia. The reviews shared key methodological features regarding search strategies, analysis of the distribution of the frequency estimates, and exploration of the influence of key variables (sex, migrant status, urbanicity, secular trend, economic status, and latitude). Contrary to previous interpretations, the incidence of schizophrenia shows prominent variation between sites. The median incidence of schizophrenia was 15.2/100,000 persons, and the central 80% of estimates varied over a fivefold range (7.7-43.0/100,000). The rate ratio for males:females was 1.4:1. Prevalence estimates also show prominent variation. The median lifetime morbid risk for schizophrenia was 7.2/1,000 persons. On the basis of the standardized mortality ratio, people with schizophrenia have a two- to threefold increased risk of dying (median standardized mortality ratio = 2.6 for all-cause mortality), and this differential gap in mortality has increased over recent decades. Compared with native-born individuals, migrants have an increased incidence and prevalence of schizophrenia. Exposures related to urbanicity, economic status, and latitude are also associated with various frequency measures. In conclusion, the epidemiology of schizophrenia is characterized by prominent variability and gradients that can help guide future research.","author":[{"dropping-particle":"","family":"McGrath","given":"John","non-dropping-particle":"","parse-names":false,"suffix":""},{"dropping-particle":"","family":"Saha","given":"Sukanta","non-dropping-particle":"","parse-names":false,"suffix":""},{"dropping-particle":"","family":"Chant","given":"David","non-dropping-particle":"","parse-names":false,"suffix":""},{"dropping-particle":"","family":"Welham","given":"Joy","non-dropping-particle":"","parse-names":false,"suffix":""}],"container-title":"Epidemiologic Reviews","id":"ITEM-2","issue":"1","issued":{"date-parts":[["2008"]]},"page":"67-76","title":"Schizophrenia: A concise overview of incidence, prevalence, and mortality","type":"article","volume":"30"},"uris":["http://www.mendeley.com/documents/?uuid=ce0f8c17-b52a-4bda-b09f-a5963bcbf55d"]}],"mendeley":{"formattedCitation":"[6,7]","plainTextFormattedCitation":"[6,7]","previouslyFormattedCitation":"[21,35]"},"properties":{"noteIndex":0},"schema":"https://github.com/citation-style-language/schema/raw/master/csl-citation.json"}</w:instrText>
            </w:r>
            <w:r w:rsidRPr="00B23238">
              <w:rPr>
                <w:sz w:val="21"/>
              </w:rPr>
              <w:fldChar w:fldCharType="separate"/>
            </w:r>
            <w:r w:rsidRPr="00CA7622">
              <w:rPr>
                <w:noProof/>
                <w:sz w:val="21"/>
              </w:rPr>
              <w:t>[6,7]</w:t>
            </w:r>
            <w:r w:rsidRPr="00B23238">
              <w:rPr>
                <w:sz w:val="21"/>
              </w:rPr>
              <w:fldChar w:fldCharType="end"/>
            </w:r>
            <w:r w:rsidRPr="00B23238">
              <w:rPr>
                <w:sz w:val="21"/>
              </w:rPr>
              <w:t>.</w:t>
            </w:r>
          </w:p>
        </w:tc>
      </w:tr>
      <w:tr w:rsidR="00CA7622" w:rsidRPr="00B23238" w14:paraId="55C622AC" w14:textId="77777777" w:rsidTr="00CA7622">
        <w:trPr>
          <w:trHeight w:val="879"/>
        </w:trPr>
        <w:tc>
          <w:tcPr>
            <w:tcW w:w="0" w:type="auto"/>
            <w:vAlign w:val="center"/>
          </w:tcPr>
          <w:p w14:paraId="3E255A4E" w14:textId="77777777" w:rsidR="00CA7622" w:rsidRPr="00B23238" w:rsidRDefault="00CA7622" w:rsidP="00CA7622">
            <w:pPr>
              <w:jc w:val="center"/>
              <w:rPr>
                <w:sz w:val="21"/>
              </w:rPr>
            </w:pPr>
            <w:r w:rsidRPr="00B23238">
              <w:rPr>
                <w:bCs/>
                <w:sz w:val="21"/>
              </w:rPr>
              <w:t>Parkinson's Disease</w:t>
            </w:r>
          </w:p>
        </w:tc>
        <w:tc>
          <w:tcPr>
            <w:tcW w:w="1786" w:type="dxa"/>
            <w:vAlign w:val="center"/>
          </w:tcPr>
          <w:p w14:paraId="3A063ECD" w14:textId="77777777" w:rsidR="00CA7622" w:rsidRPr="00B23238" w:rsidRDefault="00CA7622" w:rsidP="00CA7622">
            <w:pPr>
              <w:jc w:val="center"/>
              <w:rPr>
                <w:sz w:val="21"/>
              </w:rPr>
            </w:pPr>
            <w:r w:rsidRPr="00B23238">
              <w:rPr>
                <w:sz w:val="21"/>
              </w:rPr>
              <w:t>0</w:t>
            </w:r>
            <w:r>
              <w:t>.</w:t>
            </w:r>
            <w:r w:rsidRPr="00B23238">
              <w:rPr>
                <w:sz w:val="21"/>
              </w:rPr>
              <w:t>1-0</w:t>
            </w:r>
            <w:r>
              <w:t>.</w:t>
            </w:r>
            <w:r w:rsidRPr="00B23238">
              <w:rPr>
                <w:sz w:val="21"/>
              </w:rPr>
              <w:t>3% (General)</w:t>
            </w:r>
          </w:p>
          <w:p w14:paraId="1CA40E80" w14:textId="77777777" w:rsidR="00CA7622" w:rsidRPr="00B23238" w:rsidRDefault="00CA7622" w:rsidP="00CA7622">
            <w:pPr>
              <w:jc w:val="center"/>
              <w:rPr>
                <w:sz w:val="21"/>
              </w:rPr>
            </w:pPr>
            <w:r w:rsidRPr="00B23238">
              <w:rPr>
                <w:sz w:val="21"/>
              </w:rPr>
              <w:t>1% (Above 60)</w:t>
            </w:r>
          </w:p>
        </w:tc>
        <w:tc>
          <w:tcPr>
            <w:tcW w:w="0" w:type="auto"/>
            <w:vAlign w:val="center"/>
          </w:tcPr>
          <w:p w14:paraId="5CCCF7AD" w14:textId="77777777" w:rsidR="00CA7622" w:rsidRPr="00B23238" w:rsidRDefault="00CA7622" w:rsidP="00CA7622">
            <w:pPr>
              <w:jc w:val="center"/>
              <w:rPr>
                <w:sz w:val="21"/>
              </w:rPr>
            </w:pPr>
            <w:r w:rsidRPr="00B23238">
              <w:rPr>
                <w:sz w:val="21"/>
              </w:rPr>
              <w:t>10, 1</w:t>
            </w:r>
          </w:p>
        </w:tc>
        <w:tc>
          <w:tcPr>
            <w:tcW w:w="0" w:type="auto"/>
            <w:vAlign w:val="center"/>
          </w:tcPr>
          <w:p w14:paraId="3E468403" w14:textId="77777777" w:rsidR="00CA7622" w:rsidRPr="00B23238" w:rsidRDefault="00CA7622" w:rsidP="00CA7622">
            <w:pPr>
              <w:jc w:val="center"/>
              <w:rPr>
                <w:sz w:val="21"/>
              </w:rPr>
            </w:pPr>
            <w:r w:rsidRPr="00B23238">
              <w:rPr>
                <w:sz w:val="21"/>
              </w:rPr>
              <w:t>Higher in Males</w:t>
            </w:r>
          </w:p>
        </w:tc>
        <w:tc>
          <w:tcPr>
            <w:tcW w:w="0" w:type="auto"/>
            <w:vAlign w:val="center"/>
          </w:tcPr>
          <w:p w14:paraId="32432A9A" w14:textId="2B61D715" w:rsidR="00CA7622" w:rsidRPr="00B23238" w:rsidRDefault="00CA7622" w:rsidP="00CA7622">
            <w:pPr>
              <w:jc w:val="center"/>
              <w:rPr>
                <w:sz w:val="21"/>
              </w:rPr>
            </w:pPr>
            <w:r w:rsidRPr="00B23238">
              <w:rPr>
                <w:sz w:val="21"/>
              </w:rPr>
              <w:t xml:space="preserve">NIMH*, </w:t>
            </w:r>
            <w:r w:rsidRPr="00B23238">
              <w:rPr>
                <w:noProof/>
                <w:sz w:val="21"/>
              </w:rPr>
              <w:t xml:space="preserve">Dorsey </w:t>
            </w:r>
            <w:r w:rsidRPr="00B23238">
              <w:rPr>
                <w:iCs/>
                <w:noProof/>
                <w:sz w:val="21"/>
              </w:rPr>
              <w:t>et al.</w:t>
            </w:r>
            <w:r w:rsidRPr="00B23238">
              <w:rPr>
                <w:iCs/>
                <w:noProof/>
                <w:sz w:val="21"/>
              </w:rPr>
              <w:fldChar w:fldCharType="begin" w:fldLock="1"/>
            </w:r>
            <w:r>
              <w:rPr>
                <w:iCs/>
                <w:noProof/>
                <w:sz w:val="21"/>
              </w:rPr>
              <w:instrText>ADDIN CSL_CITATION {"citationItems":[{"id":"ITEM-1","itemData":{"DOI":"10.1212/01.wnl.0000247740.47667.03","ISBN":"1526-632X (Electronic)\\n0028-3878 (Linking)","ISSN":"00283878","PMID":"17082464","abstract":"Based on published prevalence studies , we used two different methodologies to project the number of individuals with Parkinson disease (PD) in Western Europe ' s 5 most and the world's 10 most populous nations. The number of individuals with PD over age 50 in these countries was between 4.1 and 4.6 million in 2005 and will double to between 8.7 and 9.3 million by 2030.","author":[{"dropping-particle":"","family":"Dorsey","given":"E. R.","non-dropping-particle":"","parse-names":false,"suffix":""},{"dropping-particle":"","family":"Constantinescu","given":"R.","non-dropping-particle":"","parse-names":false,"suffix":""},{"dropping-particle":"","family":"Thompson","given":"J. P.","non-dropping-particle":"","parse-names":false,"suffix":""},{"dropping-particle":"","family":"Biglan","given":"K. M.","non-dropping-particle":"","parse-names":false,"suffix":""},{"dropping-particle":"","family":"Holloway","given":"R. G.","non-dropping-particle":"","parse-names":false,"suffix":""},{"dropping-particle":"","family":"Kieburtz","given":"K.","non-dropping-particle":"","parse-names":false,"suffix":""},{"dropping-particle":"","family":"Marshall","given":"F. J.","non-dropping-particle":"","parse-names":false,"suffix":""},{"dropping-particle":"","family":"Ravina","given":"B. M.","non-dropping-particle":"","parse-names":false,"suffix":""},{"dropping-particle":"","family":"Schifitto","given":"G.","non-dropping-particle":"","parse-names":false,"suffix":""},{"dropping-particle":"","family":"Siderowf","given":"A.","non-dropping-particle":"","parse-names":false,"suffix":""},{"dropping-particle":"","family":"Tanner","given":"C. M.","non-dropping-particle":"","parse-names":false,"suffix":""}],"container-title":"Neurology","id":"ITEM-1","issue":"5","issued":{"date-parts":[["2007"]]},"page":"384-386","title":"Projected number of people with Parkinson disease in the most populous nations, 2005 through 2030","type":"article","volume":"68"},"uris":["http://www.mendeley.com/documents/?uuid=1621474d-ef5a-4728-bbcb-a37ee7696ad3"]}],"mendeley":{"formattedCitation":"[8]","plainTextFormattedCitation":"[8]","previouslyFormattedCitation":"[36]"},"properties":{"noteIndex":0},"schema":"https://github.com/citation-style-language/schema/raw/master/csl-citation.json"}</w:instrText>
            </w:r>
            <w:r w:rsidRPr="00B23238">
              <w:rPr>
                <w:iCs/>
                <w:noProof/>
                <w:sz w:val="21"/>
              </w:rPr>
              <w:fldChar w:fldCharType="separate"/>
            </w:r>
            <w:r w:rsidRPr="00CA7622">
              <w:rPr>
                <w:iCs/>
                <w:noProof/>
                <w:sz w:val="21"/>
              </w:rPr>
              <w:t>[8]</w:t>
            </w:r>
            <w:r w:rsidRPr="00B23238">
              <w:rPr>
                <w:iCs/>
                <w:noProof/>
                <w:sz w:val="21"/>
              </w:rPr>
              <w:fldChar w:fldCharType="end"/>
            </w:r>
            <w:r w:rsidRPr="00B23238">
              <w:rPr>
                <w:sz w:val="21"/>
              </w:rPr>
              <w:t>, Nussbaum et al.</w:t>
            </w:r>
            <w:r w:rsidRPr="00B23238">
              <w:rPr>
                <w:sz w:val="21"/>
              </w:rPr>
              <w:fldChar w:fldCharType="begin" w:fldLock="1"/>
            </w:r>
            <w:r>
              <w:rPr>
                <w:sz w:val="21"/>
              </w:rPr>
              <w:instrText>ADDIN CSL_CITATION {"citationItems":[{"id":"ITEM-1","itemData":{"DOI":"10.1056/NEJM2003ra020003","ISBN":"1533-4406 (Electronic) 0028-4793 (Linking)","ISSN":"1533-4406","PMID":"12672864","abstract":"t he incidence of many common diseases is increased among the relatives of affected patients, but the pattern of inheritance rarely follows Mendel’s laws. Instead, such common diseases are thought to result from a complex interaction among multiple predisposing genes and other factors, including environmental contributions and chance occurrences. Identifying the genetic contri- bution to such complex diseases is a major challenge for genomic medicine. However, as so clearly foreseen nearly 350 years ago by the English physiologist William Har- vey, 1 finding the genetic basis for rarer, mendelian forms of a disease may illuminate the etiologic process and pathogenesis of the more common, complex forms. This is illustrated in the progress made in understanding Alzheimer’s disease and Parkin- son’s disease through the investigation of the rare, clearly inherited forms of these diseases. The molecular basis of neurodegenerative disorders was reviewed in the Journal in 1999. 2 alzheimer’s","author":[{"dropping-particle":"","family":"Nussbaum","given":"Robert L","non-dropping-particle":"","parse-names":false,"suffix":""},{"dropping-particle":"","family":"Ellis","given":"Christopher E","non-dropping-particle":"","parse-names":false,"suffix":""}],"container-title":"The new england journal of medicine","id":"ITEM-1","issued":{"date-parts":[["2003"]]},"page":"1356-64.","title":"Alzheimer’s Disease and Parkinson’s Disease","type":"article-journal"},"uris":["http://www.mendeley.com/documents/?uuid=2e35f208-4da4-4335-84f3-ccb2668b5baa"]}],"mendeley":{"formattedCitation":"[9]","plainTextFormattedCitation":"[9]","previouslyFormattedCitation":"[37]"},"properties":{"noteIndex":0},"schema":"https://github.com/citation-style-language/schema/raw/master/csl-citation.json"}</w:instrText>
            </w:r>
            <w:r w:rsidRPr="00B23238">
              <w:rPr>
                <w:sz w:val="21"/>
              </w:rPr>
              <w:fldChar w:fldCharType="separate"/>
            </w:r>
            <w:r w:rsidRPr="00CA7622">
              <w:rPr>
                <w:noProof/>
                <w:sz w:val="21"/>
              </w:rPr>
              <w:t>[9]</w:t>
            </w:r>
            <w:r w:rsidRPr="00B23238">
              <w:rPr>
                <w:sz w:val="21"/>
              </w:rPr>
              <w:fldChar w:fldCharType="end"/>
            </w:r>
            <w:r w:rsidRPr="00B23238">
              <w:rPr>
                <w:sz w:val="21"/>
              </w:rPr>
              <w:t xml:space="preserve">, </w:t>
            </w:r>
            <w:r w:rsidRPr="00B23238">
              <w:rPr>
                <w:noProof/>
                <w:sz w:val="21"/>
              </w:rPr>
              <w:t>Tysnes et al.</w:t>
            </w:r>
            <w:r w:rsidRPr="00B23238">
              <w:rPr>
                <w:noProof/>
                <w:sz w:val="21"/>
              </w:rPr>
              <w:fldChar w:fldCharType="begin" w:fldLock="1"/>
            </w:r>
            <w:r>
              <w:rPr>
                <w:noProof/>
                <w:sz w:val="21"/>
              </w:rPr>
              <w:instrText>ADDIN CSL_CITATION {"citationItems":[{"id":"ITEM-1","itemData":{"DOI":"10.1007/s00702-017-1686-y","ISBN":"9780444519009","ISSN":"14351463","PMID":"16713924","abstract":"The causes of Parkinson's disease (PD), the second most common neurodegenerative disorder, are still largely unknown. Current thinking is that major gene mutations cause only a small proportion of all cases and that in most cases, non-genetic factors play a part, probably in interaction with susceptibility genes. Numerous epidemiological studies have been done to identify such non-genetic risk factors, but most were small and methodologically limited. Larger, well-designed prospective cohort studies have only recently reached a stage at which they have enough incident patients and person-years of follow-up to investigate possible risk factors and their interactions. In this article, we review what is known about the prevalence, incidence, risk factors, and prognosis of PD from epidemiological studies. ?? 2006 Elsevier Ltd. All rights reserved.","author":[{"dropping-particle":"","family":"Tysnes","given":"Ole Bjørn","non-dropping-particle":"","parse-names":false,"suffix":""},{"dropping-particle":"","family":"Storstein","given":"Anette","non-dropping-particle":"","parse-names":false,"suffix":""}],"container-title":"Journal of Neural Transmission","id":"ITEM-1","issue":"8","issued":{"date-parts":[["2017"]]},"page":"901-905","title":"Epidemiology of Parkinson’s disease","type":"article","volume":"124"},"uris":["http://www.mendeley.com/documents/?uuid=538a50da-435d-4f90-8d48-2085ea33088b"]}],"mendeley":{"formattedCitation":"[10]","plainTextFormattedCitation":"[10]","previouslyFormattedCitation":"[38]"},"properties":{"noteIndex":0},"schema":"https://github.com/citation-style-language/schema/raw/master/csl-citation.json"}</w:instrText>
            </w:r>
            <w:r w:rsidRPr="00B23238">
              <w:rPr>
                <w:noProof/>
                <w:sz w:val="21"/>
              </w:rPr>
              <w:fldChar w:fldCharType="separate"/>
            </w:r>
            <w:r w:rsidRPr="00CA7622">
              <w:rPr>
                <w:noProof/>
                <w:sz w:val="21"/>
              </w:rPr>
              <w:t>[10]</w:t>
            </w:r>
            <w:r w:rsidRPr="00B23238">
              <w:rPr>
                <w:noProof/>
                <w:sz w:val="21"/>
              </w:rPr>
              <w:fldChar w:fldCharType="end"/>
            </w:r>
            <w:r w:rsidRPr="00B23238">
              <w:rPr>
                <w:noProof/>
                <w:sz w:val="21"/>
              </w:rPr>
              <w:t>,</w:t>
            </w:r>
            <w:r w:rsidRPr="00B23238">
              <w:rPr>
                <w:sz w:val="21"/>
              </w:rPr>
              <w:t xml:space="preserve"> </w:t>
            </w:r>
            <w:proofErr w:type="spellStart"/>
            <w:r w:rsidRPr="00B23238">
              <w:rPr>
                <w:sz w:val="21"/>
              </w:rPr>
              <w:t>Pringsheim</w:t>
            </w:r>
            <w:proofErr w:type="spellEnd"/>
            <w:r w:rsidRPr="00B23238">
              <w:rPr>
                <w:sz w:val="21"/>
              </w:rPr>
              <w:t xml:space="preserve"> et al.</w:t>
            </w:r>
            <w:r w:rsidRPr="00B23238">
              <w:rPr>
                <w:sz w:val="21"/>
              </w:rPr>
              <w:fldChar w:fldCharType="begin" w:fldLock="1"/>
            </w:r>
            <w:r>
              <w:rPr>
                <w:sz w:val="21"/>
              </w:rPr>
              <w:instrText>ADDIN CSL_CITATION {"citationItems":[{"id":"ITEM-1","itemData":{"DOI":"10.1002/mds.25945","ISBN":"1531-8257 (Electronic)\\r0885-3185 (Linking)","ISSN":"15318257","PMID":"24976103","abstract":"A B S T R AC T : Parkinson's Disease (PD) is a com-mon neurodegenerative disorder. We sought to synthe-size studies on the prevalence of PD to obtain an overall view of how the prevalence of this disease varies by age, by sex, and by geographic location. We searched MEDLINE and EMBASE for epidemiological studies of PD from 1985 to 2010. Data were analyzed by age group, geographic location, and sex. Geographic loca-tion was stratified by the following groups: 1) Asia, 2) Africa, 3) South America, and 4) Europe/North America/ Australia. Meta-regression was used to determine whether a significant difference was present between groups. Forty-seven studies were included in the analy-sis. Meta-analysis of the worldwide data showed a rising prevalence of PD with age (all per 100,000): 41 in 40 to 49 years; 107 in 50 to 59 years; 173 in 55 to 64 years; 428 in 60 to 69 years; 425 in 65 to 74 years; 1087 in 70 to 79 years; and 1903 in older than age 80. A significant difference was seen in prevalence by geographic loca-tion only for individuals 70 to 79 years old, with a preva-lence of 1,601 in individuals from North America, Europe, and Australia, compared with 646 in individuals from Asia (P &lt; 0.05). A significant difference in prevalence by sex was found only for individuals 50 to 59 years old, with a prevalence of 41 in females and 134 in males (P &lt; 0.05). PD prevalence increases steadily with age.","author":[{"dropping-particle":"","family":"Pringsheim","given":"Tamara","non-dropping-particle":"","parse-names":false,"suffix":""},{"dropping-particle":"","family":"Jette","given":"Nathalie","non-dropping-particle":"","parse-names":false,"suffix":""},{"dropping-particle":"","family":"Frolkis","given":"Alexandra","non-dropping-particle":"","parse-names":false,"suffix":""},{"dropping-particle":"","family":"Steeves","given":"Thomas D L","non-dropping-particle":"","parse-names":false,"suffix":""}],"container-title":"Movement Disorders","id":"ITEM-1","issue":"13","issued":{"date-parts":[["2014"]]},"page":"1583-1590","title":"The prevalence of Parkinson's disease: A systematic review and meta-analysis","type":"article","volume":"29"},"uris":["http://www.mendeley.com/documents/?uuid=d97ecbb8-5edf-4ebf-9f71-fd76dd977931"]}],"mendeley":{"formattedCitation":"[11]","plainTextFormattedCitation":"[11]","previouslyFormattedCitation":"[39]"},"properties":{"noteIndex":0},"schema":"https://github.com/citation-style-language/schema/raw/master/csl-citation.json"}</w:instrText>
            </w:r>
            <w:r w:rsidRPr="00B23238">
              <w:rPr>
                <w:sz w:val="21"/>
              </w:rPr>
              <w:fldChar w:fldCharType="separate"/>
            </w:r>
            <w:r w:rsidRPr="00CA7622">
              <w:rPr>
                <w:noProof/>
                <w:sz w:val="21"/>
              </w:rPr>
              <w:t>[11]</w:t>
            </w:r>
            <w:r w:rsidRPr="00B23238">
              <w:rPr>
                <w:sz w:val="21"/>
              </w:rPr>
              <w:fldChar w:fldCharType="end"/>
            </w:r>
          </w:p>
        </w:tc>
      </w:tr>
      <w:tr w:rsidR="00CA7622" w:rsidRPr="00B23238" w14:paraId="51B9EA5A" w14:textId="77777777" w:rsidTr="00CA7622">
        <w:trPr>
          <w:trHeight w:val="879"/>
        </w:trPr>
        <w:tc>
          <w:tcPr>
            <w:tcW w:w="0" w:type="auto"/>
            <w:vAlign w:val="center"/>
          </w:tcPr>
          <w:p w14:paraId="2D2CFA53" w14:textId="77777777" w:rsidR="00CA7622" w:rsidRPr="00B23238" w:rsidRDefault="00CA7622" w:rsidP="00CA7622">
            <w:pPr>
              <w:jc w:val="center"/>
              <w:rPr>
                <w:sz w:val="21"/>
              </w:rPr>
            </w:pPr>
            <w:r w:rsidRPr="00B23238">
              <w:rPr>
                <w:bCs/>
                <w:sz w:val="21"/>
              </w:rPr>
              <w:t>Personality Disorder</w:t>
            </w:r>
          </w:p>
        </w:tc>
        <w:tc>
          <w:tcPr>
            <w:tcW w:w="1786" w:type="dxa"/>
            <w:vAlign w:val="center"/>
          </w:tcPr>
          <w:p w14:paraId="318C13D3" w14:textId="77777777" w:rsidR="00CA7622" w:rsidRPr="00B23238" w:rsidRDefault="00CA7622" w:rsidP="00CA7622">
            <w:pPr>
              <w:jc w:val="center"/>
              <w:rPr>
                <w:sz w:val="21"/>
              </w:rPr>
            </w:pPr>
            <w:r w:rsidRPr="00B23238">
              <w:rPr>
                <w:sz w:val="21"/>
              </w:rPr>
              <w:t>1-2% (General)</w:t>
            </w:r>
          </w:p>
          <w:p w14:paraId="65E15F0A" w14:textId="77777777" w:rsidR="00CA7622" w:rsidRPr="00B23238" w:rsidRDefault="00CA7622" w:rsidP="00CA7622">
            <w:pPr>
              <w:jc w:val="center"/>
              <w:rPr>
                <w:sz w:val="21"/>
              </w:rPr>
            </w:pPr>
            <w:r w:rsidRPr="00B23238">
              <w:rPr>
                <w:sz w:val="21"/>
              </w:rPr>
              <w:t>5</w:t>
            </w:r>
            <w:r>
              <w:t>.</w:t>
            </w:r>
            <w:r w:rsidRPr="00B23238">
              <w:rPr>
                <w:sz w:val="21"/>
              </w:rPr>
              <w:t>9% (Adults)</w:t>
            </w:r>
          </w:p>
        </w:tc>
        <w:tc>
          <w:tcPr>
            <w:tcW w:w="0" w:type="auto"/>
            <w:vAlign w:val="center"/>
          </w:tcPr>
          <w:p w14:paraId="1207F739" w14:textId="77777777" w:rsidR="00CA7622" w:rsidRPr="00B23238" w:rsidRDefault="00CA7622" w:rsidP="00CA7622">
            <w:pPr>
              <w:jc w:val="center"/>
              <w:rPr>
                <w:sz w:val="21"/>
              </w:rPr>
            </w:pPr>
            <w:r w:rsidRPr="00B23238">
              <w:rPr>
                <w:sz w:val="21"/>
              </w:rPr>
              <w:t>NA, 14</w:t>
            </w:r>
          </w:p>
        </w:tc>
        <w:tc>
          <w:tcPr>
            <w:tcW w:w="0" w:type="auto"/>
            <w:vAlign w:val="center"/>
          </w:tcPr>
          <w:p w14:paraId="56A41175" w14:textId="77777777" w:rsidR="00CA7622" w:rsidRPr="00B23238" w:rsidRDefault="00CA7622" w:rsidP="00CA7622">
            <w:pPr>
              <w:jc w:val="center"/>
              <w:rPr>
                <w:sz w:val="21"/>
              </w:rPr>
            </w:pPr>
            <w:r w:rsidRPr="00B23238">
              <w:rPr>
                <w:sz w:val="21"/>
              </w:rPr>
              <w:t>Higher in Females</w:t>
            </w:r>
          </w:p>
        </w:tc>
        <w:tc>
          <w:tcPr>
            <w:tcW w:w="0" w:type="auto"/>
            <w:vAlign w:val="center"/>
          </w:tcPr>
          <w:p w14:paraId="6F3EA7D8" w14:textId="0268E9E4" w:rsidR="00CA7622" w:rsidRPr="00B23238" w:rsidRDefault="00CA7622" w:rsidP="00CA7622">
            <w:pPr>
              <w:jc w:val="center"/>
              <w:rPr>
                <w:sz w:val="21"/>
              </w:rPr>
            </w:pPr>
            <w:r w:rsidRPr="00B23238">
              <w:rPr>
                <w:sz w:val="21"/>
              </w:rPr>
              <w:t xml:space="preserve">NIMH*, NAMI+, </w:t>
            </w:r>
            <w:proofErr w:type="spellStart"/>
            <w:r w:rsidRPr="00B23238">
              <w:rPr>
                <w:sz w:val="21"/>
              </w:rPr>
              <w:t>Lenzenweger</w:t>
            </w:r>
            <w:proofErr w:type="spellEnd"/>
            <w:r w:rsidRPr="00B23238">
              <w:rPr>
                <w:sz w:val="21"/>
              </w:rPr>
              <w:t xml:space="preserve"> et al.</w:t>
            </w:r>
            <w:r w:rsidRPr="00B23238">
              <w:rPr>
                <w:sz w:val="21"/>
              </w:rPr>
              <w:fldChar w:fldCharType="begin" w:fldLock="1"/>
            </w:r>
            <w:r>
              <w:rPr>
                <w:sz w:val="21"/>
              </w:rPr>
              <w:instrText>ADDIN CSL_CITATION {"citationItems":[{"id":"ITEM-1","itemData":{"DOI":"10.1016/j.biopsych.2006.09.019","ISBN":"0006-3223 (Print)\\r0006-3223 (Linking)","ISSN":"00063223","PMID":"17217923","abstract":"Background: The population prevalence of DSM-IV personality disorders (PDs) remains largely unknown. Data are reported here on the prevalence and correlates of clinician-diagnosed Clusters A, B, and C DSM-IV PDs in the general population of the United States. Methods: Personality disorder screening questions from the International Personality Disorder Examination (IPDE) were administered in Part II (n = 5692) of the National Comorbidity Survey Replication (NCS-R). A probability sub-sample was then interviewed with the IPDE and used to link screening question responses with IPDE clinical diagnoses. The method of Multiple Imputation (MI) was then implemented to estimate prevalence and correlates of PDs in the full sample. Results: The MI prevalence estimates were 5.7% Cluster A, 1.5% Cluster B, 6.0% Cluster C, and 9.1% any PD. All three PD clusters were significantly comorbid with a wide range of DSM-IV Axis I disorders. Significant associations of PDs with functional impairment were largely accounted for by Axis I comorbidity. Conclusions: Strong Axis I comorbidity raises questions about the somewhat arbitrary separation of PDs from Axis I disorders in the DSM nomenclature. The impairment findings suggest that the main public health significance of PDs lies in their effects on Axis I disorders rather than in their effects on functioning. © 2007 Society of Biological Psychiatry.","author":[{"dropping-particle":"","family":"Lenzenweger","given":"Mark F.","non-dropping-particle":"","parse-names":false,"suffix":""},{"dropping-particle":"","family":"Lane","given":"Michael C.","non-dropping-particle":"","parse-names":false,"suffix":""},{"dropping-particle":"","family":"Loranger","given":"Armand W.","non-dropping-particle":"","parse-names":false,"suffix":""},{"dropping-particle":"","family":"Kessler","given":"Ronald C.","non-dropping-particle":"","parse-names":false,"suffix":""}],"container-title":"Biological Psychiatry","id":"ITEM-1","issue":"6","issued":{"date-parts":[["2007"]]},"page":"553-564","title":"DSM-IV Personality Disorders in the National Comorbidity Survey Replication","type":"article-journal","volume":"62"},"uris":["http://www.mendeley.com/documents/?uuid=63f7433d-0c34-4b9a-af81-33f5e0eb848b"]}],"mendeley":{"formattedCitation":"[12]","plainTextFormattedCitation":"[12]","previouslyFormattedCitation":"[40]"},"properties":{"noteIndex":0},"schema":"https://github.com/citation-style-language/schema/raw/master/csl-citation.json"}</w:instrText>
            </w:r>
            <w:r w:rsidRPr="00B23238">
              <w:rPr>
                <w:sz w:val="21"/>
              </w:rPr>
              <w:fldChar w:fldCharType="separate"/>
            </w:r>
            <w:r w:rsidRPr="00CA7622">
              <w:rPr>
                <w:noProof/>
                <w:sz w:val="21"/>
              </w:rPr>
              <w:t>[12]</w:t>
            </w:r>
            <w:r w:rsidRPr="00B23238">
              <w:rPr>
                <w:sz w:val="21"/>
              </w:rPr>
              <w:fldChar w:fldCharType="end"/>
            </w:r>
            <w:r w:rsidRPr="00B23238">
              <w:rPr>
                <w:sz w:val="21"/>
              </w:rPr>
              <w:t xml:space="preserve">,  </w:t>
            </w:r>
            <w:proofErr w:type="spellStart"/>
            <w:r w:rsidRPr="00B23238">
              <w:rPr>
                <w:sz w:val="21"/>
              </w:rPr>
              <w:t>Zanarini</w:t>
            </w:r>
            <w:proofErr w:type="spellEnd"/>
            <w:r w:rsidRPr="00B23238">
              <w:rPr>
                <w:sz w:val="21"/>
              </w:rPr>
              <w:t xml:space="preserve"> et al.</w:t>
            </w:r>
            <w:r w:rsidRPr="00B23238">
              <w:rPr>
                <w:sz w:val="21"/>
              </w:rPr>
              <w:fldChar w:fldCharType="begin" w:fldLock="1"/>
            </w:r>
            <w:r>
              <w:rPr>
                <w:sz w:val="21"/>
              </w:rPr>
              <w:instrText>ADDIN CSL_CITATION {"citationItems":[{"id":"ITEM-1","itemData":{"DOI":"10.1521/pedi.2011.25.5.607","ISBN":"9780124201187","ISSN":"0885-579X","PMID":"22023298","abstract":"This study had two main objectives. The first was to assess the prevalence of DSM-IV borderline personality disorder and its constituent symptoms in a community sample of late-latency children. The second was to compare these rates to those found in a community sample of American adults. A birth cohort of 6,330 11-year-old children in Bristol, England, was interviewed concerning borderline psychopathology in 2002-2004. A community sample of 34,653 American adults was interviewed about borderline psychopathology in 2004-2005. Rates of chronic emptiness, physically self-damaging acts, and stormy relationships were very similar in both samples (&lt;2% difference). However, a significantly higher percentage of children than adults reported being angry and moody. In contrast, a significantly higher percentage of adults than children reported being paranoid/dissociated, having a serious identity disturbance, being impulsive, and making frantic efforts to avoid abandonment. In addition, a significantly higher percentage of adults than children met DSM-IV criteria for BPD (5.9% vs. 3.2%). Statistically significant but clinically minor gender differences were also found between girls and boys as well as men and women. Taken together, the results of this study suggest that late-latency children are about half as likely as adults to meet DSM-IV criteria for BPD. They also suggest that gender does not play a defining role in symptom expression.","author":[{"dropping-particle":"","family":"Zanarini","given":"Mary C.","non-dropping-particle":"","parse-names":false,"suffix":""},{"dropping-particle":"","family":"Horwood","given":"Jeremy","non-dropping-particle":"","parse-names":false,"suffix":""},{"dropping-particle":"","family":"Wolke","given":"Dieter","non-dropping-particle":"","parse-names":false,"suffix":""},{"dropping-particle":"","family":"Waylen","given":"Andrea","non-dropping-particle":"","parse-names":false,"suffix":""},{"dropping-particle":"","family":"Fitzmaurice","given":"Garrett","non-dropping-particle":"","parse-names":false,"suffix":""},{"dropping-particle":"","family":"Grant","given":"Bridget F.","non-dropping-particle":"","parse-names":false,"suffix":""}],"container-title":"Journal of Personality Disorders","id":"ITEM-1","issue":"5","issued":{"date-parts":[["2011"]]},"page":"607-619","title":"Prevalence of DSM-IV Borderline Personality Disorder in Two Community Samples: 6,330 English 11-Year-Olds and 34,653 American Adults","type":"article-journal","volume":"25"},"uris":["http://www.mendeley.com/documents/?uuid=945da7e9-6410-45e8-9a53-10db2a12319d"]}],"mendeley":{"formattedCitation":"[13]","plainTextFormattedCitation":"[13]","previouslyFormattedCitation":"[41]"},"properties":{"noteIndex":0},"schema":"https://github.com/citation-style-language/schema/raw/master/csl-citation.json"}</w:instrText>
            </w:r>
            <w:r w:rsidRPr="00B23238">
              <w:rPr>
                <w:sz w:val="21"/>
              </w:rPr>
              <w:fldChar w:fldCharType="separate"/>
            </w:r>
            <w:r w:rsidRPr="00CA7622">
              <w:rPr>
                <w:noProof/>
                <w:sz w:val="21"/>
              </w:rPr>
              <w:t>[13]</w:t>
            </w:r>
            <w:r w:rsidRPr="00B23238">
              <w:rPr>
                <w:sz w:val="21"/>
              </w:rPr>
              <w:fldChar w:fldCharType="end"/>
            </w:r>
            <w:r w:rsidRPr="00B23238">
              <w:rPr>
                <w:sz w:val="21"/>
              </w:rPr>
              <w:t xml:space="preserve"> </w:t>
            </w:r>
          </w:p>
        </w:tc>
      </w:tr>
      <w:tr w:rsidR="00CA7622" w:rsidRPr="00B23238" w14:paraId="44AB72D0" w14:textId="77777777" w:rsidTr="00CA7622">
        <w:trPr>
          <w:trHeight w:val="879"/>
        </w:trPr>
        <w:tc>
          <w:tcPr>
            <w:tcW w:w="0" w:type="auto"/>
            <w:vAlign w:val="center"/>
          </w:tcPr>
          <w:p w14:paraId="6460534A" w14:textId="77777777" w:rsidR="00CA7622" w:rsidRPr="00B23238" w:rsidRDefault="00CA7622" w:rsidP="00CA7622">
            <w:pPr>
              <w:jc w:val="center"/>
              <w:rPr>
                <w:bCs/>
                <w:sz w:val="21"/>
              </w:rPr>
            </w:pPr>
            <w:r w:rsidRPr="00B23238">
              <w:rPr>
                <w:bCs/>
                <w:sz w:val="21"/>
              </w:rPr>
              <w:t>Epilepsy</w:t>
            </w:r>
          </w:p>
        </w:tc>
        <w:tc>
          <w:tcPr>
            <w:tcW w:w="1786" w:type="dxa"/>
            <w:vAlign w:val="center"/>
          </w:tcPr>
          <w:p w14:paraId="5E681A7E" w14:textId="77777777" w:rsidR="00CA7622" w:rsidRPr="00B23238" w:rsidRDefault="00CA7622" w:rsidP="00CA7622">
            <w:pPr>
              <w:jc w:val="center"/>
              <w:rPr>
                <w:sz w:val="21"/>
              </w:rPr>
            </w:pPr>
            <w:r w:rsidRPr="00B23238">
              <w:rPr>
                <w:sz w:val="21"/>
              </w:rPr>
              <w:t>0</w:t>
            </w:r>
            <w:r>
              <w:t>.</w:t>
            </w:r>
            <w:r w:rsidRPr="00B23238">
              <w:rPr>
                <w:sz w:val="21"/>
              </w:rPr>
              <w:t>7-1</w:t>
            </w:r>
            <w:r>
              <w:t>.</w:t>
            </w:r>
            <w:r w:rsidRPr="00B23238">
              <w:rPr>
                <w:sz w:val="21"/>
              </w:rPr>
              <w:t>2% (General)</w:t>
            </w:r>
          </w:p>
          <w:p w14:paraId="5ACD4118" w14:textId="77777777" w:rsidR="00CA7622" w:rsidRPr="00B23238" w:rsidRDefault="00CA7622" w:rsidP="00CA7622">
            <w:pPr>
              <w:jc w:val="center"/>
              <w:rPr>
                <w:sz w:val="21"/>
              </w:rPr>
            </w:pPr>
            <w:r w:rsidRPr="00B23238">
              <w:rPr>
                <w:sz w:val="21"/>
              </w:rPr>
              <w:t>0</w:t>
            </w:r>
            <w:r>
              <w:t>.</w:t>
            </w:r>
            <w:r w:rsidRPr="00B23238">
              <w:rPr>
                <w:sz w:val="21"/>
              </w:rPr>
              <w:t>6% (Under 18)</w:t>
            </w:r>
          </w:p>
        </w:tc>
        <w:tc>
          <w:tcPr>
            <w:tcW w:w="0" w:type="auto"/>
            <w:vAlign w:val="center"/>
          </w:tcPr>
          <w:p w14:paraId="0F471016" w14:textId="77777777" w:rsidR="00CA7622" w:rsidRPr="00B23238" w:rsidRDefault="00CA7622" w:rsidP="00CA7622">
            <w:pPr>
              <w:jc w:val="center"/>
              <w:rPr>
                <w:sz w:val="21"/>
              </w:rPr>
            </w:pPr>
            <w:r w:rsidRPr="00B23238">
              <w:rPr>
                <w:sz w:val="21"/>
              </w:rPr>
              <w:t>50, 3</w:t>
            </w:r>
            <w:r>
              <w:t>.</w:t>
            </w:r>
            <w:r w:rsidRPr="00B23238">
              <w:rPr>
                <w:sz w:val="21"/>
              </w:rPr>
              <w:t>4</w:t>
            </w:r>
          </w:p>
        </w:tc>
        <w:tc>
          <w:tcPr>
            <w:tcW w:w="0" w:type="auto"/>
            <w:vAlign w:val="center"/>
          </w:tcPr>
          <w:p w14:paraId="3440D1B8" w14:textId="77777777" w:rsidR="00CA7622" w:rsidRPr="00B23238" w:rsidRDefault="00CA7622" w:rsidP="00CA7622">
            <w:pPr>
              <w:jc w:val="center"/>
              <w:rPr>
                <w:sz w:val="21"/>
              </w:rPr>
            </w:pPr>
            <w:r w:rsidRPr="00B23238">
              <w:rPr>
                <w:sz w:val="21"/>
              </w:rPr>
              <w:t>Almost the Same</w:t>
            </w:r>
          </w:p>
        </w:tc>
        <w:tc>
          <w:tcPr>
            <w:tcW w:w="0" w:type="auto"/>
            <w:vAlign w:val="center"/>
          </w:tcPr>
          <w:p w14:paraId="35BA3C63" w14:textId="634C6CA3" w:rsidR="00CA7622" w:rsidRPr="00B23238" w:rsidRDefault="00CA7622" w:rsidP="00CA7622">
            <w:pPr>
              <w:jc w:val="center"/>
              <w:rPr>
                <w:sz w:val="21"/>
              </w:rPr>
            </w:pPr>
            <w:r w:rsidRPr="00B23238">
              <w:rPr>
                <w:sz w:val="21"/>
              </w:rPr>
              <w:t>CDC</w:t>
            </w:r>
            <w:r w:rsidRPr="00B23238">
              <w:rPr>
                <w:b/>
                <w:sz w:val="21"/>
              </w:rPr>
              <w:t>-</w:t>
            </w:r>
            <w:r w:rsidRPr="00B23238">
              <w:rPr>
                <w:sz w:val="21"/>
              </w:rPr>
              <w:t xml:space="preserve">, </w:t>
            </w:r>
            <w:r w:rsidRPr="00B23238">
              <w:rPr>
                <w:noProof/>
                <w:sz w:val="21"/>
              </w:rPr>
              <w:t>WHO</w:t>
            </w:r>
            <w:r w:rsidRPr="00B23238">
              <w:rPr>
                <w:noProof/>
                <w:sz w:val="21"/>
              </w:rPr>
              <w:fldChar w:fldCharType="begin" w:fldLock="1"/>
            </w:r>
            <w:r>
              <w:rPr>
                <w:noProof/>
                <w:sz w:val="21"/>
              </w:rPr>
              <w:instrText>ADDIN CSL_CITATION {"citationItems":[{"id":"ITEM-1","itemData":{"DOI":"10.1017/S1121189X00001421","ISBN":"1121-189X","ISSN":"1121-189X","PMID":"19378696","abstract":"AIMS The paper reviews recent findings from the WHO World Mental Health (WMH) surveys on the global burden of mental disorders. METHODS The WMH surveys are representative community surveys in 28 countries throughout the world aimed at providing information to mental health policy makers about the prevalence, distribution, burden, and unmet need for treatment of common mental disorders. RESULTS The first 17 WMH surveys show that mental disorders are commonly occurring in all participating countries. The inter-quartile range (IQR: 25th-75th percentiles) of lifetime DSM-IV disorder prevalence estimates (combining anxiety, mood, externalizing, and substance use disorders) is 18.1-36.1%. The IQR of 12-month prevalence estimates is 9.8-19.1%. Prevalence estimates of 12-month Serious Mental Illness (SMI) are 4-6.8% in half the countries, 2.3-3.6% in one-fourth, and 0.8-1.9% in one-fourth. Many mental disorders begin in childhood-adolescence and have significant adverse effects on subsequent role transitions in the WMH data. Adult mental disorders are found to be associated with such high role impairment in the WMH data that available clinical interventions could have positive cost-effectiveness ratios. CONCLUSIONS Mental disorders are commonly occurring and often seriously impairing in many countries throughout the world. Expansion of treatment could be cost-effective from both employer and societal perspectives.","author":[{"dropping-particle":"","family":"Kessler","given":"Ronald C.","non-dropping-particle":"","parse-names":false,"suffix":""},{"dropping-particle":"","family":"Aguilar-Gaxiola","given":"Sergio","non-dropping-particle":"","parse-names":false,"suffix":""},{"dropping-particle":"","family":"Alonso","given":"Jordi","non-dropping-particle":"","parse-names":false,"suffix":""},{"dropping-particle":"","family":"Chatterji","given":"Somnath","non-dropping-particle":"","parse-names":false,"suffix":""},{"dropping-particle":"","family":"Lee","given":"Sing","non-dropping-particle":"","parse-names":false,"suffix":""},{"dropping-particle":"","family":"Ormel","given":"Johan","non-dropping-particle":"","parse-names":false,"suffix":""},{"dropping-particle":"","family":"Ustün","given":"T Bedirhan","non-dropping-particle":"","parse-names":false,"suffix":""},{"dropping-particle":"","family":"Wang","given":"Philip S.","non-dropping-particle":"","parse-names":false,"suffix":""}],"container-title":"Epidemiologia e psichiatria sociale","id":"ITEM-1","issue":"1","issued":{"date-parts":[["2009"]]},"page":"23-33","title":"The global burden of mental disorders: an update from the WHO World Mental Health (WMH) surveys.","type":"article-journal","volume":"18"},"uris":["http://www.mendeley.com/documents/?uuid=c352a944-4fcc-4a1a-9c81-b66e66472b5e"]}],"mendeley":{"formattedCitation":"[14]","plainTextFormattedCitation":"[14]","previouslyFormattedCitation":"[42]"},"properties":{"noteIndex":0},"schema":"https://github.com/citation-style-language/schema/raw/master/csl-citation.json"}</w:instrText>
            </w:r>
            <w:r w:rsidRPr="00B23238">
              <w:rPr>
                <w:noProof/>
                <w:sz w:val="21"/>
              </w:rPr>
              <w:fldChar w:fldCharType="separate"/>
            </w:r>
            <w:r w:rsidRPr="00CA7622">
              <w:rPr>
                <w:noProof/>
                <w:sz w:val="21"/>
              </w:rPr>
              <w:t>[14]</w:t>
            </w:r>
            <w:r w:rsidRPr="00B23238">
              <w:rPr>
                <w:noProof/>
                <w:sz w:val="21"/>
              </w:rPr>
              <w:fldChar w:fldCharType="end"/>
            </w:r>
            <w:r w:rsidRPr="00B23238">
              <w:rPr>
                <w:noProof/>
                <w:sz w:val="21"/>
              </w:rPr>
              <w:t>, Zack et al.</w:t>
            </w:r>
            <w:r w:rsidRPr="00B23238">
              <w:rPr>
                <w:noProof/>
                <w:sz w:val="21"/>
              </w:rPr>
              <w:fldChar w:fldCharType="begin" w:fldLock="1"/>
            </w:r>
            <w:r>
              <w:rPr>
                <w:noProof/>
                <w:sz w:val="21"/>
              </w:rPr>
              <w:instrText>ADDIN CSL_CITATION {"citationItems":[{"id":"ITEM-1","itemData":{"DOI":"10.15585/mmwr.mm6631a1","ISSN":"0149-2195","PMID":"28796763","abstract":"Epilepsy, a brain disorder leading to recurring seizures, has garnered increased public health focus because persons with epilepsy experience pronounced and persistent health and socioeconomic disparities despite treatment advances, public awareness programs, and expanded rights for persons with disabilities (1,2). For almost all states, epilepsy prevalence estimates do not exist. CDC used national data sources including the 2015 National Health Interview Survey (NHIS) for adults (aged ≥18 years), the 2011-2012 National Survey of Children's Health (NSCH), and the 2015 Current Population Survey data, describing 2014 income levels, to estimate prevalent cases of active epilepsy, overall and by state, to provide information for state public health planning. In 2015, 1.2% of the U.S. population (3.4 million persons: 3 million adults and 470,000 children) reported active epilepsy (self-reported doctor-diagnosed epilepsy and under treatment or with recent seizures within 12 months of interview) or current epilepsy (parent-reported doctor-diagnosed epilepsy and current epilepsy). Estimated numbers of persons with active epilepsy, after accounting for income and age differences by state, ranged from 5,900 in Wyoming to 427,700 in California. NHIS data from 2010-2015 indicate increases in the number of persons with active epilepsy, probably because of population growth. This study provides updated national and modeled state-specific numbers of active epilepsy cases. Public health practitioners, health care providers, policy makers, epilepsy researchers, and other epilepsy stakeholders, including family members and people with epilepsy, can use these findings to ensure that evidence-based programs meet the complex needs of adults and children with epilepsy and reduce the disparities resulting from it.","author":[{"dropping-particle":"","family":"Zack","given":"Matthew M.","non-dropping-particle":"","parse-names":false,"suffix":""},{"dropping-particle":"","family":"Kobau","given":"Rosemarie","non-dropping-particle":"","parse-names":false,"suffix":""}],"container-title":"MMWR. Morbidity and Mortality Weekly Report","id":"ITEM-1","issue":"31","issued":{"date-parts":[["2017"]]},"page":"821-825","title":"National and State Estimates of the Numbers of Adults and Children with Active Epilepsy — United States, 2015","type":"article-journal","volume":"66"},"uris":["http://www.mendeley.com/documents/?uuid=b9b28e06-4ad1-4cdc-a75b-19c573d01428"]}],"mendeley":{"formattedCitation":"[15]","plainTextFormattedCitation":"[15]","previouslyFormattedCitation":"[43]"},"properties":{"noteIndex":0},"schema":"https://github.com/citation-style-language/schema/raw/master/csl-citation.json"}</w:instrText>
            </w:r>
            <w:r w:rsidRPr="00B23238">
              <w:rPr>
                <w:noProof/>
                <w:sz w:val="21"/>
              </w:rPr>
              <w:fldChar w:fldCharType="separate"/>
            </w:r>
            <w:r w:rsidRPr="00CA7622">
              <w:rPr>
                <w:noProof/>
                <w:sz w:val="21"/>
              </w:rPr>
              <w:t>[15]</w:t>
            </w:r>
            <w:r w:rsidRPr="00B23238">
              <w:rPr>
                <w:noProof/>
                <w:sz w:val="21"/>
              </w:rPr>
              <w:fldChar w:fldCharType="end"/>
            </w:r>
            <w:r w:rsidRPr="00B23238">
              <w:rPr>
                <w:noProof/>
                <w:sz w:val="21"/>
              </w:rPr>
              <w:t>, Fiest et al.</w:t>
            </w:r>
            <w:r w:rsidRPr="00B23238">
              <w:rPr>
                <w:noProof/>
                <w:sz w:val="21"/>
              </w:rPr>
              <w:fldChar w:fldCharType="begin" w:fldLock="1"/>
            </w:r>
            <w:r>
              <w:rPr>
                <w:noProof/>
                <w:sz w:val="21"/>
              </w:rPr>
              <w:instrText>ADDIN CSL_CITATION {"citationItems":[{"id":"ITEM-1","itemData":{"DOI":"10.1212/WNL.0000000000003509","ISBN":"0000000000","ISSN":"0317-1671","PMID":"27986877","abstract":"OBJECTIVE: To review population-based studies of the prevalence and incidence of epilepsy worldwide and use meta-analytic techniques to explore factors that may explain heterogeneity between estimates. METHODS: The Preferred Reporting Items for Systematic Reviews and Meta-Analyses standards were followed. We searched MEDLINE and EMBASE for articles published on the prevalence or incidence of epilepsy since 1985. Abstract, full-text review, and data abstraction were conducted in duplicate. Meta-analyses and meta-regressions were used to explore the association between prevalence or incidence, age group, sex, country level income, and study quality. RESULTS: A total of 222 studies were included (197 on prevalence, 48 on incidence). The point prevalence of active epilepsy was 6.38 per 1,000 persons (95% confidence interval [95% CI] 5.57-7.30), while the lifetime prevalence was 7.60 per 1,000 persons (95% CI 6.17-9.38). The annual cumulative incidence of epilepsy was 67.77 per 100,000 persons (95% CI 56.69-81.03) while the incidence rate was 61.44 per 100,000 person-years (95% CI 50.75-74.38). The prevalence of epilepsy did not differ by age group, sex, or study quality. The active annual period prevalence, lifetime prevalence, and incidence rate of epilepsy were higher in low to middle income countries. Epilepsies of unknown etiology and those with generalized seizures had the highest prevalence. CONCLUSIONS: This study provides a comprehensive synthesis of the prevalence and incidence of epilepsy from published international studies and offers insight into factors that contribute to heterogeneity between estimates. Significant gaps (e.g., lack of incidence studies, stratification by age groups) were identified. Standardized reporting of future epidemiologic studies of epilepsy is needed.","author":[{"dropping-particle":"","family":"Fiest","given":"K M","non-dropping-particle":"","parse-names":false,"suffix":""},{"dropping-particle":"","family":"Sauro","given":"KM","non-dropping-particle":"","parse-names":false,"suffix":""},{"dropping-particle":"","family":"Wiebe","given":"S","non-dropping-particle":"","parse-names":false,"suffix":""},{"dropping-particle":"","family":"Patten","given":"SB","non-dropping-particle":"","parse-names":false,"suffix":""},{"dropping-particle":"","family":"Kwon","given":"CS","non-dropping-particle":"","parse-names":false,"suffix":""},{"dropping-particle":"","family":"Dykeman","given":"J","non-dropping-particle":"","parse-names":false,"suffix":""},{"dropping-particle":"","family":"Pringsheim","given":"T","non-dropping-particle":"","parse-names":false,"suffix":""},{"dropping-particle":"","family":"Lorenzetti,","given":"DL","non-dropping-particle":"","parse-names":false,"suffix":""},{"dropping-particle":"","family":"Jette","given":"N","non-dropping-particle":"","parse-names":false,"suffix":""}],"container-title":"Neurology","id":"ITEM-1","issued":{"date-parts":[["2017"]]},"title":"The prevalence and incidence of epilepsy: A systematic review and meta-analysis of international studies","type":"article-journal"},"uris":["http://www.mendeley.com/documents/?uuid=6df9e2d3-943c-3f87-8bf3-1220e855178f"]}],"mendeley":{"formattedCitation":"[16]","plainTextFormattedCitation":"[16]","previouslyFormattedCitation":"[44]"},"properties":{"noteIndex":0},"schema":"https://github.com/citation-style-language/schema/raw/master/csl-citation.json"}</w:instrText>
            </w:r>
            <w:r w:rsidRPr="00B23238">
              <w:rPr>
                <w:noProof/>
                <w:sz w:val="21"/>
              </w:rPr>
              <w:fldChar w:fldCharType="separate"/>
            </w:r>
            <w:r w:rsidRPr="00CA7622">
              <w:rPr>
                <w:noProof/>
                <w:sz w:val="21"/>
              </w:rPr>
              <w:t>[16]</w:t>
            </w:r>
            <w:r w:rsidRPr="00B23238">
              <w:rPr>
                <w:noProof/>
                <w:sz w:val="21"/>
              </w:rPr>
              <w:fldChar w:fldCharType="end"/>
            </w:r>
            <w:r w:rsidRPr="00B23238">
              <w:rPr>
                <w:noProof/>
                <w:sz w:val="21"/>
              </w:rPr>
              <w:t>, Russ et al</w:t>
            </w:r>
            <w:r w:rsidRPr="00B23238">
              <w:rPr>
                <w:noProof/>
                <w:sz w:val="21"/>
              </w:rPr>
              <w:fldChar w:fldCharType="begin" w:fldLock="1"/>
            </w:r>
            <w:r>
              <w:rPr>
                <w:noProof/>
                <w:sz w:val="21"/>
              </w:rPr>
              <w:instrText>ADDIN CSL_CITATION {"citationItems":[{"id":"ITEM-1","itemData":{"DOI":"10.1542/peds.2010-1371","ISBN":"0031-4005","ISSN":"0031-4005","PMID":"22271699","abstract":"OBJECTIVE: To determine sociodemographics, patterns of comorbidity, and function of US children with reported epilepsy/seizure disorder.\\n\\nMETHODS: Bivariate and multivariable cross-sectional analysis of data from the National Survey of Children's Health (2007) on 91 605 children ages birth to 17 years, including 977 children reported by their parents to have been diagnosed with epilepsy/seizure disorder.\\n\\nRESULTS: Estimated lifetime prevalence of epilepsy/seizure disorder was 10.2/1000 (95% confidence interval [CI]: 8.7-11.8) or 1%, and of current reported epilepsy/seizure disorder was 6.3/1000 (95% CI: 4.9-7.8). Epilepsy/seizure disorder prevalence was higher in lower-income families and in older, male children. Children with current reported epilepsy/seizure disorder were significantly more likely than those never diagnosed to experience depression (8% vs 2%), anxiety (17% vs 3%), attention-deficit/hyperactivity disorder (23% vs 6%), conduct problems (16% vs 3%), developmental delay (51% vs 3%), autism/autism spectrum disorder (16% vs 1%), and headaches (14% vs 5%) (all P &lt; .05). They had greater risk of limitation in ability to do things (relative risk: 9.22; 95% CI: 7.56-11.24), repeating a school grade (relative risk: 2.59; CI: 1.52-4.40), poorer social competence and greater parent aggravation, and were at increased risk of having unmet medical and mental health needs. Children with prior but not current seizures largely had intermediate risk.\\n\\nCONCLUSIONS: In a nationally representative sample, children with seizures were at increased risk for mental health, developmental, and physical comorbidities, increasing needs for care coordination and specialized services. Children with reported prior but not current seizures need further study to establish reasons for their higher than expected levels of reported functional limitations.","author":[{"dropping-particle":"","family":"Russ","given":"S. A.","non-dropping-particle":"","parse-names":false,"suffix":""},{"dropping-particle":"","family":"Larson","given":"K.","non-dropping-particle":"","parse-names":false,"suffix":""},{"dropping-particle":"","family":"Halfon","given":"N.","non-dropping-particle":"","parse-names":false,"suffix":""}],"container-title":"PEDIATRICS","id":"ITEM-1","issue":"2","issued":{"date-parts":[["2012"]]},"page":"256-264","title":"A National Profile of Childhood Epilepsy and Seizure Disorder","type":"article-journal","volume":"129"},"uris":["http://www.mendeley.com/documents/?uuid=4c72c703-7505-4669-8296-9cc4e64db11e"]}],"mendeley":{"formattedCitation":"[17]","plainTextFormattedCitation":"[17]","previouslyFormattedCitation":"[45]"},"properties":{"noteIndex":0},"schema":"https://github.com/citation-style-language/schema/raw/master/csl-citation.json"}</w:instrText>
            </w:r>
            <w:r w:rsidRPr="00B23238">
              <w:rPr>
                <w:noProof/>
                <w:sz w:val="21"/>
              </w:rPr>
              <w:fldChar w:fldCharType="separate"/>
            </w:r>
            <w:r w:rsidRPr="00CA7622">
              <w:rPr>
                <w:noProof/>
                <w:sz w:val="21"/>
              </w:rPr>
              <w:t>[17]</w:t>
            </w:r>
            <w:r w:rsidRPr="00B23238">
              <w:rPr>
                <w:noProof/>
                <w:sz w:val="21"/>
              </w:rPr>
              <w:fldChar w:fldCharType="end"/>
            </w:r>
            <w:r w:rsidRPr="00B23238">
              <w:rPr>
                <w:noProof/>
                <w:sz w:val="21"/>
              </w:rPr>
              <w:t>.</w:t>
            </w:r>
          </w:p>
        </w:tc>
      </w:tr>
      <w:tr w:rsidR="00CA7622" w:rsidRPr="00B23238" w14:paraId="10D785E3" w14:textId="77777777" w:rsidTr="00CA7622">
        <w:trPr>
          <w:trHeight w:val="879"/>
        </w:trPr>
        <w:tc>
          <w:tcPr>
            <w:tcW w:w="0" w:type="auto"/>
            <w:vAlign w:val="center"/>
          </w:tcPr>
          <w:p w14:paraId="00606F08" w14:textId="77777777" w:rsidR="00CA7622" w:rsidRPr="00B23238" w:rsidRDefault="00CA7622" w:rsidP="00CA7622">
            <w:pPr>
              <w:jc w:val="center"/>
              <w:rPr>
                <w:bCs/>
                <w:sz w:val="21"/>
              </w:rPr>
            </w:pPr>
            <w:r w:rsidRPr="00B23238">
              <w:rPr>
                <w:bCs/>
                <w:sz w:val="21"/>
              </w:rPr>
              <w:t>Major Depression</w:t>
            </w:r>
          </w:p>
        </w:tc>
        <w:tc>
          <w:tcPr>
            <w:tcW w:w="1786" w:type="dxa"/>
            <w:vAlign w:val="center"/>
          </w:tcPr>
          <w:p w14:paraId="0E9034BD" w14:textId="77777777" w:rsidR="00CA7622" w:rsidRPr="00B23238" w:rsidRDefault="00CA7622" w:rsidP="00CA7622">
            <w:pPr>
              <w:jc w:val="center"/>
              <w:rPr>
                <w:sz w:val="21"/>
              </w:rPr>
            </w:pPr>
            <w:r w:rsidRPr="00B23238">
              <w:rPr>
                <w:sz w:val="21"/>
              </w:rPr>
              <w:t>3-5</w:t>
            </w:r>
            <w:r>
              <w:t>.</w:t>
            </w:r>
            <w:r w:rsidRPr="00B23238">
              <w:rPr>
                <w:sz w:val="21"/>
              </w:rPr>
              <w:t>5% (General)</w:t>
            </w:r>
          </w:p>
          <w:p w14:paraId="4D43FE4B" w14:textId="77777777" w:rsidR="00CA7622" w:rsidRPr="00B23238" w:rsidRDefault="00CA7622" w:rsidP="00CA7622">
            <w:pPr>
              <w:jc w:val="center"/>
              <w:rPr>
                <w:sz w:val="21"/>
              </w:rPr>
            </w:pPr>
            <w:r w:rsidRPr="00B23238">
              <w:rPr>
                <w:sz w:val="21"/>
              </w:rPr>
              <w:t>5</w:t>
            </w:r>
            <w:r>
              <w:t>.</w:t>
            </w:r>
            <w:r w:rsidRPr="00B23238">
              <w:rPr>
                <w:sz w:val="21"/>
              </w:rPr>
              <w:t>3-6</w:t>
            </w:r>
            <w:r>
              <w:t>.</w:t>
            </w:r>
            <w:r w:rsidRPr="00B23238">
              <w:rPr>
                <w:sz w:val="21"/>
              </w:rPr>
              <w:t>7% (Adults)</w:t>
            </w:r>
          </w:p>
        </w:tc>
        <w:tc>
          <w:tcPr>
            <w:tcW w:w="0" w:type="auto"/>
            <w:vAlign w:val="center"/>
          </w:tcPr>
          <w:p w14:paraId="447F5DF7" w14:textId="77777777" w:rsidR="00CA7622" w:rsidRPr="00B23238" w:rsidRDefault="00CA7622" w:rsidP="00CA7622">
            <w:pPr>
              <w:jc w:val="center"/>
              <w:rPr>
                <w:sz w:val="21"/>
              </w:rPr>
            </w:pPr>
            <w:r w:rsidRPr="00B23238">
              <w:rPr>
                <w:sz w:val="21"/>
              </w:rPr>
              <w:t>300, 16</w:t>
            </w:r>
          </w:p>
        </w:tc>
        <w:tc>
          <w:tcPr>
            <w:tcW w:w="0" w:type="auto"/>
            <w:vAlign w:val="center"/>
          </w:tcPr>
          <w:p w14:paraId="6544AD29" w14:textId="77777777" w:rsidR="00CA7622" w:rsidRPr="00B23238" w:rsidRDefault="00CA7622" w:rsidP="00CA7622">
            <w:pPr>
              <w:jc w:val="center"/>
              <w:rPr>
                <w:sz w:val="21"/>
              </w:rPr>
            </w:pPr>
            <w:r w:rsidRPr="00B23238">
              <w:rPr>
                <w:sz w:val="21"/>
              </w:rPr>
              <w:t>Higher in Females</w:t>
            </w:r>
          </w:p>
        </w:tc>
        <w:tc>
          <w:tcPr>
            <w:tcW w:w="0" w:type="auto"/>
            <w:vAlign w:val="center"/>
          </w:tcPr>
          <w:p w14:paraId="16B3F555" w14:textId="7678E25E" w:rsidR="00CA7622" w:rsidRPr="00B23238" w:rsidRDefault="00CA7622" w:rsidP="00CA7622">
            <w:pPr>
              <w:jc w:val="center"/>
              <w:rPr>
                <w:sz w:val="21"/>
              </w:rPr>
            </w:pPr>
            <w:r w:rsidRPr="00B23238">
              <w:rPr>
                <w:sz w:val="21"/>
              </w:rPr>
              <w:t>NIMH, WHO</w:t>
            </w:r>
            <w:r w:rsidRPr="00B23238">
              <w:rPr>
                <w:sz w:val="21"/>
              </w:rPr>
              <w:fldChar w:fldCharType="begin" w:fldLock="1"/>
            </w:r>
            <w:r>
              <w:rPr>
                <w:sz w:val="21"/>
              </w:rPr>
              <w:instrText>ADDIN CSL_CITATION {"citationItems":[{"id":"ITEM-1","itemData":{"DOI":"CC BY-NC-SA 3.0 IGO","ISBN":"WHO/MSD/MER/2017.2","abstract":"Reliable, up-to-date estimates of the proportion of a general population affected by different diseases or health conditions is a critical ingredient of effective health policy, planning and evaluation. Epidemiological studies of the prevalence and incidence of a range of psychiatric disorders have now been undertaken in a wide range of low-, middle- and high-income countries, which have contributed greatly to a better understanding of how common these disorders are across the world. Advances in measuring the fatal and non-fatal consequences of these diseases – including quantification of time spent in a state of illhealth – has also enabled a more systematic comparison of the relative contribution that different diseases and their underlying risk factors make to the overall toll of death and disability. This booklet provides latest available estimates of the prevalence of depression and other common mental disorders at the global and regional level, together with data concerning the consequences of these disorders in terms of lost health. Country-specific estimates are also provided (see Appendix). It offers complementary information to that provided in other information products developed by WHO and others on the appropriate public health response to these disorders, including their treatment and prevention (http://www.who.int/topics/depression; http://www.who.int/mental_health/mhgap). Common mental disorders refer to two main diagnostic categories: depressive disorders and anxiety disorders; a definition of these disorders is provided in the Box on page 7.","author":[{"dropping-particle":"","family":"World Health Organization","given":"","non-dropping-particle":"","parse-names":false,"suffix":""}],"container-title":"World Health Organization","id":"ITEM-1","issued":{"date-parts":[["2017"]]},"page":"1-24","title":"Depression and other common mental disorders: global health estimates","type":"article-journal"},"uris":["http://www.mendeley.com/documents/?uuid=bfe29cb9-d51b-4702-95b4-c3b494a15d0f"]}],"mendeley":{"formattedCitation":"[18]","plainTextFormattedCitation":"[18]","previouslyFormattedCitation":"[46]"},"properties":{"noteIndex":0},"schema":"https://github.com/citation-style-language/schema/raw/master/csl-citation.json"}</w:instrText>
            </w:r>
            <w:r w:rsidRPr="00B23238">
              <w:rPr>
                <w:sz w:val="21"/>
              </w:rPr>
              <w:fldChar w:fldCharType="separate"/>
            </w:r>
            <w:r w:rsidRPr="00CA7622">
              <w:rPr>
                <w:noProof/>
                <w:sz w:val="21"/>
              </w:rPr>
              <w:t>[18]</w:t>
            </w:r>
            <w:r w:rsidRPr="00B23238">
              <w:rPr>
                <w:sz w:val="21"/>
              </w:rPr>
              <w:fldChar w:fldCharType="end"/>
            </w:r>
            <w:r w:rsidRPr="00B23238">
              <w:rPr>
                <w:sz w:val="21"/>
              </w:rPr>
              <w:t>,</w:t>
            </w:r>
            <w:r w:rsidRPr="00B23238">
              <w:rPr>
                <w:noProof/>
                <w:sz w:val="21"/>
              </w:rPr>
              <w:t xml:space="preserve"> CBHSQ</w:t>
            </w:r>
            <w:r w:rsidRPr="00B23238">
              <w:rPr>
                <w:noProof/>
                <w:sz w:val="21"/>
              </w:rPr>
              <w:fldChar w:fldCharType="begin" w:fldLock="1"/>
            </w:r>
            <w:r>
              <w:rPr>
                <w:noProof/>
                <w:sz w:val="21"/>
              </w:rPr>
              <w:instrText>ADDIN CSL_CITATION {"citationItems":[{"id":"ITEM-1","itemData":{"abstract":"Results from the 2015 National Survey on Drug Use and Health: Detailed Tables is a\r\ncollection of tables presenting national estimates from the National Survey on Drug Use and\r\nHealth (NSDUH). Starting with the 2015 NSDUH, the detailed tables are now a combination of\r\nthe prior detailed tables and the mental health detailed tables. The detailed tables now consist of\r\n12 subject matter sections, with Sections 1 to 7 mapping to the sections from the previous years'\r\ndetailed tables and Sections 8 to 11 mapping to the prior year's mental health detailed tables.\r\nSection 12 contains sample size and population total tables combined from both sets of tables.\r\nThe 2015 detailed tables include various types of tables, including 2-year trend and multiyear\r\ntrend tables. Due to a partial redesign in 2015, many measures are no longer comparable with\r\nprevious years, but the 2-year trend table format was retained in the detailed tables in order to\r\nhelp illustrate this lack of comparability. Further details about the 2015 redesign and its impact\r\non estimates can be found in the 2015 NSDUH redesign changes and impact section below.\r\nMore detailed information about these table changes can be found in the table presentation\r\nsection below.\r\nThe 2015 detailed tables present information for youths aged 12 to 17 and adults 18 or\r\nolder on drug, alcohol, and tobacco use as well as substance use disorder (SUD) (also referred to\r\nas dependence or abuse), treatment, health topics, and alcohol consumption. For youths, topics\r\ninclude youth experiences and measures on mental health service utilization, major depressive\r\nepisode (MDE), and treatment for depression (among youths with MDE). For adults, topics\r\ninclude measures on any mental illness (AMI), serious mental illness (SMI), moderate mental\r\nillness, low (mild) mental illness, mental health service utilization (i.e., treatment or counseling\r\nfor mental health issues), suicidal thoughts and behaviors, MDE, treatment for depression\r\n(among adults with MDE), and serious psychological distress (SPD). Measures such as risk and\r\navailability of substance use, the co-occurrence of mental disorders with substance use or with\r\nSUDs also are presented for both adults and youths. Measures of these behaviors and\r\ncharacteristics are presented by a variety of demographic, geographic, and other variables.\r\nThe estimates in the tables include rates of the behaviors, numbers of persons engaging in these\r\nbehaviors, and other measures.…","author":[{"dropping-particle":"","family":"SAMHSA","given":"CBHSQ","non-dropping-particle":"","parse-names":false,"suffix":""}],"container-title":"2015 National Survey on Drug Use and Health","id":"ITEM-1","issued":{"date-parts":[["2015"]]},"page":"209","title":"Results from the 2015 National Survey on Drug Use and Health: Detailed Tables,","type":"article-journal"},"uris":["http://www.mendeley.com/documents/?uuid=d0632d24-0dd4-41e9-931e-3dd80159b122"]}],"mendeley":{"formattedCitation":"[2]","plainTextFormattedCitation":"[2]","previouslyFormattedCitation":"[31]"},"properties":{"noteIndex":0},"schema":"https://github.com/citation-style-language/schema/raw/master/csl-citation.json"}</w:instrText>
            </w:r>
            <w:r w:rsidRPr="00B23238">
              <w:rPr>
                <w:noProof/>
                <w:sz w:val="21"/>
              </w:rPr>
              <w:fldChar w:fldCharType="separate"/>
            </w:r>
            <w:r w:rsidRPr="00CA7622">
              <w:rPr>
                <w:noProof/>
                <w:sz w:val="21"/>
              </w:rPr>
              <w:t>[2]</w:t>
            </w:r>
            <w:r w:rsidRPr="00B23238">
              <w:rPr>
                <w:noProof/>
                <w:sz w:val="21"/>
              </w:rPr>
              <w:fldChar w:fldCharType="end"/>
            </w:r>
            <w:r w:rsidRPr="00B23238">
              <w:rPr>
                <w:noProof/>
                <w:sz w:val="21"/>
              </w:rPr>
              <w:t xml:space="preserve">, Ferrari </w:t>
            </w:r>
            <w:r w:rsidRPr="00B23238">
              <w:rPr>
                <w:iCs/>
                <w:noProof/>
                <w:sz w:val="21"/>
              </w:rPr>
              <w:t>et al.</w:t>
            </w:r>
            <w:r w:rsidRPr="00B23238">
              <w:rPr>
                <w:iCs/>
                <w:noProof/>
                <w:sz w:val="21"/>
              </w:rPr>
              <w:fldChar w:fldCharType="begin" w:fldLock="1"/>
            </w:r>
            <w:r>
              <w:rPr>
                <w:iCs/>
                <w:noProof/>
                <w:sz w:val="21"/>
              </w:rPr>
              <w:instrText>ADDIN CSL_CITATION {"citationItems":[{"id":"ITEM-1","itemData":{"DOI":"10.1017/S0033291712001511","ISBN":"1469-8978 (Electronic)\\r0033-2917 (Linking)","ISSN":"0033-2917","PMID":"22831756","abstract":"BACKGROUND: Summarizing the epidemiology of major depressive disorder (MDD) at a global level is complicated by significant heterogeneity in the data. The aim of this study is to present a global summary of the prevalence and incidence of MDD, accounting for sources of bias, and dealing with heterogeneity. Findings are informing MDD burden quantification in the Global Burden of Disease (GBD) 2010 Study. Method A systematic review of prevalence and incidence of MDD was undertaken. Electronic databases Medline, PsycINFO and EMBASE were searched. Community-representative studies adhering to suitable diagnostic nomenclature were included. A meta-regression was conducted to explore sources of heterogeneity in prevalence and guide the stratification of data in a meta-analysis. RESULTS: The literature search identified 116 prevalence and four incidence studies. Prevalence period, sex, year of study, depression subtype, survey instrument, age and region were significant determinants of prevalence, explaining 57.7% of the variability between studies. The global point prevalence of MDD, adjusting for methodological differences, was 4.7% (4.4-5.0%). The pooled annual incidence was 3.0% (2.4-3.8%), clearly at odds with the pooled prevalence estimates and the previously reported average duration of 30 weeks for an episode of MDD. CONCLUSIONS: Our findings provide a comprehensive and up-to-date profile of the prevalence of MDD globally. Region and study methodology influenced the prevalence of MDD. This needs to be considered in the GBD 2010 study and in investigations into the ecological determinants of MDD. Good-quality estimates from low-/middle-income countries were sparse. More accurate data on incidence are also required.","author":[{"dropping-particle":"","family":"Ferrari","given":"a. J.","non-dropping-particle":"","parse-names":false,"suffix":""},{"dropping-particle":"","family":"Somerville","given":"a. J.","non-dropping-particle":"","parse-names":false,"suffix":""},{"dropping-particle":"","family":"Baxter","given":"a. J.","non-dropping-particle":"","parse-names":false,"suffix":""},{"dropping-particle":"","family":"Norman","given":"R.","non-dropping-particle":"","parse-names":false,"suffix":""},{"dropping-particle":"","family":"Patten","given":"S. B.","non-dropping-particle":"","parse-names":false,"suffix":""},{"dropping-particle":"","family":"Vos","given":"T.","non-dropping-particle":"","parse-names":false,"suffix":""},{"dropping-particle":"","family":"Whiteford","given":"H. a.","non-dropping-particle":"","parse-names":false,"suffix":""}],"container-title":"Psychological Medicine","id":"ITEM-1","issue":"August 2015","issued":{"date-parts":[["2012"]]},"page":"1-11","title":"Global variation in the prevalence and incidence of major depressive disorder: a systematic review of the epidemiological literature","type":"article-journal"},"uris":["http://www.mendeley.com/documents/?uuid=91980620-f032-44d7-8522-35c045189a81"]}],"mendeley":{"formattedCitation":"[19]","plainTextFormattedCitation":"[19]","previouslyFormattedCitation":"[47]"},"properties":{"noteIndex":0},"schema":"https://github.com/citation-style-language/schema/raw/master/csl-citation.json"}</w:instrText>
            </w:r>
            <w:r w:rsidRPr="00B23238">
              <w:rPr>
                <w:iCs/>
                <w:noProof/>
                <w:sz w:val="21"/>
              </w:rPr>
              <w:fldChar w:fldCharType="separate"/>
            </w:r>
            <w:r w:rsidRPr="00CA7622">
              <w:rPr>
                <w:iCs/>
                <w:noProof/>
                <w:sz w:val="21"/>
              </w:rPr>
              <w:t>[19]</w:t>
            </w:r>
            <w:r w:rsidRPr="00B23238">
              <w:rPr>
                <w:iCs/>
                <w:noProof/>
                <w:sz w:val="21"/>
              </w:rPr>
              <w:fldChar w:fldCharType="end"/>
            </w:r>
            <w:r w:rsidRPr="00B23238">
              <w:rPr>
                <w:iCs/>
                <w:noProof/>
                <w:sz w:val="21"/>
              </w:rPr>
              <w:t>, Kessler et al.</w:t>
            </w:r>
            <w:r w:rsidRPr="00B23238">
              <w:rPr>
                <w:iCs/>
                <w:noProof/>
                <w:sz w:val="21"/>
              </w:rPr>
              <w:fldChar w:fldCharType="begin" w:fldLock="1"/>
            </w:r>
            <w:r>
              <w:rPr>
                <w:iCs/>
                <w:noProof/>
                <w:sz w:val="21"/>
              </w:rPr>
              <w:instrText>ADDIN CSL_CITATION {"citationItems":[{"id":"ITEM-1","itemData":{"DOI":"10.1146/annurev-publhealth-031912-114409","ISBN":"1545-2093 (Electronic) 0163-7525 (Linking)","ISSN":"0163-7525","PMID":"23514317","abstract":"Epidemiological data are reviewed on the prevalence, course, socio-demographic correlates, and societal costs of major depression throughout the world. Major depression is estimated in these surveys to be a commonly occurring disorder. Although estimates of lifetime prevalence and course vary substantially across countries for reasons that could involve both substantive and methodological processes, the cross-national data are clear in documenting meaningful lifetime prevalence with wide variation in age-of-onset and high risk of lifelong chronic-recurrent persistence. A number of sociodemographic correlates of major depression are found consistently across countries, and cross-national data also document associations with numerous adverse outcomes, including difficulties in role transitions (e.g., low education, high teen childbearing, marital disruption, unstable employment), reduced role functioning (e.g., low marital quality, low work performance, low earnings), elevated risk of onset, persistence and severity of a wide range of secondary disorders, and increased risk of early mortality due to physical disorders and suicide.","author":[{"dropping-particle":"","family":"Kessler","given":"Ronald C.","non-dropping-particle":"","parse-names":false,"suffix":""},{"dropping-particle":"","family":"Bromet","given":"Evelyn J.","non-dropping-particle":"","parse-names":false,"suffix":""}],"container-title":"Annual Review of Public Health","id":"ITEM-1","issue":"1","issued":{"date-parts":[["2013"]]},"page":"119-138","title":"The Epidemiology of Depression Across Cultures","type":"article-journal","volume":"34"},"uris":["http://www.mendeley.com/documents/?uuid=6d3e6f51-2461-45ed-93d7-a05d4c7a99d1"]}],"mendeley":{"formattedCitation":"[20]","plainTextFormattedCitation":"[20]","previouslyFormattedCitation":"[48]"},"properties":{"noteIndex":0},"schema":"https://github.com/citation-style-language/schema/raw/master/csl-citation.json"}</w:instrText>
            </w:r>
            <w:r w:rsidRPr="00B23238">
              <w:rPr>
                <w:iCs/>
                <w:noProof/>
                <w:sz w:val="21"/>
              </w:rPr>
              <w:fldChar w:fldCharType="separate"/>
            </w:r>
            <w:r w:rsidRPr="00CA7622">
              <w:rPr>
                <w:iCs/>
                <w:noProof/>
                <w:sz w:val="21"/>
              </w:rPr>
              <w:t>[20]</w:t>
            </w:r>
            <w:r w:rsidRPr="00B23238">
              <w:rPr>
                <w:iCs/>
                <w:noProof/>
                <w:sz w:val="21"/>
              </w:rPr>
              <w:fldChar w:fldCharType="end"/>
            </w:r>
          </w:p>
        </w:tc>
      </w:tr>
    </w:tbl>
    <w:p w14:paraId="37381E4C" w14:textId="77777777" w:rsidR="00CA7622" w:rsidRPr="00B23238" w:rsidRDefault="00CA7622" w:rsidP="00CA7622">
      <w:pPr>
        <w:jc w:val="both"/>
      </w:pPr>
    </w:p>
    <w:p w14:paraId="7EEF125C" w14:textId="77777777" w:rsidR="00CA7622" w:rsidRPr="00B23238" w:rsidRDefault="00CA7622" w:rsidP="00CA7622">
      <w:pPr>
        <w:widowControl w:val="0"/>
        <w:autoSpaceDE w:val="0"/>
        <w:autoSpaceDN w:val="0"/>
        <w:adjustRightInd w:val="0"/>
        <w:rPr>
          <w:color w:val="000000"/>
        </w:rPr>
      </w:pPr>
      <w:r w:rsidRPr="00B23238">
        <w:rPr>
          <w:color w:val="000000"/>
        </w:rPr>
        <w:t xml:space="preserve">* National Institute of Mental Health: </w:t>
      </w:r>
      <w:hyperlink r:id="rId8" w:history="1">
        <w:r w:rsidRPr="00B23238">
          <w:rPr>
            <w:rStyle w:val="Hyperlink"/>
          </w:rPr>
          <w:t>https://www.nimh.nih.gov/index.shtml</w:t>
        </w:r>
      </w:hyperlink>
    </w:p>
    <w:p w14:paraId="34A061F0" w14:textId="77777777" w:rsidR="00CA7622" w:rsidRPr="00B23238" w:rsidRDefault="00CA7622" w:rsidP="00CA7622">
      <w:pPr>
        <w:widowControl w:val="0"/>
        <w:autoSpaceDE w:val="0"/>
        <w:autoSpaceDN w:val="0"/>
        <w:adjustRightInd w:val="0"/>
        <w:rPr>
          <w:color w:val="000000"/>
        </w:rPr>
      </w:pPr>
      <w:r w:rsidRPr="00B23238">
        <w:rPr>
          <w:color w:val="000000"/>
        </w:rPr>
        <w:t xml:space="preserve">+ National Alliance on Mental Health: </w:t>
      </w:r>
      <w:hyperlink r:id="rId9" w:history="1">
        <w:r w:rsidRPr="00B23238">
          <w:rPr>
            <w:rStyle w:val="Hyperlink"/>
          </w:rPr>
          <w:t>https://www.nami.org</w:t>
        </w:r>
      </w:hyperlink>
      <w:r w:rsidRPr="00B23238">
        <w:rPr>
          <w:color w:val="000000"/>
        </w:rPr>
        <w:t xml:space="preserve"> </w:t>
      </w:r>
    </w:p>
    <w:p w14:paraId="07D9FA40" w14:textId="77777777" w:rsidR="00CA7622" w:rsidRDefault="00CA7622" w:rsidP="00CA7622">
      <w:pPr>
        <w:widowControl w:val="0"/>
        <w:autoSpaceDE w:val="0"/>
        <w:autoSpaceDN w:val="0"/>
        <w:adjustRightInd w:val="0"/>
        <w:rPr>
          <w:color w:val="000000"/>
        </w:rPr>
      </w:pPr>
      <w:r w:rsidRPr="00B23238">
        <w:rPr>
          <w:b/>
          <w:color w:val="000000"/>
        </w:rPr>
        <w:t>-</w:t>
      </w:r>
      <w:r w:rsidRPr="00B23238">
        <w:rPr>
          <w:color w:val="000000"/>
        </w:rPr>
        <w:t xml:space="preserve"> Centers for Disease Control and Prevention (CDC): </w:t>
      </w:r>
      <w:hyperlink r:id="rId10" w:history="1">
        <w:r w:rsidRPr="00B23238">
          <w:rPr>
            <w:rStyle w:val="Hyperlink"/>
          </w:rPr>
          <w:t>https://www.cdc.gov</w:t>
        </w:r>
      </w:hyperlink>
      <w:r w:rsidRPr="00B23238">
        <w:rPr>
          <w:color w:val="000000"/>
        </w:rPr>
        <w:t xml:space="preserve">  </w:t>
      </w:r>
    </w:p>
    <w:p w14:paraId="28779A49" w14:textId="45089F4A" w:rsidR="00CA7622" w:rsidRDefault="00CA7622" w:rsidP="00CA7622"/>
    <w:p w14:paraId="76D3C27B" w14:textId="34D8D867" w:rsidR="00CA7622" w:rsidRDefault="00CA7622" w:rsidP="00CA7622"/>
    <w:p w14:paraId="7DF2BAA9" w14:textId="63EFDE07" w:rsidR="00CA7622" w:rsidRDefault="00CA7622" w:rsidP="00CA7622"/>
    <w:p w14:paraId="04259D78" w14:textId="3216BFCA" w:rsidR="00CA7622" w:rsidRDefault="00CA7622" w:rsidP="00CA7622"/>
    <w:p w14:paraId="2DC86EE4" w14:textId="7D52F7BE" w:rsidR="00CA7622" w:rsidRDefault="00CA7622" w:rsidP="00CA7622"/>
    <w:p w14:paraId="72F728D5" w14:textId="0EE67A7A" w:rsidR="00CA7622" w:rsidRDefault="00CA7622" w:rsidP="00CA7622"/>
    <w:p w14:paraId="3AF560FA" w14:textId="72963BAC" w:rsidR="00CA7622" w:rsidRDefault="00CA7622" w:rsidP="00CA7622"/>
    <w:p w14:paraId="087C220F" w14:textId="1D335492" w:rsidR="00CA7622" w:rsidRDefault="00CA7622" w:rsidP="00CA7622"/>
    <w:p w14:paraId="55402494" w14:textId="18C81CCE" w:rsidR="00CA7622" w:rsidRDefault="00CA7622" w:rsidP="00CA7622"/>
    <w:p w14:paraId="5005D8E9" w14:textId="0B5F46D4" w:rsidR="00CA7622" w:rsidRDefault="00CA7622" w:rsidP="00CA7622"/>
    <w:p w14:paraId="612CE0DF" w14:textId="77777777" w:rsidR="00CA7622" w:rsidRDefault="00CA7622" w:rsidP="00CA7622"/>
    <w:p w14:paraId="7D2CCAD7" w14:textId="3A6E9537" w:rsidR="00CA7622" w:rsidRDefault="00CA7622" w:rsidP="00CA7622"/>
    <w:p w14:paraId="0EAECF9F" w14:textId="77777777" w:rsidR="00CA7622" w:rsidRPr="008C0F57" w:rsidRDefault="00CA7622" w:rsidP="00CA7622">
      <w:pPr>
        <w:pStyle w:val="Heading1"/>
        <w:spacing w:before="0" w:after="200" w:line="480" w:lineRule="auto"/>
        <w:rPr>
          <w:rFonts w:ascii="Times New Roman" w:hAnsi="Times New Roman" w:cs="Times New Roman"/>
        </w:rPr>
      </w:pPr>
      <w:bookmarkStart w:id="1" w:name="_Toc535243898"/>
      <w:r w:rsidRPr="00B23238">
        <w:rPr>
          <w:rFonts w:ascii="Times New Roman" w:hAnsi="Times New Roman" w:cs="Times New Roman"/>
        </w:rPr>
        <w:lastRenderedPageBreak/>
        <w:t>References</w:t>
      </w:r>
      <w:bookmarkEnd w:id="1"/>
    </w:p>
    <w:p w14:paraId="4B83F165" w14:textId="2547BDAE" w:rsidR="00CA7622" w:rsidRPr="00CA7622" w:rsidRDefault="00CA7622" w:rsidP="00CA7622">
      <w:pPr>
        <w:widowControl w:val="0"/>
        <w:autoSpaceDE w:val="0"/>
        <w:autoSpaceDN w:val="0"/>
        <w:adjustRightInd w:val="0"/>
        <w:spacing w:line="480" w:lineRule="auto"/>
        <w:ind w:left="640" w:hanging="640"/>
        <w:rPr>
          <w:noProof/>
        </w:rPr>
      </w:pPr>
      <w:r w:rsidRPr="00B23238">
        <w:rPr>
          <w:b/>
        </w:rPr>
        <w:fldChar w:fldCharType="begin" w:fldLock="1"/>
      </w:r>
      <w:r w:rsidRPr="00B23238">
        <w:rPr>
          <w:b/>
        </w:rPr>
        <w:instrText xml:space="preserve">ADDIN Mendeley Bibliography CSL_BIBLIOGRAPHY </w:instrText>
      </w:r>
      <w:r w:rsidRPr="00B23238">
        <w:rPr>
          <w:b/>
        </w:rPr>
        <w:fldChar w:fldCharType="separate"/>
      </w:r>
      <w:r w:rsidRPr="00CA7622">
        <w:rPr>
          <w:noProof/>
        </w:rPr>
        <w:t xml:space="preserve">1. </w:t>
      </w:r>
      <w:r w:rsidRPr="00CA7622">
        <w:rPr>
          <w:noProof/>
        </w:rPr>
        <w:tab/>
        <w:t>World Health Organisation. The World Health Report 2001: mental health, new understanding, new hope. In: World Health Report [Internet]. 2001 pp. 1–169. Available: http://www.who.int/whr/2001/en/whr01_en.pdf</w:t>
      </w:r>
    </w:p>
    <w:p w14:paraId="1FD08A48" w14:textId="77777777" w:rsidR="00CA7622" w:rsidRPr="00CA7622" w:rsidRDefault="00CA7622" w:rsidP="00CA7622">
      <w:pPr>
        <w:widowControl w:val="0"/>
        <w:autoSpaceDE w:val="0"/>
        <w:autoSpaceDN w:val="0"/>
        <w:adjustRightInd w:val="0"/>
        <w:spacing w:line="480" w:lineRule="auto"/>
        <w:ind w:left="640" w:hanging="640"/>
        <w:rPr>
          <w:noProof/>
        </w:rPr>
      </w:pPr>
      <w:r w:rsidRPr="00CA7622">
        <w:rPr>
          <w:noProof/>
        </w:rPr>
        <w:t xml:space="preserve">2. </w:t>
      </w:r>
      <w:r w:rsidRPr="00CA7622">
        <w:rPr>
          <w:noProof/>
        </w:rPr>
        <w:tab/>
        <w:t>SAMHSA C. Results from the 2015 National Survey on Drug Use and Health: Detailed Tables,. 2015 Natl Surv Drug Use Heal. 2015; 209. Available: https://www.samhsa.gov/data/sites/default/files/NSDUH-DetTabs-2015/NSDUH-DetTabs-2015/NSDUH-DetTabs-2015.htm#tab5-1c</w:t>
      </w:r>
    </w:p>
    <w:p w14:paraId="1E55B6CA" w14:textId="77777777" w:rsidR="00CA7622" w:rsidRPr="00CA7622" w:rsidRDefault="00CA7622" w:rsidP="00CA7622">
      <w:pPr>
        <w:widowControl w:val="0"/>
        <w:autoSpaceDE w:val="0"/>
        <w:autoSpaceDN w:val="0"/>
        <w:adjustRightInd w:val="0"/>
        <w:spacing w:line="480" w:lineRule="auto"/>
        <w:ind w:left="640" w:hanging="640"/>
        <w:rPr>
          <w:noProof/>
        </w:rPr>
      </w:pPr>
      <w:r w:rsidRPr="00CA7622">
        <w:rPr>
          <w:noProof/>
        </w:rPr>
        <w:t xml:space="preserve">3. </w:t>
      </w:r>
      <w:r w:rsidRPr="00CA7622">
        <w:rPr>
          <w:noProof/>
        </w:rPr>
        <w:tab/>
        <w:t>Grande I, Berk M, Birmaher B, Vieta E. Bipolar disorder. The Lancet. 2016. pp. 1561–1572. doi:10.1016/S0140-6736(15)00241-X</w:t>
      </w:r>
    </w:p>
    <w:p w14:paraId="5952138F" w14:textId="77777777" w:rsidR="00CA7622" w:rsidRPr="00CA7622" w:rsidRDefault="00CA7622" w:rsidP="00CA7622">
      <w:pPr>
        <w:widowControl w:val="0"/>
        <w:autoSpaceDE w:val="0"/>
        <w:autoSpaceDN w:val="0"/>
        <w:adjustRightInd w:val="0"/>
        <w:spacing w:line="480" w:lineRule="auto"/>
        <w:ind w:left="640" w:hanging="640"/>
        <w:rPr>
          <w:noProof/>
        </w:rPr>
      </w:pPr>
      <w:r w:rsidRPr="00CA7622">
        <w:rPr>
          <w:noProof/>
        </w:rPr>
        <w:t xml:space="preserve">4. </w:t>
      </w:r>
      <w:r w:rsidRPr="00CA7622">
        <w:rPr>
          <w:noProof/>
        </w:rPr>
        <w:tab/>
        <w:t>Merikangas KR, Jin R, He J-P, Kessler RC, Lee S, Sampson NA, et al. Prevalence and correlates of bipolar spectrum disorder in the world mental health survey initiative. Arch Gen Psychiatry. 2011;68: 241–51. doi:10.1001/archgenpsychiatry.2011.12</w:t>
      </w:r>
    </w:p>
    <w:p w14:paraId="3CC54D49" w14:textId="77777777" w:rsidR="00CA7622" w:rsidRPr="00CA7622" w:rsidRDefault="00CA7622" w:rsidP="00CA7622">
      <w:pPr>
        <w:widowControl w:val="0"/>
        <w:autoSpaceDE w:val="0"/>
        <w:autoSpaceDN w:val="0"/>
        <w:adjustRightInd w:val="0"/>
        <w:spacing w:line="480" w:lineRule="auto"/>
        <w:ind w:left="640" w:hanging="640"/>
        <w:rPr>
          <w:noProof/>
        </w:rPr>
      </w:pPr>
      <w:r w:rsidRPr="00CA7622">
        <w:rPr>
          <w:noProof/>
        </w:rPr>
        <w:t xml:space="preserve">5. </w:t>
      </w:r>
      <w:r w:rsidRPr="00CA7622">
        <w:rPr>
          <w:noProof/>
        </w:rPr>
        <w:tab/>
        <w:t>DiFlorio A, Jones I. Is sex important? Gender differences in bipolar disorder. Int Rev Psychiatry. 2010;22: 437–52. doi:10.3109/09540261.2010.514601</w:t>
      </w:r>
    </w:p>
    <w:p w14:paraId="7832B86A" w14:textId="77777777" w:rsidR="00CA7622" w:rsidRPr="00CA7622" w:rsidRDefault="00CA7622" w:rsidP="00CA7622">
      <w:pPr>
        <w:widowControl w:val="0"/>
        <w:autoSpaceDE w:val="0"/>
        <w:autoSpaceDN w:val="0"/>
        <w:adjustRightInd w:val="0"/>
        <w:spacing w:line="480" w:lineRule="auto"/>
        <w:ind w:left="640" w:hanging="640"/>
        <w:rPr>
          <w:noProof/>
        </w:rPr>
      </w:pPr>
      <w:r w:rsidRPr="00CA7622">
        <w:rPr>
          <w:noProof/>
        </w:rPr>
        <w:t xml:space="preserve">6. </w:t>
      </w:r>
      <w:r w:rsidRPr="00CA7622">
        <w:rPr>
          <w:noProof/>
        </w:rPr>
        <w:tab/>
        <w:t>Saha S, Chant D, Welham J, McGrath J. A systematic review of the prevalence of schizophrenia. PLoS Medicine. 2005. pp. 0413–0433. doi:10.1371/journal.pmed.0020141</w:t>
      </w:r>
    </w:p>
    <w:p w14:paraId="4CD9C4FA" w14:textId="77777777" w:rsidR="00CA7622" w:rsidRPr="00CA7622" w:rsidRDefault="00CA7622" w:rsidP="00CA7622">
      <w:pPr>
        <w:widowControl w:val="0"/>
        <w:autoSpaceDE w:val="0"/>
        <w:autoSpaceDN w:val="0"/>
        <w:adjustRightInd w:val="0"/>
        <w:spacing w:line="480" w:lineRule="auto"/>
        <w:ind w:left="640" w:hanging="640"/>
        <w:rPr>
          <w:noProof/>
        </w:rPr>
      </w:pPr>
      <w:r w:rsidRPr="00CA7622">
        <w:rPr>
          <w:noProof/>
        </w:rPr>
        <w:t xml:space="preserve">7. </w:t>
      </w:r>
      <w:r w:rsidRPr="00CA7622">
        <w:rPr>
          <w:noProof/>
        </w:rPr>
        <w:tab/>
        <w:t>McGrath J, Saha S, Chant D, Welham J. Schizophrenia: A concise overview of incidence, prevalence, and mortality. Epidemiologic Reviews. 2008. pp. 67–76. doi:10.1093/epirev/mxn001</w:t>
      </w:r>
    </w:p>
    <w:p w14:paraId="59667812" w14:textId="77777777" w:rsidR="00CA7622" w:rsidRPr="00CA7622" w:rsidRDefault="00CA7622" w:rsidP="00CA7622">
      <w:pPr>
        <w:widowControl w:val="0"/>
        <w:autoSpaceDE w:val="0"/>
        <w:autoSpaceDN w:val="0"/>
        <w:adjustRightInd w:val="0"/>
        <w:spacing w:line="480" w:lineRule="auto"/>
        <w:ind w:left="640" w:hanging="640"/>
        <w:rPr>
          <w:noProof/>
        </w:rPr>
      </w:pPr>
      <w:r w:rsidRPr="00CA7622">
        <w:rPr>
          <w:noProof/>
        </w:rPr>
        <w:t xml:space="preserve">8. </w:t>
      </w:r>
      <w:r w:rsidRPr="00CA7622">
        <w:rPr>
          <w:noProof/>
        </w:rPr>
        <w:tab/>
        <w:t>Dorsey ER, Constantinescu R, Thompson JP, Biglan KM, Holloway RG, Kieburtz K, et al. Projected number of people with Parkinson disease in the most populous nations, 2005 through 2030. Neurology. 2007. pp. 384–386. doi:10.1212/01.wnl.0000247740.47667.03</w:t>
      </w:r>
    </w:p>
    <w:p w14:paraId="4B192ECB" w14:textId="77777777" w:rsidR="00CA7622" w:rsidRPr="00CA7622" w:rsidRDefault="00CA7622" w:rsidP="00CA7622">
      <w:pPr>
        <w:widowControl w:val="0"/>
        <w:autoSpaceDE w:val="0"/>
        <w:autoSpaceDN w:val="0"/>
        <w:adjustRightInd w:val="0"/>
        <w:spacing w:line="480" w:lineRule="auto"/>
        <w:ind w:left="640" w:hanging="640"/>
        <w:rPr>
          <w:noProof/>
        </w:rPr>
      </w:pPr>
      <w:r w:rsidRPr="00CA7622">
        <w:rPr>
          <w:noProof/>
        </w:rPr>
        <w:lastRenderedPageBreak/>
        <w:t xml:space="preserve">9. </w:t>
      </w:r>
      <w:r w:rsidRPr="00CA7622">
        <w:rPr>
          <w:noProof/>
        </w:rPr>
        <w:tab/>
        <w:t>Nussbaum RL, Ellis CE. Alzheimer’s Disease and Parkinson’s Disease. N Engl J Med. 2003; 1356–64. doi:10.1056/NEJM2003ra020003</w:t>
      </w:r>
    </w:p>
    <w:p w14:paraId="2024FCF0" w14:textId="77777777" w:rsidR="00CA7622" w:rsidRPr="00CA7622" w:rsidRDefault="00CA7622" w:rsidP="00CA7622">
      <w:pPr>
        <w:widowControl w:val="0"/>
        <w:autoSpaceDE w:val="0"/>
        <w:autoSpaceDN w:val="0"/>
        <w:adjustRightInd w:val="0"/>
        <w:spacing w:line="480" w:lineRule="auto"/>
        <w:ind w:left="640" w:hanging="640"/>
        <w:rPr>
          <w:noProof/>
        </w:rPr>
      </w:pPr>
      <w:r w:rsidRPr="00CA7622">
        <w:rPr>
          <w:noProof/>
        </w:rPr>
        <w:t xml:space="preserve">10. </w:t>
      </w:r>
      <w:r w:rsidRPr="00CA7622">
        <w:rPr>
          <w:noProof/>
        </w:rPr>
        <w:tab/>
        <w:t>Tysnes OB, Storstein A. Epidemiology of Parkinson’s disease. Journal of Neural Transmission. 2017. pp. 901–905. doi:10.1007/s00702-017-1686-y</w:t>
      </w:r>
    </w:p>
    <w:p w14:paraId="460838D6" w14:textId="77777777" w:rsidR="00CA7622" w:rsidRPr="00CA7622" w:rsidRDefault="00CA7622" w:rsidP="00CA7622">
      <w:pPr>
        <w:widowControl w:val="0"/>
        <w:autoSpaceDE w:val="0"/>
        <w:autoSpaceDN w:val="0"/>
        <w:adjustRightInd w:val="0"/>
        <w:spacing w:line="480" w:lineRule="auto"/>
        <w:ind w:left="640" w:hanging="640"/>
        <w:rPr>
          <w:noProof/>
        </w:rPr>
      </w:pPr>
      <w:r w:rsidRPr="00CA7622">
        <w:rPr>
          <w:noProof/>
        </w:rPr>
        <w:t xml:space="preserve">11. </w:t>
      </w:r>
      <w:r w:rsidRPr="00CA7622">
        <w:rPr>
          <w:noProof/>
        </w:rPr>
        <w:tab/>
        <w:t>Pringsheim T, Jette N, Frolkis A, Steeves TDL. The prevalence of Parkinson’s disease: A systematic review and meta-analysis. Movement Disorders. 2014. pp. 1583–1590. doi:10.1002/mds.25945</w:t>
      </w:r>
    </w:p>
    <w:p w14:paraId="447945AE" w14:textId="77777777" w:rsidR="00CA7622" w:rsidRPr="00CA7622" w:rsidRDefault="00CA7622" w:rsidP="00CA7622">
      <w:pPr>
        <w:widowControl w:val="0"/>
        <w:autoSpaceDE w:val="0"/>
        <w:autoSpaceDN w:val="0"/>
        <w:adjustRightInd w:val="0"/>
        <w:spacing w:line="480" w:lineRule="auto"/>
        <w:ind w:left="640" w:hanging="640"/>
        <w:rPr>
          <w:noProof/>
        </w:rPr>
      </w:pPr>
      <w:r w:rsidRPr="00CA7622">
        <w:rPr>
          <w:noProof/>
        </w:rPr>
        <w:t xml:space="preserve">12. </w:t>
      </w:r>
      <w:r w:rsidRPr="00CA7622">
        <w:rPr>
          <w:noProof/>
        </w:rPr>
        <w:tab/>
        <w:t>Lenzenweger MF, Lane MC, Loranger AW, Kessler RC. DSM-IV Personality Disorders in the National Comorbidity Survey Replication. Biol Psychiatry. 2007;62: 553–564. doi:10.1016/j.biopsych.2006.09.019</w:t>
      </w:r>
    </w:p>
    <w:p w14:paraId="7B72F92D" w14:textId="77777777" w:rsidR="00CA7622" w:rsidRPr="00CA7622" w:rsidRDefault="00CA7622" w:rsidP="00CA7622">
      <w:pPr>
        <w:widowControl w:val="0"/>
        <w:autoSpaceDE w:val="0"/>
        <w:autoSpaceDN w:val="0"/>
        <w:adjustRightInd w:val="0"/>
        <w:spacing w:line="480" w:lineRule="auto"/>
        <w:ind w:left="640" w:hanging="640"/>
        <w:rPr>
          <w:noProof/>
        </w:rPr>
      </w:pPr>
      <w:r w:rsidRPr="00CA7622">
        <w:rPr>
          <w:noProof/>
        </w:rPr>
        <w:t xml:space="preserve">13. </w:t>
      </w:r>
      <w:r w:rsidRPr="00CA7622">
        <w:rPr>
          <w:noProof/>
        </w:rPr>
        <w:tab/>
        <w:t>Zanarini MC, Horwood J, Wolke D, Waylen A, Fitzmaurice G, Grant BF. Prevalence of DSM-IV Borderline Personality Disorder in Two Community Samples: 6,330 English 11-Year-Olds and 34,653 American Adults. J Pers Disord. 2011;25: 607–619. doi:10.1521/pedi.2011.25.5.607</w:t>
      </w:r>
    </w:p>
    <w:p w14:paraId="04CE32CE" w14:textId="77777777" w:rsidR="00CA7622" w:rsidRPr="00CA7622" w:rsidRDefault="00CA7622" w:rsidP="00CA7622">
      <w:pPr>
        <w:widowControl w:val="0"/>
        <w:autoSpaceDE w:val="0"/>
        <w:autoSpaceDN w:val="0"/>
        <w:adjustRightInd w:val="0"/>
        <w:spacing w:line="480" w:lineRule="auto"/>
        <w:ind w:left="640" w:hanging="640"/>
        <w:rPr>
          <w:noProof/>
        </w:rPr>
      </w:pPr>
      <w:r w:rsidRPr="00CA7622">
        <w:rPr>
          <w:noProof/>
        </w:rPr>
        <w:t xml:space="preserve">14. </w:t>
      </w:r>
      <w:r w:rsidRPr="00CA7622">
        <w:rPr>
          <w:noProof/>
        </w:rPr>
        <w:tab/>
        <w:t>Kessler RC, Aguilar-Gaxiola S, Alonso J, Chatterji S, Lee S, Ormel J, et al. The global burden of mental disorders: an update from the WHO World Mental Health (WMH) surveys. Epidemiol Psichiatr Soc. 2009;18: 23–33. doi:10.1017/S1121189X00001421</w:t>
      </w:r>
    </w:p>
    <w:p w14:paraId="757FBB42" w14:textId="77777777" w:rsidR="00CA7622" w:rsidRPr="00CA7622" w:rsidRDefault="00CA7622" w:rsidP="00CA7622">
      <w:pPr>
        <w:widowControl w:val="0"/>
        <w:autoSpaceDE w:val="0"/>
        <w:autoSpaceDN w:val="0"/>
        <w:adjustRightInd w:val="0"/>
        <w:spacing w:line="480" w:lineRule="auto"/>
        <w:ind w:left="640" w:hanging="640"/>
        <w:rPr>
          <w:noProof/>
        </w:rPr>
      </w:pPr>
      <w:r w:rsidRPr="00CA7622">
        <w:rPr>
          <w:noProof/>
        </w:rPr>
        <w:t xml:space="preserve">15. </w:t>
      </w:r>
      <w:r w:rsidRPr="00CA7622">
        <w:rPr>
          <w:noProof/>
        </w:rPr>
        <w:tab/>
        <w:t>Zack MM, Kobau R. National and State Estimates of the Numbers of Adults and Children with Active Epilepsy — United States, 2015. MMWR Morb Mortal Wkly Rep. 2017;66: 821–825. doi:10.15585/mmwr.mm6631a1</w:t>
      </w:r>
    </w:p>
    <w:p w14:paraId="403FDC8C" w14:textId="77777777" w:rsidR="00CA7622" w:rsidRPr="00CA7622" w:rsidRDefault="00CA7622" w:rsidP="00CA7622">
      <w:pPr>
        <w:widowControl w:val="0"/>
        <w:autoSpaceDE w:val="0"/>
        <w:autoSpaceDN w:val="0"/>
        <w:adjustRightInd w:val="0"/>
        <w:spacing w:line="480" w:lineRule="auto"/>
        <w:ind w:left="640" w:hanging="640"/>
        <w:rPr>
          <w:noProof/>
        </w:rPr>
      </w:pPr>
      <w:r w:rsidRPr="00CA7622">
        <w:rPr>
          <w:noProof/>
        </w:rPr>
        <w:t xml:space="preserve">16. </w:t>
      </w:r>
      <w:r w:rsidRPr="00CA7622">
        <w:rPr>
          <w:noProof/>
        </w:rPr>
        <w:tab/>
        <w:t>Fiest KM, Sauro K, Wiebe S, Patten S, Kwon C, Dykeman J, et al. The prevalence and incidence of epilepsy: A systematic review and meta-analysis of international studies. Neurology. 2017; doi:10.1212/WNL.0000000000003509</w:t>
      </w:r>
    </w:p>
    <w:p w14:paraId="6CFCAD37" w14:textId="77777777" w:rsidR="00CA7622" w:rsidRPr="00CA7622" w:rsidRDefault="00CA7622" w:rsidP="00CA7622">
      <w:pPr>
        <w:widowControl w:val="0"/>
        <w:autoSpaceDE w:val="0"/>
        <w:autoSpaceDN w:val="0"/>
        <w:adjustRightInd w:val="0"/>
        <w:spacing w:line="480" w:lineRule="auto"/>
        <w:ind w:left="640" w:hanging="640"/>
        <w:rPr>
          <w:noProof/>
        </w:rPr>
      </w:pPr>
      <w:r w:rsidRPr="00CA7622">
        <w:rPr>
          <w:noProof/>
        </w:rPr>
        <w:lastRenderedPageBreak/>
        <w:t xml:space="preserve">17. </w:t>
      </w:r>
      <w:r w:rsidRPr="00CA7622">
        <w:rPr>
          <w:noProof/>
        </w:rPr>
        <w:tab/>
        <w:t>Russ SA, Larson K, Halfon N. A National Profile of Childhood Epilepsy and Seizure Disorder. Pediatrics. 2012;129: 256–264. doi:10.1542/peds.2010-1371</w:t>
      </w:r>
    </w:p>
    <w:p w14:paraId="348E0653" w14:textId="77777777" w:rsidR="00CA7622" w:rsidRPr="00CA7622" w:rsidRDefault="00CA7622" w:rsidP="00CA7622">
      <w:pPr>
        <w:widowControl w:val="0"/>
        <w:autoSpaceDE w:val="0"/>
        <w:autoSpaceDN w:val="0"/>
        <w:adjustRightInd w:val="0"/>
        <w:spacing w:line="480" w:lineRule="auto"/>
        <w:ind w:left="640" w:hanging="640"/>
        <w:rPr>
          <w:noProof/>
        </w:rPr>
      </w:pPr>
      <w:r w:rsidRPr="00CA7622">
        <w:rPr>
          <w:noProof/>
        </w:rPr>
        <w:t xml:space="preserve">18. </w:t>
      </w:r>
      <w:r w:rsidRPr="00CA7622">
        <w:rPr>
          <w:noProof/>
        </w:rPr>
        <w:tab/>
        <w:t>World Health Organization. Depression and other common mental disorders: global health estimates. World Heal Organ. 2017; 1–24. doi:CC BY-NC-SA 3.0 IGO</w:t>
      </w:r>
    </w:p>
    <w:p w14:paraId="479574FE" w14:textId="77777777" w:rsidR="00CA7622" w:rsidRPr="00CA7622" w:rsidRDefault="00CA7622" w:rsidP="00CA7622">
      <w:pPr>
        <w:widowControl w:val="0"/>
        <w:autoSpaceDE w:val="0"/>
        <w:autoSpaceDN w:val="0"/>
        <w:adjustRightInd w:val="0"/>
        <w:spacing w:line="480" w:lineRule="auto"/>
        <w:ind w:left="640" w:hanging="640"/>
        <w:rPr>
          <w:noProof/>
        </w:rPr>
      </w:pPr>
      <w:r w:rsidRPr="00CA7622">
        <w:rPr>
          <w:noProof/>
        </w:rPr>
        <w:t xml:space="preserve">19. </w:t>
      </w:r>
      <w:r w:rsidRPr="00CA7622">
        <w:rPr>
          <w:noProof/>
        </w:rPr>
        <w:tab/>
        <w:t>Ferrari  a. J, Somerville  a. J, Baxter  a. J, Norman R, Patten SB, Vos T, et al. Global variation in the prevalence and incidence of major depressive disorder: a systematic review of the epidemiological literature. Psychol Med. 2012; 1–11. doi:10.1017/S0033291712001511</w:t>
      </w:r>
    </w:p>
    <w:p w14:paraId="4BB6221E" w14:textId="77777777" w:rsidR="00CA7622" w:rsidRPr="00CA7622" w:rsidRDefault="00CA7622" w:rsidP="00CA7622">
      <w:pPr>
        <w:widowControl w:val="0"/>
        <w:autoSpaceDE w:val="0"/>
        <w:autoSpaceDN w:val="0"/>
        <w:adjustRightInd w:val="0"/>
        <w:spacing w:line="480" w:lineRule="auto"/>
        <w:ind w:left="640" w:hanging="640"/>
        <w:rPr>
          <w:noProof/>
        </w:rPr>
      </w:pPr>
      <w:r w:rsidRPr="00CA7622">
        <w:rPr>
          <w:noProof/>
        </w:rPr>
        <w:t xml:space="preserve">20. </w:t>
      </w:r>
      <w:r w:rsidRPr="00CA7622">
        <w:rPr>
          <w:noProof/>
        </w:rPr>
        <w:tab/>
        <w:t>Kessler RC, Bromet EJ. The Epidemiology of Depression Across Cultures. Annu Rev Public Health. 2013;34: 119–138. doi:10.1146/annurev-publhealth-031912-114409</w:t>
      </w:r>
    </w:p>
    <w:p w14:paraId="3F5F233E" w14:textId="1691397F" w:rsidR="00CA7622" w:rsidRPr="00CA7622" w:rsidRDefault="00CA7622" w:rsidP="00CA7622">
      <w:pPr>
        <w:widowControl w:val="0"/>
        <w:autoSpaceDE w:val="0"/>
        <w:autoSpaceDN w:val="0"/>
        <w:adjustRightInd w:val="0"/>
        <w:spacing w:line="480" w:lineRule="auto"/>
        <w:ind w:left="640" w:hanging="640"/>
        <w:jc w:val="both"/>
      </w:pPr>
      <w:r w:rsidRPr="00B23238">
        <w:rPr>
          <w:b/>
        </w:rPr>
        <w:fldChar w:fldCharType="end"/>
      </w:r>
    </w:p>
    <w:sectPr w:rsidR="00CA7622" w:rsidRPr="00CA7622" w:rsidSect="00CA7622">
      <w:footerReference w:type="even"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CF6E0A" w14:textId="77777777" w:rsidR="00F939D6" w:rsidRDefault="00F939D6" w:rsidP="00B01DAE">
      <w:r>
        <w:separator/>
      </w:r>
    </w:p>
  </w:endnote>
  <w:endnote w:type="continuationSeparator" w:id="0">
    <w:p w14:paraId="018A3085" w14:textId="77777777" w:rsidR="00F939D6" w:rsidRDefault="00F939D6" w:rsidP="00B01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altName w:val="Arial"/>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936171109"/>
      <w:docPartObj>
        <w:docPartGallery w:val="Page Numbers (Bottom of Page)"/>
        <w:docPartUnique/>
      </w:docPartObj>
    </w:sdtPr>
    <w:sdtEndPr>
      <w:rPr>
        <w:rStyle w:val="PageNumber"/>
      </w:rPr>
    </w:sdtEndPr>
    <w:sdtContent>
      <w:p w14:paraId="6007EE05" w14:textId="498551A1" w:rsidR="00115667" w:rsidRDefault="00115667" w:rsidP="009B7FA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4A10349" w14:textId="77777777" w:rsidR="00115667" w:rsidRDefault="00115667" w:rsidP="009B7FA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577559408"/>
      <w:docPartObj>
        <w:docPartGallery w:val="Page Numbers (Bottom of Page)"/>
        <w:docPartUnique/>
      </w:docPartObj>
    </w:sdtPr>
    <w:sdtEndPr>
      <w:rPr>
        <w:rStyle w:val="PageNumber"/>
      </w:rPr>
    </w:sdtEndPr>
    <w:sdtContent>
      <w:p w14:paraId="4CF47376" w14:textId="6F39AE01" w:rsidR="00115667" w:rsidRDefault="00115667" w:rsidP="009B7FA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10</w:t>
        </w:r>
        <w:r>
          <w:rPr>
            <w:rStyle w:val="PageNumber"/>
          </w:rPr>
          <w:fldChar w:fldCharType="end"/>
        </w:r>
      </w:p>
    </w:sdtContent>
  </w:sdt>
  <w:p w14:paraId="2AB3C0B4" w14:textId="77777777" w:rsidR="00115667" w:rsidRDefault="00115667" w:rsidP="009B7FA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34D51C" w14:textId="77777777" w:rsidR="00F939D6" w:rsidRDefault="00F939D6" w:rsidP="00B01DAE">
      <w:r>
        <w:separator/>
      </w:r>
    </w:p>
  </w:footnote>
  <w:footnote w:type="continuationSeparator" w:id="0">
    <w:p w14:paraId="6131496A" w14:textId="77777777" w:rsidR="00F939D6" w:rsidRDefault="00F939D6" w:rsidP="00B01D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7D1421"/>
    <w:multiLevelType w:val="hybridMultilevel"/>
    <w:tmpl w:val="76F294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0D1065"/>
    <w:multiLevelType w:val="hybridMultilevel"/>
    <w:tmpl w:val="D6FE8E0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18C6D4B"/>
    <w:multiLevelType w:val="hybridMultilevel"/>
    <w:tmpl w:val="2FCE660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2D40620"/>
    <w:multiLevelType w:val="hybridMultilevel"/>
    <w:tmpl w:val="26E6B78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74532F"/>
    <w:multiLevelType w:val="hybridMultilevel"/>
    <w:tmpl w:val="C8CA7D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735632"/>
    <w:multiLevelType w:val="hybridMultilevel"/>
    <w:tmpl w:val="1F44CDDA"/>
    <w:lvl w:ilvl="0" w:tplc="DB5AD036">
      <w:start w:val="1"/>
      <w:numFmt w:val="upperLetter"/>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9C2EF6"/>
    <w:multiLevelType w:val="hybridMultilevel"/>
    <w:tmpl w:val="261EB540"/>
    <w:lvl w:ilvl="0" w:tplc="04090013">
      <w:start w:val="1"/>
      <w:numFmt w:val="upperRoman"/>
      <w:lvlText w:val="%1."/>
      <w:lvlJc w:val="right"/>
      <w:pPr>
        <w:ind w:left="900" w:hanging="180"/>
      </w:pPr>
      <w:rPr>
        <w:rFonts w:hint="default"/>
      </w:rPr>
    </w:lvl>
    <w:lvl w:ilvl="1" w:tplc="04090019">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7" w15:restartNumberingAfterBreak="0">
    <w:nsid w:val="1A41555C"/>
    <w:multiLevelType w:val="hybridMultilevel"/>
    <w:tmpl w:val="517ED750"/>
    <w:lvl w:ilvl="0" w:tplc="0409000F">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0522063"/>
    <w:multiLevelType w:val="hybridMultilevel"/>
    <w:tmpl w:val="598A9BE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46E3BA1"/>
    <w:multiLevelType w:val="multilevel"/>
    <w:tmpl w:val="0FFA6EE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AFF3D3F"/>
    <w:multiLevelType w:val="multilevel"/>
    <w:tmpl w:val="1A58FCC4"/>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CBF53B9"/>
    <w:multiLevelType w:val="hybridMultilevel"/>
    <w:tmpl w:val="ACF0F69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3C0507"/>
    <w:multiLevelType w:val="hybridMultilevel"/>
    <w:tmpl w:val="61927B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2A1D02"/>
    <w:multiLevelType w:val="multilevel"/>
    <w:tmpl w:val="73EEDD10"/>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C251BA6"/>
    <w:multiLevelType w:val="multilevel"/>
    <w:tmpl w:val="714E52F4"/>
    <w:lvl w:ilvl="0">
      <w:start w:val="1"/>
      <w:numFmt w:val="upperLetter"/>
      <w:lvlText w:val="%1."/>
      <w:lvlJc w:val="left"/>
      <w:pPr>
        <w:ind w:left="360" w:hanging="360"/>
      </w:pPr>
      <w:rPr>
        <w:rFonts w:hint="default"/>
      </w:rPr>
    </w:lvl>
    <w:lvl w:ilvl="1">
      <w:start w:val="1"/>
      <w:numFmt w:val="lowerLetter"/>
      <w:lvlText w:val="%2."/>
      <w:lvlJc w:val="left"/>
      <w:pPr>
        <w:ind w:left="1710" w:hanging="360"/>
      </w:pPr>
    </w:lvl>
    <w:lvl w:ilvl="2">
      <w:start w:val="1"/>
      <w:numFmt w:val="lowerRoman"/>
      <w:lvlText w:val="%3."/>
      <w:lvlJc w:val="right"/>
      <w:pPr>
        <w:ind w:left="2430" w:hanging="180"/>
      </w:pPr>
    </w:lvl>
    <w:lvl w:ilvl="3">
      <w:start w:val="1"/>
      <w:numFmt w:val="decimal"/>
      <w:lvlText w:val="%4."/>
      <w:lvlJc w:val="left"/>
      <w:pPr>
        <w:ind w:left="3150" w:hanging="360"/>
      </w:pPr>
    </w:lvl>
    <w:lvl w:ilvl="4">
      <w:start w:val="1"/>
      <w:numFmt w:val="lowerLetter"/>
      <w:lvlText w:val="%5."/>
      <w:lvlJc w:val="left"/>
      <w:pPr>
        <w:ind w:left="3870" w:hanging="360"/>
      </w:pPr>
    </w:lvl>
    <w:lvl w:ilvl="5">
      <w:start w:val="1"/>
      <w:numFmt w:val="lowerRoman"/>
      <w:lvlText w:val="%6."/>
      <w:lvlJc w:val="right"/>
      <w:pPr>
        <w:ind w:left="4590" w:hanging="180"/>
      </w:pPr>
    </w:lvl>
    <w:lvl w:ilvl="6">
      <w:start w:val="1"/>
      <w:numFmt w:val="decimal"/>
      <w:lvlText w:val="%7."/>
      <w:lvlJc w:val="left"/>
      <w:pPr>
        <w:ind w:left="5310" w:hanging="360"/>
      </w:pPr>
    </w:lvl>
    <w:lvl w:ilvl="7">
      <w:start w:val="1"/>
      <w:numFmt w:val="lowerLetter"/>
      <w:lvlText w:val="%8."/>
      <w:lvlJc w:val="left"/>
      <w:pPr>
        <w:ind w:left="6030" w:hanging="360"/>
      </w:pPr>
    </w:lvl>
    <w:lvl w:ilvl="8">
      <w:start w:val="1"/>
      <w:numFmt w:val="lowerRoman"/>
      <w:lvlText w:val="%9."/>
      <w:lvlJc w:val="right"/>
      <w:pPr>
        <w:ind w:left="6750" w:hanging="180"/>
      </w:pPr>
    </w:lvl>
  </w:abstractNum>
  <w:abstractNum w:abstractNumId="15" w15:restartNumberingAfterBreak="0">
    <w:nsid w:val="3D411ED3"/>
    <w:multiLevelType w:val="multilevel"/>
    <w:tmpl w:val="F33C0322"/>
    <w:lvl w:ilvl="0">
      <w:start w:val="1"/>
      <w:numFmt w:val="decimal"/>
      <w:lvlText w:val="%1)"/>
      <w:lvlJc w:val="left"/>
      <w:pPr>
        <w:ind w:left="360" w:hanging="360"/>
      </w:pPr>
      <w:rPr>
        <w:rFonts w:hint="default"/>
      </w:rPr>
    </w:lvl>
    <w:lvl w:ilvl="1">
      <w:start w:val="1"/>
      <w:numFmt w:val="lowerLetter"/>
      <w:lvlText w:val="%2."/>
      <w:lvlJc w:val="left"/>
      <w:pPr>
        <w:ind w:left="1710" w:hanging="360"/>
      </w:pPr>
    </w:lvl>
    <w:lvl w:ilvl="2">
      <w:start w:val="1"/>
      <w:numFmt w:val="lowerRoman"/>
      <w:lvlText w:val="%3."/>
      <w:lvlJc w:val="right"/>
      <w:pPr>
        <w:ind w:left="2430" w:hanging="180"/>
      </w:pPr>
    </w:lvl>
    <w:lvl w:ilvl="3">
      <w:start w:val="1"/>
      <w:numFmt w:val="decimal"/>
      <w:lvlText w:val="%4."/>
      <w:lvlJc w:val="left"/>
      <w:pPr>
        <w:ind w:left="3150" w:hanging="360"/>
      </w:pPr>
    </w:lvl>
    <w:lvl w:ilvl="4">
      <w:start w:val="1"/>
      <w:numFmt w:val="lowerLetter"/>
      <w:lvlText w:val="%5."/>
      <w:lvlJc w:val="left"/>
      <w:pPr>
        <w:ind w:left="3870" w:hanging="360"/>
      </w:pPr>
    </w:lvl>
    <w:lvl w:ilvl="5">
      <w:start w:val="1"/>
      <w:numFmt w:val="lowerRoman"/>
      <w:lvlText w:val="%6."/>
      <w:lvlJc w:val="right"/>
      <w:pPr>
        <w:ind w:left="4590" w:hanging="180"/>
      </w:pPr>
    </w:lvl>
    <w:lvl w:ilvl="6">
      <w:start w:val="1"/>
      <w:numFmt w:val="decimal"/>
      <w:lvlText w:val="%7."/>
      <w:lvlJc w:val="left"/>
      <w:pPr>
        <w:ind w:left="5310" w:hanging="360"/>
      </w:pPr>
    </w:lvl>
    <w:lvl w:ilvl="7">
      <w:start w:val="1"/>
      <w:numFmt w:val="lowerLetter"/>
      <w:lvlText w:val="%8."/>
      <w:lvlJc w:val="left"/>
      <w:pPr>
        <w:ind w:left="6030" w:hanging="360"/>
      </w:pPr>
    </w:lvl>
    <w:lvl w:ilvl="8">
      <w:start w:val="1"/>
      <w:numFmt w:val="lowerRoman"/>
      <w:lvlText w:val="%9."/>
      <w:lvlJc w:val="right"/>
      <w:pPr>
        <w:ind w:left="6750" w:hanging="180"/>
      </w:pPr>
    </w:lvl>
  </w:abstractNum>
  <w:abstractNum w:abstractNumId="16" w15:restartNumberingAfterBreak="0">
    <w:nsid w:val="3F4E51D9"/>
    <w:multiLevelType w:val="hybridMultilevel"/>
    <w:tmpl w:val="F392E0D6"/>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459944D3"/>
    <w:multiLevelType w:val="hybridMultilevel"/>
    <w:tmpl w:val="38B29038"/>
    <w:lvl w:ilvl="0" w:tplc="04090013">
      <w:start w:val="1"/>
      <w:numFmt w:val="upperRoman"/>
      <w:lvlText w:val="%1."/>
      <w:lvlJc w:val="righ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4F3FFC"/>
    <w:multiLevelType w:val="hybridMultilevel"/>
    <w:tmpl w:val="7CB6AF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BF5253"/>
    <w:multiLevelType w:val="multilevel"/>
    <w:tmpl w:val="6748CDE4"/>
    <w:lvl w:ilvl="0">
      <w:start w:val="1"/>
      <w:numFmt w:val="upperLetter"/>
      <w:lvlText w:val="%1."/>
      <w:lvlJc w:val="left"/>
      <w:pPr>
        <w:ind w:left="360" w:hanging="360"/>
      </w:pPr>
      <w:rPr>
        <w:rFonts w:hint="default"/>
      </w:rPr>
    </w:lvl>
    <w:lvl w:ilvl="1">
      <w:start w:val="1"/>
      <w:numFmt w:val="lowerLetter"/>
      <w:lvlText w:val="%2."/>
      <w:lvlJc w:val="left"/>
      <w:pPr>
        <w:ind w:left="1710" w:hanging="360"/>
      </w:pPr>
    </w:lvl>
    <w:lvl w:ilvl="2">
      <w:start w:val="1"/>
      <w:numFmt w:val="lowerRoman"/>
      <w:lvlText w:val="%3."/>
      <w:lvlJc w:val="right"/>
      <w:pPr>
        <w:ind w:left="2430" w:hanging="180"/>
      </w:pPr>
    </w:lvl>
    <w:lvl w:ilvl="3">
      <w:start w:val="1"/>
      <w:numFmt w:val="decimal"/>
      <w:lvlText w:val="%4."/>
      <w:lvlJc w:val="left"/>
      <w:pPr>
        <w:ind w:left="3150" w:hanging="360"/>
      </w:pPr>
    </w:lvl>
    <w:lvl w:ilvl="4">
      <w:start w:val="1"/>
      <w:numFmt w:val="lowerLetter"/>
      <w:lvlText w:val="%5."/>
      <w:lvlJc w:val="left"/>
      <w:pPr>
        <w:ind w:left="3870" w:hanging="360"/>
      </w:pPr>
    </w:lvl>
    <w:lvl w:ilvl="5">
      <w:start w:val="1"/>
      <w:numFmt w:val="lowerRoman"/>
      <w:lvlText w:val="%6."/>
      <w:lvlJc w:val="right"/>
      <w:pPr>
        <w:ind w:left="4590" w:hanging="180"/>
      </w:pPr>
    </w:lvl>
    <w:lvl w:ilvl="6">
      <w:start w:val="1"/>
      <w:numFmt w:val="decimal"/>
      <w:lvlText w:val="%7."/>
      <w:lvlJc w:val="left"/>
      <w:pPr>
        <w:ind w:left="5310" w:hanging="360"/>
      </w:pPr>
    </w:lvl>
    <w:lvl w:ilvl="7">
      <w:start w:val="1"/>
      <w:numFmt w:val="lowerLetter"/>
      <w:lvlText w:val="%8."/>
      <w:lvlJc w:val="left"/>
      <w:pPr>
        <w:ind w:left="6030" w:hanging="360"/>
      </w:pPr>
    </w:lvl>
    <w:lvl w:ilvl="8">
      <w:start w:val="1"/>
      <w:numFmt w:val="lowerRoman"/>
      <w:lvlText w:val="%9."/>
      <w:lvlJc w:val="right"/>
      <w:pPr>
        <w:ind w:left="6750" w:hanging="180"/>
      </w:pPr>
    </w:lvl>
  </w:abstractNum>
  <w:abstractNum w:abstractNumId="20" w15:restartNumberingAfterBreak="0">
    <w:nsid w:val="5D1C4BDD"/>
    <w:multiLevelType w:val="hybridMultilevel"/>
    <w:tmpl w:val="F88A5F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A42F16"/>
    <w:multiLevelType w:val="multilevel"/>
    <w:tmpl w:val="228E03E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08E6AC9"/>
    <w:multiLevelType w:val="hybridMultilevel"/>
    <w:tmpl w:val="9AFC3F0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1C804E3"/>
    <w:multiLevelType w:val="hybridMultilevel"/>
    <w:tmpl w:val="2D4C1D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BD1AE7"/>
    <w:multiLevelType w:val="multilevel"/>
    <w:tmpl w:val="AE1CE5A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D925473"/>
    <w:multiLevelType w:val="hybridMultilevel"/>
    <w:tmpl w:val="F26E1238"/>
    <w:lvl w:ilvl="0" w:tplc="5CFCB362">
      <w:start w:val="1"/>
      <w:numFmt w:val="decimal"/>
      <w:lvlText w:val="%1."/>
      <w:lvlJc w:val="left"/>
      <w:pPr>
        <w:ind w:left="360" w:hanging="360"/>
      </w:pPr>
      <w:rPr>
        <w:b/>
      </w:rPr>
    </w:lvl>
    <w:lvl w:ilvl="1" w:tplc="04090019">
      <w:start w:val="1"/>
      <w:numFmt w:val="lowerLetter"/>
      <w:lvlText w:val="%2."/>
      <w:lvlJc w:val="left"/>
      <w:pPr>
        <w:ind w:left="36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F5861B4"/>
    <w:multiLevelType w:val="hybridMultilevel"/>
    <w:tmpl w:val="C92AE68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4A7A03"/>
    <w:multiLevelType w:val="hybridMultilevel"/>
    <w:tmpl w:val="6748CDE4"/>
    <w:lvl w:ilvl="0" w:tplc="04090015">
      <w:start w:val="1"/>
      <w:numFmt w:val="upperLetter"/>
      <w:lvlText w:val="%1."/>
      <w:lvlJc w:val="left"/>
      <w:pPr>
        <w:ind w:left="36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8" w15:restartNumberingAfterBreak="0">
    <w:nsid w:val="766D14AE"/>
    <w:multiLevelType w:val="hybridMultilevel"/>
    <w:tmpl w:val="F574E42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AF41EF"/>
    <w:multiLevelType w:val="hybridMultilevel"/>
    <w:tmpl w:val="9482B2D6"/>
    <w:lvl w:ilvl="0" w:tplc="04090013">
      <w:start w:val="1"/>
      <w:numFmt w:val="upperRoman"/>
      <w:lvlText w:val="%1."/>
      <w:lvlJc w:val="right"/>
      <w:pPr>
        <w:ind w:left="900" w:hanging="18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5"/>
  </w:num>
  <w:num w:numId="2">
    <w:abstractNumId w:val="4"/>
  </w:num>
  <w:num w:numId="3">
    <w:abstractNumId w:val="12"/>
  </w:num>
  <w:num w:numId="4">
    <w:abstractNumId w:val="22"/>
  </w:num>
  <w:num w:numId="5">
    <w:abstractNumId w:val="0"/>
  </w:num>
  <w:num w:numId="6">
    <w:abstractNumId w:val="20"/>
  </w:num>
  <w:num w:numId="7">
    <w:abstractNumId w:val="5"/>
  </w:num>
  <w:num w:numId="8">
    <w:abstractNumId w:val="1"/>
  </w:num>
  <w:num w:numId="9">
    <w:abstractNumId w:val="26"/>
  </w:num>
  <w:num w:numId="10">
    <w:abstractNumId w:val="10"/>
  </w:num>
  <w:num w:numId="11">
    <w:abstractNumId w:val="18"/>
  </w:num>
  <w:num w:numId="12">
    <w:abstractNumId w:val="27"/>
  </w:num>
  <w:num w:numId="13">
    <w:abstractNumId w:val="17"/>
  </w:num>
  <w:num w:numId="14">
    <w:abstractNumId w:val="29"/>
  </w:num>
  <w:num w:numId="15">
    <w:abstractNumId w:val="23"/>
  </w:num>
  <w:num w:numId="16">
    <w:abstractNumId w:val="2"/>
  </w:num>
  <w:num w:numId="17">
    <w:abstractNumId w:val="21"/>
  </w:num>
  <w:num w:numId="18">
    <w:abstractNumId w:val="9"/>
  </w:num>
  <w:num w:numId="19">
    <w:abstractNumId w:val="7"/>
  </w:num>
  <w:num w:numId="20">
    <w:abstractNumId w:val="16"/>
  </w:num>
  <w:num w:numId="21">
    <w:abstractNumId w:val="8"/>
  </w:num>
  <w:num w:numId="22">
    <w:abstractNumId w:val="24"/>
  </w:num>
  <w:num w:numId="23">
    <w:abstractNumId w:val="14"/>
  </w:num>
  <w:num w:numId="24">
    <w:abstractNumId w:val="3"/>
  </w:num>
  <w:num w:numId="25">
    <w:abstractNumId w:val="13"/>
  </w:num>
  <w:num w:numId="26">
    <w:abstractNumId w:val="15"/>
  </w:num>
  <w:num w:numId="27">
    <w:abstractNumId w:val="6"/>
  </w:num>
  <w:num w:numId="28">
    <w:abstractNumId w:val="19"/>
  </w:num>
  <w:num w:numId="29">
    <w:abstractNumId w:val="28"/>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LU0MbcwMTIztDSysDBR0lEKTi0uzszPAykwrAUA8i0qjywAAAA="/>
  </w:docVars>
  <w:rsids>
    <w:rsidRoot w:val="00CA3AFB"/>
    <w:rsid w:val="00000B8C"/>
    <w:rsid w:val="0000291A"/>
    <w:rsid w:val="00002987"/>
    <w:rsid w:val="00007402"/>
    <w:rsid w:val="000079A3"/>
    <w:rsid w:val="0001282C"/>
    <w:rsid w:val="00012AA3"/>
    <w:rsid w:val="000204D1"/>
    <w:rsid w:val="00023F34"/>
    <w:rsid w:val="00024006"/>
    <w:rsid w:val="000263D9"/>
    <w:rsid w:val="00027414"/>
    <w:rsid w:val="000275FD"/>
    <w:rsid w:val="00032B8C"/>
    <w:rsid w:val="00032C63"/>
    <w:rsid w:val="00032EF4"/>
    <w:rsid w:val="00033AEF"/>
    <w:rsid w:val="0003413F"/>
    <w:rsid w:val="00034D66"/>
    <w:rsid w:val="00036269"/>
    <w:rsid w:val="00036CC4"/>
    <w:rsid w:val="0004237C"/>
    <w:rsid w:val="00042662"/>
    <w:rsid w:val="000457F3"/>
    <w:rsid w:val="00045DEA"/>
    <w:rsid w:val="0004687A"/>
    <w:rsid w:val="00046BBC"/>
    <w:rsid w:val="0004761A"/>
    <w:rsid w:val="00047C17"/>
    <w:rsid w:val="00051075"/>
    <w:rsid w:val="0006205B"/>
    <w:rsid w:val="00062174"/>
    <w:rsid w:val="000638CA"/>
    <w:rsid w:val="00063DD0"/>
    <w:rsid w:val="00064766"/>
    <w:rsid w:val="00065115"/>
    <w:rsid w:val="00065CEE"/>
    <w:rsid w:val="000664E7"/>
    <w:rsid w:val="00066617"/>
    <w:rsid w:val="00067334"/>
    <w:rsid w:val="00070728"/>
    <w:rsid w:val="000723A1"/>
    <w:rsid w:val="000732B6"/>
    <w:rsid w:val="00074B9B"/>
    <w:rsid w:val="00077A85"/>
    <w:rsid w:val="00077E63"/>
    <w:rsid w:val="00080FB2"/>
    <w:rsid w:val="00081048"/>
    <w:rsid w:val="0008204D"/>
    <w:rsid w:val="00083F51"/>
    <w:rsid w:val="000846BA"/>
    <w:rsid w:val="00085EDE"/>
    <w:rsid w:val="00087286"/>
    <w:rsid w:val="0008744F"/>
    <w:rsid w:val="0009065A"/>
    <w:rsid w:val="000908A9"/>
    <w:rsid w:val="000926E7"/>
    <w:rsid w:val="00092A7F"/>
    <w:rsid w:val="000939C3"/>
    <w:rsid w:val="0009475E"/>
    <w:rsid w:val="00095186"/>
    <w:rsid w:val="00096856"/>
    <w:rsid w:val="000A0F01"/>
    <w:rsid w:val="000A2BA7"/>
    <w:rsid w:val="000A2E95"/>
    <w:rsid w:val="000A3A17"/>
    <w:rsid w:val="000A3FF3"/>
    <w:rsid w:val="000A4489"/>
    <w:rsid w:val="000A493B"/>
    <w:rsid w:val="000A5298"/>
    <w:rsid w:val="000A5669"/>
    <w:rsid w:val="000A5F14"/>
    <w:rsid w:val="000A7935"/>
    <w:rsid w:val="000B0888"/>
    <w:rsid w:val="000B0FC7"/>
    <w:rsid w:val="000B16EB"/>
    <w:rsid w:val="000B1FEF"/>
    <w:rsid w:val="000B28B5"/>
    <w:rsid w:val="000B2FE7"/>
    <w:rsid w:val="000B42C6"/>
    <w:rsid w:val="000B4D38"/>
    <w:rsid w:val="000B6271"/>
    <w:rsid w:val="000B65F5"/>
    <w:rsid w:val="000B74C7"/>
    <w:rsid w:val="000B7937"/>
    <w:rsid w:val="000C0785"/>
    <w:rsid w:val="000C07D9"/>
    <w:rsid w:val="000C0882"/>
    <w:rsid w:val="000C0BFE"/>
    <w:rsid w:val="000C24EA"/>
    <w:rsid w:val="000C4237"/>
    <w:rsid w:val="000C45D5"/>
    <w:rsid w:val="000C571E"/>
    <w:rsid w:val="000C62E2"/>
    <w:rsid w:val="000D07D4"/>
    <w:rsid w:val="000D2B0D"/>
    <w:rsid w:val="000D2C7F"/>
    <w:rsid w:val="000D39AE"/>
    <w:rsid w:val="000D3F1C"/>
    <w:rsid w:val="000D6327"/>
    <w:rsid w:val="000D6418"/>
    <w:rsid w:val="000D7921"/>
    <w:rsid w:val="000E14FE"/>
    <w:rsid w:val="000E19D3"/>
    <w:rsid w:val="000E4F27"/>
    <w:rsid w:val="000E6F4F"/>
    <w:rsid w:val="000F00E5"/>
    <w:rsid w:val="000F0339"/>
    <w:rsid w:val="000F4212"/>
    <w:rsid w:val="000F48F1"/>
    <w:rsid w:val="000F4FF4"/>
    <w:rsid w:val="000F7DBD"/>
    <w:rsid w:val="00106E01"/>
    <w:rsid w:val="00114E8F"/>
    <w:rsid w:val="00115667"/>
    <w:rsid w:val="00121171"/>
    <w:rsid w:val="001219BF"/>
    <w:rsid w:val="00121A17"/>
    <w:rsid w:val="001234FE"/>
    <w:rsid w:val="00130D6D"/>
    <w:rsid w:val="0013327D"/>
    <w:rsid w:val="001333C1"/>
    <w:rsid w:val="001334D8"/>
    <w:rsid w:val="001357FF"/>
    <w:rsid w:val="001359D8"/>
    <w:rsid w:val="00136303"/>
    <w:rsid w:val="00136F22"/>
    <w:rsid w:val="00140FF4"/>
    <w:rsid w:val="00141325"/>
    <w:rsid w:val="0014364C"/>
    <w:rsid w:val="00144C86"/>
    <w:rsid w:val="0014658D"/>
    <w:rsid w:val="0014748E"/>
    <w:rsid w:val="0014784B"/>
    <w:rsid w:val="00147E60"/>
    <w:rsid w:val="00150A57"/>
    <w:rsid w:val="00152B04"/>
    <w:rsid w:val="00154733"/>
    <w:rsid w:val="001567E1"/>
    <w:rsid w:val="00156A1D"/>
    <w:rsid w:val="00161217"/>
    <w:rsid w:val="0016192E"/>
    <w:rsid w:val="00161C39"/>
    <w:rsid w:val="001628DE"/>
    <w:rsid w:val="00164FFB"/>
    <w:rsid w:val="00165F2E"/>
    <w:rsid w:val="0016695D"/>
    <w:rsid w:val="00167FB2"/>
    <w:rsid w:val="00170B86"/>
    <w:rsid w:val="001713F3"/>
    <w:rsid w:val="0017250B"/>
    <w:rsid w:val="00175248"/>
    <w:rsid w:val="001765DA"/>
    <w:rsid w:val="00176E1F"/>
    <w:rsid w:val="0018176D"/>
    <w:rsid w:val="00182B5B"/>
    <w:rsid w:val="001830DA"/>
    <w:rsid w:val="001848C6"/>
    <w:rsid w:val="001851B6"/>
    <w:rsid w:val="0018703B"/>
    <w:rsid w:val="0018707B"/>
    <w:rsid w:val="00191FF1"/>
    <w:rsid w:val="001A07B8"/>
    <w:rsid w:val="001A0E09"/>
    <w:rsid w:val="001A11D9"/>
    <w:rsid w:val="001A1615"/>
    <w:rsid w:val="001A2502"/>
    <w:rsid w:val="001A37C2"/>
    <w:rsid w:val="001A5E22"/>
    <w:rsid w:val="001A77FD"/>
    <w:rsid w:val="001B1C53"/>
    <w:rsid w:val="001B1E23"/>
    <w:rsid w:val="001B2057"/>
    <w:rsid w:val="001B35FE"/>
    <w:rsid w:val="001B3721"/>
    <w:rsid w:val="001B52AD"/>
    <w:rsid w:val="001B5463"/>
    <w:rsid w:val="001B54F6"/>
    <w:rsid w:val="001C0478"/>
    <w:rsid w:val="001C0B5E"/>
    <w:rsid w:val="001C0CCD"/>
    <w:rsid w:val="001C1131"/>
    <w:rsid w:val="001C458A"/>
    <w:rsid w:val="001C47E1"/>
    <w:rsid w:val="001C57B2"/>
    <w:rsid w:val="001C5976"/>
    <w:rsid w:val="001C6349"/>
    <w:rsid w:val="001C6929"/>
    <w:rsid w:val="001C71E6"/>
    <w:rsid w:val="001D1347"/>
    <w:rsid w:val="001D2508"/>
    <w:rsid w:val="001D4B94"/>
    <w:rsid w:val="001D6728"/>
    <w:rsid w:val="001E0302"/>
    <w:rsid w:val="001E03B0"/>
    <w:rsid w:val="001E09A2"/>
    <w:rsid w:val="001E0F49"/>
    <w:rsid w:val="001E2D7F"/>
    <w:rsid w:val="001E31F7"/>
    <w:rsid w:val="001E41CD"/>
    <w:rsid w:val="001E4D1B"/>
    <w:rsid w:val="001E6A81"/>
    <w:rsid w:val="001E7394"/>
    <w:rsid w:val="001E75F9"/>
    <w:rsid w:val="001F0231"/>
    <w:rsid w:val="001F0C8A"/>
    <w:rsid w:val="001F1720"/>
    <w:rsid w:val="001F2BBF"/>
    <w:rsid w:val="001F2DB3"/>
    <w:rsid w:val="001F406C"/>
    <w:rsid w:val="001F46FC"/>
    <w:rsid w:val="001F4A88"/>
    <w:rsid w:val="001F5BC8"/>
    <w:rsid w:val="001F64D1"/>
    <w:rsid w:val="001F6AC1"/>
    <w:rsid w:val="0020005B"/>
    <w:rsid w:val="00202500"/>
    <w:rsid w:val="0020297A"/>
    <w:rsid w:val="00203303"/>
    <w:rsid w:val="00207675"/>
    <w:rsid w:val="00211684"/>
    <w:rsid w:val="00211691"/>
    <w:rsid w:val="00211751"/>
    <w:rsid w:val="00213AC3"/>
    <w:rsid w:val="002160C5"/>
    <w:rsid w:val="002168C4"/>
    <w:rsid w:val="00220E10"/>
    <w:rsid w:val="002211BD"/>
    <w:rsid w:val="002250A3"/>
    <w:rsid w:val="00226065"/>
    <w:rsid w:val="0022618E"/>
    <w:rsid w:val="002265F5"/>
    <w:rsid w:val="00226A7A"/>
    <w:rsid w:val="002272B3"/>
    <w:rsid w:val="00235206"/>
    <w:rsid w:val="00235510"/>
    <w:rsid w:val="00235E19"/>
    <w:rsid w:val="00236772"/>
    <w:rsid w:val="0023720A"/>
    <w:rsid w:val="00237B7E"/>
    <w:rsid w:val="00240019"/>
    <w:rsid w:val="002408A6"/>
    <w:rsid w:val="0024271F"/>
    <w:rsid w:val="00244B26"/>
    <w:rsid w:val="00245A1E"/>
    <w:rsid w:val="002508AD"/>
    <w:rsid w:val="00251B57"/>
    <w:rsid w:val="00253522"/>
    <w:rsid w:val="002541F0"/>
    <w:rsid w:val="002544C4"/>
    <w:rsid w:val="00255DD1"/>
    <w:rsid w:val="00256033"/>
    <w:rsid w:val="002560FE"/>
    <w:rsid w:val="00256282"/>
    <w:rsid w:val="002572AA"/>
    <w:rsid w:val="002604F0"/>
    <w:rsid w:val="002619F7"/>
    <w:rsid w:val="00263CBF"/>
    <w:rsid w:val="00263DF7"/>
    <w:rsid w:val="002641D4"/>
    <w:rsid w:val="00264ED1"/>
    <w:rsid w:val="00264EED"/>
    <w:rsid w:val="0026548A"/>
    <w:rsid w:val="002656BD"/>
    <w:rsid w:val="00266359"/>
    <w:rsid w:val="00266CEE"/>
    <w:rsid w:val="0026756D"/>
    <w:rsid w:val="002713FE"/>
    <w:rsid w:val="0027369E"/>
    <w:rsid w:val="00273C0A"/>
    <w:rsid w:val="00274B62"/>
    <w:rsid w:val="0027663F"/>
    <w:rsid w:val="00276663"/>
    <w:rsid w:val="00280656"/>
    <w:rsid w:val="002811E3"/>
    <w:rsid w:val="0028149A"/>
    <w:rsid w:val="00282838"/>
    <w:rsid w:val="002828E5"/>
    <w:rsid w:val="002868AF"/>
    <w:rsid w:val="002874EF"/>
    <w:rsid w:val="00290176"/>
    <w:rsid w:val="00292B42"/>
    <w:rsid w:val="00292D13"/>
    <w:rsid w:val="00292DAC"/>
    <w:rsid w:val="0029449C"/>
    <w:rsid w:val="00294735"/>
    <w:rsid w:val="00295547"/>
    <w:rsid w:val="00295DFF"/>
    <w:rsid w:val="002A0F4A"/>
    <w:rsid w:val="002A102F"/>
    <w:rsid w:val="002A445B"/>
    <w:rsid w:val="002A5A58"/>
    <w:rsid w:val="002A5D78"/>
    <w:rsid w:val="002A5EDA"/>
    <w:rsid w:val="002A70D0"/>
    <w:rsid w:val="002B06CE"/>
    <w:rsid w:val="002B4C0F"/>
    <w:rsid w:val="002B4C3E"/>
    <w:rsid w:val="002B51B9"/>
    <w:rsid w:val="002B6ED4"/>
    <w:rsid w:val="002B6F78"/>
    <w:rsid w:val="002B72BA"/>
    <w:rsid w:val="002C02D2"/>
    <w:rsid w:val="002C0B14"/>
    <w:rsid w:val="002C1140"/>
    <w:rsid w:val="002C14E3"/>
    <w:rsid w:val="002C3AF8"/>
    <w:rsid w:val="002C41EB"/>
    <w:rsid w:val="002C4B37"/>
    <w:rsid w:val="002C67EE"/>
    <w:rsid w:val="002C6882"/>
    <w:rsid w:val="002C79C3"/>
    <w:rsid w:val="002D008C"/>
    <w:rsid w:val="002D029D"/>
    <w:rsid w:val="002D22E3"/>
    <w:rsid w:val="002D246D"/>
    <w:rsid w:val="002D3233"/>
    <w:rsid w:val="002D378B"/>
    <w:rsid w:val="002D487E"/>
    <w:rsid w:val="002D5D72"/>
    <w:rsid w:val="002D7B29"/>
    <w:rsid w:val="002E1B3C"/>
    <w:rsid w:val="002E1D70"/>
    <w:rsid w:val="002E2039"/>
    <w:rsid w:val="002E25F7"/>
    <w:rsid w:val="002E38CF"/>
    <w:rsid w:val="002E4589"/>
    <w:rsid w:val="002E56F9"/>
    <w:rsid w:val="002E5751"/>
    <w:rsid w:val="002E6C3F"/>
    <w:rsid w:val="002E6CCA"/>
    <w:rsid w:val="002E72F6"/>
    <w:rsid w:val="002E783B"/>
    <w:rsid w:val="002F03CE"/>
    <w:rsid w:val="002F05BC"/>
    <w:rsid w:val="002F1E5B"/>
    <w:rsid w:val="002F27FC"/>
    <w:rsid w:val="002F29E9"/>
    <w:rsid w:val="002F2CDF"/>
    <w:rsid w:val="002F5819"/>
    <w:rsid w:val="002F72B5"/>
    <w:rsid w:val="002F7DE7"/>
    <w:rsid w:val="0030007B"/>
    <w:rsid w:val="003005AE"/>
    <w:rsid w:val="0030072C"/>
    <w:rsid w:val="003012EC"/>
    <w:rsid w:val="00302BA0"/>
    <w:rsid w:val="00303834"/>
    <w:rsid w:val="0030628E"/>
    <w:rsid w:val="00306872"/>
    <w:rsid w:val="00307119"/>
    <w:rsid w:val="00307297"/>
    <w:rsid w:val="00307343"/>
    <w:rsid w:val="003078E5"/>
    <w:rsid w:val="00310D7A"/>
    <w:rsid w:val="00313137"/>
    <w:rsid w:val="003132B6"/>
    <w:rsid w:val="00314E50"/>
    <w:rsid w:val="00315304"/>
    <w:rsid w:val="00315A8A"/>
    <w:rsid w:val="003163C6"/>
    <w:rsid w:val="003178B4"/>
    <w:rsid w:val="00317F70"/>
    <w:rsid w:val="0032061D"/>
    <w:rsid w:val="00320709"/>
    <w:rsid w:val="003209B2"/>
    <w:rsid w:val="00320FF8"/>
    <w:rsid w:val="00322538"/>
    <w:rsid w:val="00322C32"/>
    <w:rsid w:val="00322FE0"/>
    <w:rsid w:val="00324723"/>
    <w:rsid w:val="00324816"/>
    <w:rsid w:val="00324A61"/>
    <w:rsid w:val="00325D1B"/>
    <w:rsid w:val="00327D25"/>
    <w:rsid w:val="00334A85"/>
    <w:rsid w:val="0033533F"/>
    <w:rsid w:val="003379F1"/>
    <w:rsid w:val="00340787"/>
    <w:rsid w:val="003408F4"/>
    <w:rsid w:val="00340943"/>
    <w:rsid w:val="00341FA8"/>
    <w:rsid w:val="00342C3A"/>
    <w:rsid w:val="00344166"/>
    <w:rsid w:val="003470B7"/>
    <w:rsid w:val="00347578"/>
    <w:rsid w:val="00347F7F"/>
    <w:rsid w:val="00350965"/>
    <w:rsid w:val="00350C19"/>
    <w:rsid w:val="003511B6"/>
    <w:rsid w:val="003513EC"/>
    <w:rsid w:val="00351A03"/>
    <w:rsid w:val="00351AB6"/>
    <w:rsid w:val="003521B2"/>
    <w:rsid w:val="003528D7"/>
    <w:rsid w:val="00353A23"/>
    <w:rsid w:val="00354171"/>
    <w:rsid w:val="00354B81"/>
    <w:rsid w:val="00356137"/>
    <w:rsid w:val="00356BC8"/>
    <w:rsid w:val="003601C3"/>
    <w:rsid w:val="00360F3D"/>
    <w:rsid w:val="00361FC7"/>
    <w:rsid w:val="00362F40"/>
    <w:rsid w:val="00363A35"/>
    <w:rsid w:val="00364023"/>
    <w:rsid w:val="003661EA"/>
    <w:rsid w:val="00366695"/>
    <w:rsid w:val="00366700"/>
    <w:rsid w:val="003670C6"/>
    <w:rsid w:val="00367705"/>
    <w:rsid w:val="00370D2B"/>
    <w:rsid w:val="00371408"/>
    <w:rsid w:val="00371A79"/>
    <w:rsid w:val="00371DD7"/>
    <w:rsid w:val="003723B5"/>
    <w:rsid w:val="00374960"/>
    <w:rsid w:val="00377F84"/>
    <w:rsid w:val="0038007D"/>
    <w:rsid w:val="00380DAF"/>
    <w:rsid w:val="00382B62"/>
    <w:rsid w:val="003833DF"/>
    <w:rsid w:val="0038460A"/>
    <w:rsid w:val="00385694"/>
    <w:rsid w:val="0038572F"/>
    <w:rsid w:val="00385BEC"/>
    <w:rsid w:val="0038769F"/>
    <w:rsid w:val="0039083E"/>
    <w:rsid w:val="003909DD"/>
    <w:rsid w:val="00390AD3"/>
    <w:rsid w:val="0039195B"/>
    <w:rsid w:val="00391A0F"/>
    <w:rsid w:val="003920C5"/>
    <w:rsid w:val="0039637B"/>
    <w:rsid w:val="00397E68"/>
    <w:rsid w:val="00397E8F"/>
    <w:rsid w:val="00397EDE"/>
    <w:rsid w:val="003A099F"/>
    <w:rsid w:val="003A1F36"/>
    <w:rsid w:val="003A1F6D"/>
    <w:rsid w:val="003A2294"/>
    <w:rsid w:val="003A2382"/>
    <w:rsid w:val="003A2DB5"/>
    <w:rsid w:val="003A316E"/>
    <w:rsid w:val="003A31D8"/>
    <w:rsid w:val="003A3A23"/>
    <w:rsid w:val="003A7022"/>
    <w:rsid w:val="003A7977"/>
    <w:rsid w:val="003A7E18"/>
    <w:rsid w:val="003B1B4F"/>
    <w:rsid w:val="003B2BF4"/>
    <w:rsid w:val="003B2C94"/>
    <w:rsid w:val="003B3437"/>
    <w:rsid w:val="003B6683"/>
    <w:rsid w:val="003C19CA"/>
    <w:rsid w:val="003C27FF"/>
    <w:rsid w:val="003C3476"/>
    <w:rsid w:val="003C3839"/>
    <w:rsid w:val="003C3EBB"/>
    <w:rsid w:val="003C4817"/>
    <w:rsid w:val="003C567D"/>
    <w:rsid w:val="003C7E11"/>
    <w:rsid w:val="003D1097"/>
    <w:rsid w:val="003D23D5"/>
    <w:rsid w:val="003D2DED"/>
    <w:rsid w:val="003D3ED9"/>
    <w:rsid w:val="003D4688"/>
    <w:rsid w:val="003D49EB"/>
    <w:rsid w:val="003D4EE4"/>
    <w:rsid w:val="003D542E"/>
    <w:rsid w:val="003D6554"/>
    <w:rsid w:val="003D6C7A"/>
    <w:rsid w:val="003E21A2"/>
    <w:rsid w:val="003E4694"/>
    <w:rsid w:val="003E4D34"/>
    <w:rsid w:val="003E6846"/>
    <w:rsid w:val="003F1159"/>
    <w:rsid w:val="003F132A"/>
    <w:rsid w:val="003F2200"/>
    <w:rsid w:val="003F396C"/>
    <w:rsid w:val="003F4064"/>
    <w:rsid w:val="003F467F"/>
    <w:rsid w:val="003F4CAA"/>
    <w:rsid w:val="003F5BAA"/>
    <w:rsid w:val="00401961"/>
    <w:rsid w:val="004040EA"/>
    <w:rsid w:val="00404294"/>
    <w:rsid w:val="00404771"/>
    <w:rsid w:val="004049D2"/>
    <w:rsid w:val="0040542D"/>
    <w:rsid w:val="004058AA"/>
    <w:rsid w:val="00405F4E"/>
    <w:rsid w:val="00407821"/>
    <w:rsid w:val="004100F1"/>
    <w:rsid w:val="00411322"/>
    <w:rsid w:val="00411781"/>
    <w:rsid w:val="00412950"/>
    <w:rsid w:val="00412D9C"/>
    <w:rsid w:val="00414C30"/>
    <w:rsid w:val="004163BF"/>
    <w:rsid w:val="00416FB8"/>
    <w:rsid w:val="004215FF"/>
    <w:rsid w:val="004223CF"/>
    <w:rsid w:val="00423F1A"/>
    <w:rsid w:val="00424CA8"/>
    <w:rsid w:val="00425A9E"/>
    <w:rsid w:val="00425D4E"/>
    <w:rsid w:val="00434F8B"/>
    <w:rsid w:val="00435041"/>
    <w:rsid w:val="00435275"/>
    <w:rsid w:val="00435C19"/>
    <w:rsid w:val="004377DA"/>
    <w:rsid w:val="00437A73"/>
    <w:rsid w:val="00440024"/>
    <w:rsid w:val="00440F16"/>
    <w:rsid w:val="0044169C"/>
    <w:rsid w:val="004423E0"/>
    <w:rsid w:val="0044387D"/>
    <w:rsid w:val="004455DA"/>
    <w:rsid w:val="00451B4D"/>
    <w:rsid w:val="00451F1A"/>
    <w:rsid w:val="00451F2A"/>
    <w:rsid w:val="00452F71"/>
    <w:rsid w:val="0045328B"/>
    <w:rsid w:val="00455FD6"/>
    <w:rsid w:val="004579D1"/>
    <w:rsid w:val="0046126C"/>
    <w:rsid w:val="0046130B"/>
    <w:rsid w:val="00461BB3"/>
    <w:rsid w:val="00462D56"/>
    <w:rsid w:val="00464ACA"/>
    <w:rsid w:val="00464D62"/>
    <w:rsid w:val="00465EA7"/>
    <w:rsid w:val="00466CBD"/>
    <w:rsid w:val="004729E1"/>
    <w:rsid w:val="00473690"/>
    <w:rsid w:val="0047396B"/>
    <w:rsid w:val="004752FE"/>
    <w:rsid w:val="00475B49"/>
    <w:rsid w:val="0047673F"/>
    <w:rsid w:val="004800D1"/>
    <w:rsid w:val="004801B7"/>
    <w:rsid w:val="00480855"/>
    <w:rsid w:val="0048119A"/>
    <w:rsid w:val="00484AB7"/>
    <w:rsid w:val="00485435"/>
    <w:rsid w:val="00486505"/>
    <w:rsid w:val="00486FF7"/>
    <w:rsid w:val="00487AD8"/>
    <w:rsid w:val="00487F60"/>
    <w:rsid w:val="004901F6"/>
    <w:rsid w:val="004904AE"/>
    <w:rsid w:val="00490FD5"/>
    <w:rsid w:val="00491650"/>
    <w:rsid w:val="00497DD0"/>
    <w:rsid w:val="004A209D"/>
    <w:rsid w:val="004A7913"/>
    <w:rsid w:val="004A7CF6"/>
    <w:rsid w:val="004B2FC6"/>
    <w:rsid w:val="004B424D"/>
    <w:rsid w:val="004B4F7C"/>
    <w:rsid w:val="004B5CE9"/>
    <w:rsid w:val="004B6A5C"/>
    <w:rsid w:val="004B6FA3"/>
    <w:rsid w:val="004C0079"/>
    <w:rsid w:val="004C23F1"/>
    <w:rsid w:val="004C3725"/>
    <w:rsid w:val="004C4016"/>
    <w:rsid w:val="004C5220"/>
    <w:rsid w:val="004C6874"/>
    <w:rsid w:val="004C7FE6"/>
    <w:rsid w:val="004D0BDE"/>
    <w:rsid w:val="004D1A93"/>
    <w:rsid w:val="004D23F7"/>
    <w:rsid w:val="004D74C4"/>
    <w:rsid w:val="004E3C14"/>
    <w:rsid w:val="004E4BEF"/>
    <w:rsid w:val="004E50DC"/>
    <w:rsid w:val="004E5817"/>
    <w:rsid w:val="004E5B05"/>
    <w:rsid w:val="004E5D77"/>
    <w:rsid w:val="004F1597"/>
    <w:rsid w:val="004F25CB"/>
    <w:rsid w:val="004F4A6C"/>
    <w:rsid w:val="004F6384"/>
    <w:rsid w:val="00500084"/>
    <w:rsid w:val="00500117"/>
    <w:rsid w:val="00500C61"/>
    <w:rsid w:val="00503088"/>
    <w:rsid w:val="00503972"/>
    <w:rsid w:val="00504F8C"/>
    <w:rsid w:val="005076AB"/>
    <w:rsid w:val="005106B3"/>
    <w:rsid w:val="0051085F"/>
    <w:rsid w:val="00510A39"/>
    <w:rsid w:val="005123ED"/>
    <w:rsid w:val="00513117"/>
    <w:rsid w:val="00514527"/>
    <w:rsid w:val="0051638F"/>
    <w:rsid w:val="005231F4"/>
    <w:rsid w:val="0052324F"/>
    <w:rsid w:val="00523837"/>
    <w:rsid w:val="00524413"/>
    <w:rsid w:val="005248E4"/>
    <w:rsid w:val="00524EE9"/>
    <w:rsid w:val="00526436"/>
    <w:rsid w:val="00527745"/>
    <w:rsid w:val="00531ABF"/>
    <w:rsid w:val="00531AE0"/>
    <w:rsid w:val="00532434"/>
    <w:rsid w:val="00532588"/>
    <w:rsid w:val="00533469"/>
    <w:rsid w:val="005334A7"/>
    <w:rsid w:val="00537540"/>
    <w:rsid w:val="00537807"/>
    <w:rsid w:val="00541E39"/>
    <w:rsid w:val="005451FB"/>
    <w:rsid w:val="005459AA"/>
    <w:rsid w:val="005464F9"/>
    <w:rsid w:val="00550DC6"/>
    <w:rsid w:val="005528F2"/>
    <w:rsid w:val="005534F4"/>
    <w:rsid w:val="00553AC6"/>
    <w:rsid w:val="00561C73"/>
    <w:rsid w:val="0056202C"/>
    <w:rsid w:val="00562062"/>
    <w:rsid w:val="00563BB6"/>
    <w:rsid w:val="0056569F"/>
    <w:rsid w:val="00565871"/>
    <w:rsid w:val="00567B36"/>
    <w:rsid w:val="00570836"/>
    <w:rsid w:val="00574504"/>
    <w:rsid w:val="00574EE1"/>
    <w:rsid w:val="00575F80"/>
    <w:rsid w:val="0057670C"/>
    <w:rsid w:val="00577510"/>
    <w:rsid w:val="00577690"/>
    <w:rsid w:val="00580641"/>
    <w:rsid w:val="005814D2"/>
    <w:rsid w:val="005827BD"/>
    <w:rsid w:val="00582982"/>
    <w:rsid w:val="0058578D"/>
    <w:rsid w:val="00586091"/>
    <w:rsid w:val="00586FD2"/>
    <w:rsid w:val="005901B5"/>
    <w:rsid w:val="00590388"/>
    <w:rsid w:val="00590856"/>
    <w:rsid w:val="00593570"/>
    <w:rsid w:val="0059364E"/>
    <w:rsid w:val="005951F5"/>
    <w:rsid w:val="00596E29"/>
    <w:rsid w:val="00597D39"/>
    <w:rsid w:val="005A0866"/>
    <w:rsid w:val="005A20F6"/>
    <w:rsid w:val="005A245E"/>
    <w:rsid w:val="005A374B"/>
    <w:rsid w:val="005A3C19"/>
    <w:rsid w:val="005A43D7"/>
    <w:rsid w:val="005A5611"/>
    <w:rsid w:val="005A7C02"/>
    <w:rsid w:val="005A7CC0"/>
    <w:rsid w:val="005B0CDC"/>
    <w:rsid w:val="005B132B"/>
    <w:rsid w:val="005B4B85"/>
    <w:rsid w:val="005B5FA7"/>
    <w:rsid w:val="005B6DCB"/>
    <w:rsid w:val="005C0092"/>
    <w:rsid w:val="005C08CF"/>
    <w:rsid w:val="005C2FDF"/>
    <w:rsid w:val="005C3983"/>
    <w:rsid w:val="005C6416"/>
    <w:rsid w:val="005C68B5"/>
    <w:rsid w:val="005C69C3"/>
    <w:rsid w:val="005C6EBE"/>
    <w:rsid w:val="005C7789"/>
    <w:rsid w:val="005C7F58"/>
    <w:rsid w:val="005D34E7"/>
    <w:rsid w:val="005D55F6"/>
    <w:rsid w:val="005D6493"/>
    <w:rsid w:val="005D733D"/>
    <w:rsid w:val="005D7945"/>
    <w:rsid w:val="005E1197"/>
    <w:rsid w:val="005E5E25"/>
    <w:rsid w:val="005E5F6E"/>
    <w:rsid w:val="005E6796"/>
    <w:rsid w:val="005E7045"/>
    <w:rsid w:val="005F3294"/>
    <w:rsid w:val="005F3602"/>
    <w:rsid w:val="005F4133"/>
    <w:rsid w:val="005F60FC"/>
    <w:rsid w:val="005F6C7C"/>
    <w:rsid w:val="005F7C28"/>
    <w:rsid w:val="00604349"/>
    <w:rsid w:val="00604562"/>
    <w:rsid w:val="00604574"/>
    <w:rsid w:val="0060464A"/>
    <w:rsid w:val="00606DF8"/>
    <w:rsid w:val="006077AE"/>
    <w:rsid w:val="0061141C"/>
    <w:rsid w:val="00612784"/>
    <w:rsid w:val="006149B9"/>
    <w:rsid w:val="00614D9A"/>
    <w:rsid w:val="00615B7B"/>
    <w:rsid w:val="00617059"/>
    <w:rsid w:val="00617247"/>
    <w:rsid w:val="00620133"/>
    <w:rsid w:val="00620205"/>
    <w:rsid w:val="00620E37"/>
    <w:rsid w:val="006212D5"/>
    <w:rsid w:val="006219E7"/>
    <w:rsid w:val="00623DA0"/>
    <w:rsid w:val="00624B0E"/>
    <w:rsid w:val="0063057C"/>
    <w:rsid w:val="006312D7"/>
    <w:rsid w:val="006328EB"/>
    <w:rsid w:val="00632E2C"/>
    <w:rsid w:val="00633A0F"/>
    <w:rsid w:val="00634958"/>
    <w:rsid w:val="006428B3"/>
    <w:rsid w:val="00644321"/>
    <w:rsid w:val="00646C45"/>
    <w:rsid w:val="00650561"/>
    <w:rsid w:val="00652127"/>
    <w:rsid w:val="006523E7"/>
    <w:rsid w:val="00653D96"/>
    <w:rsid w:val="00654D40"/>
    <w:rsid w:val="00656C9B"/>
    <w:rsid w:val="006575FD"/>
    <w:rsid w:val="006616A5"/>
    <w:rsid w:val="00662638"/>
    <w:rsid w:val="006634DE"/>
    <w:rsid w:val="00663AC8"/>
    <w:rsid w:val="00664B50"/>
    <w:rsid w:val="00665550"/>
    <w:rsid w:val="00665E3E"/>
    <w:rsid w:val="006707EC"/>
    <w:rsid w:val="00670BFE"/>
    <w:rsid w:val="00671327"/>
    <w:rsid w:val="00672F0A"/>
    <w:rsid w:val="00673839"/>
    <w:rsid w:val="006769CD"/>
    <w:rsid w:val="00683F2C"/>
    <w:rsid w:val="0068507D"/>
    <w:rsid w:val="00685499"/>
    <w:rsid w:val="00685C9F"/>
    <w:rsid w:val="00685F13"/>
    <w:rsid w:val="00686D66"/>
    <w:rsid w:val="00686DB2"/>
    <w:rsid w:val="006908EF"/>
    <w:rsid w:val="0069114B"/>
    <w:rsid w:val="00691878"/>
    <w:rsid w:val="00691959"/>
    <w:rsid w:val="006940D3"/>
    <w:rsid w:val="00695762"/>
    <w:rsid w:val="0069579B"/>
    <w:rsid w:val="00697B48"/>
    <w:rsid w:val="006A0CE0"/>
    <w:rsid w:val="006A32CA"/>
    <w:rsid w:val="006A5EA8"/>
    <w:rsid w:val="006A63D7"/>
    <w:rsid w:val="006A6967"/>
    <w:rsid w:val="006A6A3A"/>
    <w:rsid w:val="006A6A44"/>
    <w:rsid w:val="006A6CBC"/>
    <w:rsid w:val="006A71CA"/>
    <w:rsid w:val="006A773B"/>
    <w:rsid w:val="006B0B55"/>
    <w:rsid w:val="006B2131"/>
    <w:rsid w:val="006B291B"/>
    <w:rsid w:val="006B2CD8"/>
    <w:rsid w:val="006B2D18"/>
    <w:rsid w:val="006B3495"/>
    <w:rsid w:val="006B480B"/>
    <w:rsid w:val="006B4A72"/>
    <w:rsid w:val="006B5792"/>
    <w:rsid w:val="006C1DB0"/>
    <w:rsid w:val="006C309B"/>
    <w:rsid w:val="006C3EDD"/>
    <w:rsid w:val="006C4CB5"/>
    <w:rsid w:val="006C5846"/>
    <w:rsid w:val="006C5B50"/>
    <w:rsid w:val="006C72A2"/>
    <w:rsid w:val="006D151C"/>
    <w:rsid w:val="006D4362"/>
    <w:rsid w:val="006D44E3"/>
    <w:rsid w:val="006D60A0"/>
    <w:rsid w:val="006D655B"/>
    <w:rsid w:val="006D66D5"/>
    <w:rsid w:val="006D69DB"/>
    <w:rsid w:val="006D6B65"/>
    <w:rsid w:val="006E0CAA"/>
    <w:rsid w:val="006E1730"/>
    <w:rsid w:val="006E1761"/>
    <w:rsid w:val="006E26A1"/>
    <w:rsid w:val="006E301C"/>
    <w:rsid w:val="006E34C8"/>
    <w:rsid w:val="006E3B7B"/>
    <w:rsid w:val="006E4FD2"/>
    <w:rsid w:val="006E7202"/>
    <w:rsid w:val="006E7409"/>
    <w:rsid w:val="006E7482"/>
    <w:rsid w:val="006E7BA1"/>
    <w:rsid w:val="006E7ED5"/>
    <w:rsid w:val="006F1D05"/>
    <w:rsid w:val="007000A1"/>
    <w:rsid w:val="007078C9"/>
    <w:rsid w:val="00710244"/>
    <w:rsid w:val="00710972"/>
    <w:rsid w:val="007134A1"/>
    <w:rsid w:val="007136CA"/>
    <w:rsid w:val="00714C6D"/>
    <w:rsid w:val="00715942"/>
    <w:rsid w:val="00717692"/>
    <w:rsid w:val="00717C42"/>
    <w:rsid w:val="00717D01"/>
    <w:rsid w:val="007213DA"/>
    <w:rsid w:val="00730E57"/>
    <w:rsid w:val="0073135A"/>
    <w:rsid w:val="00732066"/>
    <w:rsid w:val="00732667"/>
    <w:rsid w:val="0073324A"/>
    <w:rsid w:val="0073327A"/>
    <w:rsid w:val="007358A1"/>
    <w:rsid w:val="00736CE1"/>
    <w:rsid w:val="00737810"/>
    <w:rsid w:val="00741AE4"/>
    <w:rsid w:val="0074273D"/>
    <w:rsid w:val="007434DE"/>
    <w:rsid w:val="00744301"/>
    <w:rsid w:val="00745001"/>
    <w:rsid w:val="00745760"/>
    <w:rsid w:val="007461BE"/>
    <w:rsid w:val="007463F5"/>
    <w:rsid w:val="007472E1"/>
    <w:rsid w:val="00747EF6"/>
    <w:rsid w:val="007501AA"/>
    <w:rsid w:val="007505B8"/>
    <w:rsid w:val="00750B87"/>
    <w:rsid w:val="00753A34"/>
    <w:rsid w:val="00753E40"/>
    <w:rsid w:val="00754D15"/>
    <w:rsid w:val="00754E05"/>
    <w:rsid w:val="007552A4"/>
    <w:rsid w:val="00761372"/>
    <w:rsid w:val="007625B5"/>
    <w:rsid w:val="007626CD"/>
    <w:rsid w:val="00764369"/>
    <w:rsid w:val="007647DD"/>
    <w:rsid w:val="00766ED0"/>
    <w:rsid w:val="00767A45"/>
    <w:rsid w:val="007702B9"/>
    <w:rsid w:val="00771523"/>
    <w:rsid w:val="00773AE1"/>
    <w:rsid w:val="00776FC3"/>
    <w:rsid w:val="007779E8"/>
    <w:rsid w:val="0078069D"/>
    <w:rsid w:val="007823FF"/>
    <w:rsid w:val="00782E6D"/>
    <w:rsid w:val="007857AA"/>
    <w:rsid w:val="00786248"/>
    <w:rsid w:val="00786C2F"/>
    <w:rsid w:val="00787873"/>
    <w:rsid w:val="00791021"/>
    <w:rsid w:val="007958DE"/>
    <w:rsid w:val="007959DE"/>
    <w:rsid w:val="007976D9"/>
    <w:rsid w:val="007978E3"/>
    <w:rsid w:val="00797E60"/>
    <w:rsid w:val="007A0E3B"/>
    <w:rsid w:val="007A22E5"/>
    <w:rsid w:val="007A2320"/>
    <w:rsid w:val="007A39C1"/>
    <w:rsid w:val="007A3B19"/>
    <w:rsid w:val="007A3C16"/>
    <w:rsid w:val="007A44AD"/>
    <w:rsid w:val="007A478B"/>
    <w:rsid w:val="007A51C8"/>
    <w:rsid w:val="007A5FF9"/>
    <w:rsid w:val="007A68C8"/>
    <w:rsid w:val="007A796F"/>
    <w:rsid w:val="007B1769"/>
    <w:rsid w:val="007B67C7"/>
    <w:rsid w:val="007B6A35"/>
    <w:rsid w:val="007B7917"/>
    <w:rsid w:val="007C004D"/>
    <w:rsid w:val="007C03AA"/>
    <w:rsid w:val="007C0858"/>
    <w:rsid w:val="007C102F"/>
    <w:rsid w:val="007C15DF"/>
    <w:rsid w:val="007C1E03"/>
    <w:rsid w:val="007C2472"/>
    <w:rsid w:val="007C6B63"/>
    <w:rsid w:val="007D10A3"/>
    <w:rsid w:val="007D1309"/>
    <w:rsid w:val="007D27A6"/>
    <w:rsid w:val="007D38FA"/>
    <w:rsid w:val="007D727C"/>
    <w:rsid w:val="007E042B"/>
    <w:rsid w:val="007E6518"/>
    <w:rsid w:val="007E6807"/>
    <w:rsid w:val="007E7B9B"/>
    <w:rsid w:val="007F17E3"/>
    <w:rsid w:val="007F24AB"/>
    <w:rsid w:val="007F4369"/>
    <w:rsid w:val="007F4DB0"/>
    <w:rsid w:val="007F5DB6"/>
    <w:rsid w:val="007F6035"/>
    <w:rsid w:val="007F60DF"/>
    <w:rsid w:val="007F7BCF"/>
    <w:rsid w:val="007F7FF9"/>
    <w:rsid w:val="008000D9"/>
    <w:rsid w:val="00800F60"/>
    <w:rsid w:val="00803F74"/>
    <w:rsid w:val="00804B04"/>
    <w:rsid w:val="00805517"/>
    <w:rsid w:val="008060D1"/>
    <w:rsid w:val="00806290"/>
    <w:rsid w:val="0080630D"/>
    <w:rsid w:val="00810112"/>
    <w:rsid w:val="00810972"/>
    <w:rsid w:val="00810FCD"/>
    <w:rsid w:val="008118F6"/>
    <w:rsid w:val="00812DFC"/>
    <w:rsid w:val="008135C0"/>
    <w:rsid w:val="0081409F"/>
    <w:rsid w:val="0081462A"/>
    <w:rsid w:val="0081489D"/>
    <w:rsid w:val="00815288"/>
    <w:rsid w:val="00815634"/>
    <w:rsid w:val="0081643B"/>
    <w:rsid w:val="00817262"/>
    <w:rsid w:val="00817E14"/>
    <w:rsid w:val="00817E2F"/>
    <w:rsid w:val="0082098C"/>
    <w:rsid w:val="00820B95"/>
    <w:rsid w:val="00821983"/>
    <w:rsid w:val="00821C56"/>
    <w:rsid w:val="00823429"/>
    <w:rsid w:val="00823498"/>
    <w:rsid w:val="0082473B"/>
    <w:rsid w:val="00826736"/>
    <w:rsid w:val="00830143"/>
    <w:rsid w:val="0083118D"/>
    <w:rsid w:val="00833BE5"/>
    <w:rsid w:val="0083680E"/>
    <w:rsid w:val="00840AA9"/>
    <w:rsid w:val="0084554D"/>
    <w:rsid w:val="00850A1F"/>
    <w:rsid w:val="00850B1B"/>
    <w:rsid w:val="00850CF1"/>
    <w:rsid w:val="008513DA"/>
    <w:rsid w:val="00851507"/>
    <w:rsid w:val="00852183"/>
    <w:rsid w:val="00852261"/>
    <w:rsid w:val="00852F07"/>
    <w:rsid w:val="00853057"/>
    <w:rsid w:val="00855E55"/>
    <w:rsid w:val="00856B6B"/>
    <w:rsid w:val="00856DA0"/>
    <w:rsid w:val="00857158"/>
    <w:rsid w:val="00863880"/>
    <w:rsid w:val="0086426E"/>
    <w:rsid w:val="008642E4"/>
    <w:rsid w:val="00864786"/>
    <w:rsid w:val="00864BCD"/>
    <w:rsid w:val="00864F5C"/>
    <w:rsid w:val="00865F81"/>
    <w:rsid w:val="0087109C"/>
    <w:rsid w:val="008730DF"/>
    <w:rsid w:val="008731BE"/>
    <w:rsid w:val="00874756"/>
    <w:rsid w:val="008747A1"/>
    <w:rsid w:val="0087555D"/>
    <w:rsid w:val="00876E5C"/>
    <w:rsid w:val="00880064"/>
    <w:rsid w:val="00881542"/>
    <w:rsid w:val="00881C72"/>
    <w:rsid w:val="00882313"/>
    <w:rsid w:val="00883858"/>
    <w:rsid w:val="00883BB7"/>
    <w:rsid w:val="00884848"/>
    <w:rsid w:val="00884996"/>
    <w:rsid w:val="0089109A"/>
    <w:rsid w:val="00891568"/>
    <w:rsid w:val="0089190D"/>
    <w:rsid w:val="00891EA5"/>
    <w:rsid w:val="00893022"/>
    <w:rsid w:val="0089331E"/>
    <w:rsid w:val="00894185"/>
    <w:rsid w:val="008945A2"/>
    <w:rsid w:val="00894649"/>
    <w:rsid w:val="00894703"/>
    <w:rsid w:val="008948FA"/>
    <w:rsid w:val="00894A09"/>
    <w:rsid w:val="00895309"/>
    <w:rsid w:val="008A1A55"/>
    <w:rsid w:val="008A248C"/>
    <w:rsid w:val="008A24DB"/>
    <w:rsid w:val="008A283E"/>
    <w:rsid w:val="008A2DF5"/>
    <w:rsid w:val="008A2E67"/>
    <w:rsid w:val="008A3FA2"/>
    <w:rsid w:val="008A473A"/>
    <w:rsid w:val="008A4AE7"/>
    <w:rsid w:val="008A4D6D"/>
    <w:rsid w:val="008A4F1A"/>
    <w:rsid w:val="008A57B6"/>
    <w:rsid w:val="008A70D4"/>
    <w:rsid w:val="008A7843"/>
    <w:rsid w:val="008A7872"/>
    <w:rsid w:val="008A7D4F"/>
    <w:rsid w:val="008B1463"/>
    <w:rsid w:val="008B39C4"/>
    <w:rsid w:val="008B63A4"/>
    <w:rsid w:val="008B7A40"/>
    <w:rsid w:val="008C0C57"/>
    <w:rsid w:val="008C0F57"/>
    <w:rsid w:val="008C1376"/>
    <w:rsid w:val="008C191A"/>
    <w:rsid w:val="008C204B"/>
    <w:rsid w:val="008C2EB6"/>
    <w:rsid w:val="008C3305"/>
    <w:rsid w:val="008C5E2E"/>
    <w:rsid w:val="008C5E6C"/>
    <w:rsid w:val="008C7564"/>
    <w:rsid w:val="008D0015"/>
    <w:rsid w:val="008D18DA"/>
    <w:rsid w:val="008D2E2C"/>
    <w:rsid w:val="008D3399"/>
    <w:rsid w:val="008D353C"/>
    <w:rsid w:val="008D40B6"/>
    <w:rsid w:val="008D6394"/>
    <w:rsid w:val="008D6FB4"/>
    <w:rsid w:val="008D7226"/>
    <w:rsid w:val="008E02FA"/>
    <w:rsid w:val="008E2A86"/>
    <w:rsid w:val="008E332B"/>
    <w:rsid w:val="008E3412"/>
    <w:rsid w:val="008E3B62"/>
    <w:rsid w:val="008E40E0"/>
    <w:rsid w:val="008E6AA1"/>
    <w:rsid w:val="008E76EC"/>
    <w:rsid w:val="008F05D9"/>
    <w:rsid w:val="008F1138"/>
    <w:rsid w:val="008F25C2"/>
    <w:rsid w:val="008F37D0"/>
    <w:rsid w:val="008F74F3"/>
    <w:rsid w:val="00900D93"/>
    <w:rsid w:val="0090182A"/>
    <w:rsid w:val="0090241E"/>
    <w:rsid w:val="00902FA9"/>
    <w:rsid w:val="00904C77"/>
    <w:rsid w:val="00905998"/>
    <w:rsid w:val="00907BB6"/>
    <w:rsid w:val="009114FC"/>
    <w:rsid w:val="00911DF9"/>
    <w:rsid w:val="00912562"/>
    <w:rsid w:val="00914295"/>
    <w:rsid w:val="009155BE"/>
    <w:rsid w:val="009156F5"/>
    <w:rsid w:val="0091678F"/>
    <w:rsid w:val="009167BC"/>
    <w:rsid w:val="00917F0E"/>
    <w:rsid w:val="00921ABF"/>
    <w:rsid w:val="00922A2D"/>
    <w:rsid w:val="00922B35"/>
    <w:rsid w:val="00922DCA"/>
    <w:rsid w:val="0092473C"/>
    <w:rsid w:val="00927913"/>
    <w:rsid w:val="009308BF"/>
    <w:rsid w:val="009313BE"/>
    <w:rsid w:val="00935116"/>
    <w:rsid w:val="00940E06"/>
    <w:rsid w:val="00941088"/>
    <w:rsid w:val="009430D9"/>
    <w:rsid w:val="009463CD"/>
    <w:rsid w:val="0094702B"/>
    <w:rsid w:val="009476E3"/>
    <w:rsid w:val="0095055B"/>
    <w:rsid w:val="00952772"/>
    <w:rsid w:val="00952CCE"/>
    <w:rsid w:val="009530C2"/>
    <w:rsid w:val="00954B23"/>
    <w:rsid w:val="00955BA2"/>
    <w:rsid w:val="009613F4"/>
    <w:rsid w:val="0096180A"/>
    <w:rsid w:val="00961B02"/>
    <w:rsid w:val="009630AC"/>
    <w:rsid w:val="00963941"/>
    <w:rsid w:val="0096569F"/>
    <w:rsid w:val="00965BDB"/>
    <w:rsid w:val="00967A49"/>
    <w:rsid w:val="0097219E"/>
    <w:rsid w:val="009725B0"/>
    <w:rsid w:val="00972BCE"/>
    <w:rsid w:val="00974B56"/>
    <w:rsid w:val="00974D4F"/>
    <w:rsid w:val="009800EC"/>
    <w:rsid w:val="00980221"/>
    <w:rsid w:val="00980D63"/>
    <w:rsid w:val="00980E44"/>
    <w:rsid w:val="0098348C"/>
    <w:rsid w:val="00984DAF"/>
    <w:rsid w:val="0098653F"/>
    <w:rsid w:val="00987559"/>
    <w:rsid w:val="00990483"/>
    <w:rsid w:val="009908CC"/>
    <w:rsid w:val="00990FE3"/>
    <w:rsid w:val="009928F7"/>
    <w:rsid w:val="00993F3B"/>
    <w:rsid w:val="009950EC"/>
    <w:rsid w:val="0099602B"/>
    <w:rsid w:val="009968D9"/>
    <w:rsid w:val="00997D51"/>
    <w:rsid w:val="009A2A16"/>
    <w:rsid w:val="009A4ABA"/>
    <w:rsid w:val="009A5112"/>
    <w:rsid w:val="009A60E8"/>
    <w:rsid w:val="009A6579"/>
    <w:rsid w:val="009A6836"/>
    <w:rsid w:val="009A6C4F"/>
    <w:rsid w:val="009B02BC"/>
    <w:rsid w:val="009B0BBD"/>
    <w:rsid w:val="009B1D6A"/>
    <w:rsid w:val="009B1D8E"/>
    <w:rsid w:val="009B3872"/>
    <w:rsid w:val="009B44AF"/>
    <w:rsid w:val="009B479E"/>
    <w:rsid w:val="009B48BC"/>
    <w:rsid w:val="009B72A3"/>
    <w:rsid w:val="009B7FAF"/>
    <w:rsid w:val="009C1799"/>
    <w:rsid w:val="009C4902"/>
    <w:rsid w:val="009C56BA"/>
    <w:rsid w:val="009C6000"/>
    <w:rsid w:val="009C6DB3"/>
    <w:rsid w:val="009D1839"/>
    <w:rsid w:val="009D1E4E"/>
    <w:rsid w:val="009D2BF7"/>
    <w:rsid w:val="009D2D03"/>
    <w:rsid w:val="009D327D"/>
    <w:rsid w:val="009D3A3F"/>
    <w:rsid w:val="009D3CF3"/>
    <w:rsid w:val="009D79BA"/>
    <w:rsid w:val="009E13EC"/>
    <w:rsid w:val="009E21BF"/>
    <w:rsid w:val="009E3767"/>
    <w:rsid w:val="009E5096"/>
    <w:rsid w:val="009E7907"/>
    <w:rsid w:val="009F0C18"/>
    <w:rsid w:val="009F1C9E"/>
    <w:rsid w:val="009F2010"/>
    <w:rsid w:val="009F3597"/>
    <w:rsid w:val="009F4B89"/>
    <w:rsid w:val="009F53B9"/>
    <w:rsid w:val="009F5D36"/>
    <w:rsid w:val="009F66AE"/>
    <w:rsid w:val="00A00BBB"/>
    <w:rsid w:val="00A0171B"/>
    <w:rsid w:val="00A02292"/>
    <w:rsid w:val="00A0331C"/>
    <w:rsid w:val="00A03418"/>
    <w:rsid w:val="00A034EB"/>
    <w:rsid w:val="00A06371"/>
    <w:rsid w:val="00A06696"/>
    <w:rsid w:val="00A06C22"/>
    <w:rsid w:val="00A06E72"/>
    <w:rsid w:val="00A07D72"/>
    <w:rsid w:val="00A10AD8"/>
    <w:rsid w:val="00A11186"/>
    <w:rsid w:val="00A118B9"/>
    <w:rsid w:val="00A12396"/>
    <w:rsid w:val="00A13E81"/>
    <w:rsid w:val="00A14C10"/>
    <w:rsid w:val="00A14C99"/>
    <w:rsid w:val="00A14DE8"/>
    <w:rsid w:val="00A14EC1"/>
    <w:rsid w:val="00A16594"/>
    <w:rsid w:val="00A16E10"/>
    <w:rsid w:val="00A17B61"/>
    <w:rsid w:val="00A20469"/>
    <w:rsid w:val="00A20980"/>
    <w:rsid w:val="00A21E4B"/>
    <w:rsid w:val="00A2217C"/>
    <w:rsid w:val="00A223CF"/>
    <w:rsid w:val="00A2243F"/>
    <w:rsid w:val="00A25098"/>
    <w:rsid w:val="00A257E0"/>
    <w:rsid w:val="00A25E95"/>
    <w:rsid w:val="00A26F56"/>
    <w:rsid w:val="00A304AC"/>
    <w:rsid w:val="00A30F05"/>
    <w:rsid w:val="00A31983"/>
    <w:rsid w:val="00A32C4D"/>
    <w:rsid w:val="00A32F15"/>
    <w:rsid w:val="00A3609C"/>
    <w:rsid w:val="00A3660F"/>
    <w:rsid w:val="00A377B8"/>
    <w:rsid w:val="00A40781"/>
    <w:rsid w:val="00A40B8E"/>
    <w:rsid w:val="00A4219E"/>
    <w:rsid w:val="00A457E4"/>
    <w:rsid w:val="00A47523"/>
    <w:rsid w:val="00A47927"/>
    <w:rsid w:val="00A47D81"/>
    <w:rsid w:val="00A50720"/>
    <w:rsid w:val="00A52892"/>
    <w:rsid w:val="00A5409E"/>
    <w:rsid w:val="00A576E0"/>
    <w:rsid w:val="00A578B0"/>
    <w:rsid w:val="00A609B5"/>
    <w:rsid w:val="00A60F0F"/>
    <w:rsid w:val="00A6161D"/>
    <w:rsid w:val="00A6368E"/>
    <w:rsid w:val="00A652CF"/>
    <w:rsid w:val="00A65C8D"/>
    <w:rsid w:val="00A66DB7"/>
    <w:rsid w:val="00A67DA6"/>
    <w:rsid w:val="00A7015A"/>
    <w:rsid w:val="00A71472"/>
    <w:rsid w:val="00A71EF4"/>
    <w:rsid w:val="00A72603"/>
    <w:rsid w:val="00A72CC2"/>
    <w:rsid w:val="00A735A4"/>
    <w:rsid w:val="00A738B4"/>
    <w:rsid w:val="00A77259"/>
    <w:rsid w:val="00A81CD1"/>
    <w:rsid w:val="00A82B20"/>
    <w:rsid w:val="00A8552F"/>
    <w:rsid w:val="00A87213"/>
    <w:rsid w:val="00A875F2"/>
    <w:rsid w:val="00A90C2D"/>
    <w:rsid w:val="00A91571"/>
    <w:rsid w:val="00A91EE9"/>
    <w:rsid w:val="00A932A2"/>
    <w:rsid w:val="00A93A09"/>
    <w:rsid w:val="00A94604"/>
    <w:rsid w:val="00A957F3"/>
    <w:rsid w:val="00A96034"/>
    <w:rsid w:val="00AA0CF4"/>
    <w:rsid w:val="00AA1E9E"/>
    <w:rsid w:val="00AA34C4"/>
    <w:rsid w:val="00AA3AAE"/>
    <w:rsid w:val="00AA4457"/>
    <w:rsid w:val="00AA5CBA"/>
    <w:rsid w:val="00AA6B05"/>
    <w:rsid w:val="00AA6EBA"/>
    <w:rsid w:val="00AB0A36"/>
    <w:rsid w:val="00AB0E9E"/>
    <w:rsid w:val="00AB137B"/>
    <w:rsid w:val="00AB3309"/>
    <w:rsid w:val="00AB335F"/>
    <w:rsid w:val="00AC0AF1"/>
    <w:rsid w:val="00AC31F2"/>
    <w:rsid w:val="00AC4E0B"/>
    <w:rsid w:val="00AD1337"/>
    <w:rsid w:val="00AD213C"/>
    <w:rsid w:val="00AD559C"/>
    <w:rsid w:val="00AD784E"/>
    <w:rsid w:val="00AE40F6"/>
    <w:rsid w:val="00AE4538"/>
    <w:rsid w:val="00AE49BF"/>
    <w:rsid w:val="00AE4A2D"/>
    <w:rsid w:val="00AE55A3"/>
    <w:rsid w:val="00AE5997"/>
    <w:rsid w:val="00AE5EB7"/>
    <w:rsid w:val="00AE7949"/>
    <w:rsid w:val="00AF102E"/>
    <w:rsid w:val="00AF32F6"/>
    <w:rsid w:val="00AF572C"/>
    <w:rsid w:val="00AF5874"/>
    <w:rsid w:val="00AF5E40"/>
    <w:rsid w:val="00AF66F9"/>
    <w:rsid w:val="00AF7020"/>
    <w:rsid w:val="00B0161F"/>
    <w:rsid w:val="00B01DAE"/>
    <w:rsid w:val="00B025CF"/>
    <w:rsid w:val="00B02C64"/>
    <w:rsid w:val="00B04C15"/>
    <w:rsid w:val="00B05CBE"/>
    <w:rsid w:val="00B061AD"/>
    <w:rsid w:val="00B10C9C"/>
    <w:rsid w:val="00B11B3C"/>
    <w:rsid w:val="00B12074"/>
    <w:rsid w:val="00B123CF"/>
    <w:rsid w:val="00B12EAD"/>
    <w:rsid w:val="00B13D3A"/>
    <w:rsid w:val="00B1684A"/>
    <w:rsid w:val="00B21B81"/>
    <w:rsid w:val="00B2269B"/>
    <w:rsid w:val="00B23238"/>
    <w:rsid w:val="00B237E4"/>
    <w:rsid w:val="00B23D03"/>
    <w:rsid w:val="00B273D1"/>
    <w:rsid w:val="00B31820"/>
    <w:rsid w:val="00B32A4A"/>
    <w:rsid w:val="00B33D2A"/>
    <w:rsid w:val="00B34D87"/>
    <w:rsid w:val="00B36369"/>
    <w:rsid w:val="00B3645D"/>
    <w:rsid w:val="00B41259"/>
    <w:rsid w:val="00B415B2"/>
    <w:rsid w:val="00B41ACF"/>
    <w:rsid w:val="00B423E2"/>
    <w:rsid w:val="00B43704"/>
    <w:rsid w:val="00B439EE"/>
    <w:rsid w:val="00B44304"/>
    <w:rsid w:val="00B45CB9"/>
    <w:rsid w:val="00B47124"/>
    <w:rsid w:val="00B47BA9"/>
    <w:rsid w:val="00B47D8C"/>
    <w:rsid w:val="00B51407"/>
    <w:rsid w:val="00B51992"/>
    <w:rsid w:val="00B5336A"/>
    <w:rsid w:val="00B534CA"/>
    <w:rsid w:val="00B535E0"/>
    <w:rsid w:val="00B553FA"/>
    <w:rsid w:val="00B5586E"/>
    <w:rsid w:val="00B565E3"/>
    <w:rsid w:val="00B56A29"/>
    <w:rsid w:val="00B56FA1"/>
    <w:rsid w:val="00B5716F"/>
    <w:rsid w:val="00B57653"/>
    <w:rsid w:val="00B6093B"/>
    <w:rsid w:val="00B64E78"/>
    <w:rsid w:val="00B66019"/>
    <w:rsid w:val="00B66BD0"/>
    <w:rsid w:val="00B71755"/>
    <w:rsid w:val="00B718E5"/>
    <w:rsid w:val="00B71959"/>
    <w:rsid w:val="00B73458"/>
    <w:rsid w:val="00B73B68"/>
    <w:rsid w:val="00B75D2B"/>
    <w:rsid w:val="00B761D1"/>
    <w:rsid w:val="00B76D19"/>
    <w:rsid w:val="00B82BD6"/>
    <w:rsid w:val="00B8464F"/>
    <w:rsid w:val="00B906F1"/>
    <w:rsid w:val="00B90723"/>
    <w:rsid w:val="00B94A28"/>
    <w:rsid w:val="00B94D87"/>
    <w:rsid w:val="00BA034A"/>
    <w:rsid w:val="00BA07CE"/>
    <w:rsid w:val="00BA21A5"/>
    <w:rsid w:val="00BA30B0"/>
    <w:rsid w:val="00BA33FE"/>
    <w:rsid w:val="00BA421A"/>
    <w:rsid w:val="00BA4886"/>
    <w:rsid w:val="00BA4AA8"/>
    <w:rsid w:val="00BA4EFC"/>
    <w:rsid w:val="00BA7D9F"/>
    <w:rsid w:val="00BB1E32"/>
    <w:rsid w:val="00BB5474"/>
    <w:rsid w:val="00BB6072"/>
    <w:rsid w:val="00BC0B00"/>
    <w:rsid w:val="00BC13E8"/>
    <w:rsid w:val="00BC2096"/>
    <w:rsid w:val="00BC2A5A"/>
    <w:rsid w:val="00BC331A"/>
    <w:rsid w:val="00BC4866"/>
    <w:rsid w:val="00BD145C"/>
    <w:rsid w:val="00BD17E2"/>
    <w:rsid w:val="00BD1DAE"/>
    <w:rsid w:val="00BD1FA7"/>
    <w:rsid w:val="00BD492A"/>
    <w:rsid w:val="00BD5583"/>
    <w:rsid w:val="00BD76AD"/>
    <w:rsid w:val="00BD76B1"/>
    <w:rsid w:val="00BD77E0"/>
    <w:rsid w:val="00BE12F0"/>
    <w:rsid w:val="00BE1DAC"/>
    <w:rsid w:val="00BE2055"/>
    <w:rsid w:val="00BE252D"/>
    <w:rsid w:val="00BE5F5A"/>
    <w:rsid w:val="00BE6513"/>
    <w:rsid w:val="00BE65BF"/>
    <w:rsid w:val="00BE69EA"/>
    <w:rsid w:val="00BE6BA5"/>
    <w:rsid w:val="00BF5776"/>
    <w:rsid w:val="00BF5A9B"/>
    <w:rsid w:val="00BF6B7C"/>
    <w:rsid w:val="00C025F8"/>
    <w:rsid w:val="00C02672"/>
    <w:rsid w:val="00C036D7"/>
    <w:rsid w:val="00C041CE"/>
    <w:rsid w:val="00C04EEE"/>
    <w:rsid w:val="00C05BB3"/>
    <w:rsid w:val="00C05C64"/>
    <w:rsid w:val="00C113DB"/>
    <w:rsid w:val="00C121C2"/>
    <w:rsid w:val="00C125A2"/>
    <w:rsid w:val="00C1261D"/>
    <w:rsid w:val="00C1334F"/>
    <w:rsid w:val="00C14422"/>
    <w:rsid w:val="00C15153"/>
    <w:rsid w:val="00C15B13"/>
    <w:rsid w:val="00C164B9"/>
    <w:rsid w:val="00C17649"/>
    <w:rsid w:val="00C206FC"/>
    <w:rsid w:val="00C21550"/>
    <w:rsid w:val="00C25A89"/>
    <w:rsid w:val="00C25BE7"/>
    <w:rsid w:val="00C27C06"/>
    <w:rsid w:val="00C30A2A"/>
    <w:rsid w:val="00C3170A"/>
    <w:rsid w:val="00C3358A"/>
    <w:rsid w:val="00C346A6"/>
    <w:rsid w:val="00C34D1E"/>
    <w:rsid w:val="00C376CE"/>
    <w:rsid w:val="00C402E6"/>
    <w:rsid w:val="00C4126A"/>
    <w:rsid w:val="00C41BCF"/>
    <w:rsid w:val="00C44D07"/>
    <w:rsid w:val="00C52406"/>
    <w:rsid w:val="00C53147"/>
    <w:rsid w:val="00C53365"/>
    <w:rsid w:val="00C53A79"/>
    <w:rsid w:val="00C5461C"/>
    <w:rsid w:val="00C547AE"/>
    <w:rsid w:val="00C5523F"/>
    <w:rsid w:val="00C55C86"/>
    <w:rsid w:val="00C563A7"/>
    <w:rsid w:val="00C57125"/>
    <w:rsid w:val="00C57412"/>
    <w:rsid w:val="00C57BD4"/>
    <w:rsid w:val="00C612FE"/>
    <w:rsid w:val="00C6478F"/>
    <w:rsid w:val="00C6482E"/>
    <w:rsid w:val="00C65CF1"/>
    <w:rsid w:val="00C73130"/>
    <w:rsid w:val="00C734DD"/>
    <w:rsid w:val="00C73CC8"/>
    <w:rsid w:val="00C77E0B"/>
    <w:rsid w:val="00C80054"/>
    <w:rsid w:val="00C80F19"/>
    <w:rsid w:val="00C81456"/>
    <w:rsid w:val="00C84E5B"/>
    <w:rsid w:val="00C857F8"/>
    <w:rsid w:val="00C86398"/>
    <w:rsid w:val="00C87F9B"/>
    <w:rsid w:val="00C903EB"/>
    <w:rsid w:val="00C90D25"/>
    <w:rsid w:val="00C911FD"/>
    <w:rsid w:val="00C93A4C"/>
    <w:rsid w:val="00C941E5"/>
    <w:rsid w:val="00C9503D"/>
    <w:rsid w:val="00C957FB"/>
    <w:rsid w:val="00C97245"/>
    <w:rsid w:val="00CA2839"/>
    <w:rsid w:val="00CA29AB"/>
    <w:rsid w:val="00CA30BF"/>
    <w:rsid w:val="00CA3AFB"/>
    <w:rsid w:val="00CA4BAB"/>
    <w:rsid w:val="00CA6B55"/>
    <w:rsid w:val="00CA70E5"/>
    <w:rsid w:val="00CA74AB"/>
    <w:rsid w:val="00CA7622"/>
    <w:rsid w:val="00CA7E1A"/>
    <w:rsid w:val="00CB0250"/>
    <w:rsid w:val="00CB08B7"/>
    <w:rsid w:val="00CB206B"/>
    <w:rsid w:val="00CB274C"/>
    <w:rsid w:val="00CB2981"/>
    <w:rsid w:val="00CB3BB2"/>
    <w:rsid w:val="00CB41E6"/>
    <w:rsid w:val="00CB6277"/>
    <w:rsid w:val="00CB7065"/>
    <w:rsid w:val="00CC2D14"/>
    <w:rsid w:val="00CC2FC8"/>
    <w:rsid w:val="00CC3000"/>
    <w:rsid w:val="00CC3868"/>
    <w:rsid w:val="00CC48BA"/>
    <w:rsid w:val="00CC60F8"/>
    <w:rsid w:val="00CC7B7B"/>
    <w:rsid w:val="00CD0BC4"/>
    <w:rsid w:val="00CD39A1"/>
    <w:rsid w:val="00CD3CE7"/>
    <w:rsid w:val="00CD49C3"/>
    <w:rsid w:val="00CD5B2F"/>
    <w:rsid w:val="00CD6F2F"/>
    <w:rsid w:val="00CE07AF"/>
    <w:rsid w:val="00CE1047"/>
    <w:rsid w:val="00CE1979"/>
    <w:rsid w:val="00CE37DE"/>
    <w:rsid w:val="00CE492A"/>
    <w:rsid w:val="00CE4D95"/>
    <w:rsid w:val="00CE63BA"/>
    <w:rsid w:val="00CE737E"/>
    <w:rsid w:val="00CF2FCF"/>
    <w:rsid w:val="00CF386C"/>
    <w:rsid w:val="00CF3D63"/>
    <w:rsid w:val="00CF4346"/>
    <w:rsid w:val="00CF469A"/>
    <w:rsid w:val="00CF47B3"/>
    <w:rsid w:val="00CF4903"/>
    <w:rsid w:val="00CF523D"/>
    <w:rsid w:val="00CF7988"/>
    <w:rsid w:val="00D001E3"/>
    <w:rsid w:val="00D00C27"/>
    <w:rsid w:val="00D0340F"/>
    <w:rsid w:val="00D057F4"/>
    <w:rsid w:val="00D05E47"/>
    <w:rsid w:val="00D06559"/>
    <w:rsid w:val="00D0678C"/>
    <w:rsid w:val="00D071A2"/>
    <w:rsid w:val="00D10027"/>
    <w:rsid w:val="00D10CAB"/>
    <w:rsid w:val="00D12C93"/>
    <w:rsid w:val="00D12CC9"/>
    <w:rsid w:val="00D1695B"/>
    <w:rsid w:val="00D16DBF"/>
    <w:rsid w:val="00D17A6F"/>
    <w:rsid w:val="00D17BD4"/>
    <w:rsid w:val="00D24132"/>
    <w:rsid w:val="00D256C1"/>
    <w:rsid w:val="00D25C4F"/>
    <w:rsid w:val="00D26E0E"/>
    <w:rsid w:val="00D270C9"/>
    <w:rsid w:val="00D270CE"/>
    <w:rsid w:val="00D27351"/>
    <w:rsid w:val="00D2740D"/>
    <w:rsid w:val="00D277DB"/>
    <w:rsid w:val="00D3116D"/>
    <w:rsid w:val="00D32393"/>
    <w:rsid w:val="00D334B0"/>
    <w:rsid w:val="00D341B0"/>
    <w:rsid w:val="00D35D70"/>
    <w:rsid w:val="00D41137"/>
    <w:rsid w:val="00D412C3"/>
    <w:rsid w:val="00D435F3"/>
    <w:rsid w:val="00D43ACF"/>
    <w:rsid w:val="00D444AD"/>
    <w:rsid w:val="00D455E4"/>
    <w:rsid w:val="00D45A0D"/>
    <w:rsid w:val="00D4613D"/>
    <w:rsid w:val="00D46985"/>
    <w:rsid w:val="00D46E69"/>
    <w:rsid w:val="00D478D6"/>
    <w:rsid w:val="00D5109B"/>
    <w:rsid w:val="00D51662"/>
    <w:rsid w:val="00D52AC6"/>
    <w:rsid w:val="00D5302C"/>
    <w:rsid w:val="00D55157"/>
    <w:rsid w:val="00D64849"/>
    <w:rsid w:val="00D649D9"/>
    <w:rsid w:val="00D66685"/>
    <w:rsid w:val="00D66E55"/>
    <w:rsid w:val="00D66F3D"/>
    <w:rsid w:val="00D70E32"/>
    <w:rsid w:val="00D735CD"/>
    <w:rsid w:val="00D748BB"/>
    <w:rsid w:val="00D76113"/>
    <w:rsid w:val="00D76894"/>
    <w:rsid w:val="00D775ED"/>
    <w:rsid w:val="00D83DFC"/>
    <w:rsid w:val="00D840FB"/>
    <w:rsid w:val="00D85B1A"/>
    <w:rsid w:val="00D85F64"/>
    <w:rsid w:val="00D86456"/>
    <w:rsid w:val="00D87E19"/>
    <w:rsid w:val="00D87E6A"/>
    <w:rsid w:val="00D91731"/>
    <w:rsid w:val="00D92B09"/>
    <w:rsid w:val="00D92C51"/>
    <w:rsid w:val="00D977F1"/>
    <w:rsid w:val="00DA0EF1"/>
    <w:rsid w:val="00DA2F42"/>
    <w:rsid w:val="00DA3660"/>
    <w:rsid w:val="00DA3F78"/>
    <w:rsid w:val="00DA531F"/>
    <w:rsid w:val="00DA786B"/>
    <w:rsid w:val="00DB10F7"/>
    <w:rsid w:val="00DB123B"/>
    <w:rsid w:val="00DB1253"/>
    <w:rsid w:val="00DB12D9"/>
    <w:rsid w:val="00DB15CC"/>
    <w:rsid w:val="00DB2457"/>
    <w:rsid w:val="00DB342D"/>
    <w:rsid w:val="00DB40D2"/>
    <w:rsid w:val="00DB48F6"/>
    <w:rsid w:val="00DB5A93"/>
    <w:rsid w:val="00DB6FA6"/>
    <w:rsid w:val="00DB7E00"/>
    <w:rsid w:val="00DC0DAF"/>
    <w:rsid w:val="00DC2827"/>
    <w:rsid w:val="00DC29B8"/>
    <w:rsid w:val="00DC46A4"/>
    <w:rsid w:val="00DC4DEC"/>
    <w:rsid w:val="00DC5B92"/>
    <w:rsid w:val="00DC623E"/>
    <w:rsid w:val="00DC7E71"/>
    <w:rsid w:val="00DD23A1"/>
    <w:rsid w:val="00DD362D"/>
    <w:rsid w:val="00DD5FEA"/>
    <w:rsid w:val="00DE0584"/>
    <w:rsid w:val="00DE23DA"/>
    <w:rsid w:val="00DE274F"/>
    <w:rsid w:val="00DE2C31"/>
    <w:rsid w:val="00DF0460"/>
    <w:rsid w:val="00DF0860"/>
    <w:rsid w:val="00DF0AFB"/>
    <w:rsid w:val="00DF1BAD"/>
    <w:rsid w:val="00DF47F1"/>
    <w:rsid w:val="00DF5478"/>
    <w:rsid w:val="00DF5E34"/>
    <w:rsid w:val="00DF6E81"/>
    <w:rsid w:val="00E01639"/>
    <w:rsid w:val="00E0210C"/>
    <w:rsid w:val="00E029A6"/>
    <w:rsid w:val="00E02A12"/>
    <w:rsid w:val="00E03364"/>
    <w:rsid w:val="00E038DD"/>
    <w:rsid w:val="00E04986"/>
    <w:rsid w:val="00E04DDB"/>
    <w:rsid w:val="00E05A7F"/>
    <w:rsid w:val="00E070A0"/>
    <w:rsid w:val="00E07656"/>
    <w:rsid w:val="00E1180A"/>
    <w:rsid w:val="00E11DE0"/>
    <w:rsid w:val="00E1541D"/>
    <w:rsid w:val="00E1779B"/>
    <w:rsid w:val="00E21C77"/>
    <w:rsid w:val="00E22B31"/>
    <w:rsid w:val="00E22C1C"/>
    <w:rsid w:val="00E25C77"/>
    <w:rsid w:val="00E26C62"/>
    <w:rsid w:val="00E26E93"/>
    <w:rsid w:val="00E275FF"/>
    <w:rsid w:val="00E304F4"/>
    <w:rsid w:val="00E30DB6"/>
    <w:rsid w:val="00E31FD1"/>
    <w:rsid w:val="00E3207B"/>
    <w:rsid w:val="00E329ED"/>
    <w:rsid w:val="00E32D79"/>
    <w:rsid w:val="00E356CF"/>
    <w:rsid w:val="00E400D0"/>
    <w:rsid w:val="00E402AE"/>
    <w:rsid w:val="00E41889"/>
    <w:rsid w:val="00E41978"/>
    <w:rsid w:val="00E42600"/>
    <w:rsid w:val="00E42A9A"/>
    <w:rsid w:val="00E42D0D"/>
    <w:rsid w:val="00E43C93"/>
    <w:rsid w:val="00E443D7"/>
    <w:rsid w:val="00E44778"/>
    <w:rsid w:val="00E4585B"/>
    <w:rsid w:val="00E45FFE"/>
    <w:rsid w:val="00E462FB"/>
    <w:rsid w:val="00E474C4"/>
    <w:rsid w:val="00E47811"/>
    <w:rsid w:val="00E47B08"/>
    <w:rsid w:val="00E47E70"/>
    <w:rsid w:val="00E50AF3"/>
    <w:rsid w:val="00E5378A"/>
    <w:rsid w:val="00E54D3D"/>
    <w:rsid w:val="00E60829"/>
    <w:rsid w:val="00E60AEF"/>
    <w:rsid w:val="00E61B7C"/>
    <w:rsid w:val="00E62FC0"/>
    <w:rsid w:val="00E63739"/>
    <w:rsid w:val="00E6432F"/>
    <w:rsid w:val="00E65F2F"/>
    <w:rsid w:val="00E66022"/>
    <w:rsid w:val="00E674A5"/>
    <w:rsid w:val="00E72501"/>
    <w:rsid w:val="00E726BB"/>
    <w:rsid w:val="00E72E7F"/>
    <w:rsid w:val="00E7369E"/>
    <w:rsid w:val="00E73E75"/>
    <w:rsid w:val="00E74B86"/>
    <w:rsid w:val="00E75843"/>
    <w:rsid w:val="00E76345"/>
    <w:rsid w:val="00E76D4B"/>
    <w:rsid w:val="00E80580"/>
    <w:rsid w:val="00E8104F"/>
    <w:rsid w:val="00E811B6"/>
    <w:rsid w:val="00E83634"/>
    <w:rsid w:val="00E846D4"/>
    <w:rsid w:val="00E912DB"/>
    <w:rsid w:val="00E91830"/>
    <w:rsid w:val="00E91D8D"/>
    <w:rsid w:val="00E9229D"/>
    <w:rsid w:val="00E92CFB"/>
    <w:rsid w:val="00E94311"/>
    <w:rsid w:val="00E95382"/>
    <w:rsid w:val="00E9556F"/>
    <w:rsid w:val="00E96B41"/>
    <w:rsid w:val="00EA1A19"/>
    <w:rsid w:val="00EA1BEB"/>
    <w:rsid w:val="00EA2055"/>
    <w:rsid w:val="00EA2D57"/>
    <w:rsid w:val="00EA561F"/>
    <w:rsid w:val="00EB041B"/>
    <w:rsid w:val="00EB15CA"/>
    <w:rsid w:val="00EB2BE5"/>
    <w:rsid w:val="00EB2E20"/>
    <w:rsid w:val="00EB3D46"/>
    <w:rsid w:val="00EB52D8"/>
    <w:rsid w:val="00EB611F"/>
    <w:rsid w:val="00EB71CD"/>
    <w:rsid w:val="00EB7256"/>
    <w:rsid w:val="00EB736F"/>
    <w:rsid w:val="00EC3C14"/>
    <w:rsid w:val="00EC5DBD"/>
    <w:rsid w:val="00EC6E97"/>
    <w:rsid w:val="00EC74D3"/>
    <w:rsid w:val="00EC75C6"/>
    <w:rsid w:val="00ED054B"/>
    <w:rsid w:val="00ED06EE"/>
    <w:rsid w:val="00ED174C"/>
    <w:rsid w:val="00ED196B"/>
    <w:rsid w:val="00ED1BAF"/>
    <w:rsid w:val="00ED5440"/>
    <w:rsid w:val="00ED5AEA"/>
    <w:rsid w:val="00ED6047"/>
    <w:rsid w:val="00ED63A2"/>
    <w:rsid w:val="00ED66D3"/>
    <w:rsid w:val="00ED71CF"/>
    <w:rsid w:val="00ED7356"/>
    <w:rsid w:val="00ED7903"/>
    <w:rsid w:val="00EE0EFF"/>
    <w:rsid w:val="00EE15F2"/>
    <w:rsid w:val="00EE2790"/>
    <w:rsid w:val="00EE31AA"/>
    <w:rsid w:val="00EE4E1F"/>
    <w:rsid w:val="00EE51FF"/>
    <w:rsid w:val="00EE52AA"/>
    <w:rsid w:val="00EE5E31"/>
    <w:rsid w:val="00EE7757"/>
    <w:rsid w:val="00EE7E15"/>
    <w:rsid w:val="00EF0A98"/>
    <w:rsid w:val="00EF47F3"/>
    <w:rsid w:val="00EF4C89"/>
    <w:rsid w:val="00EF55FF"/>
    <w:rsid w:val="00EF5689"/>
    <w:rsid w:val="00EF5A10"/>
    <w:rsid w:val="00EF7A8F"/>
    <w:rsid w:val="00F023AF"/>
    <w:rsid w:val="00F027DE"/>
    <w:rsid w:val="00F04847"/>
    <w:rsid w:val="00F04DCF"/>
    <w:rsid w:val="00F06F3A"/>
    <w:rsid w:val="00F10B5E"/>
    <w:rsid w:val="00F11098"/>
    <w:rsid w:val="00F11124"/>
    <w:rsid w:val="00F117E7"/>
    <w:rsid w:val="00F12239"/>
    <w:rsid w:val="00F12715"/>
    <w:rsid w:val="00F135A5"/>
    <w:rsid w:val="00F14D42"/>
    <w:rsid w:val="00F15741"/>
    <w:rsid w:val="00F2072D"/>
    <w:rsid w:val="00F20F44"/>
    <w:rsid w:val="00F21C88"/>
    <w:rsid w:val="00F253FC"/>
    <w:rsid w:val="00F25D91"/>
    <w:rsid w:val="00F30F0B"/>
    <w:rsid w:val="00F32483"/>
    <w:rsid w:val="00F32A65"/>
    <w:rsid w:val="00F351C4"/>
    <w:rsid w:val="00F40CB5"/>
    <w:rsid w:val="00F4125F"/>
    <w:rsid w:val="00F4176E"/>
    <w:rsid w:val="00F41CDC"/>
    <w:rsid w:val="00F41F31"/>
    <w:rsid w:val="00F4428E"/>
    <w:rsid w:val="00F44564"/>
    <w:rsid w:val="00F45C10"/>
    <w:rsid w:val="00F468B1"/>
    <w:rsid w:val="00F46F25"/>
    <w:rsid w:val="00F478BF"/>
    <w:rsid w:val="00F53795"/>
    <w:rsid w:val="00F53DE1"/>
    <w:rsid w:val="00F56EE8"/>
    <w:rsid w:val="00F57132"/>
    <w:rsid w:val="00F57AC7"/>
    <w:rsid w:val="00F60D0F"/>
    <w:rsid w:val="00F60EC8"/>
    <w:rsid w:val="00F6201D"/>
    <w:rsid w:val="00F62AC5"/>
    <w:rsid w:val="00F64C4B"/>
    <w:rsid w:val="00F66076"/>
    <w:rsid w:val="00F660E1"/>
    <w:rsid w:val="00F665C8"/>
    <w:rsid w:val="00F714BD"/>
    <w:rsid w:val="00F737AE"/>
    <w:rsid w:val="00F74B4B"/>
    <w:rsid w:val="00F76386"/>
    <w:rsid w:val="00F77A5C"/>
    <w:rsid w:val="00F8130E"/>
    <w:rsid w:val="00F81B86"/>
    <w:rsid w:val="00F84C7E"/>
    <w:rsid w:val="00F87F42"/>
    <w:rsid w:val="00F9057E"/>
    <w:rsid w:val="00F90AF6"/>
    <w:rsid w:val="00F93819"/>
    <w:rsid w:val="00F939D6"/>
    <w:rsid w:val="00F93C77"/>
    <w:rsid w:val="00F9774B"/>
    <w:rsid w:val="00F97D65"/>
    <w:rsid w:val="00FA05E6"/>
    <w:rsid w:val="00FA0CED"/>
    <w:rsid w:val="00FA372C"/>
    <w:rsid w:val="00FA38CF"/>
    <w:rsid w:val="00FA686A"/>
    <w:rsid w:val="00FA69BD"/>
    <w:rsid w:val="00FA7F33"/>
    <w:rsid w:val="00FB18C0"/>
    <w:rsid w:val="00FB3D03"/>
    <w:rsid w:val="00FB54C7"/>
    <w:rsid w:val="00FB5923"/>
    <w:rsid w:val="00FB62F9"/>
    <w:rsid w:val="00FB649A"/>
    <w:rsid w:val="00FB7599"/>
    <w:rsid w:val="00FB7639"/>
    <w:rsid w:val="00FB787F"/>
    <w:rsid w:val="00FB7F00"/>
    <w:rsid w:val="00FC1015"/>
    <w:rsid w:val="00FC548A"/>
    <w:rsid w:val="00FC56C8"/>
    <w:rsid w:val="00FC6589"/>
    <w:rsid w:val="00FC78F4"/>
    <w:rsid w:val="00FD01C2"/>
    <w:rsid w:val="00FD02D4"/>
    <w:rsid w:val="00FD0C55"/>
    <w:rsid w:val="00FD2973"/>
    <w:rsid w:val="00FD472B"/>
    <w:rsid w:val="00FD5E2C"/>
    <w:rsid w:val="00FD6515"/>
    <w:rsid w:val="00FE2242"/>
    <w:rsid w:val="00FE31EA"/>
    <w:rsid w:val="00FE39CF"/>
    <w:rsid w:val="00FE4262"/>
    <w:rsid w:val="00FE6655"/>
    <w:rsid w:val="00FE6B80"/>
    <w:rsid w:val="00FF0211"/>
    <w:rsid w:val="00FF21CE"/>
    <w:rsid w:val="00FF41E8"/>
    <w:rsid w:val="00FF4BCA"/>
    <w:rsid w:val="00FF5463"/>
    <w:rsid w:val="00FF57CC"/>
    <w:rsid w:val="00FF585E"/>
    <w:rsid w:val="00FF72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49410CA"/>
  <w14:defaultImageDpi w14:val="3276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A4EFC"/>
    <w:rPr>
      <w:rFonts w:ascii="Times New Roman" w:hAnsi="Times New Roman" w:cs="Times New Roman"/>
    </w:rPr>
  </w:style>
  <w:style w:type="paragraph" w:styleId="Heading1">
    <w:name w:val="heading 1"/>
    <w:basedOn w:val="Normal"/>
    <w:next w:val="Normal"/>
    <w:link w:val="Heading1Char"/>
    <w:uiPriority w:val="9"/>
    <w:qFormat/>
    <w:rsid w:val="006C3ED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B3309"/>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05998"/>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unhideWhenUsed/>
    <w:qFormat/>
    <w:rsid w:val="00A47D81"/>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01DAE"/>
    <w:pPr>
      <w:tabs>
        <w:tab w:val="center" w:pos="4680"/>
        <w:tab w:val="right" w:pos="9360"/>
      </w:tabs>
    </w:pPr>
    <w:rPr>
      <w:rFonts w:asciiTheme="minorHAnsi" w:hAnsiTheme="minorHAnsi" w:cstheme="minorBidi"/>
    </w:rPr>
  </w:style>
  <w:style w:type="character" w:customStyle="1" w:styleId="HeaderChar">
    <w:name w:val="Header Char"/>
    <w:basedOn w:val="DefaultParagraphFont"/>
    <w:link w:val="Header"/>
    <w:uiPriority w:val="99"/>
    <w:rsid w:val="00B01DAE"/>
  </w:style>
  <w:style w:type="paragraph" w:styleId="Footer">
    <w:name w:val="footer"/>
    <w:basedOn w:val="Normal"/>
    <w:link w:val="FooterChar"/>
    <w:uiPriority w:val="99"/>
    <w:unhideWhenUsed/>
    <w:rsid w:val="00B01DAE"/>
    <w:pPr>
      <w:tabs>
        <w:tab w:val="center" w:pos="4680"/>
        <w:tab w:val="right" w:pos="9360"/>
      </w:tabs>
    </w:pPr>
    <w:rPr>
      <w:rFonts w:asciiTheme="minorHAnsi" w:hAnsiTheme="minorHAnsi" w:cstheme="minorBidi"/>
    </w:rPr>
  </w:style>
  <w:style w:type="character" w:customStyle="1" w:styleId="FooterChar">
    <w:name w:val="Footer Char"/>
    <w:basedOn w:val="DefaultParagraphFont"/>
    <w:link w:val="Footer"/>
    <w:uiPriority w:val="99"/>
    <w:rsid w:val="00B01DAE"/>
  </w:style>
  <w:style w:type="paragraph" w:styleId="ListParagraph">
    <w:name w:val="List Paragraph"/>
    <w:basedOn w:val="Normal"/>
    <w:uiPriority w:val="34"/>
    <w:qFormat/>
    <w:rsid w:val="008A2DF5"/>
    <w:pPr>
      <w:ind w:left="720"/>
      <w:contextualSpacing/>
    </w:pPr>
    <w:rPr>
      <w:rFonts w:asciiTheme="minorHAnsi" w:hAnsiTheme="minorHAnsi" w:cstheme="minorBidi"/>
    </w:rPr>
  </w:style>
  <w:style w:type="character" w:styleId="Strong">
    <w:name w:val="Strong"/>
    <w:basedOn w:val="DefaultParagraphFont"/>
    <w:uiPriority w:val="22"/>
    <w:qFormat/>
    <w:rsid w:val="00BA4EFC"/>
    <w:rPr>
      <w:b/>
      <w:bCs/>
    </w:rPr>
  </w:style>
  <w:style w:type="paragraph" w:styleId="FootnoteText">
    <w:name w:val="footnote text"/>
    <w:basedOn w:val="Normal"/>
    <w:link w:val="FootnoteTextChar"/>
    <w:uiPriority w:val="99"/>
    <w:unhideWhenUsed/>
    <w:rsid w:val="00DB6FA6"/>
  </w:style>
  <w:style w:type="character" w:customStyle="1" w:styleId="FootnoteTextChar">
    <w:name w:val="Footnote Text Char"/>
    <w:basedOn w:val="DefaultParagraphFont"/>
    <w:link w:val="FootnoteText"/>
    <w:uiPriority w:val="99"/>
    <w:rsid w:val="00DB6FA6"/>
    <w:rPr>
      <w:rFonts w:ascii="Times New Roman" w:hAnsi="Times New Roman" w:cs="Times New Roman"/>
    </w:rPr>
  </w:style>
  <w:style w:type="character" w:styleId="FootnoteReference">
    <w:name w:val="footnote reference"/>
    <w:basedOn w:val="DefaultParagraphFont"/>
    <w:uiPriority w:val="99"/>
    <w:unhideWhenUsed/>
    <w:rsid w:val="00DB6FA6"/>
    <w:rPr>
      <w:vertAlign w:val="superscript"/>
    </w:rPr>
  </w:style>
  <w:style w:type="paragraph" w:styleId="EndnoteText">
    <w:name w:val="endnote text"/>
    <w:basedOn w:val="Normal"/>
    <w:link w:val="EndnoteTextChar"/>
    <w:uiPriority w:val="99"/>
    <w:unhideWhenUsed/>
    <w:rsid w:val="00C957FB"/>
  </w:style>
  <w:style w:type="character" w:customStyle="1" w:styleId="EndnoteTextChar">
    <w:name w:val="Endnote Text Char"/>
    <w:basedOn w:val="DefaultParagraphFont"/>
    <w:link w:val="EndnoteText"/>
    <w:uiPriority w:val="99"/>
    <w:rsid w:val="00C957FB"/>
    <w:rPr>
      <w:rFonts w:ascii="Times New Roman" w:hAnsi="Times New Roman" w:cs="Times New Roman"/>
    </w:rPr>
  </w:style>
  <w:style w:type="character" w:styleId="EndnoteReference">
    <w:name w:val="endnote reference"/>
    <w:basedOn w:val="DefaultParagraphFont"/>
    <w:uiPriority w:val="99"/>
    <w:unhideWhenUsed/>
    <w:rsid w:val="00C957FB"/>
    <w:rPr>
      <w:vertAlign w:val="superscript"/>
    </w:rPr>
  </w:style>
  <w:style w:type="table" w:styleId="TableGrid">
    <w:name w:val="Table Grid"/>
    <w:basedOn w:val="TableNormal"/>
    <w:uiPriority w:val="39"/>
    <w:rsid w:val="00295D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A14C9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A14C9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21">
    <w:name w:val="Plain Table 21"/>
    <w:basedOn w:val="TableNormal"/>
    <w:uiPriority w:val="42"/>
    <w:rsid w:val="00A14C9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31">
    <w:name w:val="Plain Table 31"/>
    <w:basedOn w:val="TableNormal"/>
    <w:uiPriority w:val="43"/>
    <w:rsid w:val="00A14C9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GridTable1Light1">
    <w:name w:val="Grid Table 1 Light1"/>
    <w:basedOn w:val="TableNormal"/>
    <w:uiPriority w:val="46"/>
    <w:rsid w:val="00A14C9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Accent11">
    <w:name w:val="Grid Table 1 Light - Accent 11"/>
    <w:basedOn w:val="TableNormal"/>
    <w:uiPriority w:val="46"/>
    <w:rsid w:val="00A14C99"/>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GridTable5Dark1">
    <w:name w:val="Grid Table 5 Dark1"/>
    <w:basedOn w:val="TableNormal"/>
    <w:uiPriority w:val="50"/>
    <w:rsid w:val="00A14C9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31">
    <w:name w:val="Grid Table 5 Dark - Accent 31"/>
    <w:basedOn w:val="TableNormal"/>
    <w:uiPriority w:val="50"/>
    <w:rsid w:val="00A14C9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styleId="Hyperlink">
    <w:name w:val="Hyperlink"/>
    <w:basedOn w:val="DefaultParagraphFont"/>
    <w:uiPriority w:val="99"/>
    <w:unhideWhenUsed/>
    <w:rsid w:val="00BD1FA7"/>
    <w:rPr>
      <w:color w:val="0563C1" w:themeColor="hyperlink"/>
      <w:u w:val="single"/>
    </w:rPr>
  </w:style>
  <w:style w:type="character" w:styleId="PageNumber">
    <w:name w:val="page number"/>
    <w:basedOn w:val="DefaultParagraphFont"/>
    <w:uiPriority w:val="99"/>
    <w:semiHidden/>
    <w:unhideWhenUsed/>
    <w:rsid w:val="009B7FAF"/>
  </w:style>
  <w:style w:type="character" w:styleId="CommentReference">
    <w:name w:val="annotation reference"/>
    <w:basedOn w:val="DefaultParagraphFont"/>
    <w:uiPriority w:val="99"/>
    <w:semiHidden/>
    <w:unhideWhenUsed/>
    <w:rsid w:val="007E042B"/>
    <w:rPr>
      <w:sz w:val="16"/>
      <w:szCs w:val="16"/>
    </w:rPr>
  </w:style>
  <w:style w:type="paragraph" w:styleId="CommentText">
    <w:name w:val="annotation text"/>
    <w:basedOn w:val="Normal"/>
    <w:link w:val="CommentTextChar"/>
    <w:unhideWhenUsed/>
    <w:rsid w:val="007E042B"/>
    <w:rPr>
      <w:sz w:val="20"/>
      <w:szCs w:val="20"/>
    </w:rPr>
  </w:style>
  <w:style w:type="character" w:customStyle="1" w:styleId="CommentTextChar">
    <w:name w:val="Comment Text Char"/>
    <w:basedOn w:val="DefaultParagraphFont"/>
    <w:link w:val="CommentText"/>
    <w:rsid w:val="007E042B"/>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E042B"/>
    <w:rPr>
      <w:b/>
      <w:bCs/>
    </w:rPr>
  </w:style>
  <w:style w:type="character" w:customStyle="1" w:styleId="CommentSubjectChar">
    <w:name w:val="Comment Subject Char"/>
    <w:basedOn w:val="CommentTextChar"/>
    <w:link w:val="CommentSubject"/>
    <w:uiPriority w:val="99"/>
    <w:semiHidden/>
    <w:rsid w:val="007E042B"/>
    <w:rPr>
      <w:rFonts w:ascii="Times New Roman" w:hAnsi="Times New Roman" w:cs="Times New Roman"/>
      <w:b/>
      <w:bCs/>
      <w:sz w:val="20"/>
      <w:szCs w:val="20"/>
    </w:rPr>
  </w:style>
  <w:style w:type="paragraph" w:styleId="BalloonText">
    <w:name w:val="Balloon Text"/>
    <w:basedOn w:val="Normal"/>
    <w:link w:val="BalloonTextChar"/>
    <w:uiPriority w:val="99"/>
    <w:semiHidden/>
    <w:unhideWhenUsed/>
    <w:rsid w:val="007E042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042B"/>
    <w:rPr>
      <w:rFonts w:ascii="Segoe UI" w:hAnsi="Segoe UI" w:cs="Segoe UI"/>
      <w:sz w:val="18"/>
      <w:szCs w:val="18"/>
    </w:rPr>
  </w:style>
  <w:style w:type="paragraph" w:styleId="Revision">
    <w:name w:val="Revision"/>
    <w:hidden/>
    <w:uiPriority w:val="99"/>
    <w:semiHidden/>
    <w:rsid w:val="00F9774B"/>
    <w:rPr>
      <w:rFonts w:ascii="Times New Roman" w:hAnsi="Times New Roman" w:cs="Times New Roman"/>
    </w:rPr>
  </w:style>
  <w:style w:type="character" w:customStyle="1" w:styleId="Heading1Char">
    <w:name w:val="Heading 1 Char"/>
    <w:basedOn w:val="DefaultParagraphFont"/>
    <w:link w:val="Heading1"/>
    <w:uiPriority w:val="9"/>
    <w:rsid w:val="006C3EDD"/>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7D38FA"/>
    <w:pPr>
      <w:spacing w:before="480" w:line="276" w:lineRule="auto"/>
      <w:outlineLvl w:val="9"/>
    </w:pPr>
    <w:rPr>
      <w:b/>
      <w:bCs/>
      <w:sz w:val="28"/>
      <w:szCs w:val="28"/>
    </w:rPr>
  </w:style>
  <w:style w:type="paragraph" w:styleId="TOC1">
    <w:name w:val="toc 1"/>
    <w:basedOn w:val="Normal"/>
    <w:next w:val="Normal"/>
    <w:autoRedefine/>
    <w:uiPriority w:val="39"/>
    <w:unhideWhenUsed/>
    <w:rsid w:val="007D38FA"/>
    <w:pPr>
      <w:spacing w:before="120"/>
    </w:pPr>
    <w:rPr>
      <w:rFonts w:asciiTheme="minorHAnsi" w:hAnsiTheme="minorHAnsi"/>
      <w:b/>
      <w:bCs/>
      <w:i/>
      <w:iCs/>
    </w:rPr>
  </w:style>
  <w:style w:type="paragraph" w:styleId="TOC2">
    <w:name w:val="toc 2"/>
    <w:basedOn w:val="Normal"/>
    <w:next w:val="Normal"/>
    <w:autoRedefine/>
    <w:uiPriority w:val="39"/>
    <w:unhideWhenUsed/>
    <w:rsid w:val="007D38FA"/>
    <w:pPr>
      <w:spacing w:before="120"/>
      <w:ind w:left="240"/>
    </w:pPr>
    <w:rPr>
      <w:rFonts w:asciiTheme="minorHAnsi" w:hAnsiTheme="minorHAnsi"/>
      <w:b/>
      <w:bCs/>
      <w:sz w:val="22"/>
      <w:szCs w:val="22"/>
    </w:rPr>
  </w:style>
  <w:style w:type="paragraph" w:styleId="TOC3">
    <w:name w:val="toc 3"/>
    <w:basedOn w:val="Normal"/>
    <w:next w:val="Normal"/>
    <w:autoRedefine/>
    <w:uiPriority w:val="39"/>
    <w:unhideWhenUsed/>
    <w:rsid w:val="007D38FA"/>
    <w:pPr>
      <w:ind w:left="480"/>
    </w:pPr>
    <w:rPr>
      <w:rFonts w:asciiTheme="minorHAnsi" w:hAnsiTheme="minorHAnsi"/>
      <w:sz w:val="20"/>
      <w:szCs w:val="20"/>
    </w:rPr>
  </w:style>
  <w:style w:type="paragraph" w:styleId="TOC4">
    <w:name w:val="toc 4"/>
    <w:basedOn w:val="Normal"/>
    <w:next w:val="Normal"/>
    <w:autoRedefine/>
    <w:uiPriority w:val="39"/>
    <w:semiHidden/>
    <w:unhideWhenUsed/>
    <w:rsid w:val="007D38FA"/>
    <w:pPr>
      <w:ind w:left="720"/>
    </w:pPr>
    <w:rPr>
      <w:rFonts w:asciiTheme="minorHAnsi" w:hAnsiTheme="minorHAnsi"/>
      <w:sz w:val="20"/>
      <w:szCs w:val="20"/>
    </w:rPr>
  </w:style>
  <w:style w:type="paragraph" w:styleId="TOC5">
    <w:name w:val="toc 5"/>
    <w:basedOn w:val="Normal"/>
    <w:next w:val="Normal"/>
    <w:autoRedefine/>
    <w:uiPriority w:val="39"/>
    <w:semiHidden/>
    <w:unhideWhenUsed/>
    <w:rsid w:val="007D38FA"/>
    <w:pPr>
      <w:ind w:left="960"/>
    </w:pPr>
    <w:rPr>
      <w:rFonts w:asciiTheme="minorHAnsi" w:hAnsiTheme="minorHAnsi"/>
      <w:sz w:val="20"/>
      <w:szCs w:val="20"/>
    </w:rPr>
  </w:style>
  <w:style w:type="paragraph" w:styleId="TOC6">
    <w:name w:val="toc 6"/>
    <w:basedOn w:val="Normal"/>
    <w:next w:val="Normal"/>
    <w:autoRedefine/>
    <w:uiPriority w:val="39"/>
    <w:semiHidden/>
    <w:unhideWhenUsed/>
    <w:rsid w:val="007D38FA"/>
    <w:pPr>
      <w:ind w:left="1200"/>
    </w:pPr>
    <w:rPr>
      <w:rFonts w:asciiTheme="minorHAnsi" w:hAnsiTheme="minorHAnsi"/>
      <w:sz w:val="20"/>
      <w:szCs w:val="20"/>
    </w:rPr>
  </w:style>
  <w:style w:type="paragraph" w:styleId="TOC7">
    <w:name w:val="toc 7"/>
    <w:basedOn w:val="Normal"/>
    <w:next w:val="Normal"/>
    <w:autoRedefine/>
    <w:uiPriority w:val="39"/>
    <w:semiHidden/>
    <w:unhideWhenUsed/>
    <w:rsid w:val="007D38FA"/>
    <w:pPr>
      <w:ind w:left="1440"/>
    </w:pPr>
    <w:rPr>
      <w:rFonts w:asciiTheme="minorHAnsi" w:hAnsiTheme="minorHAnsi"/>
      <w:sz w:val="20"/>
      <w:szCs w:val="20"/>
    </w:rPr>
  </w:style>
  <w:style w:type="paragraph" w:styleId="TOC8">
    <w:name w:val="toc 8"/>
    <w:basedOn w:val="Normal"/>
    <w:next w:val="Normal"/>
    <w:autoRedefine/>
    <w:uiPriority w:val="39"/>
    <w:semiHidden/>
    <w:unhideWhenUsed/>
    <w:rsid w:val="007D38FA"/>
    <w:pPr>
      <w:ind w:left="1680"/>
    </w:pPr>
    <w:rPr>
      <w:rFonts w:asciiTheme="minorHAnsi" w:hAnsiTheme="minorHAnsi"/>
      <w:sz w:val="20"/>
      <w:szCs w:val="20"/>
    </w:rPr>
  </w:style>
  <w:style w:type="paragraph" w:styleId="TOC9">
    <w:name w:val="toc 9"/>
    <w:basedOn w:val="Normal"/>
    <w:next w:val="Normal"/>
    <w:autoRedefine/>
    <w:uiPriority w:val="39"/>
    <w:semiHidden/>
    <w:unhideWhenUsed/>
    <w:rsid w:val="007D38FA"/>
    <w:pPr>
      <w:ind w:left="1920"/>
    </w:pPr>
    <w:rPr>
      <w:rFonts w:asciiTheme="minorHAnsi" w:hAnsiTheme="minorHAnsi"/>
      <w:sz w:val="20"/>
      <w:szCs w:val="20"/>
    </w:rPr>
  </w:style>
  <w:style w:type="character" w:customStyle="1" w:styleId="Heading2Char">
    <w:name w:val="Heading 2 Char"/>
    <w:basedOn w:val="DefaultParagraphFont"/>
    <w:link w:val="Heading2"/>
    <w:uiPriority w:val="9"/>
    <w:rsid w:val="00AB3309"/>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905998"/>
    <w:rPr>
      <w:rFonts w:asciiTheme="majorHAnsi" w:eastAsiaTheme="majorEastAsia" w:hAnsiTheme="majorHAnsi" w:cstheme="majorBidi"/>
      <w:color w:val="1F3763" w:themeColor="accent1" w:themeShade="7F"/>
    </w:rPr>
  </w:style>
  <w:style w:type="paragraph" w:styleId="NormalWeb">
    <w:name w:val="Normal (Web)"/>
    <w:basedOn w:val="Normal"/>
    <w:uiPriority w:val="99"/>
    <w:semiHidden/>
    <w:unhideWhenUsed/>
    <w:rsid w:val="00FB3D03"/>
  </w:style>
  <w:style w:type="character" w:styleId="FollowedHyperlink">
    <w:name w:val="FollowedHyperlink"/>
    <w:basedOn w:val="DefaultParagraphFont"/>
    <w:uiPriority w:val="99"/>
    <w:semiHidden/>
    <w:unhideWhenUsed/>
    <w:rsid w:val="00697B48"/>
    <w:rPr>
      <w:color w:val="954F72" w:themeColor="followedHyperlink"/>
      <w:u w:val="single"/>
    </w:rPr>
  </w:style>
  <w:style w:type="character" w:customStyle="1" w:styleId="Heading4Char">
    <w:name w:val="Heading 4 Char"/>
    <w:basedOn w:val="DefaultParagraphFont"/>
    <w:link w:val="Heading4"/>
    <w:uiPriority w:val="9"/>
    <w:rsid w:val="00A47D81"/>
    <w:rPr>
      <w:rFonts w:asciiTheme="majorHAnsi" w:eastAsiaTheme="majorEastAsia" w:hAnsiTheme="majorHAnsi" w:cstheme="majorBidi"/>
      <w:i/>
      <w:iCs/>
      <w:color w:val="2F5496" w:themeColor="accent1" w:themeShade="BF"/>
    </w:rPr>
  </w:style>
  <w:style w:type="character" w:styleId="LineNumber">
    <w:name w:val="line number"/>
    <w:basedOn w:val="DefaultParagraphFont"/>
    <w:uiPriority w:val="99"/>
    <w:semiHidden/>
    <w:unhideWhenUsed/>
    <w:rsid w:val="003E68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32232">
      <w:bodyDiv w:val="1"/>
      <w:marLeft w:val="0"/>
      <w:marRight w:val="0"/>
      <w:marTop w:val="0"/>
      <w:marBottom w:val="0"/>
      <w:divBdr>
        <w:top w:val="none" w:sz="0" w:space="0" w:color="auto"/>
        <w:left w:val="none" w:sz="0" w:space="0" w:color="auto"/>
        <w:bottom w:val="none" w:sz="0" w:space="0" w:color="auto"/>
        <w:right w:val="none" w:sz="0" w:space="0" w:color="auto"/>
      </w:divBdr>
      <w:divsChild>
        <w:div w:id="609359793">
          <w:marLeft w:val="0"/>
          <w:marRight w:val="0"/>
          <w:marTop w:val="0"/>
          <w:marBottom w:val="0"/>
          <w:divBdr>
            <w:top w:val="none" w:sz="0" w:space="0" w:color="auto"/>
            <w:left w:val="none" w:sz="0" w:space="0" w:color="auto"/>
            <w:bottom w:val="none" w:sz="0" w:space="0" w:color="auto"/>
            <w:right w:val="none" w:sz="0" w:space="0" w:color="auto"/>
          </w:divBdr>
          <w:divsChild>
            <w:div w:id="1537427615">
              <w:marLeft w:val="0"/>
              <w:marRight w:val="0"/>
              <w:marTop w:val="0"/>
              <w:marBottom w:val="0"/>
              <w:divBdr>
                <w:top w:val="none" w:sz="0" w:space="0" w:color="auto"/>
                <w:left w:val="none" w:sz="0" w:space="0" w:color="auto"/>
                <w:bottom w:val="none" w:sz="0" w:space="0" w:color="auto"/>
                <w:right w:val="none" w:sz="0" w:space="0" w:color="auto"/>
              </w:divBdr>
              <w:divsChild>
                <w:div w:id="175181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74222">
      <w:bodyDiv w:val="1"/>
      <w:marLeft w:val="0"/>
      <w:marRight w:val="0"/>
      <w:marTop w:val="0"/>
      <w:marBottom w:val="0"/>
      <w:divBdr>
        <w:top w:val="none" w:sz="0" w:space="0" w:color="auto"/>
        <w:left w:val="none" w:sz="0" w:space="0" w:color="auto"/>
        <w:bottom w:val="none" w:sz="0" w:space="0" w:color="auto"/>
        <w:right w:val="none" w:sz="0" w:space="0" w:color="auto"/>
      </w:divBdr>
      <w:divsChild>
        <w:div w:id="884558553">
          <w:marLeft w:val="0"/>
          <w:marRight w:val="0"/>
          <w:marTop w:val="0"/>
          <w:marBottom w:val="0"/>
          <w:divBdr>
            <w:top w:val="none" w:sz="0" w:space="0" w:color="auto"/>
            <w:left w:val="none" w:sz="0" w:space="0" w:color="auto"/>
            <w:bottom w:val="none" w:sz="0" w:space="0" w:color="auto"/>
            <w:right w:val="none" w:sz="0" w:space="0" w:color="auto"/>
          </w:divBdr>
          <w:divsChild>
            <w:div w:id="2045519759">
              <w:marLeft w:val="0"/>
              <w:marRight w:val="0"/>
              <w:marTop w:val="0"/>
              <w:marBottom w:val="0"/>
              <w:divBdr>
                <w:top w:val="none" w:sz="0" w:space="0" w:color="auto"/>
                <w:left w:val="none" w:sz="0" w:space="0" w:color="auto"/>
                <w:bottom w:val="none" w:sz="0" w:space="0" w:color="auto"/>
                <w:right w:val="none" w:sz="0" w:space="0" w:color="auto"/>
              </w:divBdr>
              <w:divsChild>
                <w:div w:id="1992976578">
                  <w:marLeft w:val="0"/>
                  <w:marRight w:val="0"/>
                  <w:marTop w:val="0"/>
                  <w:marBottom w:val="0"/>
                  <w:divBdr>
                    <w:top w:val="none" w:sz="0" w:space="0" w:color="auto"/>
                    <w:left w:val="none" w:sz="0" w:space="0" w:color="auto"/>
                    <w:bottom w:val="none" w:sz="0" w:space="0" w:color="auto"/>
                    <w:right w:val="none" w:sz="0" w:space="0" w:color="auto"/>
                  </w:divBdr>
                  <w:divsChild>
                    <w:div w:id="1984264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343158">
      <w:bodyDiv w:val="1"/>
      <w:marLeft w:val="0"/>
      <w:marRight w:val="0"/>
      <w:marTop w:val="0"/>
      <w:marBottom w:val="0"/>
      <w:divBdr>
        <w:top w:val="none" w:sz="0" w:space="0" w:color="auto"/>
        <w:left w:val="none" w:sz="0" w:space="0" w:color="auto"/>
        <w:bottom w:val="none" w:sz="0" w:space="0" w:color="auto"/>
        <w:right w:val="none" w:sz="0" w:space="0" w:color="auto"/>
      </w:divBdr>
    </w:div>
    <w:div w:id="40525118">
      <w:bodyDiv w:val="1"/>
      <w:marLeft w:val="0"/>
      <w:marRight w:val="0"/>
      <w:marTop w:val="0"/>
      <w:marBottom w:val="0"/>
      <w:divBdr>
        <w:top w:val="none" w:sz="0" w:space="0" w:color="auto"/>
        <w:left w:val="none" w:sz="0" w:space="0" w:color="auto"/>
        <w:bottom w:val="none" w:sz="0" w:space="0" w:color="auto"/>
        <w:right w:val="none" w:sz="0" w:space="0" w:color="auto"/>
      </w:divBdr>
    </w:div>
    <w:div w:id="49499496">
      <w:bodyDiv w:val="1"/>
      <w:marLeft w:val="0"/>
      <w:marRight w:val="0"/>
      <w:marTop w:val="0"/>
      <w:marBottom w:val="0"/>
      <w:divBdr>
        <w:top w:val="none" w:sz="0" w:space="0" w:color="auto"/>
        <w:left w:val="none" w:sz="0" w:space="0" w:color="auto"/>
        <w:bottom w:val="none" w:sz="0" w:space="0" w:color="auto"/>
        <w:right w:val="none" w:sz="0" w:space="0" w:color="auto"/>
      </w:divBdr>
    </w:div>
    <w:div w:id="66733347">
      <w:bodyDiv w:val="1"/>
      <w:marLeft w:val="0"/>
      <w:marRight w:val="0"/>
      <w:marTop w:val="0"/>
      <w:marBottom w:val="0"/>
      <w:divBdr>
        <w:top w:val="none" w:sz="0" w:space="0" w:color="auto"/>
        <w:left w:val="none" w:sz="0" w:space="0" w:color="auto"/>
        <w:bottom w:val="none" w:sz="0" w:space="0" w:color="auto"/>
        <w:right w:val="none" w:sz="0" w:space="0" w:color="auto"/>
      </w:divBdr>
      <w:divsChild>
        <w:div w:id="943194516">
          <w:marLeft w:val="0"/>
          <w:marRight w:val="0"/>
          <w:marTop w:val="0"/>
          <w:marBottom w:val="0"/>
          <w:divBdr>
            <w:top w:val="none" w:sz="0" w:space="0" w:color="auto"/>
            <w:left w:val="none" w:sz="0" w:space="0" w:color="auto"/>
            <w:bottom w:val="none" w:sz="0" w:space="0" w:color="auto"/>
            <w:right w:val="none" w:sz="0" w:space="0" w:color="auto"/>
          </w:divBdr>
          <w:divsChild>
            <w:div w:id="999235801">
              <w:marLeft w:val="0"/>
              <w:marRight w:val="0"/>
              <w:marTop w:val="0"/>
              <w:marBottom w:val="0"/>
              <w:divBdr>
                <w:top w:val="none" w:sz="0" w:space="0" w:color="auto"/>
                <w:left w:val="none" w:sz="0" w:space="0" w:color="auto"/>
                <w:bottom w:val="none" w:sz="0" w:space="0" w:color="auto"/>
                <w:right w:val="none" w:sz="0" w:space="0" w:color="auto"/>
              </w:divBdr>
              <w:divsChild>
                <w:div w:id="1677532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127820">
      <w:bodyDiv w:val="1"/>
      <w:marLeft w:val="0"/>
      <w:marRight w:val="0"/>
      <w:marTop w:val="0"/>
      <w:marBottom w:val="0"/>
      <w:divBdr>
        <w:top w:val="none" w:sz="0" w:space="0" w:color="auto"/>
        <w:left w:val="none" w:sz="0" w:space="0" w:color="auto"/>
        <w:bottom w:val="none" w:sz="0" w:space="0" w:color="auto"/>
        <w:right w:val="none" w:sz="0" w:space="0" w:color="auto"/>
      </w:divBdr>
    </w:div>
    <w:div w:id="89351333">
      <w:bodyDiv w:val="1"/>
      <w:marLeft w:val="0"/>
      <w:marRight w:val="0"/>
      <w:marTop w:val="0"/>
      <w:marBottom w:val="0"/>
      <w:divBdr>
        <w:top w:val="none" w:sz="0" w:space="0" w:color="auto"/>
        <w:left w:val="none" w:sz="0" w:space="0" w:color="auto"/>
        <w:bottom w:val="none" w:sz="0" w:space="0" w:color="auto"/>
        <w:right w:val="none" w:sz="0" w:space="0" w:color="auto"/>
      </w:divBdr>
    </w:div>
    <w:div w:id="140319400">
      <w:bodyDiv w:val="1"/>
      <w:marLeft w:val="0"/>
      <w:marRight w:val="0"/>
      <w:marTop w:val="0"/>
      <w:marBottom w:val="0"/>
      <w:divBdr>
        <w:top w:val="none" w:sz="0" w:space="0" w:color="auto"/>
        <w:left w:val="none" w:sz="0" w:space="0" w:color="auto"/>
        <w:bottom w:val="none" w:sz="0" w:space="0" w:color="auto"/>
        <w:right w:val="none" w:sz="0" w:space="0" w:color="auto"/>
      </w:divBdr>
    </w:div>
    <w:div w:id="153179718">
      <w:bodyDiv w:val="1"/>
      <w:marLeft w:val="0"/>
      <w:marRight w:val="0"/>
      <w:marTop w:val="0"/>
      <w:marBottom w:val="0"/>
      <w:divBdr>
        <w:top w:val="none" w:sz="0" w:space="0" w:color="auto"/>
        <w:left w:val="none" w:sz="0" w:space="0" w:color="auto"/>
        <w:bottom w:val="none" w:sz="0" w:space="0" w:color="auto"/>
        <w:right w:val="none" w:sz="0" w:space="0" w:color="auto"/>
      </w:divBdr>
      <w:divsChild>
        <w:div w:id="2033677946">
          <w:marLeft w:val="0"/>
          <w:marRight w:val="0"/>
          <w:marTop w:val="0"/>
          <w:marBottom w:val="0"/>
          <w:divBdr>
            <w:top w:val="none" w:sz="0" w:space="0" w:color="auto"/>
            <w:left w:val="none" w:sz="0" w:space="0" w:color="auto"/>
            <w:bottom w:val="none" w:sz="0" w:space="0" w:color="auto"/>
            <w:right w:val="none" w:sz="0" w:space="0" w:color="auto"/>
          </w:divBdr>
        </w:div>
        <w:div w:id="1348676478">
          <w:marLeft w:val="0"/>
          <w:marRight w:val="0"/>
          <w:marTop w:val="0"/>
          <w:marBottom w:val="0"/>
          <w:divBdr>
            <w:top w:val="none" w:sz="0" w:space="0" w:color="auto"/>
            <w:left w:val="none" w:sz="0" w:space="0" w:color="auto"/>
            <w:bottom w:val="none" w:sz="0" w:space="0" w:color="auto"/>
            <w:right w:val="none" w:sz="0" w:space="0" w:color="auto"/>
          </w:divBdr>
        </w:div>
        <w:div w:id="451439477">
          <w:marLeft w:val="0"/>
          <w:marRight w:val="0"/>
          <w:marTop w:val="0"/>
          <w:marBottom w:val="0"/>
          <w:divBdr>
            <w:top w:val="none" w:sz="0" w:space="0" w:color="auto"/>
            <w:left w:val="none" w:sz="0" w:space="0" w:color="auto"/>
            <w:bottom w:val="none" w:sz="0" w:space="0" w:color="auto"/>
            <w:right w:val="none" w:sz="0" w:space="0" w:color="auto"/>
          </w:divBdr>
        </w:div>
      </w:divsChild>
    </w:div>
    <w:div w:id="154803937">
      <w:bodyDiv w:val="1"/>
      <w:marLeft w:val="0"/>
      <w:marRight w:val="0"/>
      <w:marTop w:val="0"/>
      <w:marBottom w:val="0"/>
      <w:divBdr>
        <w:top w:val="none" w:sz="0" w:space="0" w:color="auto"/>
        <w:left w:val="none" w:sz="0" w:space="0" w:color="auto"/>
        <w:bottom w:val="none" w:sz="0" w:space="0" w:color="auto"/>
        <w:right w:val="none" w:sz="0" w:space="0" w:color="auto"/>
      </w:divBdr>
      <w:divsChild>
        <w:div w:id="856843605">
          <w:marLeft w:val="0"/>
          <w:marRight w:val="0"/>
          <w:marTop w:val="0"/>
          <w:marBottom w:val="0"/>
          <w:divBdr>
            <w:top w:val="none" w:sz="0" w:space="0" w:color="auto"/>
            <w:left w:val="none" w:sz="0" w:space="0" w:color="auto"/>
            <w:bottom w:val="none" w:sz="0" w:space="0" w:color="auto"/>
            <w:right w:val="none" w:sz="0" w:space="0" w:color="auto"/>
          </w:divBdr>
          <w:divsChild>
            <w:div w:id="633144919">
              <w:marLeft w:val="0"/>
              <w:marRight w:val="0"/>
              <w:marTop w:val="0"/>
              <w:marBottom w:val="0"/>
              <w:divBdr>
                <w:top w:val="none" w:sz="0" w:space="0" w:color="auto"/>
                <w:left w:val="none" w:sz="0" w:space="0" w:color="auto"/>
                <w:bottom w:val="none" w:sz="0" w:space="0" w:color="auto"/>
                <w:right w:val="none" w:sz="0" w:space="0" w:color="auto"/>
              </w:divBdr>
              <w:divsChild>
                <w:div w:id="1933850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171186">
      <w:bodyDiv w:val="1"/>
      <w:marLeft w:val="0"/>
      <w:marRight w:val="0"/>
      <w:marTop w:val="0"/>
      <w:marBottom w:val="0"/>
      <w:divBdr>
        <w:top w:val="none" w:sz="0" w:space="0" w:color="auto"/>
        <w:left w:val="none" w:sz="0" w:space="0" w:color="auto"/>
        <w:bottom w:val="none" w:sz="0" w:space="0" w:color="auto"/>
        <w:right w:val="none" w:sz="0" w:space="0" w:color="auto"/>
      </w:divBdr>
    </w:div>
    <w:div w:id="180121374">
      <w:bodyDiv w:val="1"/>
      <w:marLeft w:val="0"/>
      <w:marRight w:val="0"/>
      <w:marTop w:val="0"/>
      <w:marBottom w:val="0"/>
      <w:divBdr>
        <w:top w:val="none" w:sz="0" w:space="0" w:color="auto"/>
        <w:left w:val="none" w:sz="0" w:space="0" w:color="auto"/>
        <w:bottom w:val="none" w:sz="0" w:space="0" w:color="auto"/>
        <w:right w:val="none" w:sz="0" w:space="0" w:color="auto"/>
      </w:divBdr>
      <w:divsChild>
        <w:div w:id="167529324">
          <w:marLeft w:val="0"/>
          <w:marRight w:val="0"/>
          <w:marTop w:val="0"/>
          <w:marBottom w:val="0"/>
          <w:divBdr>
            <w:top w:val="none" w:sz="0" w:space="0" w:color="auto"/>
            <w:left w:val="none" w:sz="0" w:space="0" w:color="auto"/>
            <w:bottom w:val="none" w:sz="0" w:space="0" w:color="auto"/>
            <w:right w:val="none" w:sz="0" w:space="0" w:color="auto"/>
          </w:divBdr>
          <w:divsChild>
            <w:div w:id="902177528">
              <w:marLeft w:val="0"/>
              <w:marRight w:val="0"/>
              <w:marTop w:val="0"/>
              <w:marBottom w:val="0"/>
              <w:divBdr>
                <w:top w:val="none" w:sz="0" w:space="0" w:color="auto"/>
                <w:left w:val="none" w:sz="0" w:space="0" w:color="auto"/>
                <w:bottom w:val="none" w:sz="0" w:space="0" w:color="auto"/>
                <w:right w:val="none" w:sz="0" w:space="0" w:color="auto"/>
              </w:divBdr>
              <w:divsChild>
                <w:div w:id="1825509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069064">
      <w:bodyDiv w:val="1"/>
      <w:marLeft w:val="0"/>
      <w:marRight w:val="0"/>
      <w:marTop w:val="0"/>
      <w:marBottom w:val="0"/>
      <w:divBdr>
        <w:top w:val="none" w:sz="0" w:space="0" w:color="auto"/>
        <w:left w:val="none" w:sz="0" w:space="0" w:color="auto"/>
        <w:bottom w:val="none" w:sz="0" w:space="0" w:color="auto"/>
        <w:right w:val="none" w:sz="0" w:space="0" w:color="auto"/>
      </w:divBdr>
    </w:div>
    <w:div w:id="189611595">
      <w:bodyDiv w:val="1"/>
      <w:marLeft w:val="0"/>
      <w:marRight w:val="0"/>
      <w:marTop w:val="0"/>
      <w:marBottom w:val="0"/>
      <w:divBdr>
        <w:top w:val="none" w:sz="0" w:space="0" w:color="auto"/>
        <w:left w:val="none" w:sz="0" w:space="0" w:color="auto"/>
        <w:bottom w:val="none" w:sz="0" w:space="0" w:color="auto"/>
        <w:right w:val="none" w:sz="0" w:space="0" w:color="auto"/>
      </w:divBdr>
      <w:divsChild>
        <w:div w:id="465465394">
          <w:marLeft w:val="0"/>
          <w:marRight w:val="0"/>
          <w:marTop w:val="0"/>
          <w:marBottom w:val="0"/>
          <w:divBdr>
            <w:top w:val="none" w:sz="0" w:space="0" w:color="auto"/>
            <w:left w:val="none" w:sz="0" w:space="0" w:color="auto"/>
            <w:bottom w:val="none" w:sz="0" w:space="0" w:color="auto"/>
            <w:right w:val="none" w:sz="0" w:space="0" w:color="auto"/>
          </w:divBdr>
        </w:div>
        <w:div w:id="1774783320">
          <w:marLeft w:val="0"/>
          <w:marRight w:val="0"/>
          <w:marTop w:val="0"/>
          <w:marBottom w:val="0"/>
          <w:divBdr>
            <w:top w:val="none" w:sz="0" w:space="0" w:color="auto"/>
            <w:left w:val="none" w:sz="0" w:space="0" w:color="auto"/>
            <w:bottom w:val="none" w:sz="0" w:space="0" w:color="auto"/>
            <w:right w:val="none" w:sz="0" w:space="0" w:color="auto"/>
          </w:divBdr>
        </w:div>
        <w:div w:id="1256136069">
          <w:marLeft w:val="0"/>
          <w:marRight w:val="0"/>
          <w:marTop w:val="0"/>
          <w:marBottom w:val="0"/>
          <w:divBdr>
            <w:top w:val="none" w:sz="0" w:space="0" w:color="auto"/>
            <w:left w:val="none" w:sz="0" w:space="0" w:color="auto"/>
            <w:bottom w:val="none" w:sz="0" w:space="0" w:color="auto"/>
            <w:right w:val="none" w:sz="0" w:space="0" w:color="auto"/>
          </w:divBdr>
        </w:div>
      </w:divsChild>
    </w:div>
    <w:div w:id="194194795">
      <w:bodyDiv w:val="1"/>
      <w:marLeft w:val="0"/>
      <w:marRight w:val="0"/>
      <w:marTop w:val="0"/>
      <w:marBottom w:val="0"/>
      <w:divBdr>
        <w:top w:val="none" w:sz="0" w:space="0" w:color="auto"/>
        <w:left w:val="none" w:sz="0" w:space="0" w:color="auto"/>
        <w:bottom w:val="none" w:sz="0" w:space="0" w:color="auto"/>
        <w:right w:val="none" w:sz="0" w:space="0" w:color="auto"/>
      </w:divBdr>
    </w:div>
    <w:div w:id="204290346">
      <w:bodyDiv w:val="1"/>
      <w:marLeft w:val="0"/>
      <w:marRight w:val="0"/>
      <w:marTop w:val="0"/>
      <w:marBottom w:val="0"/>
      <w:divBdr>
        <w:top w:val="none" w:sz="0" w:space="0" w:color="auto"/>
        <w:left w:val="none" w:sz="0" w:space="0" w:color="auto"/>
        <w:bottom w:val="none" w:sz="0" w:space="0" w:color="auto"/>
        <w:right w:val="none" w:sz="0" w:space="0" w:color="auto"/>
      </w:divBdr>
    </w:div>
    <w:div w:id="219050890">
      <w:bodyDiv w:val="1"/>
      <w:marLeft w:val="0"/>
      <w:marRight w:val="0"/>
      <w:marTop w:val="0"/>
      <w:marBottom w:val="0"/>
      <w:divBdr>
        <w:top w:val="none" w:sz="0" w:space="0" w:color="auto"/>
        <w:left w:val="none" w:sz="0" w:space="0" w:color="auto"/>
        <w:bottom w:val="none" w:sz="0" w:space="0" w:color="auto"/>
        <w:right w:val="none" w:sz="0" w:space="0" w:color="auto"/>
      </w:divBdr>
    </w:div>
    <w:div w:id="219218710">
      <w:bodyDiv w:val="1"/>
      <w:marLeft w:val="0"/>
      <w:marRight w:val="0"/>
      <w:marTop w:val="0"/>
      <w:marBottom w:val="0"/>
      <w:divBdr>
        <w:top w:val="none" w:sz="0" w:space="0" w:color="auto"/>
        <w:left w:val="none" w:sz="0" w:space="0" w:color="auto"/>
        <w:bottom w:val="none" w:sz="0" w:space="0" w:color="auto"/>
        <w:right w:val="none" w:sz="0" w:space="0" w:color="auto"/>
      </w:divBdr>
    </w:div>
    <w:div w:id="224806237">
      <w:bodyDiv w:val="1"/>
      <w:marLeft w:val="0"/>
      <w:marRight w:val="0"/>
      <w:marTop w:val="0"/>
      <w:marBottom w:val="0"/>
      <w:divBdr>
        <w:top w:val="none" w:sz="0" w:space="0" w:color="auto"/>
        <w:left w:val="none" w:sz="0" w:space="0" w:color="auto"/>
        <w:bottom w:val="none" w:sz="0" w:space="0" w:color="auto"/>
        <w:right w:val="none" w:sz="0" w:space="0" w:color="auto"/>
      </w:divBdr>
    </w:div>
    <w:div w:id="235165020">
      <w:bodyDiv w:val="1"/>
      <w:marLeft w:val="0"/>
      <w:marRight w:val="0"/>
      <w:marTop w:val="0"/>
      <w:marBottom w:val="0"/>
      <w:divBdr>
        <w:top w:val="none" w:sz="0" w:space="0" w:color="auto"/>
        <w:left w:val="none" w:sz="0" w:space="0" w:color="auto"/>
        <w:bottom w:val="none" w:sz="0" w:space="0" w:color="auto"/>
        <w:right w:val="none" w:sz="0" w:space="0" w:color="auto"/>
      </w:divBdr>
    </w:div>
    <w:div w:id="241566206">
      <w:bodyDiv w:val="1"/>
      <w:marLeft w:val="0"/>
      <w:marRight w:val="0"/>
      <w:marTop w:val="0"/>
      <w:marBottom w:val="0"/>
      <w:divBdr>
        <w:top w:val="none" w:sz="0" w:space="0" w:color="auto"/>
        <w:left w:val="none" w:sz="0" w:space="0" w:color="auto"/>
        <w:bottom w:val="none" w:sz="0" w:space="0" w:color="auto"/>
        <w:right w:val="none" w:sz="0" w:space="0" w:color="auto"/>
      </w:divBdr>
    </w:div>
    <w:div w:id="247350307">
      <w:bodyDiv w:val="1"/>
      <w:marLeft w:val="0"/>
      <w:marRight w:val="0"/>
      <w:marTop w:val="0"/>
      <w:marBottom w:val="0"/>
      <w:divBdr>
        <w:top w:val="none" w:sz="0" w:space="0" w:color="auto"/>
        <w:left w:val="none" w:sz="0" w:space="0" w:color="auto"/>
        <w:bottom w:val="none" w:sz="0" w:space="0" w:color="auto"/>
        <w:right w:val="none" w:sz="0" w:space="0" w:color="auto"/>
      </w:divBdr>
    </w:div>
    <w:div w:id="253250717">
      <w:bodyDiv w:val="1"/>
      <w:marLeft w:val="0"/>
      <w:marRight w:val="0"/>
      <w:marTop w:val="0"/>
      <w:marBottom w:val="0"/>
      <w:divBdr>
        <w:top w:val="none" w:sz="0" w:space="0" w:color="auto"/>
        <w:left w:val="none" w:sz="0" w:space="0" w:color="auto"/>
        <w:bottom w:val="none" w:sz="0" w:space="0" w:color="auto"/>
        <w:right w:val="none" w:sz="0" w:space="0" w:color="auto"/>
      </w:divBdr>
      <w:divsChild>
        <w:div w:id="296305608">
          <w:marLeft w:val="0"/>
          <w:marRight w:val="0"/>
          <w:marTop w:val="0"/>
          <w:marBottom w:val="0"/>
          <w:divBdr>
            <w:top w:val="none" w:sz="0" w:space="0" w:color="auto"/>
            <w:left w:val="none" w:sz="0" w:space="0" w:color="auto"/>
            <w:bottom w:val="none" w:sz="0" w:space="0" w:color="auto"/>
            <w:right w:val="none" w:sz="0" w:space="0" w:color="auto"/>
          </w:divBdr>
        </w:div>
        <w:div w:id="2005936619">
          <w:marLeft w:val="0"/>
          <w:marRight w:val="0"/>
          <w:marTop w:val="0"/>
          <w:marBottom w:val="0"/>
          <w:divBdr>
            <w:top w:val="none" w:sz="0" w:space="0" w:color="auto"/>
            <w:left w:val="none" w:sz="0" w:space="0" w:color="auto"/>
            <w:bottom w:val="none" w:sz="0" w:space="0" w:color="auto"/>
            <w:right w:val="none" w:sz="0" w:space="0" w:color="auto"/>
          </w:divBdr>
        </w:div>
        <w:div w:id="529492096">
          <w:marLeft w:val="0"/>
          <w:marRight w:val="0"/>
          <w:marTop w:val="0"/>
          <w:marBottom w:val="0"/>
          <w:divBdr>
            <w:top w:val="none" w:sz="0" w:space="0" w:color="auto"/>
            <w:left w:val="none" w:sz="0" w:space="0" w:color="auto"/>
            <w:bottom w:val="none" w:sz="0" w:space="0" w:color="auto"/>
            <w:right w:val="none" w:sz="0" w:space="0" w:color="auto"/>
          </w:divBdr>
        </w:div>
      </w:divsChild>
    </w:div>
    <w:div w:id="255939423">
      <w:bodyDiv w:val="1"/>
      <w:marLeft w:val="0"/>
      <w:marRight w:val="0"/>
      <w:marTop w:val="0"/>
      <w:marBottom w:val="0"/>
      <w:divBdr>
        <w:top w:val="none" w:sz="0" w:space="0" w:color="auto"/>
        <w:left w:val="none" w:sz="0" w:space="0" w:color="auto"/>
        <w:bottom w:val="none" w:sz="0" w:space="0" w:color="auto"/>
        <w:right w:val="none" w:sz="0" w:space="0" w:color="auto"/>
      </w:divBdr>
      <w:divsChild>
        <w:div w:id="116141740">
          <w:marLeft w:val="0"/>
          <w:marRight w:val="0"/>
          <w:marTop w:val="0"/>
          <w:marBottom w:val="0"/>
          <w:divBdr>
            <w:top w:val="none" w:sz="0" w:space="0" w:color="auto"/>
            <w:left w:val="none" w:sz="0" w:space="0" w:color="auto"/>
            <w:bottom w:val="none" w:sz="0" w:space="0" w:color="auto"/>
            <w:right w:val="none" w:sz="0" w:space="0" w:color="auto"/>
          </w:divBdr>
          <w:divsChild>
            <w:div w:id="1739866457">
              <w:marLeft w:val="0"/>
              <w:marRight w:val="0"/>
              <w:marTop w:val="0"/>
              <w:marBottom w:val="0"/>
              <w:divBdr>
                <w:top w:val="none" w:sz="0" w:space="0" w:color="auto"/>
                <w:left w:val="none" w:sz="0" w:space="0" w:color="auto"/>
                <w:bottom w:val="none" w:sz="0" w:space="0" w:color="auto"/>
                <w:right w:val="none" w:sz="0" w:space="0" w:color="auto"/>
              </w:divBdr>
              <w:divsChild>
                <w:div w:id="719867225">
                  <w:marLeft w:val="0"/>
                  <w:marRight w:val="0"/>
                  <w:marTop w:val="0"/>
                  <w:marBottom w:val="0"/>
                  <w:divBdr>
                    <w:top w:val="none" w:sz="0" w:space="0" w:color="auto"/>
                    <w:left w:val="none" w:sz="0" w:space="0" w:color="auto"/>
                    <w:bottom w:val="none" w:sz="0" w:space="0" w:color="auto"/>
                    <w:right w:val="none" w:sz="0" w:space="0" w:color="auto"/>
                  </w:divBdr>
                  <w:divsChild>
                    <w:div w:id="1533423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3562497">
      <w:bodyDiv w:val="1"/>
      <w:marLeft w:val="0"/>
      <w:marRight w:val="0"/>
      <w:marTop w:val="0"/>
      <w:marBottom w:val="0"/>
      <w:divBdr>
        <w:top w:val="none" w:sz="0" w:space="0" w:color="auto"/>
        <w:left w:val="none" w:sz="0" w:space="0" w:color="auto"/>
        <w:bottom w:val="none" w:sz="0" w:space="0" w:color="auto"/>
        <w:right w:val="none" w:sz="0" w:space="0" w:color="auto"/>
      </w:divBdr>
    </w:div>
    <w:div w:id="283999936">
      <w:bodyDiv w:val="1"/>
      <w:marLeft w:val="0"/>
      <w:marRight w:val="0"/>
      <w:marTop w:val="0"/>
      <w:marBottom w:val="0"/>
      <w:divBdr>
        <w:top w:val="none" w:sz="0" w:space="0" w:color="auto"/>
        <w:left w:val="none" w:sz="0" w:space="0" w:color="auto"/>
        <w:bottom w:val="none" w:sz="0" w:space="0" w:color="auto"/>
        <w:right w:val="none" w:sz="0" w:space="0" w:color="auto"/>
      </w:divBdr>
      <w:divsChild>
        <w:div w:id="70465550">
          <w:marLeft w:val="0"/>
          <w:marRight w:val="0"/>
          <w:marTop w:val="0"/>
          <w:marBottom w:val="0"/>
          <w:divBdr>
            <w:top w:val="none" w:sz="0" w:space="0" w:color="auto"/>
            <w:left w:val="none" w:sz="0" w:space="0" w:color="auto"/>
            <w:bottom w:val="none" w:sz="0" w:space="0" w:color="auto"/>
            <w:right w:val="none" w:sz="0" w:space="0" w:color="auto"/>
          </w:divBdr>
          <w:divsChild>
            <w:div w:id="559705763">
              <w:marLeft w:val="0"/>
              <w:marRight w:val="0"/>
              <w:marTop w:val="0"/>
              <w:marBottom w:val="0"/>
              <w:divBdr>
                <w:top w:val="none" w:sz="0" w:space="0" w:color="auto"/>
                <w:left w:val="none" w:sz="0" w:space="0" w:color="auto"/>
                <w:bottom w:val="none" w:sz="0" w:space="0" w:color="auto"/>
                <w:right w:val="none" w:sz="0" w:space="0" w:color="auto"/>
              </w:divBdr>
              <w:divsChild>
                <w:div w:id="96037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5157725">
      <w:bodyDiv w:val="1"/>
      <w:marLeft w:val="0"/>
      <w:marRight w:val="0"/>
      <w:marTop w:val="0"/>
      <w:marBottom w:val="0"/>
      <w:divBdr>
        <w:top w:val="none" w:sz="0" w:space="0" w:color="auto"/>
        <w:left w:val="none" w:sz="0" w:space="0" w:color="auto"/>
        <w:bottom w:val="none" w:sz="0" w:space="0" w:color="auto"/>
        <w:right w:val="none" w:sz="0" w:space="0" w:color="auto"/>
      </w:divBdr>
      <w:divsChild>
        <w:div w:id="522132452">
          <w:marLeft w:val="0"/>
          <w:marRight w:val="0"/>
          <w:marTop w:val="0"/>
          <w:marBottom w:val="0"/>
          <w:divBdr>
            <w:top w:val="none" w:sz="0" w:space="0" w:color="auto"/>
            <w:left w:val="none" w:sz="0" w:space="0" w:color="auto"/>
            <w:bottom w:val="none" w:sz="0" w:space="0" w:color="auto"/>
            <w:right w:val="none" w:sz="0" w:space="0" w:color="auto"/>
          </w:divBdr>
          <w:divsChild>
            <w:div w:id="1132136025">
              <w:marLeft w:val="0"/>
              <w:marRight w:val="0"/>
              <w:marTop w:val="0"/>
              <w:marBottom w:val="0"/>
              <w:divBdr>
                <w:top w:val="none" w:sz="0" w:space="0" w:color="auto"/>
                <w:left w:val="none" w:sz="0" w:space="0" w:color="auto"/>
                <w:bottom w:val="none" w:sz="0" w:space="0" w:color="auto"/>
                <w:right w:val="none" w:sz="0" w:space="0" w:color="auto"/>
              </w:divBdr>
              <w:divsChild>
                <w:div w:id="1865362630">
                  <w:marLeft w:val="0"/>
                  <w:marRight w:val="0"/>
                  <w:marTop w:val="0"/>
                  <w:marBottom w:val="0"/>
                  <w:divBdr>
                    <w:top w:val="none" w:sz="0" w:space="0" w:color="auto"/>
                    <w:left w:val="none" w:sz="0" w:space="0" w:color="auto"/>
                    <w:bottom w:val="none" w:sz="0" w:space="0" w:color="auto"/>
                    <w:right w:val="none" w:sz="0" w:space="0" w:color="auto"/>
                  </w:divBdr>
                  <w:divsChild>
                    <w:div w:id="1110055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9291145">
      <w:bodyDiv w:val="1"/>
      <w:marLeft w:val="0"/>
      <w:marRight w:val="0"/>
      <w:marTop w:val="0"/>
      <w:marBottom w:val="0"/>
      <w:divBdr>
        <w:top w:val="none" w:sz="0" w:space="0" w:color="auto"/>
        <w:left w:val="none" w:sz="0" w:space="0" w:color="auto"/>
        <w:bottom w:val="none" w:sz="0" w:space="0" w:color="auto"/>
        <w:right w:val="none" w:sz="0" w:space="0" w:color="auto"/>
      </w:divBdr>
    </w:div>
    <w:div w:id="289365850">
      <w:bodyDiv w:val="1"/>
      <w:marLeft w:val="0"/>
      <w:marRight w:val="0"/>
      <w:marTop w:val="0"/>
      <w:marBottom w:val="0"/>
      <w:divBdr>
        <w:top w:val="none" w:sz="0" w:space="0" w:color="auto"/>
        <w:left w:val="none" w:sz="0" w:space="0" w:color="auto"/>
        <w:bottom w:val="none" w:sz="0" w:space="0" w:color="auto"/>
        <w:right w:val="none" w:sz="0" w:space="0" w:color="auto"/>
      </w:divBdr>
    </w:div>
    <w:div w:id="296227030">
      <w:bodyDiv w:val="1"/>
      <w:marLeft w:val="0"/>
      <w:marRight w:val="0"/>
      <w:marTop w:val="0"/>
      <w:marBottom w:val="0"/>
      <w:divBdr>
        <w:top w:val="none" w:sz="0" w:space="0" w:color="auto"/>
        <w:left w:val="none" w:sz="0" w:space="0" w:color="auto"/>
        <w:bottom w:val="none" w:sz="0" w:space="0" w:color="auto"/>
        <w:right w:val="none" w:sz="0" w:space="0" w:color="auto"/>
      </w:divBdr>
    </w:div>
    <w:div w:id="299771962">
      <w:bodyDiv w:val="1"/>
      <w:marLeft w:val="0"/>
      <w:marRight w:val="0"/>
      <w:marTop w:val="0"/>
      <w:marBottom w:val="0"/>
      <w:divBdr>
        <w:top w:val="none" w:sz="0" w:space="0" w:color="auto"/>
        <w:left w:val="none" w:sz="0" w:space="0" w:color="auto"/>
        <w:bottom w:val="none" w:sz="0" w:space="0" w:color="auto"/>
        <w:right w:val="none" w:sz="0" w:space="0" w:color="auto"/>
      </w:divBdr>
    </w:div>
    <w:div w:id="303194765">
      <w:bodyDiv w:val="1"/>
      <w:marLeft w:val="0"/>
      <w:marRight w:val="0"/>
      <w:marTop w:val="0"/>
      <w:marBottom w:val="0"/>
      <w:divBdr>
        <w:top w:val="none" w:sz="0" w:space="0" w:color="auto"/>
        <w:left w:val="none" w:sz="0" w:space="0" w:color="auto"/>
        <w:bottom w:val="none" w:sz="0" w:space="0" w:color="auto"/>
        <w:right w:val="none" w:sz="0" w:space="0" w:color="auto"/>
      </w:divBdr>
      <w:divsChild>
        <w:div w:id="1014529717">
          <w:marLeft w:val="0"/>
          <w:marRight w:val="0"/>
          <w:marTop w:val="0"/>
          <w:marBottom w:val="0"/>
          <w:divBdr>
            <w:top w:val="none" w:sz="0" w:space="0" w:color="auto"/>
            <w:left w:val="none" w:sz="0" w:space="0" w:color="auto"/>
            <w:bottom w:val="none" w:sz="0" w:space="0" w:color="auto"/>
            <w:right w:val="none" w:sz="0" w:space="0" w:color="auto"/>
          </w:divBdr>
          <w:divsChild>
            <w:div w:id="1839037800">
              <w:marLeft w:val="0"/>
              <w:marRight w:val="0"/>
              <w:marTop w:val="0"/>
              <w:marBottom w:val="0"/>
              <w:divBdr>
                <w:top w:val="none" w:sz="0" w:space="0" w:color="auto"/>
                <w:left w:val="none" w:sz="0" w:space="0" w:color="auto"/>
                <w:bottom w:val="none" w:sz="0" w:space="0" w:color="auto"/>
                <w:right w:val="none" w:sz="0" w:space="0" w:color="auto"/>
              </w:divBdr>
              <w:divsChild>
                <w:div w:id="264004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7003558">
      <w:bodyDiv w:val="1"/>
      <w:marLeft w:val="0"/>
      <w:marRight w:val="0"/>
      <w:marTop w:val="0"/>
      <w:marBottom w:val="0"/>
      <w:divBdr>
        <w:top w:val="none" w:sz="0" w:space="0" w:color="auto"/>
        <w:left w:val="none" w:sz="0" w:space="0" w:color="auto"/>
        <w:bottom w:val="none" w:sz="0" w:space="0" w:color="auto"/>
        <w:right w:val="none" w:sz="0" w:space="0" w:color="auto"/>
      </w:divBdr>
    </w:div>
    <w:div w:id="324473849">
      <w:bodyDiv w:val="1"/>
      <w:marLeft w:val="0"/>
      <w:marRight w:val="0"/>
      <w:marTop w:val="0"/>
      <w:marBottom w:val="0"/>
      <w:divBdr>
        <w:top w:val="none" w:sz="0" w:space="0" w:color="auto"/>
        <w:left w:val="none" w:sz="0" w:space="0" w:color="auto"/>
        <w:bottom w:val="none" w:sz="0" w:space="0" w:color="auto"/>
        <w:right w:val="none" w:sz="0" w:space="0" w:color="auto"/>
      </w:divBdr>
      <w:divsChild>
        <w:div w:id="1832941003">
          <w:marLeft w:val="0"/>
          <w:marRight w:val="0"/>
          <w:marTop w:val="0"/>
          <w:marBottom w:val="0"/>
          <w:divBdr>
            <w:top w:val="none" w:sz="0" w:space="0" w:color="auto"/>
            <w:left w:val="none" w:sz="0" w:space="0" w:color="auto"/>
            <w:bottom w:val="none" w:sz="0" w:space="0" w:color="auto"/>
            <w:right w:val="none" w:sz="0" w:space="0" w:color="auto"/>
          </w:divBdr>
          <w:divsChild>
            <w:div w:id="1376615365">
              <w:marLeft w:val="0"/>
              <w:marRight w:val="0"/>
              <w:marTop w:val="0"/>
              <w:marBottom w:val="0"/>
              <w:divBdr>
                <w:top w:val="none" w:sz="0" w:space="0" w:color="auto"/>
                <w:left w:val="none" w:sz="0" w:space="0" w:color="auto"/>
                <w:bottom w:val="none" w:sz="0" w:space="0" w:color="auto"/>
                <w:right w:val="none" w:sz="0" w:space="0" w:color="auto"/>
              </w:divBdr>
              <w:divsChild>
                <w:div w:id="1082408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4499339">
      <w:bodyDiv w:val="1"/>
      <w:marLeft w:val="0"/>
      <w:marRight w:val="0"/>
      <w:marTop w:val="0"/>
      <w:marBottom w:val="0"/>
      <w:divBdr>
        <w:top w:val="none" w:sz="0" w:space="0" w:color="auto"/>
        <w:left w:val="none" w:sz="0" w:space="0" w:color="auto"/>
        <w:bottom w:val="none" w:sz="0" w:space="0" w:color="auto"/>
        <w:right w:val="none" w:sz="0" w:space="0" w:color="auto"/>
      </w:divBdr>
    </w:div>
    <w:div w:id="334967280">
      <w:bodyDiv w:val="1"/>
      <w:marLeft w:val="0"/>
      <w:marRight w:val="0"/>
      <w:marTop w:val="0"/>
      <w:marBottom w:val="0"/>
      <w:divBdr>
        <w:top w:val="none" w:sz="0" w:space="0" w:color="auto"/>
        <w:left w:val="none" w:sz="0" w:space="0" w:color="auto"/>
        <w:bottom w:val="none" w:sz="0" w:space="0" w:color="auto"/>
        <w:right w:val="none" w:sz="0" w:space="0" w:color="auto"/>
      </w:divBdr>
      <w:divsChild>
        <w:div w:id="141166820">
          <w:marLeft w:val="0"/>
          <w:marRight w:val="0"/>
          <w:marTop w:val="0"/>
          <w:marBottom w:val="0"/>
          <w:divBdr>
            <w:top w:val="none" w:sz="0" w:space="0" w:color="auto"/>
            <w:left w:val="none" w:sz="0" w:space="0" w:color="auto"/>
            <w:bottom w:val="none" w:sz="0" w:space="0" w:color="auto"/>
            <w:right w:val="none" w:sz="0" w:space="0" w:color="auto"/>
          </w:divBdr>
          <w:divsChild>
            <w:div w:id="1842507717">
              <w:marLeft w:val="0"/>
              <w:marRight w:val="0"/>
              <w:marTop w:val="0"/>
              <w:marBottom w:val="0"/>
              <w:divBdr>
                <w:top w:val="none" w:sz="0" w:space="0" w:color="auto"/>
                <w:left w:val="none" w:sz="0" w:space="0" w:color="auto"/>
                <w:bottom w:val="none" w:sz="0" w:space="0" w:color="auto"/>
                <w:right w:val="none" w:sz="0" w:space="0" w:color="auto"/>
              </w:divBdr>
              <w:divsChild>
                <w:div w:id="180631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4357845">
      <w:bodyDiv w:val="1"/>
      <w:marLeft w:val="0"/>
      <w:marRight w:val="0"/>
      <w:marTop w:val="0"/>
      <w:marBottom w:val="0"/>
      <w:divBdr>
        <w:top w:val="none" w:sz="0" w:space="0" w:color="auto"/>
        <w:left w:val="none" w:sz="0" w:space="0" w:color="auto"/>
        <w:bottom w:val="none" w:sz="0" w:space="0" w:color="auto"/>
        <w:right w:val="none" w:sz="0" w:space="0" w:color="auto"/>
      </w:divBdr>
    </w:div>
    <w:div w:id="399409023">
      <w:bodyDiv w:val="1"/>
      <w:marLeft w:val="0"/>
      <w:marRight w:val="0"/>
      <w:marTop w:val="0"/>
      <w:marBottom w:val="0"/>
      <w:divBdr>
        <w:top w:val="none" w:sz="0" w:space="0" w:color="auto"/>
        <w:left w:val="none" w:sz="0" w:space="0" w:color="auto"/>
        <w:bottom w:val="none" w:sz="0" w:space="0" w:color="auto"/>
        <w:right w:val="none" w:sz="0" w:space="0" w:color="auto"/>
      </w:divBdr>
    </w:div>
    <w:div w:id="400641083">
      <w:bodyDiv w:val="1"/>
      <w:marLeft w:val="0"/>
      <w:marRight w:val="0"/>
      <w:marTop w:val="0"/>
      <w:marBottom w:val="0"/>
      <w:divBdr>
        <w:top w:val="none" w:sz="0" w:space="0" w:color="auto"/>
        <w:left w:val="none" w:sz="0" w:space="0" w:color="auto"/>
        <w:bottom w:val="none" w:sz="0" w:space="0" w:color="auto"/>
        <w:right w:val="none" w:sz="0" w:space="0" w:color="auto"/>
      </w:divBdr>
    </w:div>
    <w:div w:id="406222333">
      <w:bodyDiv w:val="1"/>
      <w:marLeft w:val="0"/>
      <w:marRight w:val="0"/>
      <w:marTop w:val="0"/>
      <w:marBottom w:val="0"/>
      <w:divBdr>
        <w:top w:val="none" w:sz="0" w:space="0" w:color="auto"/>
        <w:left w:val="none" w:sz="0" w:space="0" w:color="auto"/>
        <w:bottom w:val="none" w:sz="0" w:space="0" w:color="auto"/>
        <w:right w:val="none" w:sz="0" w:space="0" w:color="auto"/>
      </w:divBdr>
    </w:div>
    <w:div w:id="435254750">
      <w:bodyDiv w:val="1"/>
      <w:marLeft w:val="0"/>
      <w:marRight w:val="0"/>
      <w:marTop w:val="0"/>
      <w:marBottom w:val="0"/>
      <w:divBdr>
        <w:top w:val="none" w:sz="0" w:space="0" w:color="auto"/>
        <w:left w:val="none" w:sz="0" w:space="0" w:color="auto"/>
        <w:bottom w:val="none" w:sz="0" w:space="0" w:color="auto"/>
        <w:right w:val="none" w:sz="0" w:space="0" w:color="auto"/>
      </w:divBdr>
    </w:div>
    <w:div w:id="457336503">
      <w:bodyDiv w:val="1"/>
      <w:marLeft w:val="0"/>
      <w:marRight w:val="0"/>
      <w:marTop w:val="0"/>
      <w:marBottom w:val="0"/>
      <w:divBdr>
        <w:top w:val="none" w:sz="0" w:space="0" w:color="auto"/>
        <w:left w:val="none" w:sz="0" w:space="0" w:color="auto"/>
        <w:bottom w:val="none" w:sz="0" w:space="0" w:color="auto"/>
        <w:right w:val="none" w:sz="0" w:space="0" w:color="auto"/>
      </w:divBdr>
    </w:div>
    <w:div w:id="477308364">
      <w:bodyDiv w:val="1"/>
      <w:marLeft w:val="0"/>
      <w:marRight w:val="0"/>
      <w:marTop w:val="0"/>
      <w:marBottom w:val="0"/>
      <w:divBdr>
        <w:top w:val="none" w:sz="0" w:space="0" w:color="auto"/>
        <w:left w:val="none" w:sz="0" w:space="0" w:color="auto"/>
        <w:bottom w:val="none" w:sz="0" w:space="0" w:color="auto"/>
        <w:right w:val="none" w:sz="0" w:space="0" w:color="auto"/>
      </w:divBdr>
    </w:div>
    <w:div w:id="505367132">
      <w:bodyDiv w:val="1"/>
      <w:marLeft w:val="0"/>
      <w:marRight w:val="0"/>
      <w:marTop w:val="0"/>
      <w:marBottom w:val="0"/>
      <w:divBdr>
        <w:top w:val="none" w:sz="0" w:space="0" w:color="auto"/>
        <w:left w:val="none" w:sz="0" w:space="0" w:color="auto"/>
        <w:bottom w:val="none" w:sz="0" w:space="0" w:color="auto"/>
        <w:right w:val="none" w:sz="0" w:space="0" w:color="auto"/>
      </w:divBdr>
    </w:div>
    <w:div w:id="546527972">
      <w:bodyDiv w:val="1"/>
      <w:marLeft w:val="0"/>
      <w:marRight w:val="0"/>
      <w:marTop w:val="0"/>
      <w:marBottom w:val="0"/>
      <w:divBdr>
        <w:top w:val="none" w:sz="0" w:space="0" w:color="auto"/>
        <w:left w:val="none" w:sz="0" w:space="0" w:color="auto"/>
        <w:bottom w:val="none" w:sz="0" w:space="0" w:color="auto"/>
        <w:right w:val="none" w:sz="0" w:space="0" w:color="auto"/>
      </w:divBdr>
      <w:divsChild>
        <w:div w:id="1141115712">
          <w:marLeft w:val="0"/>
          <w:marRight w:val="0"/>
          <w:marTop w:val="0"/>
          <w:marBottom w:val="0"/>
          <w:divBdr>
            <w:top w:val="none" w:sz="0" w:space="0" w:color="auto"/>
            <w:left w:val="none" w:sz="0" w:space="0" w:color="auto"/>
            <w:bottom w:val="none" w:sz="0" w:space="0" w:color="auto"/>
            <w:right w:val="none" w:sz="0" w:space="0" w:color="auto"/>
          </w:divBdr>
          <w:divsChild>
            <w:div w:id="677540547">
              <w:marLeft w:val="0"/>
              <w:marRight w:val="0"/>
              <w:marTop w:val="0"/>
              <w:marBottom w:val="0"/>
              <w:divBdr>
                <w:top w:val="none" w:sz="0" w:space="0" w:color="auto"/>
                <w:left w:val="none" w:sz="0" w:space="0" w:color="auto"/>
                <w:bottom w:val="none" w:sz="0" w:space="0" w:color="auto"/>
                <w:right w:val="none" w:sz="0" w:space="0" w:color="auto"/>
              </w:divBdr>
              <w:divsChild>
                <w:div w:id="695160461">
                  <w:marLeft w:val="0"/>
                  <w:marRight w:val="0"/>
                  <w:marTop w:val="0"/>
                  <w:marBottom w:val="0"/>
                  <w:divBdr>
                    <w:top w:val="none" w:sz="0" w:space="0" w:color="auto"/>
                    <w:left w:val="none" w:sz="0" w:space="0" w:color="auto"/>
                    <w:bottom w:val="none" w:sz="0" w:space="0" w:color="auto"/>
                    <w:right w:val="none" w:sz="0" w:space="0" w:color="auto"/>
                  </w:divBdr>
                  <w:divsChild>
                    <w:div w:id="40248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8441142">
      <w:bodyDiv w:val="1"/>
      <w:marLeft w:val="0"/>
      <w:marRight w:val="0"/>
      <w:marTop w:val="0"/>
      <w:marBottom w:val="0"/>
      <w:divBdr>
        <w:top w:val="none" w:sz="0" w:space="0" w:color="auto"/>
        <w:left w:val="none" w:sz="0" w:space="0" w:color="auto"/>
        <w:bottom w:val="none" w:sz="0" w:space="0" w:color="auto"/>
        <w:right w:val="none" w:sz="0" w:space="0" w:color="auto"/>
      </w:divBdr>
    </w:div>
    <w:div w:id="559099056">
      <w:bodyDiv w:val="1"/>
      <w:marLeft w:val="0"/>
      <w:marRight w:val="0"/>
      <w:marTop w:val="0"/>
      <w:marBottom w:val="0"/>
      <w:divBdr>
        <w:top w:val="none" w:sz="0" w:space="0" w:color="auto"/>
        <w:left w:val="none" w:sz="0" w:space="0" w:color="auto"/>
        <w:bottom w:val="none" w:sz="0" w:space="0" w:color="auto"/>
        <w:right w:val="none" w:sz="0" w:space="0" w:color="auto"/>
      </w:divBdr>
    </w:div>
    <w:div w:id="561671370">
      <w:bodyDiv w:val="1"/>
      <w:marLeft w:val="0"/>
      <w:marRight w:val="0"/>
      <w:marTop w:val="0"/>
      <w:marBottom w:val="0"/>
      <w:divBdr>
        <w:top w:val="none" w:sz="0" w:space="0" w:color="auto"/>
        <w:left w:val="none" w:sz="0" w:space="0" w:color="auto"/>
        <w:bottom w:val="none" w:sz="0" w:space="0" w:color="auto"/>
        <w:right w:val="none" w:sz="0" w:space="0" w:color="auto"/>
      </w:divBdr>
    </w:div>
    <w:div w:id="564730182">
      <w:bodyDiv w:val="1"/>
      <w:marLeft w:val="0"/>
      <w:marRight w:val="0"/>
      <w:marTop w:val="0"/>
      <w:marBottom w:val="0"/>
      <w:divBdr>
        <w:top w:val="none" w:sz="0" w:space="0" w:color="auto"/>
        <w:left w:val="none" w:sz="0" w:space="0" w:color="auto"/>
        <w:bottom w:val="none" w:sz="0" w:space="0" w:color="auto"/>
        <w:right w:val="none" w:sz="0" w:space="0" w:color="auto"/>
      </w:divBdr>
    </w:div>
    <w:div w:id="577904092">
      <w:bodyDiv w:val="1"/>
      <w:marLeft w:val="0"/>
      <w:marRight w:val="0"/>
      <w:marTop w:val="0"/>
      <w:marBottom w:val="0"/>
      <w:divBdr>
        <w:top w:val="none" w:sz="0" w:space="0" w:color="auto"/>
        <w:left w:val="none" w:sz="0" w:space="0" w:color="auto"/>
        <w:bottom w:val="none" w:sz="0" w:space="0" w:color="auto"/>
        <w:right w:val="none" w:sz="0" w:space="0" w:color="auto"/>
      </w:divBdr>
    </w:div>
    <w:div w:id="584656617">
      <w:bodyDiv w:val="1"/>
      <w:marLeft w:val="0"/>
      <w:marRight w:val="0"/>
      <w:marTop w:val="0"/>
      <w:marBottom w:val="0"/>
      <w:divBdr>
        <w:top w:val="none" w:sz="0" w:space="0" w:color="auto"/>
        <w:left w:val="none" w:sz="0" w:space="0" w:color="auto"/>
        <w:bottom w:val="none" w:sz="0" w:space="0" w:color="auto"/>
        <w:right w:val="none" w:sz="0" w:space="0" w:color="auto"/>
      </w:divBdr>
      <w:divsChild>
        <w:div w:id="1493794289">
          <w:marLeft w:val="0"/>
          <w:marRight w:val="0"/>
          <w:marTop w:val="0"/>
          <w:marBottom w:val="0"/>
          <w:divBdr>
            <w:top w:val="none" w:sz="0" w:space="0" w:color="auto"/>
            <w:left w:val="none" w:sz="0" w:space="0" w:color="auto"/>
            <w:bottom w:val="none" w:sz="0" w:space="0" w:color="auto"/>
            <w:right w:val="none" w:sz="0" w:space="0" w:color="auto"/>
          </w:divBdr>
          <w:divsChild>
            <w:div w:id="721446461">
              <w:marLeft w:val="0"/>
              <w:marRight w:val="0"/>
              <w:marTop w:val="0"/>
              <w:marBottom w:val="0"/>
              <w:divBdr>
                <w:top w:val="none" w:sz="0" w:space="0" w:color="auto"/>
                <w:left w:val="none" w:sz="0" w:space="0" w:color="auto"/>
                <w:bottom w:val="none" w:sz="0" w:space="0" w:color="auto"/>
                <w:right w:val="none" w:sz="0" w:space="0" w:color="auto"/>
              </w:divBdr>
              <w:divsChild>
                <w:div w:id="1763187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755174">
      <w:bodyDiv w:val="1"/>
      <w:marLeft w:val="0"/>
      <w:marRight w:val="0"/>
      <w:marTop w:val="0"/>
      <w:marBottom w:val="0"/>
      <w:divBdr>
        <w:top w:val="none" w:sz="0" w:space="0" w:color="auto"/>
        <w:left w:val="none" w:sz="0" w:space="0" w:color="auto"/>
        <w:bottom w:val="none" w:sz="0" w:space="0" w:color="auto"/>
        <w:right w:val="none" w:sz="0" w:space="0" w:color="auto"/>
      </w:divBdr>
    </w:div>
    <w:div w:id="602570008">
      <w:bodyDiv w:val="1"/>
      <w:marLeft w:val="0"/>
      <w:marRight w:val="0"/>
      <w:marTop w:val="0"/>
      <w:marBottom w:val="0"/>
      <w:divBdr>
        <w:top w:val="none" w:sz="0" w:space="0" w:color="auto"/>
        <w:left w:val="none" w:sz="0" w:space="0" w:color="auto"/>
        <w:bottom w:val="none" w:sz="0" w:space="0" w:color="auto"/>
        <w:right w:val="none" w:sz="0" w:space="0" w:color="auto"/>
      </w:divBdr>
    </w:div>
    <w:div w:id="606348094">
      <w:bodyDiv w:val="1"/>
      <w:marLeft w:val="0"/>
      <w:marRight w:val="0"/>
      <w:marTop w:val="0"/>
      <w:marBottom w:val="0"/>
      <w:divBdr>
        <w:top w:val="none" w:sz="0" w:space="0" w:color="auto"/>
        <w:left w:val="none" w:sz="0" w:space="0" w:color="auto"/>
        <w:bottom w:val="none" w:sz="0" w:space="0" w:color="auto"/>
        <w:right w:val="none" w:sz="0" w:space="0" w:color="auto"/>
      </w:divBdr>
      <w:divsChild>
        <w:div w:id="1748571702">
          <w:marLeft w:val="0"/>
          <w:marRight w:val="0"/>
          <w:marTop w:val="0"/>
          <w:marBottom w:val="0"/>
          <w:divBdr>
            <w:top w:val="none" w:sz="0" w:space="0" w:color="auto"/>
            <w:left w:val="none" w:sz="0" w:space="0" w:color="auto"/>
            <w:bottom w:val="none" w:sz="0" w:space="0" w:color="auto"/>
            <w:right w:val="none" w:sz="0" w:space="0" w:color="auto"/>
          </w:divBdr>
          <w:divsChild>
            <w:div w:id="1331252292">
              <w:marLeft w:val="0"/>
              <w:marRight w:val="0"/>
              <w:marTop w:val="0"/>
              <w:marBottom w:val="0"/>
              <w:divBdr>
                <w:top w:val="none" w:sz="0" w:space="0" w:color="auto"/>
                <w:left w:val="none" w:sz="0" w:space="0" w:color="auto"/>
                <w:bottom w:val="none" w:sz="0" w:space="0" w:color="auto"/>
                <w:right w:val="none" w:sz="0" w:space="0" w:color="auto"/>
              </w:divBdr>
              <w:divsChild>
                <w:div w:id="1652054521">
                  <w:marLeft w:val="0"/>
                  <w:marRight w:val="0"/>
                  <w:marTop w:val="0"/>
                  <w:marBottom w:val="0"/>
                  <w:divBdr>
                    <w:top w:val="none" w:sz="0" w:space="0" w:color="auto"/>
                    <w:left w:val="none" w:sz="0" w:space="0" w:color="auto"/>
                    <w:bottom w:val="none" w:sz="0" w:space="0" w:color="auto"/>
                    <w:right w:val="none" w:sz="0" w:space="0" w:color="auto"/>
                  </w:divBdr>
                  <w:divsChild>
                    <w:div w:id="23482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1153097">
      <w:bodyDiv w:val="1"/>
      <w:marLeft w:val="0"/>
      <w:marRight w:val="0"/>
      <w:marTop w:val="0"/>
      <w:marBottom w:val="0"/>
      <w:divBdr>
        <w:top w:val="none" w:sz="0" w:space="0" w:color="auto"/>
        <w:left w:val="none" w:sz="0" w:space="0" w:color="auto"/>
        <w:bottom w:val="none" w:sz="0" w:space="0" w:color="auto"/>
        <w:right w:val="none" w:sz="0" w:space="0" w:color="auto"/>
      </w:divBdr>
    </w:div>
    <w:div w:id="622154860">
      <w:bodyDiv w:val="1"/>
      <w:marLeft w:val="0"/>
      <w:marRight w:val="0"/>
      <w:marTop w:val="0"/>
      <w:marBottom w:val="0"/>
      <w:divBdr>
        <w:top w:val="none" w:sz="0" w:space="0" w:color="auto"/>
        <w:left w:val="none" w:sz="0" w:space="0" w:color="auto"/>
        <w:bottom w:val="none" w:sz="0" w:space="0" w:color="auto"/>
        <w:right w:val="none" w:sz="0" w:space="0" w:color="auto"/>
      </w:divBdr>
    </w:div>
    <w:div w:id="626929094">
      <w:bodyDiv w:val="1"/>
      <w:marLeft w:val="0"/>
      <w:marRight w:val="0"/>
      <w:marTop w:val="0"/>
      <w:marBottom w:val="0"/>
      <w:divBdr>
        <w:top w:val="none" w:sz="0" w:space="0" w:color="auto"/>
        <w:left w:val="none" w:sz="0" w:space="0" w:color="auto"/>
        <w:bottom w:val="none" w:sz="0" w:space="0" w:color="auto"/>
        <w:right w:val="none" w:sz="0" w:space="0" w:color="auto"/>
      </w:divBdr>
      <w:divsChild>
        <w:div w:id="587424913">
          <w:marLeft w:val="0"/>
          <w:marRight w:val="0"/>
          <w:marTop w:val="0"/>
          <w:marBottom w:val="0"/>
          <w:divBdr>
            <w:top w:val="none" w:sz="0" w:space="0" w:color="auto"/>
            <w:left w:val="none" w:sz="0" w:space="0" w:color="auto"/>
            <w:bottom w:val="none" w:sz="0" w:space="0" w:color="auto"/>
            <w:right w:val="none" w:sz="0" w:space="0" w:color="auto"/>
          </w:divBdr>
          <w:divsChild>
            <w:div w:id="1917936968">
              <w:marLeft w:val="0"/>
              <w:marRight w:val="0"/>
              <w:marTop w:val="0"/>
              <w:marBottom w:val="0"/>
              <w:divBdr>
                <w:top w:val="none" w:sz="0" w:space="0" w:color="auto"/>
                <w:left w:val="none" w:sz="0" w:space="0" w:color="auto"/>
                <w:bottom w:val="none" w:sz="0" w:space="0" w:color="auto"/>
                <w:right w:val="none" w:sz="0" w:space="0" w:color="auto"/>
              </w:divBdr>
              <w:divsChild>
                <w:div w:id="2032489250">
                  <w:marLeft w:val="0"/>
                  <w:marRight w:val="0"/>
                  <w:marTop w:val="0"/>
                  <w:marBottom w:val="0"/>
                  <w:divBdr>
                    <w:top w:val="none" w:sz="0" w:space="0" w:color="auto"/>
                    <w:left w:val="none" w:sz="0" w:space="0" w:color="auto"/>
                    <w:bottom w:val="none" w:sz="0" w:space="0" w:color="auto"/>
                    <w:right w:val="none" w:sz="0" w:space="0" w:color="auto"/>
                  </w:divBdr>
                  <w:divsChild>
                    <w:div w:id="2073192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9408019">
      <w:bodyDiv w:val="1"/>
      <w:marLeft w:val="0"/>
      <w:marRight w:val="0"/>
      <w:marTop w:val="0"/>
      <w:marBottom w:val="0"/>
      <w:divBdr>
        <w:top w:val="none" w:sz="0" w:space="0" w:color="auto"/>
        <w:left w:val="none" w:sz="0" w:space="0" w:color="auto"/>
        <w:bottom w:val="none" w:sz="0" w:space="0" w:color="auto"/>
        <w:right w:val="none" w:sz="0" w:space="0" w:color="auto"/>
      </w:divBdr>
    </w:div>
    <w:div w:id="639069658">
      <w:bodyDiv w:val="1"/>
      <w:marLeft w:val="0"/>
      <w:marRight w:val="0"/>
      <w:marTop w:val="0"/>
      <w:marBottom w:val="0"/>
      <w:divBdr>
        <w:top w:val="none" w:sz="0" w:space="0" w:color="auto"/>
        <w:left w:val="none" w:sz="0" w:space="0" w:color="auto"/>
        <w:bottom w:val="none" w:sz="0" w:space="0" w:color="auto"/>
        <w:right w:val="none" w:sz="0" w:space="0" w:color="auto"/>
      </w:divBdr>
    </w:div>
    <w:div w:id="666782991">
      <w:bodyDiv w:val="1"/>
      <w:marLeft w:val="0"/>
      <w:marRight w:val="0"/>
      <w:marTop w:val="0"/>
      <w:marBottom w:val="0"/>
      <w:divBdr>
        <w:top w:val="none" w:sz="0" w:space="0" w:color="auto"/>
        <w:left w:val="none" w:sz="0" w:space="0" w:color="auto"/>
        <w:bottom w:val="none" w:sz="0" w:space="0" w:color="auto"/>
        <w:right w:val="none" w:sz="0" w:space="0" w:color="auto"/>
      </w:divBdr>
    </w:div>
    <w:div w:id="681905334">
      <w:bodyDiv w:val="1"/>
      <w:marLeft w:val="0"/>
      <w:marRight w:val="0"/>
      <w:marTop w:val="0"/>
      <w:marBottom w:val="0"/>
      <w:divBdr>
        <w:top w:val="none" w:sz="0" w:space="0" w:color="auto"/>
        <w:left w:val="none" w:sz="0" w:space="0" w:color="auto"/>
        <w:bottom w:val="none" w:sz="0" w:space="0" w:color="auto"/>
        <w:right w:val="none" w:sz="0" w:space="0" w:color="auto"/>
      </w:divBdr>
      <w:divsChild>
        <w:div w:id="246840775">
          <w:marLeft w:val="0"/>
          <w:marRight w:val="0"/>
          <w:marTop w:val="0"/>
          <w:marBottom w:val="0"/>
          <w:divBdr>
            <w:top w:val="none" w:sz="0" w:space="0" w:color="auto"/>
            <w:left w:val="none" w:sz="0" w:space="0" w:color="auto"/>
            <w:bottom w:val="none" w:sz="0" w:space="0" w:color="auto"/>
            <w:right w:val="none" w:sz="0" w:space="0" w:color="auto"/>
          </w:divBdr>
        </w:div>
        <w:div w:id="1568881557">
          <w:marLeft w:val="0"/>
          <w:marRight w:val="0"/>
          <w:marTop w:val="0"/>
          <w:marBottom w:val="0"/>
          <w:divBdr>
            <w:top w:val="none" w:sz="0" w:space="0" w:color="auto"/>
            <w:left w:val="none" w:sz="0" w:space="0" w:color="auto"/>
            <w:bottom w:val="none" w:sz="0" w:space="0" w:color="auto"/>
            <w:right w:val="none" w:sz="0" w:space="0" w:color="auto"/>
          </w:divBdr>
        </w:div>
        <w:div w:id="1650938039">
          <w:marLeft w:val="0"/>
          <w:marRight w:val="0"/>
          <w:marTop w:val="0"/>
          <w:marBottom w:val="0"/>
          <w:divBdr>
            <w:top w:val="none" w:sz="0" w:space="0" w:color="auto"/>
            <w:left w:val="none" w:sz="0" w:space="0" w:color="auto"/>
            <w:bottom w:val="none" w:sz="0" w:space="0" w:color="auto"/>
            <w:right w:val="none" w:sz="0" w:space="0" w:color="auto"/>
          </w:divBdr>
        </w:div>
      </w:divsChild>
    </w:div>
    <w:div w:id="709427316">
      <w:bodyDiv w:val="1"/>
      <w:marLeft w:val="0"/>
      <w:marRight w:val="0"/>
      <w:marTop w:val="0"/>
      <w:marBottom w:val="0"/>
      <w:divBdr>
        <w:top w:val="none" w:sz="0" w:space="0" w:color="auto"/>
        <w:left w:val="none" w:sz="0" w:space="0" w:color="auto"/>
        <w:bottom w:val="none" w:sz="0" w:space="0" w:color="auto"/>
        <w:right w:val="none" w:sz="0" w:space="0" w:color="auto"/>
      </w:divBdr>
    </w:div>
    <w:div w:id="722221422">
      <w:bodyDiv w:val="1"/>
      <w:marLeft w:val="0"/>
      <w:marRight w:val="0"/>
      <w:marTop w:val="0"/>
      <w:marBottom w:val="0"/>
      <w:divBdr>
        <w:top w:val="none" w:sz="0" w:space="0" w:color="auto"/>
        <w:left w:val="none" w:sz="0" w:space="0" w:color="auto"/>
        <w:bottom w:val="none" w:sz="0" w:space="0" w:color="auto"/>
        <w:right w:val="none" w:sz="0" w:space="0" w:color="auto"/>
      </w:divBdr>
    </w:div>
    <w:div w:id="729115664">
      <w:bodyDiv w:val="1"/>
      <w:marLeft w:val="0"/>
      <w:marRight w:val="0"/>
      <w:marTop w:val="0"/>
      <w:marBottom w:val="0"/>
      <w:divBdr>
        <w:top w:val="none" w:sz="0" w:space="0" w:color="auto"/>
        <w:left w:val="none" w:sz="0" w:space="0" w:color="auto"/>
        <w:bottom w:val="none" w:sz="0" w:space="0" w:color="auto"/>
        <w:right w:val="none" w:sz="0" w:space="0" w:color="auto"/>
      </w:divBdr>
      <w:divsChild>
        <w:div w:id="1648319155">
          <w:marLeft w:val="0"/>
          <w:marRight w:val="0"/>
          <w:marTop w:val="0"/>
          <w:marBottom w:val="0"/>
          <w:divBdr>
            <w:top w:val="none" w:sz="0" w:space="0" w:color="auto"/>
            <w:left w:val="none" w:sz="0" w:space="0" w:color="auto"/>
            <w:bottom w:val="none" w:sz="0" w:space="0" w:color="auto"/>
            <w:right w:val="none" w:sz="0" w:space="0" w:color="auto"/>
          </w:divBdr>
          <w:divsChild>
            <w:div w:id="185102493">
              <w:marLeft w:val="0"/>
              <w:marRight w:val="0"/>
              <w:marTop w:val="0"/>
              <w:marBottom w:val="0"/>
              <w:divBdr>
                <w:top w:val="none" w:sz="0" w:space="0" w:color="auto"/>
                <w:left w:val="none" w:sz="0" w:space="0" w:color="auto"/>
                <w:bottom w:val="none" w:sz="0" w:space="0" w:color="auto"/>
                <w:right w:val="none" w:sz="0" w:space="0" w:color="auto"/>
              </w:divBdr>
              <w:divsChild>
                <w:div w:id="420418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6435244">
      <w:bodyDiv w:val="1"/>
      <w:marLeft w:val="0"/>
      <w:marRight w:val="0"/>
      <w:marTop w:val="0"/>
      <w:marBottom w:val="0"/>
      <w:divBdr>
        <w:top w:val="none" w:sz="0" w:space="0" w:color="auto"/>
        <w:left w:val="none" w:sz="0" w:space="0" w:color="auto"/>
        <w:bottom w:val="none" w:sz="0" w:space="0" w:color="auto"/>
        <w:right w:val="none" w:sz="0" w:space="0" w:color="auto"/>
      </w:divBdr>
    </w:div>
    <w:div w:id="762454289">
      <w:bodyDiv w:val="1"/>
      <w:marLeft w:val="0"/>
      <w:marRight w:val="0"/>
      <w:marTop w:val="0"/>
      <w:marBottom w:val="0"/>
      <w:divBdr>
        <w:top w:val="none" w:sz="0" w:space="0" w:color="auto"/>
        <w:left w:val="none" w:sz="0" w:space="0" w:color="auto"/>
        <w:bottom w:val="none" w:sz="0" w:space="0" w:color="auto"/>
        <w:right w:val="none" w:sz="0" w:space="0" w:color="auto"/>
      </w:divBdr>
    </w:div>
    <w:div w:id="768768810">
      <w:bodyDiv w:val="1"/>
      <w:marLeft w:val="0"/>
      <w:marRight w:val="0"/>
      <w:marTop w:val="0"/>
      <w:marBottom w:val="0"/>
      <w:divBdr>
        <w:top w:val="none" w:sz="0" w:space="0" w:color="auto"/>
        <w:left w:val="none" w:sz="0" w:space="0" w:color="auto"/>
        <w:bottom w:val="none" w:sz="0" w:space="0" w:color="auto"/>
        <w:right w:val="none" w:sz="0" w:space="0" w:color="auto"/>
      </w:divBdr>
    </w:div>
    <w:div w:id="782918653">
      <w:bodyDiv w:val="1"/>
      <w:marLeft w:val="0"/>
      <w:marRight w:val="0"/>
      <w:marTop w:val="0"/>
      <w:marBottom w:val="0"/>
      <w:divBdr>
        <w:top w:val="none" w:sz="0" w:space="0" w:color="auto"/>
        <w:left w:val="none" w:sz="0" w:space="0" w:color="auto"/>
        <w:bottom w:val="none" w:sz="0" w:space="0" w:color="auto"/>
        <w:right w:val="none" w:sz="0" w:space="0" w:color="auto"/>
      </w:divBdr>
    </w:div>
    <w:div w:id="786311497">
      <w:bodyDiv w:val="1"/>
      <w:marLeft w:val="0"/>
      <w:marRight w:val="0"/>
      <w:marTop w:val="0"/>
      <w:marBottom w:val="0"/>
      <w:divBdr>
        <w:top w:val="none" w:sz="0" w:space="0" w:color="auto"/>
        <w:left w:val="none" w:sz="0" w:space="0" w:color="auto"/>
        <w:bottom w:val="none" w:sz="0" w:space="0" w:color="auto"/>
        <w:right w:val="none" w:sz="0" w:space="0" w:color="auto"/>
      </w:divBdr>
    </w:div>
    <w:div w:id="799301882">
      <w:bodyDiv w:val="1"/>
      <w:marLeft w:val="0"/>
      <w:marRight w:val="0"/>
      <w:marTop w:val="0"/>
      <w:marBottom w:val="0"/>
      <w:divBdr>
        <w:top w:val="none" w:sz="0" w:space="0" w:color="auto"/>
        <w:left w:val="none" w:sz="0" w:space="0" w:color="auto"/>
        <w:bottom w:val="none" w:sz="0" w:space="0" w:color="auto"/>
        <w:right w:val="none" w:sz="0" w:space="0" w:color="auto"/>
      </w:divBdr>
    </w:div>
    <w:div w:id="806361313">
      <w:bodyDiv w:val="1"/>
      <w:marLeft w:val="0"/>
      <w:marRight w:val="0"/>
      <w:marTop w:val="0"/>
      <w:marBottom w:val="0"/>
      <w:divBdr>
        <w:top w:val="none" w:sz="0" w:space="0" w:color="auto"/>
        <w:left w:val="none" w:sz="0" w:space="0" w:color="auto"/>
        <w:bottom w:val="none" w:sz="0" w:space="0" w:color="auto"/>
        <w:right w:val="none" w:sz="0" w:space="0" w:color="auto"/>
      </w:divBdr>
      <w:divsChild>
        <w:div w:id="643194801">
          <w:marLeft w:val="0"/>
          <w:marRight w:val="0"/>
          <w:marTop w:val="0"/>
          <w:marBottom w:val="0"/>
          <w:divBdr>
            <w:top w:val="none" w:sz="0" w:space="0" w:color="auto"/>
            <w:left w:val="none" w:sz="0" w:space="0" w:color="auto"/>
            <w:bottom w:val="none" w:sz="0" w:space="0" w:color="auto"/>
            <w:right w:val="none" w:sz="0" w:space="0" w:color="auto"/>
          </w:divBdr>
          <w:divsChild>
            <w:div w:id="233469744">
              <w:marLeft w:val="0"/>
              <w:marRight w:val="0"/>
              <w:marTop w:val="0"/>
              <w:marBottom w:val="0"/>
              <w:divBdr>
                <w:top w:val="none" w:sz="0" w:space="0" w:color="auto"/>
                <w:left w:val="none" w:sz="0" w:space="0" w:color="auto"/>
                <w:bottom w:val="none" w:sz="0" w:space="0" w:color="auto"/>
                <w:right w:val="none" w:sz="0" w:space="0" w:color="auto"/>
              </w:divBdr>
              <w:divsChild>
                <w:div w:id="444735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2261497">
      <w:bodyDiv w:val="1"/>
      <w:marLeft w:val="0"/>
      <w:marRight w:val="0"/>
      <w:marTop w:val="0"/>
      <w:marBottom w:val="0"/>
      <w:divBdr>
        <w:top w:val="none" w:sz="0" w:space="0" w:color="auto"/>
        <w:left w:val="none" w:sz="0" w:space="0" w:color="auto"/>
        <w:bottom w:val="none" w:sz="0" w:space="0" w:color="auto"/>
        <w:right w:val="none" w:sz="0" w:space="0" w:color="auto"/>
      </w:divBdr>
    </w:div>
    <w:div w:id="838037008">
      <w:bodyDiv w:val="1"/>
      <w:marLeft w:val="0"/>
      <w:marRight w:val="0"/>
      <w:marTop w:val="0"/>
      <w:marBottom w:val="0"/>
      <w:divBdr>
        <w:top w:val="none" w:sz="0" w:space="0" w:color="auto"/>
        <w:left w:val="none" w:sz="0" w:space="0" w:color="auto"/>
        <w:bottom w:val="none" w:sz="0" w:space="0" w:color="auto"/>
        <w:right w:val="none" w:sz="0" w:space="0" w:color="auto"/>
      </w:divBdr>
      <w:divsChild>
        <w:div w:id="314646375">
          <w:marLeft w:val="0"/>
          <w:marRight w:val="0"/>
          <w:marTop w:val="0"/>
          <w:marBottom w:val="0"/>
          <w:divBdr>
            <w:top w:val="none" w:sz="0" w:space="0" w:color="auto"/>
            <w:left w:val="none" w:sz="0" w:space="0" w:color="auto"/>
            <w:bottom w:val="none" w:sz="0" w:space="0" w:color="auto"/>
            <w:right w:val="none" w:sz="0" w:space="0" w:color="auto"/>
          </w:divBdr>
          <w:divsChild>
            <w:div w:id="1806971875">
              <w:marLeft w:val="0"/>
              <w:marRight w:val="0"/>
              <w:marTop w:val="0"/>
              <w:marBottom w:val="0"/>
              <w:divBdr>
                <w:top w:val="none" w:sz="0" w:space="0" w:color="auto"/>
                <w:left w:val="none" w:sz="0" w:space="0" w:color="auto"/>
                <w:bottom w:val="none" w:sz="0" w:space="0" w:color="auto"/>
                <w:right w:val="none" w:sz="0" w:space="0" w:color="auto"/>
              </w:divBdr>
              <w:divsChild>
                <w:div w:id="372310829">
                  <w:marLeft w:val="0"/>
                  <w:marRight w:val="0"/>
                  <w:marTop w:val="0"/>
                  <w:marBottom w:val="0"/>
                  <w:divBdr>
                    <w:top w:val="none" w:sz="0" w:space="0" w:color="auto"/>
                    <w:left w:val="none" w:sz="0" w:space="0" w:color="auto"/>
                    <w:bottom w:val="none" w:sz="0" w:space="0" w:color="auto"/>
                    <w:right w:val="none" w:sz="0" w:space="0" w:color="auto"/>
                  </w:divBdr>
                  <w:divsChild>
                    <w:div w:id="1093473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6791283">
      <w:bodyDiv w:val="1"/>
      <w:marLeft w:val="0"/>
      <w:marRight w:val="0"/>
      <w:marTop w:val="0"/>
      <w:marBottom w:val="0"/>
      <w:divBdr>
        <w:top w:val="none" w:sz="0" w:space="0" w:color="auto"/>
        <w:left w:val="none" w:sz="0" w:space="0" w:color="auto"/>
        <w:bottom w:val="none" w:sz="0" w:space="0" w:color="auto"/>
        <w:right w:val="none" w:sz="0" w:space="0" w:color="auto"/>
      </w:divBdr>
    </w:div>
    <w:div w:id="850608814">
      <w:bodyDiv w:val="1"/>
      <w:marLeft w:val="0"/>
      <w:marRight w:val="0"/>
      <w:marTop w:val="0"/>
      <w:marBottom w:val="0"/>
      <w:divBdr>
        <w:top w:val="none" w:sz="0" w:space="0" w:color="auto"/>
        <w:left w:val="none" w:sz="0" w:space="0" w:color="auto"/>
        <w:bottom w:val="none" w:sz="0" w:space="0" w:color="auto"/>
        <w:right w:val="none" w:sz="0" w:space="0" w:color="auto"/>
      </w:divBdr>
    </w:div>
    <w:div w:id="863402420">
      <w:bodyDiv w:val="1"/>
      <w:marLeft w:val="0"/>
      <w:marRight w:val="0"/>
      <w:marTop w:val="0"/>
      <w:marBottom w:val="0"/>
      <w:divBdr>
        <w:top w:val="none" w:sz="0" w:space="0" w:color="auto"/>
        <w:left w:val="none" w:sz="0" w:space="0" w:color="auto"/>
        <w:bottom w:val="none" w:sz="0" w:space="0" w:color="auto"/>
        <w:right w:val="none" w:sz="0" w:space="0" w:color="auto"/>
      </w:divBdr>
      <w:divsChild>
        <w:div w:id="843473905">
          <w:marLeft w:val="0"/>
          <w:marRight w:val="0"/>
          <w:marTop w:val="0"/>
          <w:marBottom w:val="0"/>
          <w:divBdr>
            <w:top w:val="none" w:sz="0" w:space="0" w:color="auto"/>
            <w:left w:val="none" w:sz="0" w:space="0" w:color="auto"/>
            <w:bottom w:val="none" w:sz="0" w:space="0" w:color="auto"/>
            <w:right w:val="none" w:sz="0" w:space="0" w:color="auto"/>
          </w:divBdr>
          <w:divsChild>
            <w:div w:id="77210724">
              <w:marLeft w:val="0"/>
              <w:marRight w:val="0"/>
              <w:marTop w:val="0"/>
              <w:marBottom w:val="0"/>
              <w:divBdr>
                <w:top w:val="none" w:sz="0" w:space="0" w:color="auto"/>
                <w:left w:val="none" w:sz="0" w:space="0" w:color="auto"/>
                <w:bottom w:val="none" w:sz="0" w:space="0" w:color="auto"/>
                <w:right w:val="none" w:sz="0" w:space="0" w:color="auto"/>
              </w:divBdr>
              <w:divsChild>
                <w:div w:id="393047498">
                  <w:marLeft w:val="0"/>
                  <w:marRight w:val="0"/>
                  <w:marTop w:val="0"/>
                  <w:marBottom w:val="0"/>
                  <w:divBdr>
                    <w:top w:val="none" w:sz="0" w:space="0" w:color="auto"/>
                    <w:left w:val="none" w:sz="0" w:space="0" w:color="auto"/>
                    <w:bottom w:val="none" w:sz="0" w:space="0" w:color="auto"/>
                    <w:right w:val="none" w:sz="0" w:space="0" w:color="auto"/>
                  </w:divBdr>
                  <w:divsChild>
                    <w:div w:id="2028479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3791393">
      <w:bodyDiv w:val="1"/>
      <w:marLeft w:val="0"/>
      <w:marRight w:val="0"/>
      <w:marTop w:val="0"/>
      <w:marBottom w:val="0"/>
      <w:divBdr>
        <w:top w:val="none" w:sz="0" w:space="0" w:color="auto"/>
        <w:left w:val="none" w:sz="0" w:space="0" w:color="auto"/>
        <w:bottom w:val="none" w:sz="0" w:space="0" w:color="auto"/>
        <w:right w:val="none" w:sz="0" w:space="0" w:color="auto"/>
      </w:divBdr>
    </w:div>
    <w:div w:id="874344917">
      <w:bodyDiv w:val="1"/>
      <w:marLeft w:val="0"/>
      <w:marRight w:val="0"/>
      <w:marTop w:val="0"/>
      <w:marBottom w:val="0"/>
      <w:divBdr>
        <w:top w:val="none" w:sz="0" w:space="0" w:color="auto"/>
        <w:left w:val="none" w:sz="0" w:space="0" w:color="auto"/>
        <w:bottom w:val="none" w:sz="0" w:space="0" w:color="auto"/>
        <w:right w:val="none" w:sz="0" w:space="0" w:color="auto"/>
      </w:divBdr>
      <w:divsChild>
        <w:div w:id="855269177">
          <w:marLeft w:val="0"/>
          <w:marRight w:val="0"/>
          <w:marTop w:val="0"/>
          <w:marBottom w:val="0"/>
          <w:divBdr>
            <w:top w:val="none" w:sz="0" w:space="0" w:color="auto"/>
            <w:left w:val="none" w:sz="0" w:space="0" w:color="auto"/>
            <w:bottom w:val="none" w:sz="0" w:space="0" w:color="auto"/>
            <w:right w:val="none" w:sz="0" w:space="0" w:color="auto"/>
          </w:divBdr>
          <w:divsChild>
            <w:div w:id="304546627">
              <w:marLeft w:val="0"/>
              <w:marRight w:val="0"/>
              <w:marTop w:val="0"/>
              <w:marBottom w:val="0"/>
              <w:divBdr>
                <w:top w:val="none" w:sz="0" w:space="0" w:color="auto"/>
                <w:left w:val="none" w:sz="0" w:space="0" w:color="auto"/>
                <w:bottom w:val="none" w:sz="0" w:space="0" w:color="auto"/>
                <w:right w:val="none" w:sz="0" w:space="0" w:color="auto"/>
              </w:divBdr>
              <w:divsChild>
                <w:div w:id="451286291">
                  <w:marLeft w:val="0"/>
                  <w:marRight w:val="0"/>
                  <w:marTop w:val="0"/>
                  <w:marBottom w:val="0"/>
                  <w:divBdr>
                    <w:top w:val="none" w:sz="0" w:space="0" w:color="auto"/>
                    <w:left w:val="none" w:sz="0" w:space="0" w:color="auto"/>
                    <w:bottom w:val="none" w:sz="0" w:space="0" w:color="auto"/>
                    <w:right w:val="none" w:sz="0" w:space="0" w:color="auto"/>
                  </w:divBdr>
                  <w:divsChild>
                    <w:div w:id="2110194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9513965">
      <w:bodyDiv w:val="1"/>
      <w:marLeft w:val="0"/>
      <w:marRight w:val="0"/>
      <w:marTop w:val="0"/>
      <w:marBottom w:val="0"/>
      <w:divBdr>
        <w:top w:val="none" w:sz="0" w:space="0" w:color="auto"/>
        <w:left w:val="none" w:sz="0" w:space="0" w:color="auto"/>
        <w:bottom w:val="none" w:sz="0" w:space="0" w:color="auto"/>
        <w:right w:val="none" w:sz="0" w:space="0" w:color="auto"/>
      </w:divBdr>
    </w:div>
    <w:div w:id="879821228">
      <w:bodyDiv w:val="1"/>
      <w:marLeft w:val="0"/>
      <w:marRight w:val="0"/>
      <w:marTop w:val="0"/>
      <w:marBottom w:val="0"/>
      <w:divBdr>
        <w:top w:val="none" w:sz="0" w:space="0" w:color="auto"/>
        <w:left w:val="none" w:sz="0" w:space="0" w:color="auto"/>
        <w:bottom w:val="none" w:sz="0" w:space="0" w:color="auto"/>
        <w:right w:val="none" w:sz="0" w:space="0" w:color="auto"/>
      </w:divBdr>
      <w:divsChild>
        <w:div w:id="210117018">
          <w:marLeft w:val="0"/>
          <w:marRight w:val="0"/>
          <w:marTop w:val="0"/>
          <w:marBottom w:val="0"/>
          <w:divBdr>
            <w:top w:val="none" w:sz="0" w:space="0" w:color="auto"/>
            <w:left w:val="none" w:sz="0" w:space="0" w:color="auto"/>
            <w:bottom w:val="none" w:sz="0" w:space="0" w:color="auto"/>
            <w:right w:val="none" w:sz="0" w:space="0" w:color="auto"/>
          </w:divBdr>
          <w:divsChild>
            <w:div w:id="500706227">
              <w:marLeft w:val="0"/>
              <w:marRight w:val="0"/>
              <w:marTop w:val="0"/>
              <w:marBottom w:val="0"/>
              <w:divBdr>
                <w:top w:val="none" w:sz="0" w:space="0" w:color="auto"/>
                <w:left w:val="none" w:sz="0" w:space="0" w:color="auto"/>
                <w:bottom w:val="none" w:sz="0" w:space="0" w:color="auto"/>
                <w:right w:val="none" w:sz="0" w:space="0" w:color="auto"/>
              </w:divBdr>
              <w:divsChild>
                <w:div w:id="2109349564">
                  <w:marLeft w:val="0"/>
                  <w:marRight w:val="0"/>
                  <w:marTop w:val="0"/>
                  <w:marBottom w:val="0"/>
                  <w:divBdr>
                    <w:top w:val="none" w:sz="0" w:space="0" w:color="auto"/>
                    <w:left w:val="none" w:sz="0" w:space="0" w:color="auto"/>
                    <w:bottom w:val="none" w:sz="0" w:space="0" w:color="auto"/>
                    <w:right w:val="none" w:sz="0" w:space="0" w:color="auto"/>
                  </w:divBdr>
                  <w:divsChild>
                    <w:div w:id="159975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1019150">
      <w:bodyDiv w:val="1"/>
      <w:marLeft w:val="0"/>
      <w:marRight w:val="0"/>
      <w:marTop w:val="0"/>
      <w:marBottom w:val="0"/>
      <w:divBdr>
        <w:top w:val="none" w:sz="0" w:space="0" w:color="auto"/>
        <w:left w:val="none" w:sz="0" w:space="0" w:color="auto"/>
        <w:bottom w:val="none" w:sz="0" w:space="0" w:color="auto"/>
        <w:right w:val="none" w:sz="0" w:space="0" w:color="auto"/>
      </w:divBdr>
    </w:div>
    <w:div w:id="882180171">
      <w:bodyDiv w:val="1"/>
      <w:marLeft w:val="0"/>
      <w:marRight w:val="0"/>
      <w:marTop w:val="0"/>
      <w:marBottom w:val="0"/>
      <w:divBdr>
        <w:top w:val="none" w:sz="0" w:space="0" w:color="auto"/>
        <w:left w:val="none" w:sz="0" w:space="0" w:color="auto"/>
        <w:bottom w:val="none" w:sz="0" w:space="0" w:color="auto"/>
        <w:right w:val="none" w:sz="0" w:space="0" w:color="auto"/>
      </w:divBdr>
      <w:divsChild>
        <w:div w:id="1970476311">
          <w:marLeft w:val="0"/>
          <w:marRight w:val="0"/>
          <w:marTop w:val="0"/>
          <w:marBottom w:val="0"/>
          <w:divBdr>
            <w:top w:val="none" w:sz="0" w:space="0" w:color="auto"/>
            <w:left w:val="none" w:sz="0" w:space="0" w:color="auto"/>
            <w:bottom w:val="none" w:sz="0" w:space="0" w:color="auto"/>
            <w:right w:val="none" w:sz="0" w:space="0" w:color="auto"/>
          </w:divBdr>
          <w:divsChild>
            <w:div w:id="1739665097">
              <w:marLeft w:val="0"/>
              <w:marRight w:val="0"/>
              <w:marTop w:val="0"/>
              <w:marBottom w:val="0"/>
              <w:divBdr>
                <w:top w:val="none" w:sz="0" w:space="0" w:color="auto"/>
                <w:left w:val="none" w:sz="0" w:space="0" w:color="auto"/>
                <w:bottom w:val="none" w:sz="0" w:space="0" w:color="auto"/>
                <w:right w:val="none" w:sz="0" w:space="0" w:color="auto"/>
              </w:divBdr>
              <w:divsChild>
                <w:div w:id="1674406368">
                  <w:marLeft w:val="0"/>
                  <w:marRight w:val="0"/>
                  <w:marTop w:val="0"/>
                  <w:marBottom w:val="0"/>
                  <w:divBdr>
                    <w:top w:val="none" w:sz="0" w:space="0" w:color="auto"/>
                    <w:left w:val="none" w:sz="0" w:space="0" w:color="auto"/>
                    <w:bottom w:val="none" w:sz="0" w:space="0" w:color="auto"/>
                    <w:right w:val="none" w:sz="0" w:space="0" w:color="auto"/>
                  </w:divBdr>
                  <w:divsChild>
                    <w:div w:id="1795445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5525517">
      <w:bodyDiv w:val="1"/>
      <w:marLeft w:val="0"/>
      <w:marRight w:val="0"/>
      <w:marTop w:val="0"/>
      <w:marBottom w:val="0"/>
      <w:divBdr>
        <w:top w:val="none" w:sz="0" w:space="0" w:color="auto"/>
        <w:left w:val="none" w:sz="0" w:space="0" w:color="auto"/>
        <w:bottom w:val="none" w:sz="0" w:space="0" w:color="auto"/>
        <w:right w:val="none" w:sz="0" w:space="0" w:color="auto"/>
      </w:divBdr>
    </w:div>
    <w:div w:id="900679375">
      <w:bodyDiv w:val="1"/>
      <w:marLeft w:val="0"/>
      <w:marRight w:val="0"/>
      <w:marTop w:val="0"/>
      <w:marBottom w:val="0"/>
      <w:divBdr>
        <w:top w:val="none" w:sz="0" w:space="0" w:color="auto"/>
        <w:left w:val="none" w:sz="0" w:space="0" w:color="auto"/>
        <w:bottom w:val="none" w:sz="0" w:space="0" w:color="auto"/>
        <w:right w:val="none" w:sz="0" w:space="0" w:color="auto"/>
      </w:divBdr>
    </w:div>
    <w:div w:id="913592798">
      <w:bodyDiv w:val="1"/>
      <w:marLeft w:val="0"/>
      <w:marRight w:val="0"/>
      <w:marTop w:val="0"/>
      <w:marBottom w:val="0"/>
      <w:divBdr>
        <w:top w:val="none" w:sz="0" w:space="0" w:color="auto"/>
        <w:left w:val="none" w:sz="0" w:space="0" w:color="auto"/>
        <w:bottom w:val="none" w:sz="0" w:space="0" w:color="auto"/>
        <w:right w:val="none" w:sz="0" w:space="0" w:color="auto"/>
      </w:divBdr>
      <w:divsChild>
        <w:div w:id="1530216904">
          <w:marLeft w:val="0"/>
          <w:marRight w:val="0"/>
          <w:marTop w:val="0"/>
          <w:marBottom w:val="0"/>
          <w:divBdr>
            <w:top w:val="none" w:sz="0" w:space="0" w:color="auto"/>
            <w:left w:val="none" w:sz="0" w:space="0" w:color="auto"/>
            <w:bottom w:val="none" w:sz="0" w:space="0" w:color="auto"/>
            <w:right w:val="none" w:sz="0" w:space="0" w:color="auto"/>
          </w:divBdr>
          <w:divsChild>
            <w:div w:id="1853833306">
              <w:marLeft w:val="0"/>
              <w:marRight w:val="0"/>
              <w:marTop w:val="0"/>
              <w:marBottom w:val="0"/>
              <w:divBdr>
                <w:top w:val="none" w:sz="0" w:space="0" w:color="auto"/>
                <w:left w:val="none" w:sz="0" w:space="0" w:color="auto"/>
                <w:bottom w:val="none" w:sz="0" w:space="0" w:color="auto"/>
                <w:right w:val="none" w:sz="0" w:space="0" w:color="auto"/>
              </w:divBdr>
              <w:divsChild>
                <w:div w:id="899441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444696">
      <w:bodyDiv w:val="1"/>
      <w:marLeft w:val="0"/>
      <w:marRight w:val="0"/>
      <w:marTop w:val="0"/>
      <w:marBottom w:val="0"/>
      <w:divBdr>
        <w:top w:val="none" w:sz="0" w:space="0" w:color="auto"/>
        <w:left w:val="none" w:sz="0" w:space="0" w:color="auto"/>
        <w:bottom w:val="none" w:sz="0" w:space="0" w:color="auto"/>
        <w:right w:val="none" w:sz="0" w:space="0" w:color="auto"/>
      </w:divBdr>
    </w:div>
    <w:div w:id="924991700">
      <w:bodyDiv w:val="1"/>
      <w:marLeft w:val="0"/>
      <w:marRight w:val="0"/>
      <w:marTop w:val="0"/>
      <w:marBottom w:val="0"/>
      <w:divBdr>
        <w:top w:val="none" w:sz="0" w:space="0" w:color="auto"/>
        <w:left w:val="none" w:sz="0" w:space="0" w:color="auto"/>
        <w:bottom w:val="none" w:sz="0" w:space="0" w:color="auto"/>
        <w:right w:val="none" w:sz="0" w:space="0" w:color="auto"/>
      </w:divBdr>
    </w:div>
    <w:div w:id="974338104">
      <w:bodyDiv w:val="1"/>
      <w:marLeft w:val="0"/>
      <w:marRight w:val="0"/>
      <w:marTop w:val="0"/>
      <w:marBottom w:val="0"/>
      <w:divBdr>
        <w:top w:val="none" w:sz="0" w:space="0" w:color="auto"/>
        <w:left w:val="none" w:sz="0" w:space="0" w:color="auto"/>
        <w:bottom w:val="none" w:sz="0" w:space="0" w:color="auto"/>
        <w:right w:val="none" w:sz="0" w:space="0" w:color="auto"/>
      </w:divBdr>
      <w:divsChild>
        <w:div w:id="2102069840">
          <w:marLeft w:val="0"/>
          <w:marRight w:val="0"/>
          <w:marTop w:val="0"/>
          <w:marBottom w:val="0"/>
          <w:divBdr>
            <w:top w:val="none" w:sz="0" w:space="0" w:color="auto"/>
            <w:left w:val="none" w:sz="0" w:space="0" w:color="auto"/>
            <w:bottom w:val="none" w:sz="0" w:space="0" w:color="auto"/>
            <w:right w:val="none" w:sz="0" w:space="0" w:color="auto"/>
          </w:divBdr>
          <w:divsChild>
            <w:div w:id="1310746157">
              <w:marLeft w:val="0"/>
              <w:marRight w:val="0"/>
              <w:marTop w:val="0"/>
              <w:marBottom w:val="0"/>
              <w:divBdr>
                <w:top w:val="none" w:sz="0" w:space="0" w:color="auto"/>
                <w:left w:val="none" w:sz="0" w:space="0" w:color="auto"/>
                <w:bottom w:val="none" w:sz="0" w:space="0" w:color="auto"/>
                <w:right w:val="none" w:sz="0" w:space="0" w:color="auto"/>
              </w:divBdr>
              <w:divsChild>
                <w:div w:id="149832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2029650">
      <w:bodyDiv w:val="1"/>
      <w:marLeft w:val="0"/>
      <w:marRight w:val="0"/>
      <w:marTop w:val="0"/>
      <w:marBottom w:val="0"/>
      <w:divBdr>
        <w:top w:val="none" w:sz="0" w:space="0" w:color="auto"/>
        <w:left w:val="none" w:sz="0" w:space="0" w:color="auto"/>
        <w:bottom w:val="none" w:sz="0" w:space="0" w:color="auto"/>
        <w:right w:val="none" w:sz="0" w:space="0" w:color="auto"/>
      </w:divBdr>
    </w:div>
    <w:div w:id="1013655011">
      <w:bodyDiv w:val="1"/>
      <w:marLeft w:val="0"/>
      <w:marRight w:val="0"/>
      <w:marTop w:val="0"/>
      <w:marBottom w:val="0"/>
      <w:divBdr>
        <w:top w:val="none" w:sz="0" w:space="0" w:color="auto"/>
        <w:left w:val="none" w:sz="0" w:space="0" w:color="auto"/>
        <w:bottom w:val="none" w:sz="0" w:space="0" w:color="auto"/>
        <w:right w:val="none" w:sz="0" w:space="0" w:color="auto"/>
      </w:divBdr>
      <w:divsChild>
        <w:div w:id="2095542952">
          <w:marLeft w:val="0"/>
          <w:marRight w:val="0"/>
          <w:marTop w:val="0"/>
          <w:marBottom w:val="0"/>
          <w:divBdr>
            <w:top w:val="none" w:sz="0" w:space="0" w:color="auto"/>
            <w:left w:val="none" w:sz="0" w:space="0" w:color="auto"/>
            <w:bottom w:val="none" w:sz="0" w:space="0" w:color="auto"/>
            <w:right w:val="none" w:sz="0" w:space="0" w:color="auto"/>
          </w:divBdr>
          <w:divsChild>
            <w:div w:id="81221414">
              <w:marLeft w:val="0"/>
              <w:marRight w:val="0"/>
              <w:marTop w:val="0"/>
              <w:marBottom w:val="0"/>
              <w:divBdr>
                <w:top w:val="none" w:sz="0" w:space="0" w:color="auto"/>
                <w:left w:val="none" w:sz="0" w:space="0" w:color="auto"/>
                <w:bottom w:val="none" w:sz="0" w:space="0" w:color="auto"/>
                <w:right w:val="none" w:sz="0" w:space="0" w:color="auto"/>
              </w:divBdr>
              <w:divsChild>
                <w:div w:id="87327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3242791">
      <w:bodyDiv w:val="1"/>
      <w:marLeft w:val="0"/>
      <w:marRight w:val="0"/>
      <w:marTop w:val="0"/>
      <w:marBottom w:val="0"/>
      <w:divBdr>
        <w:top w:val="none" w:sz="0" w:space="0" w:color="auto"/>
        <w:left w:val="none" w:sz="0" w:space="0" w:color="auto"/>
        <w:bottom w:val="none" w:sz="0" w:space="0" w:color="auto"/>
        <w:right w:val="none" w:sz="0" w:space="0" w:color="auto"/>
      </w:divBdr>
    </w:div>
    <w:div w:id="1029186101">
      <w:bodyDiv w:val="1"/>
      <w:marLeft w:val="0"/>
      <w:marRight w:val="0"/>
      <w:marTop w:val="0"/>
      <w:marBottom w:val="0"/>
      <w:divBdr>
        <w:top w:val="none" w:sz="0" w:space="0" w:color="auto"/>
        <w:left w:val="none" w:sz="0" w:space="0" w:color="auto"/>
        <w:bottom w:val="none" w:sz="0" w:space="0" w:color="auto"/>
        <w:right w:val="none" w:sz="0" w:space="0" w:color="auto"/>
      </w:divBdr>
    </w:div>
    <w:div w:id="1034813633">
      <w:bodyDiv w:val="1"/>
      <w:marLeft w:val="0"/>
      <w:marRight w:val="0"/>
      <w:marTop w:val="0"/>
      <w:marBottom w:val="0"/>
      <w:divBdr>
        <w:top w:val="none" w:sz="0" w:space="0" w:color="auto"/>
        <w:left w:val="none" w:sz="0" w:space="0" w:color="auto"/>
        <w:bottom w:val="none" w:sz="0" w:space="0" w:color="auto"/>
        <w:right w:val="none" w:sz="0" w:space="0" w:color="auto"/>
      </w:divBdr>
    </w:div>
    <w:div w:id="1039623060">
      <w:bodyDiv w:val="1"/>
      <w:marLeft w:val="0"/>
      <w:marRight w:val="0"/>
      <w:marTop w:val="0"/>
      <w:marBottom w:val="0"/>
      <w:divBdr>
        <w:top w:val="none" w:sz="0" w:space="0" w:color="auto"/>
        <w:left w:val="none" w:sz="0" w:space="0" w:color="auto"/>
        <w:bottom w:val="none" w:sz="0" w:space="0" w:color="auto"/>
        <w:right w:val="none" w:sz="0" w:space="0" w:color="auto"/>
      </w:divBdr>
    </w:div>
    <w:div w:id="1052778160">
      <w:bodyDiv w:val="1"/>
      <w:marLeft w:val="0"/>
      <w:marRight w:val="0"/>
      <w:marTop w:val="0"/>
      <w:marBottom w:val="0"/>
      <w:divBdr>
        <w:top w:val="none" w:sz="0" w:space="0" w:color="auto"/>
        <w:left w:val="none" w:sz="0" w:space="0" w:color="auto"/>
        <w:bottom w:val="none" w:sz="0" w:space="0" w:color="auto"/>
        <w:right w:val="none" w:sz="0" w:space="0" w:color="auto"/>
      </w:divBdr>
    </w:div>
    <w:div w:id="1057163918">
      <w:bodyDiv w:val="1"/>
      <w:marLeft w:val="0"/>
      <w:marRight w:val="0"/>
      <w:marTop w:val="0"/>
      <w:marBottom w:val="0"/>
      <w:divBdr>
        <w:top w:val="none" w:sz="0" w:space="0" w:color="auto"/>
        <w:left w:val="none" w:sz="0" w:space="0" w:color="auto"/>
        <w:bottom w:val="none" w:sz="0" w:space="0" w:color="auto"/>
        <w:right w:val="none" w:sz="0" w:space="0" w:color="auto"/>
      </w:divBdr>
    </w:div>
    <w:div w:id="1084573221">
      <w:bodyDiv w:val="1"/>
      <w:marLeft w:val="0"/>
      <w:marRight w:val="0"/>
      <w:marTop w:val="0"/>
      <w:marBottom w:val="0"/>
      <w:divBdr>
        <w:top w:val="none" w:sz="0" w:space="0" w:color="auto"/>
        <w:left w:val="none" w:sz="0" w:space="0" w:color="auto"/>
        <w:bottom w:val="none" w:sz="0" w:space="0" w:color="auto"/>
        <w:right w:val="none" w:sz="0" w:space="0" w:color="auto"/>
      </w:divBdr>
      <w:divsChild>
        <w:div w:id="1585601417">
          <w:marLeft w:val="0"/>
          <w:marRight w:val="0"/>
          <w:marTop w:val="0"/>
          <w:marBottom w:val="0"/>
          <w:divBdr>
            <w:top w:val="none" w:sz="0" w:space="0" w:color="auto"/>
            <w:left w:val="none" w:sz="0" w:space="0" w:color="auto"/>
            <w:bottom w:val="none" w:sz="0" w:space="0" w:color="auto"/>
            <w:right w:val="none" w:sz="0" w:space="0" w:color="auto"/>
          </w:divBdr>
          <w:divsChild>
            <w:div w:id="1623149699">
              <w:marLeft w:val="0"/>
              <w:marRight w:val="0"/>
              <w:marTop w:val="0"/>
              <w:marBottom w:val="0"/>
              <w:divBdr>
                <w:top w:val="none" w:sz="0" w:space="0" w:color="auto"/>
                <w:left w:val="none" w:sz="0" w:space="0" w:color="auto"/>
                <w:bottom w:val="none" w:sz="0" w:space="0" w:color="auto"/>
                <w:right w:val="none" w:sz="0" w:space="0" w:color="auto"/>
              </w:divBdr>
              <w:divsChild>
                <w:div w:id="937256826">
                  <w:marLeft w:val="0"/>
                  <w:marRight w:val="0"/>
                  <w:marTop w:val="0"/>
                  <w:marBottom w:val="0"/>
                  <w:divBdr>
                    <w:top w:val="none" w:sz="0" w:space="0" w:color="auto"/>
                    <w:left w:val="none" w:sz="0" w:space="0" w:color="auto"/>
                    <w:bottom w:val="none" w:sz="0" w:space="0" w:color="auto"/>
                    <w:right w:val="none" w:sz="0" w:space="0" w:color="auto"/>
                  </w:divBdr>
                  <w:divsChild>
                    <w:div w:id="1895657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9935248">
      <w:bodyDiv w:val="1"/>
      <w:marLeft w:val="0"/>
      <w:marRight w:val="0"/>
      <w:marTop w:val="0"/>
      <w:marBottom w:val="0"/>
      <w:divBdr>
        <w:top w:val="none" w:sz="0" w:space="0" w:color="auto"/>
        <w:left w:val="none" w:sz="0" w:space="0" w:color="auto"/>
        <w:bottom w:val="none" w:sz="0" w:space="0" w:color="auto"/>
        <w:right w:val="none" w:sz="0" w:space="0" w:color="auto"/>
      </w:divBdr>
      <w:divsChild>
        <w:div w:id="426392769">
          <w:marLeft w:val="0"/>
          <w:marRight w:val="0"/>
          <w:marTop w:val="0"/>
          <w:marBottom w:val="0"/>
          <w:divBdr>
            <w:top w:val="none" w:sz="0" w:space="0" w:color="auto"/>
            <w:left w:val="none" w:sz="0" w:space="0" w:color="auto"/>
            <w:bottom w:val="none" w:sz="0" w:space="0" w:color="auto"/>
            <w:right w:val="none" w:sz="0" w:space="0" w:color="auto"/>
          </w:divBdr>
          <w:divsChild>
            <w:div w:id="1669361929">
              <w:marLeft w:val="0"/>
              <w:marRight w:val="0"/>
              <w:marTop w:val="0"/>
              <w:marBottom w:val="0"/>
              <w:divBdr>
                <w:top w:val="none" w:sz="0" w:space="0" w:color="auto"/>
                <w:left w:val="none" w:sz="0" w:space="0" w:color="auto"/>
                <w:bottom w:val="none" w:sz="0" w:space="0" w:color="auto"/>
                <w:right w:val="none" w:sz="0" w:space="0" w:color="auto"/>
              </w:divBdr>
              <w:divsChild>
                <w:div w:id="479729581">
                  <w:marLeft w:val="0"/>
                  <w:marRight w:val="0"/>
                  <w:marTop w:val="0"/>
                  <w:marBottom w:val="0"/>
                  <w:divBdr>
                    <w:top w:val="none" w:sz="0" w:space="0" w:color="auto"/>
                    <w:left w:val="none" w:sz="0" w:space="0" w:color="auto"/>
                    <w:bottom w:val="none" w:sz="0" w:space="0" w:color="auto"/>
                    <w:right w:val="none" w:sz="0" w:space="0" w:color="auto"/>
                  </w:divBdr>
                  <w:divsChild>
                    <w:div w:id="705910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2111091">
      <w:bodyDiv w:val="1"/>
      <w:marLeft w:val="0"/>
      <w:marRight w:val="0"/>
      <w:marTop w:val="0"/>
      <w:marBottom w:val="0"/>
      <w:divBdr>
        <w:top w:val="none" w:sz="0" w:space="0" w:color="auto"/>
        <w:left w:val="none" w:sz="0" w:space="0" w:color="auto"/>
        <w:bottom w:val="none" w:sz="0" w:space="0" w:color="auto"/>
        <w:right w:val="none" w:sz="0" w:space="0" w:color="auto"/>
      </w:divBdr>
    </w:div>
    <w:div w:id="1136684356">
      <w:bodyDiv w:val="1"/>
      <w:marLeft w:val="0"/>
      <w:marRight w:val="0"/>
      <w:marTop w:val="0"/>
      <w:marBottom w:val="0"/>
      <w:divBdr>
        <w:top w:val="none" w:sz="0" w:space="0" w:color="auto"/>
        <w:left w:val="none" w:sz="0" w:space="0" w:color="auto"/>
        <w:bottom w:val="none" w:sz="0" w:space="0" w:color="auto"/>
        <w:right w:val="none" w:sz="0" w:space="0" w:color="auto"/>
      </w:divBdr>
      <w:divsChild>
        <w:div w:id="522211278">
          <w:marLeft w:val="0"/>
          <w:marRight w:val="0"/>
          <w:marTop w:val="0"/>
          <w:marBottom w:val="0"/>
          <w:divBdr>
            <w:top w:val="none" w:sz="0" w:space="0" w:color="auto"/>
            <w:left w:val="none" w:sz="0" w:space="0" w:color="auto"/>
            <w:bottom w:val="none" w:sz="0" w:space="0" w:color="auto"/>
            <w:right w:val="none" w:sz="0" w:space="0" w:color="auto"/>
          </w:divBdr>
          <w:divsChild>
            <w:div w:id="1016419381">
              <w:marLeft w:val="0"/>
              <w:marRight w:val="0"/>
              <w:marTop w:val="0"/>
              <w:marBottom w:val="0"/>
              <w:divBdr>
                <w:top w:val="none" w:sz="0" w:space="0" w:color="auto"/>
                <w:left w:val="none" w:sz="0" w:space="0" w:color="auto"/>
                <w:bottom w:val="none" w:sz="0" w:space="0" w:color="auto"/>
                <w:right w:val="none" w:sz="0" w:space="0" w:color="auto"/>
              </w:divBdr>
              <w:divsChild>
                <w:div w:id="1099065223">
                  <w:marLeft w:val="0"/>
                  <w:marRight w:val="0"/>
                  <w:marTop w:val="0"/>
                  <w:marBottom w:val="0"/>
                  <w:divBdr>
                    <w:top w:val="none" w:sz="0" w:space="0" w:color="auto"/>
                    <w:left w:val="none" w:sz="0" w:space="0" w:color="auto"/>
                    <w:bottom w:val="none" w:sz="0" w:space="0" w:color="auto"/>
                    <w:right w:val="none" w:sz="0" w:space="0" w:color="auto"/>
                  </w:divBdr>
                  <w:divsChild>
                    <w:div w:id="972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0708478">
      <w:bodyDiv w:val="1"/>
      <w:marLeft w:val="0"/>
      <w:marRight w:val="0"/>
      <w:marTop w:val="0"/>
      <w:marBottom w:val="0"/>
      <w:divBdr>
        <w:top w:val="none" w:sz="0" w:space="0" w:color="auto"/>
        <w:left w:val="none" w:sz="0" w:space="0" w:color="auto"/>
        <w:bottom w:val="none" w:sz="0" w:space="0" w:color="auto"/>
        <w:right w:val="none" w:sz="0" w:space="0" w:color="auto"/>
      </w:divBdr>
      <w:divsChild>
        <w:div w:id="253129634">
          <w:marLeft w:val="0"/>
          <w:marRight w:val="0"/>
          <w:marTop w:val="0"/>
          <w:marBottom w:val="0"/>
          <w:divBdr>
            <w:top w:val="none" w:sz="0" w:space="0" w:color="auto"/>
            <w:left w:val="none" w:sz="0" w:space="0" w:color="auto"/>
            <w:bottom w:val="none" w:sz="0" w:space="0" w:color="auto"/>
            <w:right w:val="none" w:sz="0" w:space="0" w:color="auto"/>
          </w:divBdr>
          <w:divsChild>
            <w:div w:id="26834776">
              <w:marLeft w:val="0"/>
              <w:marRight w:val="0"/>
              <w:marTop w:val="0"/>
              <w:marBottom w:val="0"/>
              <w:divBdr>
                <w:top w:val="none" w:sz="0" w:space="0" w:color="auto"/>
                <w:left w:val="none" w:sz="0" w:space="0" w:color="auto"/>
                <w:bottom w:val="none" w:sz="0" w:space="0" w:color="auto"/>
                <w:right w:val="none" w:sz="0" w:space="0" w:color="auto"/>
              </w:divBdr>
              <w:divsChild>
                <w:div w:id="1866752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1798494">
      <w:bodyDiv w:val="1"/>
      <w:marLeft w:val="0"/>
      <w:marRight w:val="0"/>
      <w:marTop w:val="0"/>
      <w:marBottom w:val="0"/>
      <w:divBdr>
        <w:top w:val="none" w:sz="0" w:space="0" w:color="auto"/>
        <w:left w:val="none" w:sz="0" w:space="0" w:color="auto"/>
        <w:bottom w:val="none" w:sz="0" w:space="0" w:color="auto"/>
        <w:right w:val="none" w:sz="0" w:space="0" w:color="auto"/>
      </w:divBdr>
    </w:div>
    <w:div w:id="1154372215">
      <w:bodyDiv w:val="1"/>
      <w:marLeft w:val="0"/>
      <w:marRight w:val="0"/>
      <w:marTop w:val="0"/>
      <w:marBottom w:val="0"/>
      <w:divBdr>
        <w:top w:val="none" w:sz="0" w:space="0" w:color="auto"/>
        <w:left w:val="none" w:sz="0" w:space="0" w:color="auto"/>
        <w:bottom w:val="none" w:sz="0" w:space="0" w:color="auto"/>
        <w:right w:val="none" w:sz="0" w:space="0" w:color="auto"/>
      </w:divBdr>
    </w:div>
    <w:div w:id="1154638303">
      <w:bodyDiv w:val="1"/>
      <w:marLeft w:val="0"/>
      <w:marRight w:val="0"/>
      <w:marTop w:val="0"/>
      <w:marBottom w:val="0"/>
      <w:divBdr>
        <w:top w:val="none" w:sz="0" w:space="0" w:color="auto"/>
        <w:left w:val="none" w:sz="0" w:space="0" w:color="auto"/>
        <w:bottom w:val="none" w:sz="0" w:space="0" w:color="auto"/>
        <w:right w:val="none" w:sz="0" w:space="0" w:color="auto"/>
      </w:divBdr>
    </w:div>
    <w:div w:id="1166092351">
      <w:bodyDiv w:val="1"/>
      <w:marLeft w:val="0"/>
      <w:marRight w:val="0"/>
      <w:marTop w:val="0"/>
      <w:marBottom w:val="0"/>
      <w:divBdr>
        <w:top w:val="none" w:sz="0" w:space="0" w:color="auto"/>
        <w:left w:val="none" w:sz="0" w:space="0" w:color="auto"/>
        <w:bottom w:val="none" w:sz="0" w:space="0" w:color="auto"/>
        <w:right w:val="none" w:sz="0" w:space="0" w:color="auto"/>
      </w:divBdr>
    </w:div>
    <w:div w:id="1172601075">
      <w:bodyDiv w:val="1"/>
      <w:marLeft w:val="0"/>
      <w:marRight w:val="0"/>
      <w:marTop w:val="0"/>
      <w:marBottom w:val="0"/>
      <w:divBdr>
        <w:top w:val="none" w:sz="0" w:space="0" w:color="auto"/>
        <w:left w:val="none" w:sz="0" w:space="0" w:color="auto"/>
        <w:bottom w:val="none" w:sz="0" w:space="0" w:color="auto"/>
        <w:right w:val="none" w:sz="0" w:space="0" w:color="auto"/>
      </w:divBdr>
    </w:div>
    <w:div w:id="1194032404">
      <w:bodyDiv w:val="1"/>
      <w:marLeft w:val="0"/>
      <w:marRight w:val="0"/>
      <w:marTop w:val="0"/>
      <w:marBottom w:val="0"/>
      <w:divBdr>
        <w:top w:val="none" w:sz="0" w:space="0" w:color="auto"/>
        <w:left w:val="none" w:sz="0" w:space="0" w:color="auto"/>
        <w:bottom w:val="none" w:sz="0" w:space="0" w:color="auto"/>
        <w:right w:val="none" w:sz="0" w:space="0" w:color="auto"/>
      </w:divBdr>
      <w:divsChild>
        <w:div w:id="386730777">
          <w:marLeft w:val="0"/>
          <w:marRight w:val="0"/>
          <w:marTop w:val="0"/>
          <w:marBottom w:val="0"/>
          <w:divBdr>
            <w:top w:val="none" w:sz="0" w:space="0" w:color="auto"/>
            <w:left w:val="none" w:sz="0" w:space="0" w:color="auto"/>
            <w:bottom w:val="none" w:sz="0" w:space="0" w:color="auto"/>
            <w:right w:val="none" w:sz="0" w:space="0" w:color="auto"/>
          </w:divBdr>
          <w:divsChild>
            <w:div w:id="2025007941">
              <w:marLeft w:val="0"/>
              <w:marRight w:val="0"/>
              <w:marTop w:val="0"/>
              <w:marBottom w:val="0"/>
              <w:divBdr>
                <w:top w:val="none" w:sz="0" w:space="0" w:color="auto"/>
                <w:left w:val="none" w:sz="0" w:space="0" w:color="auto"/>
                <w:bottom w:val="none" w:sz="0" w:space="0" w:color="auto"/>
                <w:right w:val="none" w:sz="0" w:space="0" w:color="auto"/>
              </w:divBdr>
              <w:divsChild>
                <w:div w:id="1400593848">
                  <w:marLeft w:val="0"/>
                  <w:marRight w:val="0"/>
                  <w:marTop w:val="0"/>
                  <w:marBottom w:val="0"/>
                  <w:divBdr>
                    <w:top w:val="none" w:sz="0" w:space="0" w:color="auto"/>
                    <w:left w:val="none" w:sz="0" w:space="0" w:color="auto"/>
                    <w:bottom w:val="none" w:sz="0" w:space="0" w:color="auto"/>
                    <w:right w:val="none" w:sz="0" w:space="0" w:color="auto"/>
                  </w:divBdr>
                  <w:divsChild>
                    <w:div w:id="1792243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5484409">
      <w:bodyDiv w:val="1"/>
      <w:marLeft w:val="0"/>
      <w:marRight w:val="0"/>
      <w:marTop w:val="0"/>
      <w:marBottom w:val="0"/>
      <w:divBdr>
        <w:top w:val="none" w:sz="0" w:space="0" w:color="auto"/>
        <w:left w:val="none" w:sz="0" w:space="0" w:color="auto"/>
        <w:bottom w:val="none" w:sz="0" w:space="0" w:color="auto"/>
        <w:right w:val="none" w:sz="0" w:space="0" w:color="auto"/>
      </w:divBdr>
    </w:div>
    <w:div w:id="1228808201">
      <w:bodyDiv w:val="1"/>
      <w:marLeft w:val="0"/>
      <w:marRight w:val="0"/>
      <w:marTop w:val="0"/>
      <w:marBottom w:val="0"/>
      <w:divBdr>
        <w:top w:val="none" w:sz="0" w:space="0" w:color="auto"/>
        <w:left w:val="none" w:sz="0" w:space="0" w:color="auto"/>
        <w:bottom w:val="none" w:sz="0" w:space="0" w:color="auto"/>
        <w:right w:val="none" w:sz="0" w:space="0" w:color="auto"/>
      </w:divBdr>
      <w:divsChild>
        <w:div w:id="661544578">
          <w:marLeft w:val="0"/>
          <w:marRight w:val="0"/>
          <w:marTop w:val="0"/>
          <w:marBottom w:val="0"/>
          <w:divBdr>
            <w:top w:val="none" w:sz="0" w:space="0" w:color="auto"/>
            <w:left w:val="none" w:sz="0" w:space="0" w:color="auto"/>
            <w:bottom w:val="none" w:sz="0" w:space="0" w:color="auto"/>
            <w:right w:val="none" w:sz="0" w:space="0" w:color="auto"/>
          </w:divBdr>
          <w:divsChild>
            <w:div w:id="1151866272">
              <w:marLeft w:val="0"/>
              <w:marRight w:val="0"/>
              <w:marTop w:val="0"/>
              <w:marBottom w:val="0"/>
              <w:divBdr>
                <w:top w:val="none" w:sz="0" w:space="0" w:color="auto"/>
                <w:left w:val="none" w:sz="0" w:space="0" w:color="auto"/>
                <w:bottom w:val="none" w:sz="0" w:space="0" w:color="auto"/>
                <w:right w:val="none" w:sz="0" w:space="0" w:color="auto"/>
              </w:divBdr>
              <w:divsChild>
                <w:div w:id="985360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0505094">
      <w:bodyDiv w:val="1"/>
      <w:marLeft w:val="0"/>
      <w:marRight w:val="0"/>
      <w:marTop w:val="0"/>
      <w:marBottom w:val="0"/>
      <w:divBdr>
        <w:top w:val="none" w:sz="0" w:space="0" w:color="auto"/>
        <w:left w:val="none" w:sz="0" w:space="0" w:color="auto"/>
        <w:bottom w:val="none" w:sz="0" w:space="0" w:color="auto"/>
        <w:right w:val="none" w:sz="0" w:space="0" w:color="auto"/>
      </w:divBdr>
      <w:divsChild>
        <w:div w:id="1479027884">
          <w:marLeft w:val="0"/>
          <w:marRight w:val="0"/>
          <w:marTop w:val="0"/>
          <w:marBottom w:val="0"/>
          <w:divBdr>
            <w:top w:val="none" w:sz="0" w:space="0" w:color="auto"/>
            <w:left w:val="none" w:sz="0" w:space="0" w:color="auto"/>
            <w:bottom w:val="none" w:sz="0" w:space="0" w:color="auto"/>
            <w:right w:val="none" w:sz="0" w:space="0" w:color="auto"/>
          </w:divBdr>
          <w:divsChild>
            <w:div w:id="1249655978">
              <w:marLeft w:val="0"/>
              <w:marRight w:val="0"/>
              <w:marTop w:val="0"/>
              <w:marBottom w:val="0"/>
              <w:divBdr>
                <w:top w:val="none" w:sz="0" w:space="0" w:color="auto"/>
                <w:left w:val="none" w:sz="0" w:space="0" w:color="auto"/>
                <w:bottom w:val="none" w:sz="0" w:space="0" w:color="auto"/>
                <w:right w:val="none" w:sz="0" w:space="0" w:color="auto"/>
              </w:divBdr>
              <w:divsChild>
                <w:div w:id="1687245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2103814">
      <w:bodyDiv w:val="1"/>
      <w:marLeft w:val="0"/>
      <w:marRight w:val="0"/>
      <w:marTop w:val="0"/>
      <w:marBottom w:val="0"/>
      <w:divBdr>
        <w:top w:val="none" w:sz="0" w:space="0" w:color="auto"/>
        <w:left w:val="none" w:sz="0" w:space="0" w:color="auto"/>
        <w:bottom w:val="none" w:sz="0" w:space="0" w:color="auto"/>
        <w:right w:val="none" w:sz="0" w:space="0" w:color="auto"/>
      </w:divBdr>
    </w:div>
    <w:div w:id="1251354359">
      <w:bodyDiv w:val="1"/>
      <w:marLeft w:val="0"/>
      <w:marRight w:val="0"/>
      <w:marTop w:val="0"/>
      <w:marBottom w:val="0"/>
      <w:divBdr>
        <w:top w:val="none" w:sz="0" w:space="0" w:color="auto"/>
        <w:left w:val="none" w:sz="0" w:space="0" w:color="auto"/>
        <w:bottom w:val="none" w:sz="0" w:space="0" w:color="auto"/>
        <w:right w:val="none" w:sz="0" w:space="0" w:color="auto"/>
      </w:divBdr>
    </w:div>
    <w:div w:id="1254969253">
      <w:bodyDiv w:val="1"/>
      <w:marLeft w:val="0"/>
      <w:marRight w:val="0"/>
      <w:marTop w:val="0"/>
      <w:marBottom w:val="0"/>
      <w:divBdr>
        <w:top w:val="none" w:sz="0" w:space="0" w:color="auto"/>
        <w:left w:val="none" w:sz="0" w:space="0" w:color="auto"/>
        <w:bottom w:val="none" w:sz="0" w:space="0" w:color="auto"/>
        <w:right w:val="none" w:sz="0" w:space="0" w:color="auto"/>
      </w:divBdr>
    </w:div>
    <w:div w:id="1261256711">
      <w:bodyDiv w:val="1"/>
      <w:marLeft w:val="0"/>
      <w:marRight w:val="0"/>
      <w:marTop w:val="0"/>
      <w:marBottom w:val="0"/>
      <w:divBdr>
        <w:top w:val="none" w:sz="0" w:space="0" w:color="auto"/>
        <w:left w:val="none" w:sz="0" w:space="0" w:color="auto"/>
        <w:bottom w:val="none" w:sz="0" w:space="0" w:color="auto"/>
        <w:right w:val="none" w:sz="0" w:space="0" w:color="auto"/>
      </w:divBdr>
    </w:div>
    <w:div w:id="1285384585">
      <w:bodyDiv w:val="1"/>
      <w:marLeft w:val="0"/>
      <w:marRight w:val="0"/>
      <w:marTop w:val="0"/>
      <w:marBottom w:val="0"/>
      <w:divBdr>
        <w:top w:val="none" w:sz="0" w:space="0" w:color="auto"/>
        <w:left w:val="none" w:sz="0" w:space="0" w:color="auto"/>
        <w:bottom w:val="none" w:sz="0" w:space="0" w:color="auto"/>
        <w:right w:val="none" w:sz="0" w:space="0" w:color="auto"/>
      </w:divBdr>
    </w:div>
    <w:div w:id="1295597242">
      <w:bodyDiv w:val="1"/>
      <w:marLeft w:val="0"/>
      <w:marRight w:val="0"/>
      <w:marTop w:val="0"/>
      <w:marBottom w:val="0"/>
      <w:divBdr>
        <w:top w:val="none" w:sz="0" w:space="0" w:color="auto"/>
        <w:left w:val="none" w:sz="0" w:space="0" w:color="auto"/>
        <w:bottom w:val="none" w:sz="0" w:space="0" w:color="auto"/>
        <w:right w:val="none" w:sz="0" w:space="0" w:color="auto"/>
      </w:divBdr>
    </w:div>
    <w:div w:id="1297220665">
      <w:bodyDiv w:val="1"/>
      <w:marLeft w:val="0"/>
      <w:marRight w:val="0"/>
      <w:marTop w:val="0"/>
      <w:marBottom w:val="0"/>
      <w:divBdr>
        <w:top w:val="none" w:sz="0" w:space="0" w:color="auto"/>
        <w:left w:val="none" w:sz="0" w:space="0" w:color="auto"/>
        <w:bottom w:val="none" w:sz="0" w:space="0" w:color="auto"/>
        <w:right w:val="none" w:sz="0" w:space="0" w:color="auto"/>
      </w:divBdr>
    </w:div>
    <w:div w:id="1309241820">
      <w:bodyDiv w:val="1"/>
      <w:marLeft w:val="0"/>
      <w:marRight w:val="0"/>
      <w:marTop w:val="0"/>
      <w:marBottom w:val="0"/>
      <w:divBdr>
        <w:top w:val="none" w:sz="0" w:space="0" w:color="auto"/>
        <w:left w:val="none" w:sz="0" w:space="0" w:color="auto"/>
        <w:bottom w:val="none" w:sz="0" w:space="0" w:color="auto"/>
        <w:right w:val="none" w:sz="0" w:space="0" w:color="auto"/>
      </w:divBdr>
      <w:divsChild>
        <w:div w:id="402794517">
          <w:marLeft w:val="0"/>
          <w:marRight w:val="0"/>
          <w:marTop w:val="0"/>
          <w:marBottom w:val="0"/>
          <w:divBdr>
            <w:top w:val="none" w:sz="0" w:space="0" w:color="auto"/>
            <w:left w:val="none" w:sz="0" w:space="0" w:color="auto"/>
            <w:bottom w:val="none" w:sz="0" w:space="0" w:color="auto"/>
            <w:right w:val="none" w:sz="0" w:space="0" w:color="auto"/>
          </w:divBdr>
          <w:divsChild>
            <w:div w:id="399182522">
              <w:marLeft w:val="0"/>
              <w:marRight w:val="0"/>
              <w:marTop w:val="0"/>
              <w:marBottom w:val="0"/>
              <w:divBdr>
                <w:top w:val="none" w:sz="0" w:space="0" w:color="auto"/>
                <w:left w:val="none" w:sz="0" w:space="0" w:color="auto"/>
                <w:bottom w:val="none" w:sz="0" w:space="0" w:color="auto"/>
                <w:right w:val="none" w:sz="0" w:space="0" w:color="auto"/>
              </w:divBdr>
              <w:divsChild>
                <w:div w:id="323633157">
                  <w:marLeft w:val="0"/>
                  <w:marRight w:val="0"/>
                  <w:marTop w:val="0"/>
                  <w:marBottom w:val="0"/>
                  <w:divBdr>
                    <w:top w:val="none" w:sz="0" w:space="0" w:color="auto"/>
                    <w:left w:val="none" w:sz="0" w:space="0" w:color="auto"/>
                    <w:bottom w:val="none" w:sz="0" w:space="0" w:color="auto"/>
                    <w:right w:val="none" w:sz="0" w:space="0" w:color="auto"/>
                  </w:divBdr>
                  <w:divsChild>
                    <w:div w:id="1584949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1863269">
      <w:bodyDiv w:val="1"/>
      <w:marLeft w:val="0"/>
      <w:marRight w:val="0"/>
      <w:marTop w:val="0"/>
      <w:marBottom w:val="0"/>
      <w:divBdr>
        <w:top w:val="none" w:sz="0" w:space="0" w:color="auto"/>
        <w:left w:val="none" w:sz="0" w:space="0" w:color="auto"/>
        <w:bottom w:val="none" w:sz="0" w:space="0" w:color="auto"/>
        <w:right w:val="none" w:sz="0" w:space="0" w:color="auto"/>
      </w:divBdr>
      <w:divsChild>
        <w:div w:id="1611621015">
          <w:marLeft w:val="0"/>
          <w:marRight w:val="0"/>
          <w:marTop w:val="0"/>
          <w:marBottom w:val="0"/>
          <w:divBdr>
            <w:top w:val="none" w:sz="0" w:space="0" w:color="auto"/>
            <w:left w:val="none" w:sz="0" w:space="0" w:color="auto"/>
            <w:bottom w:val="none" w:sz="0" w:space="0" w:color="auto"/>
            <w:right w:val="none" w:sz="0" w:space="0" w:color="auto"/>
          </w:divBdr>
          <w:divsChild>
            <w:div w:id="1042249779">
              <w:marLeft w:val="0"/>
              <w:marRight w:val="0"/>
              <w:marTop w:val="0"/>
              <w:marBottom w:val="0"/>
              <w:divBdr>
                <w:top w:val="none" w:sz="0" w:space="0" w:color="auto"/>
                <w:left w:val="none" w:sz="0" w:space="0" w:color="auto"/>
                <w:bottom w:val="none" w:sz="0" w:space="0" w:color="auto"/>
                <w:right w:val="none" w:sz="0" w:space="0" w:color="auto"/>
              </w:divBdr>
              <w:divsChild>
                <w:div w:id="90010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656539">
      <w:bodyDiv w:val="1"/>
      <w:marLeft w:val="0"/>
      <w:marRight w:val="0"/>
      <w:marTop w:val="0"/>
      <w:marBottom w:val="0"/>
      <w:divBdr>
        <w:top w:val="none" w:sz="0" w:space="0" w:color="auto"/>
        <w:left w:val="none" w:sz="0" w:space="0" w:color="auto"/>
        <w:bottom w:val="none" w:sz="0" w:space="0" w:color="auto"/>
        <w:right w:val="none" w:sz="0" w:space="0" w:color="auto"/>
      </w:divBdr>
    </w:div>
    <w:div w:id="1333029227">
      <w:bodyDiv w:val="1"/>
      <w:marLeft w:val="0"/>
      <w:marRight w:val="0"/>
      <w:marTop w:val="0"/>
      <w:marBottom w:val="0"/>
      <w:divBdr>
        <w:top w:val="none" w:sz="0" w:space="0" w:color="auto"/>
        <w:left w:val="none" w:sz="0" w:space="0" w:color="auto"/>
        <w:bottom w:val="none" w:sz="0" w:space="0" w:color="auto"/>
        <w:right w:val="none" w:sz="0" w:space="0" w:color="auto"/>
      </w:divBdr>
    </w:div>
    <w:div w:id="1345285260">
      <w:bodyDiv w:val="1"/>
      <w:marLeft w:val="0"/>
      <w:marRight w:val="0"/>
      <w:marTop w:val="0"/>
      <w:marBottom w:val="0"/>
      <w:divBdr>
        <w:top w:val="none" w:sz="0" w:space="0" w:color="auto"/>
        <w:left w:val="none" w:sz="0" w:space="0" w:color="auto"/>
        <w:bottom w:val="none" w:sz="0" w:space="0" w:color="auto"/>
        <w:right w:val="none" w:sz="0" w:space="0" w:color="auto"/>
      </w:divBdr>
      <w:divsChild>
        <w:div w:id="396167801">
          <w:marLeft w:val="0"/>
          <w:marRight w:val="0"/>
          <w:marTop w:val="0"/>
          <w:marBottom w:val="0"/>
          <w:divBdr>
            <w:top w:val="none" w:sz="0" w:space="0" w:color="auto"/>
            <w:left w:val="none" w:sz="0" w:space="0" w:color="auto"/>
            <w:bottom w:val="none" w:sz="0" w:space="0" w:color="auto"/>
            <w:right w:val="none" w:sz="0" w:space="0" w:color="auto"/>
          </w:divBdr>
          <w:divsChild>
            <w:div w:id="2034843159">
              <w:marLeft w:val="0"/>
              <w:marRight w:val="0"/>
              <w:marTop w:val="0"/>
              <w:marBottom w:val="0"/>
              <w:divBdr>
                <w:top w:val="none" w:sz="0" w:space="0" w:color="auto"/>
                <w:left w:val="none" w:sz="0" w:space="0" w:color="auto"/>
                <w:bottom w:val="none" w:sz="0" w:space="0" w:color="auto"/>
                <w:right w:val="none" w:sz="0" w:space="0" w:color="auto"/>
              </w:divBdr>
              <w:divsChild>
                <w:div w:id="95175514">
                  <w:marLeft w:val="0"/>
                  <w:marRight w:val="0"/>
                  <w:marTop w:val="0"/>
                  <w:marBottom w:val="0"/>
                  <w:divBdr>
                    <w:top w:val="none" w:sz="0" w:space="0" w:color="auto"/>
                    <w:left w:val="none" w:sz="0" w:space="0" w:color="auto"/>
                    <w:bottom w:val="none" w:sz="0" w:space="0" w:color="auto"/>
                    <w:right w:val="none" w:sz="0" w:space="0" w:color="auto"/>
                  </w:divBdr>
                  <w:divsChild>
                    <w:div w:id="126554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4262272">
      <w:bodyDiv w:val="1"/>
      <w:marLeft w:val="0"/>
      <w:marRight w:val="0"/>
      <w:marTop w:val="0"/>
      <w:marBottom w:val="0"/>
      <w:divBdr>
        <w:top w:val="none" w:sz="0" w:space="0" w:color="auto"/>
        <w:left w:val="none" w:sz="0" w:space="0" w:color="auto"/>
        <w:bottom w:val="none" w:sz="0" w:space="0" w:color="auto"/>
        <w:right w:val="none" w:sz="0" w:space="0" w:color="auto"/>
      </w:divBdr>
    </w:div>
    <w:div w:id="1384672476">
      <w:bodyDiv w:val="1"/>
      <w:marLeft w:val="0"/>
      <w:marRight w:val="0"/>
      <w:marTop w:val="0"/>
      <w:marBottom w:val="0"/>
      <w:divBdr>
        <w:top w:val="none" w:sz="0" w:space="0" w:color="auto"/>
        <w:left w:val="none" w:sz="0" w:space="0" w:color="auto"/>
        <w:bottom w:val="none" w:sz="0" w:space="0" w:color="auto"/>
        <w:right w:val="none" w:sz="0" w:space="0" w:color="auto"/>
      </w:divBdr>
    </w:div>
    <w:div w:id="1385790102">
      <w:bodyDiv w:val="1"/>
      <w:marLeft w:val="0"/>
      <w:marRight w:val="0"/>
      <w:marTop w:val="0"/>
      <w:marBottom w:val="0"/>
      <w:divBdr>
        <w:top w:val="none" w:sz="0" w:space="0" w:color="auto"/>
        <w:left w:val="none" w:sz="0" w:space="0" w:color="auto"/>
        <w:bottom w:val="none" w:sz="0" w:space="0" w:color="auto"/>
        <w:right w:val="none" w:sz="0" w:space="0" w:color="auto"/>
      </w:divBdr>
      <w:divsChild>
        <w:div w:id="1982298479">
          <w:marLeft w:val="0"/>
          <w:marRight w:val="0"/>
          <w:marTop w:val="0"/>
          <w:marBottom w:val="0"/>
          <w:divBdr>
            <w:top w:val="none" w:sz="0" w:space="0" w:color="auto"/>
            <w:left w:val="none" w:sz="0" w:space="0" w:color="auto"/>
            <w:bottom w:val="none" w:sz="0" w:space="0" w:color="auto"/>
            <w:right w:val="none" w:sz="0" w:space="0" w:color="auto"/>
          </w:divBdr>
          <w:divsChild>
            <w:div w:id="1003700795">
              <w:marLeft w:val="0"/>
              <w:marRight w:val="0"/>
              <w:marTop w:val="0"/>
              <w:marBottom w:val="0"/>
              <w:divBdr>
                <w:top w:val="none" w:sz="0" w:space="0" w:color="auto"/>
                <w:left w:val="none" w:sz="0" w:space="0" w:color="auto"/>
                <w:bottom w:val="none" w:sz="0" w:space="0" w:color="auto"/>
                <w:right w:val="none" w:sz="0" w:space="0" w:color="auto"/>
              </w:divBdr>
              <w:divsChild>
                <w:div w:id="1152478104">
                  <w:marLeft w:val="0"/>
                  <w:marRight w:val="0"/>
                  <w:marTop w:val="0"/>
                  <w:marBottom w:val="0"/>
                  <w:divBdr>
                    <w:top w:val="none" w:sz="0" w:space="0" w:color="auto"/>
                    <w:left w:val="none" w:sz="0" w:space="0" w:color="auto"/>
                    <w:bottom w:val="none" w:sz="0" w:space="0" w:color="auto"/>
                    <w:right w:val="none" w:sz="0" w:space="0" w:color="auto"/>
                  </w:divBdr>
                  <w:divsChild>
                    <w:div w:id="432020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9590614">
      <w:bodyDiv w:val="1"/>
      <w:marLeft w:val="0"/>
      <w:marRight w:val="0"/>
      <w:marTop w:val="0"/>
      <w:marBottom w:val="0"/>
      <w:divBdr>
        <w:top w:val="none" w:sz="0" w:space="0" w:color="auto"/>
        <w:left w:val="none" w:sz="0" w:space="0" w:color="auto"/>
        <w:bottom w:val="none" w:sz="0" w:space="0" w:color="auto"/>
        <w:right w:val="none" w:sz="0" w:space="0" w:color="auto"/>
      </w:divBdr>
    </w:div>
    <w:div w:id="1417242572">
      <w:bodyDiv w:val="1"/>
      <w:marLeft w:val="0"/>
      <w:marRight w:val="0"/>
      <w:marTop w:val="0"/>
      <w:marBottom w:val="0"/>
      <w:divBdr>
        <w:top w:val="none" w:sz="0" w:space="0" w:color="auto"/>
        <w:left w:val="none" w:sz="0" w:space="0" w:color="auto"/>
        <w:bottom w:val="none" w:sz="0" w:space="0" w:color="auto"/>
        <w:right w:val="none" w:sz="0" w:space="0" w:color="auto"/>
      </w:divBdr>
      <w:divsChild>
        <w:div w:id="1838495920">
          <w:marLeft w:val="0"/>
          <w:marRight w:val="0"/>
          <w:marTop w:val="0"/>
          <w:marBottom w:val="0"/>
          <w:divBdr>
            <w:top w:val="none" w:sz="0" w:space="0" w:color="auto"/>
            <w:left w:val="none" w:sz="0" w:space="0" w:color="auto"/>
            <w:bottom w:val="none" w:sz="0" w:space="0" w:color="auto"/>
            <w:right w:val="none" w:sz="0" w:space="0" w:color="auto"/>
          </w:divBdr>
          <w:divsChild>
            <w:div w:id="1632441698">
              <w:marLeft w:val="0"/>
              <w:marRight w:val="0"/>
              <w:marTop w:val="0"/>
              <w:marBottom w:val="0"/>
              <w:divBdr>
                <w:top w:val="none" w:sz="0" w:space="0" w:color="auto"/>
                <w:left w:val="none" w:sz="0" w:space="0" w:color="auto"/>
                <w:bottom w:val="none" w:sz="0" w:space="0" w:color="auto"/>
                <w:right w:val="none" w:sz="0" w:space="0" w:color="auto"/>
              </w:divBdr>
              <w:divsChild>
                <w:div w:id="211956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1634087">
      <w:bodyDiv w:val="1"/>
      <w:marLeft w:val="0"/>
      <w:marRight w:val="0"/>
      <w:marTop w:val="0"/>
      <w:marBottom w:val="0"/>
      <w:divBdr>
        <w:top w:val="none" w:sz="0" w:space="0" w:color="auto"/>
        <w:left w:val="none" w:sz="0" w:space="0" w:color="auto"/>
        <w:bottom w:val="none" w:sz="0" w:space="0" w:color="auto"/>
        <w:right w:val="none" w:sz="0" w:space="0" w:color="auto"/>
      </w:divBdr>
    </w:div>
    <w:div w:id="1435902450">
      <w:bodyDiv w:val="1"/>
      <w:marLeft w:val="0"/>
      <w:marRight w:val="0"/>
      <w:marTop w:val="0"/>
      <w:marBottom w:val="0"/>
      <w:divBdr>
        <w:top w:val="none" w:sz="0" w:space="0" w:color="auto"/>
        <w:left w:val="none" w:sz="0" w:space="0" w:color="auto"/>
        <w:bottom w:val="none" w:sz="0" w:space="0" w:color="auto"/>
        <w:right w:val="none" w:sz="0" w:space="0" w:color="auto"/>
      </w:divBdr>
    </w:div>
    <w:div w:id="1446583158">
      <w:bodyDiv w:val="1"/>
      <w:marLeft w:val="0"/>
      <w:marRight w:val="0"/>
      <w:marTop w:val="0"/>
      <w:marBottom w:val="0"/>
      <w:divBdr>
        <w:top w:val="none" w:sz="0" w:space="0" w:color="auto"/>
        <w:left w:val="none" w:sz="0" w:space="0" w:color="auto"/>
        <w:bottom w:val="none" w:sz="0" w:space="0" w:color="auto"/>
        <w:right w:val="none" w:sz="0" w:space="0" w:color="auto"/>
      </w:divBdr>
    </w:div>
    <w:div w:id="1455250457">
      <w:bodyDiv w:val="1"/>
      <w:marLeft w:val="0"/>
      <w:marRight w:val="0"/>
      <w:marTop w:val="0"/>
      <w:marBottom w:val="0"/>
      <w:divBdr>
        <w:top w:val="none" w:sz="0" w:space="0" w:color="auto"/>
        <w:left w:val="none" w:sz="0" w:space="0" w:color="auto"/>
        <w:bottom w:val="none" w:sz="0" w:space="0" w:color="auto"/>
        <w:right w:val="none" w:sz="0" w:space="0" w:color="auto"/>
      </w:divBdr>
    </w:div>
    <w:div w:id="1456874137">
      <w:bodyDiv w:val="1"/>
      <w:marLeft w:val="0"/>
      <w:marRight w:val="0"/>
      <w:marTop w:val="0"/>
      <w:marBottom w:val="0"/>
      <w:divBdr>
        <w:top w:val="none" w:sz="0" w:space="0" w:color="auto"/>
        <w:left w:val="none" w:sz="0" w:space="0" w:color="auto"/>
        <w:bottom w:val="none" w:sz="0" w:space="0" w:color="auto"/>
        <w:right w:val="none" w:sz="0" w:space="0" w:color="auto"/>
      </w:divBdr>
    </w:div>
    <w:div w:id="1473711702">
      <w:bodyDiv w:val="1"/>
      <w:marLeft w:val="0"/>
      <w:marRight w:val="0"/>
      <w:marTop w:val="0"/>
      <w:marBottom w:val="0"/>
      <w:divBdr>
        <w:top w:val="none" w:sz="0" w:space="0" w:color="auto"/>
        <w:left w:val="none" w:sz="0" w:space="0" w:color="auto"/>
        <w:bottom w:val="none" w:sz="0" w:space="0" w:color="auto"/>
        <w:right w:val="none" w:sz="0" w:space="0" w:color="auto"/>
      </w:divBdr>
      <w:divsChild>
        <w:div w:id="108014260">
          <w:marLeft w:val="0"/>
          <w:marRight w:val="0"/>
          <w:marTop w:val="0"/>
          <w:marBottom w:val="0"/>
          <w:divBdr>
            <w:top w:val="none" w:sz="0" w:space="0" w:color="auto"/>
            <w:left w:val="none" w:sz="0" w:space="0" w:color="auto"/>
            <w:bottom w:val="none" w:sz="0" w:space="0" w:color="auto"/>
            <w:right w:val="none" w:sz="0" w:space="0" w:color="auto"/>
          </w:divBdr>
          <w:divsChild>
            <w:div w:id="1820075588">
              <w:marLeft w:val="0"/>
              <w:marRight w:val="0"/>
              <w:marTop w:val="0"/>
              <w:marBottom w:val="0"/>
              <w:divBdr>
                <w:top w:val="none" w:sz="0" w:space="0" w:color="auto"/>
                <w:left w:val="none" w:sz="0" w:space="0" w:color="auto"/>
                <w:bottom w:val="none" w:sz="0" w:space="0" w:color="auto"/>
                <w:right w:val="none" w:sz="0" w:space="0" w:color="auto"/>
              </w:divBdr>
              <w:divsChild>
                <w:div w:id="444203775">
                  <w:marLeft w:val="0"/>
                  <w:marRight w:val="0"/>
                  <w:marTop w:val="0"/>
                  <w:marBottom w:val="0"/>
                  <w:divBdr>
                    <w:top w:val="none" w:sz="0" w:space="0" w:color="auto"/>
                    <w:left w:val="none" w:sz="0" w:space="0" w:color="auto"/>
                    <w:bottom w:val="none" w:sz="0" w:space="0" w:color="auto"/>
                    <w:right w:val="none" w:sz="0" w:space="0" w:color="auto"/>
                  </w:divBdr>
                  <w:divsChild>
                    <w:div w:id="213621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0077697">
      <w:bodyDiv w:val="1"/>
      <w:marLeft w:val="0"/>
      <w:marRight w:val="0"/>
      <w:marTop w:val="0"/>
      <w:marBottom w:val="0"/>
      <w:divBdr>
        <w:top w:val="none" w:sz="0" w:space="0" w:color="auto"/>
        <w:left w:val="none" w:sz="0" w:space="0" w:color="auto"/>
        <w:bottom w:val="none" w:sz="0" w:space="0" w:color="auto"/>
        <w:right w:val="none" w:sz="0" w:space="0" w:color="auto"/>
      </w:divBdr>
    </w:div>
    <w:div w:id="1480994878">
      <w:bodyDiv w:val="1"/>
      <w:marLeft w:val="0"/>
      <w:marRight w:val="0"/>
      <w:marTop w:val="0"/>
      <w:marBottom w:val="0"/>
      <w:divBdr>
        <w:top w:val="none" w:sz="0" w:space="0" w:color="auto"/>
        <w:left w:val="none" w:sz="0" w:space="0" w:color="auto"/>
        <w:bottom w:val="none" w:sz="0" w:space="0" w:color="auto"/>
        <w:right w:val="none" w:sz="0" w:space="0" w:color="auto"/>
      </w:divBdr>
    </w:div>
    <w:div w:id="1491558300">
      <w:bodyDiv w:val="1"/>
      <w:marLeft w:val="0"/>
      <w:marRight w:val="0"/>
      <w:marTop w:val="0"/>
      <w:marBottom w:val="0"/>
      <w:divBdr>
        <w:top w:val="none" w:sz="0" w:space="0" w:color="auto"/>
        <w:left w:val="none" w:sz="0" w:space="0" w:color="auto"/>
        <w:bottom w:val="none" w:sz="0" w:space="0" w:color="auto"/>
        <w:right w:val="none" w:sz="0" w:space="0" w:color="auto"/>
      </w:divBdr>
    </w:div>
    <w:div w:id="1509715182">
      <w:bodyDiv w:val="1"/>
      <w:marLeft w:val="0"/>
      <w:marRight w:val="0"/>
      <w:marTop w:val="0"/>
      <w:marBottom w:val="0"/>
      <w:divBdr>
        <w:top w:val="none" w:sz="0" w:space="0" w:color="auto"/>
        <w:left w:val="none" w:sz="0" w:space="0" w:color="auto"/>
        <w:bottom w:val="none" w:sz="0" w:space="0" w:color="auto"/>
        <w:right w:val="none" w:sz="0" w:space="0" w:color="auto"/>
      </w:divBdr>
    </w:div>
    <w:div w:id="1527593140">
      <w:bodyDiv w:val="1"/>
      <w:marLeft w:val="0"/>
      <w:marRight w:val="0"/>
      <w:marTop w:val="0"/>
      <w:marBottom w:val="0"/>
      <w:divBdr>
        <w:top w:val="none" w:sz="0" w:space="0" w:color="auto"/>
        <w:left w:val="none" w:sz="0" w:space="0" w:color="auto"/>
        <w:bottom w:val="none" w:sz="0" w:space="0" w:color="auto"/>
        <w:right w:val="none" w:sz="0" w:space="0" w:color="auto"/>
      </w:divBdr>
    </w:div>
    <w:div w:id="1535381685">
      <w:bodyDiv w:val="1"/>
      <w:marLeft w:val="0"/>
      <w:marRight w:val="0"/>
      <w:marTop w:val="0"/>
      <w:marBottom w:val="0"/>
      <w:divBdr>
        <w:top w:val="none" w:sz="0" w:space="0" w:color="auto"/>
        <w:left w:val="none" w:sz="0" w:space="0" w:color="auto"/>
        <w:bottom w:val="none" w:sz="0" w:space="0" w:color="auto"/>
        <w:right w:val="none" w:sz="0" w:space="0" w:color="auto"/>
      </w:divBdr>
    </w:div>
    <w:div w:id="1547525474">
      <w:bodyDiv w:val="1"/>
      <w:marLeft w:val="0"/>
      <w:marRight w:val="0"/>
      <w:marTop w:val="0"/>
      <w:marBottom w:val="0"/>
      <w:divBdr>
        <w:top w:val="none" w:sz="0" w:space="0" w:color="auto"/>
        <w:left w:val="none" w:sz="0" w:space="0" w:color="auto"/>
        <w:bottom w:val="none" w:sz="0" w:space="0" w:color="auto"/>
        <w:right w:val="none" w:sz="0" w:space="0" w:color="auto"/>
      </w:divBdr>
    </w:div>
    <w:div w:id="1562905880">
      <w:bodyDiv w:val="1"/>
      <w:marLeft w:val="0"/>
      <w:marRight w:val="0"/>
      <w:marTop w:val="0"/>
      <w:marBottom w:val="0"/>
      <w:divBdr>
        <w:top w:val="none" w:sz="0" w:space="0" w:color="auto"/>
        <w:left w:val="none" w:sz="0" w:space="0" w:color="auto"/>
        <w:bottom w:val="none" w:sz="0" w:space="0" w:color="auto"/>
        <w:right w:val="none" w:sz="0" w:space="0" w:color="auto"/>
      </w:divBdr>
    </w:div>
    <w:div w:id="1564684394">
      <w:bodyDiv w:val="1"/>
      <w:marLeft w:val="0"/>
      <w:marRight w:val="0"/>
      <w:marTop w:val="0"/>
      <w:marBottom w:val="0"/>
      <w:divBdr>
        <w:top w:val="none" w:sz="0" w:space="0" w:color="auto"/>
        <w:left w:val="none" w:sz="0" w:space="0" w:color="auto"/>
        <w:bottom w:val="none" w:sz="0" w:space="0" w:color="auto"/>
        <w:right w:val="none" w:sz="0" w:space="0" w:color="auto"/>
      </w:divBdr>
    </w:div>
    <w:div w:id="1568539402">
      <w:bodyDiv w:val="1"/>
      <w:marLeft w:val="0"/>
      <w:marRight w:val="0"/>
      <w:marTop w:val="0"/>
      <w:marBottom w:val="0"/>
      <w:divBdr>
        <w:top w:val="none" w:sz="0" w:space="0" w:color="auto"/>
        <w:left w:val="none" w:sz="0" w:space="0" w:color="auto"/>
        <w:bottom w:val="none" w:sz="0" w:space="0" w:color="auto"/>
        <w:right w:val="none" w:sz="0" w:space="0" w:color="auto"/>
      </w:divBdr>
    </w:div>
    <w:div w:id="1577593723">
      <w:bodyDiv w:val="1"/>
      <w:marLeft w:val="0"/>
      <w:marRight w:val="0"/>
      <w:marTop w:val="0"/>
      <w:marBottom w:val="0"/>
      <w:divBdr>
        <w:top w:val="none" w:sz="0" w:space="0" w:color="auto"/>
        <w:left w:val="none" w:sz="0" w:space="0" w:color="auto"/>
        <w:bottom w:val="none" w:sz="0" w:space="0" w:color="auto"/>
        <w:right w:val="none" w:sz="0" w:space="0" w:color="auto"/>
      </w:divBdr>
      <w:divsChild>
        <w:div w:id="508523000">
          <w:marLeft w:val="0"/>
          <w:marRight w:val="0"/>
          <w:marTop w:val="0"/>
          <w:marBottom w:val="0"/>
          <w:divBdr>
            <w:top w:val="none" w:sz="0" w:space="0" w:color="auto"/>
            <w:left w:val="none" w:sz="0" w:space="0" w:color="auto"/>
            <w:bottom w:val="none" w:sz="0" w:space="0" w:color="auto"/>
            <w:right w:val="none" w:sz="0" w:space="0" w:color="auto"/>
          </w:divBdr>
          <w:divsChild>
            <w:div w:id="1737430956">
              <w:marLeft w:val="0"/>
              <w:marRight w:val="0"/>
              <w:marTop w:val="0"/>
              <w:marBottom w:val="0"/>
              <w:divBdr>
                <w:top w:val="none" w:sz="0" w:space="0" w:color="auto"/>
                <w:left w:val="none" w:sz="0" w:space="0" w:color="auto"/>
                <w:bottom w:val="none" w:sz="0" w:space="0" w:color="auto"/>
                <w:right w:val="none" w:sz="0" w:space="0" w:color="auto"/>
              </w:divBdr>
              <w:divsChild>
                <w:div w:id="751854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5912913">
      <w:bodyDiv w:val="1"/>
      <w:marLeft w:val="0"/>
      <w:marRight w:val="0"/>
      <w:marTop w:val="0"/>
      <w:marBottom w:val="0"/>
      <w:divBdr>
        <w:top w:val="none" w:sz="0" w:space="0" w:color="auto"/>
        <w:left w:val="none" w:sz="0" w:space="0" w:color="auto"/>
        <w:bottom w:val="none" w:sz="0" w:space="0" w:color="auto"/>
        <w:right w:val="none" w:sz="0" w:space="0" w:color="auto"/>
      </w:divBdr>
    </w:div>
    <w:div w:id="1599289942">
      <w:bodyDiv w:val="1"/>
      <w:marLeft w:val="0"/>
      <w:marRight w:val="0"/>
      <w:marTop w:val="0"/>
      <w:marBottom w:val="0"/>
      <w:divBdr>
        <w:top w:val="none" w:sz="0" w:space="0" w:color="auto"/>
        <w:left w:val="none" w:sz="0" w:space="0" w:color="auto"/>
        <w:bottom w:val="none" w:sz="0" w:space="0" w:color="auto"/>
        <w:right w:val="none" w:sz="0" w:space="0" w:color="auto"/>
      </w:divBdr>
    </w:div>
    <w:div w:id="1613855153">
      <w:bodyDiv w:val="1"/>
      <w:marLeft w:val="0"/>
      <w:marRight w:val="0"/>
      <w:marTop w:val="0"/>
      <w:marBottom w:val="0"/>
      <w:divBdr>
        <w:top w:val="none" w:sz="0" w:space="0" w:color="auto"/>
        <w:left w:val="none" w:sz="0" w:space="0" w:color="auto"/>
        <w:bottom w:val="none" w:sz="0" w:space="0" w:color="auto"/>
        <w:right w:val="none" w:sz="0" w:space="0" w:color="auto"/>
      </w:divBdr>
    </w:div>
    <w:div w:id="1614437117">
      <w:bodyDiv w:val="1"/>
      <w:marLeft w:val="0"/>
      <w:marRight w:val="0"/>
      <w:marTop w:val="0"/>
      <w:marBottom w:val="0"/>
      <w:divBdr>
        <w:top w:val="none" w:sz="0" w:space="0" w:color="auto"/>
        <w:left w:val="none" w:sz="0" w:space="0" w:color="auto"/>
        <w:bottom w:val="none" w:sz="0" w:space="0" w:color="auto"/>
        <w:right w:val="none" w:sz="0" w:space="0" w:color="auto"/>
      </w:divBdr>
    </w:div>
    <w:div w:id="1625312041">
      <w:bodyDiv w:val="1"/>
      <w:marLeft w:val="0"/>
      <w:marRight w:val="0"/>
      <w:marTop w:val="0"/>
      <w:marBottom w:val="0"/>
      <w:divBdr>
        <w:top w:val="none" w:sz="0" w:space="0" w:color="auto"/>
        <w:left w:val="none" w:sz="0" w:space="0" w:color="auto"/>
        <w:bottom w:val="none" w:sz="0" w:space="0" w:color="auto"/>
        <w:right w:val="none" w:sz="0" w:space="0" w:color="auto"/>
      </w:divBdr>
      <w:divsChild>
        <w:div w:id="1346711725">
          <w:marLeft w:val="0"/>
          <w:marRight w:val="0"/>
          <w:marTop w:val="0"/>
          <w:marBottom w:val="0"/>
          <w:divBdr>
            <w:top w:val="none" w:sz="0" w:space="0" w:color="auto"/>
            <w:left w:val="none" w:sz="0" w:space="0" w:color="auto"/>
            <w:bottom w:val="none" w:sz="0" w:space="0" w:color="auto"/>
            <w:right w:val="none" w:sz="0" w:space="0" w:color="auto"/>
          </w:divBdr>
          <w:divsChild>
            <w:div w:id="927731905">
              <w:marLeft w:val="0"/>
              <w:marRight w:val="0"/>
              <w:marTop w:val="0"/>
              <w:marBottom w:val="0"/>
              <w:divBdr>
                <w:top w:val="none" w:sz="0" w:space="0" w:color="auto"/>
                <w:left w:val="none" w:sz="0" w:space="0" w:color="auto"/>
                <w:bottom w:val="none" w:sz="0" w:space="0" w:color="auto"/>
                <w:right w:val="none" w:sz="0" w:space="0" w:color="auto"/>
              </w:divBdr>
              <w:divsChild>
                <w:div w:id="1860191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045092">
      <w:bodyDiv w:val="1"/>
      <w:marLeft w:val="0"/>
      <w:marRight w:val="0"/>
      <w:marTop w:val="0"/>
      <w:marBottom w:val="0"/>
      <w:divBdr>
        <w:top w:val="none" w:sz="0" w:space="0" w:color="auto"/>
        <w:left w:val="none" w:sz="0" w:space="0" w:color="auto"/>
        <w:bottom w:val="none" w:sz="0" w:space="0" w:color="auto"/>
        <w:right w:val="none" w:sz="0" w:space="0" w:color="auto"/>
      </w:divBdr>
    </w:div>
    <w:div w:id="1662612673">
      <w:bodyDiv w:val="1"/>
      <w:marLeft w:val="0"/>
      <w:marRight w:val="0"/>
      <w:marTop w:val="0"/>
      <w:marBottom w:val="0"/>
      <w:divBdr>
        <w:top w:val="none" w:sz="0" w:space="0" w:color="auto"/>
        <w:left w:val="none" w:sz="0" w:space="0" w:color="auto"/>
        <w:bottom w:val="none" w:sz="0" w:space="0" w:color="auto"/>
        <w:right w:val="none" w:sz="0" w:space="0" w:color="auto"/>
      </w:divBdr>
    </w:div>
    <w:div w:id="1693649605">
      <w:bodyDiv w:val="1"/>
      <w:marLeft w:val="0"/>
      <w:marRight w:val="0"/>
      <w:marTop w:val="0"/>
      <w:marBottom w:val="0"/>
      <w:divBdr>
        <w:top w:val="none" w:sz="0" w:space="0" w:color="auto"/>
        <w:left w:val="none" w:sz="0" w:space="0" w:color="auto"/>
        <w:bottom w:val="none" w:sz="0" w:space="0" w:color="auto"/>
        <w:right w:val="none" w:sz="0" w:space="0" w:color="auto"/>
      </w:divBdr>
    </w:div>
    <w:div w:id="1700467408">
      <w:bodyDiv w:val="1"/>
      <w:marLeft w:val="0"/>
      <w:marRight w:val="0"/>
      <w:marTop w:val="0"/>
      <w:marBottom w:val="0"/>
      <w:divBdr>
        <w:top w:val="none" w:sz="0" w:space="0" w:color="auto"/>
        <w:left w:val="none" w:sz="0" w:space="0" w:color="auto"/>
        <w:bottom w:val="none" w:sz="0" w:space="0" w:color="auto"/>
        <w:right w:val="none" w:sz="0" w:space="0" w:color="auto"/>
      </w:divBdr>
      <w:divsChild>
        <w:div w:id="818961374">
          <w:marLeft w:val="0"/>
          <w:marRight w:val="0"/>
          <w:marTop w:val="0"/>
          <w:marBottom w:val="0"/>
          <w:divBdr>
            <w:top w:val="none" w:sz="0" w:space="0" w:color="auto"/>
            <w:left w:val="none" w:sz="0" w:space="0" w:color="auto"/>
            <w:bottom w:val="none" w:sz="0" w:space="0" w:color="auto"/>
            <w:right w:val="none" w:sz="0" w:space="0" w:color="auto"/>
          </w:divBdr>
          <w:divsChild>
            <w:div w:id="1716126354">
              <w:marLeft w:val="0"/>
              <w:marRight w:val="0"/>
              <w:marTop w:val="0"/>
              <w:marBottom w:val="0"/>
              <w:divBdr>
                <w:top w:val="none" w:sz="0" w:space="0" w:color="auto"/>
                <w:left w:val="none" w:sz="0" w:space="0" w:color="auto"/>
                <w:bottom w:val="none" w:sz="0" w:space="0" w:color="auto"/>
                <w:right w:val="none" w:sz="0" w:space="0" w:color="auto"/>
              </w:divBdr>
              <w:divsChild>
                <w:div w:id="585384744">
                  <w:marLeft w:val="0"/>
                  <w:marRight w:val="0"/>
                  <w:marTop w:val="0"/>
                  <w:marBottom w:val="0"/>
                  <w:divBdr>
                    <w:top w:val="none" w:sz="0" w:space="0" w:color="auto"/>
                    <w:left w:val="none" w:sz="0" w:space="0" w:color="auto"/>
                    <w:bottom w:val="none" w:sz="0" w:space="0" w:color="auto"/>
                    <w:right w:val="none" w:sz="0" w:space="0" w:color="auto"/>
                  </w:divBdr>
                  <w:divsChild>
                    <w:div w:id="503785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724946">
      <w:bodyDiv w:val="1"/>
      <w:marLeft w:val="0"/>
      <w:marRight w:val="0"/>
      <w:marTop w:val="0"/>
      <w:marBottom w:val="0"/>
      <w:divBdr>
        <w:top w:val="none" w:sz="0" w:space="0" w:color="auto"/>
        <w:left w:val="none" w:sz="0" w:space="0" w:color="auto"/>
        <w:bottom w:val="none" w:sz="0" w:space="0" w:color="auto"/>
        <w:right w:val="none" w:sz="0" w:space="0" w:color="auto"/>
      </w:divBdr>
      <w:divsChild>
        <w:div w:id="993341473">
          <w:marLeft w:val="0"/>
          <w:marRight w:val="0"/>
          <w:marTop w:val="0"/>
          <w:marBottom w:val="0"/>
          <w:divBdr>
            <w:top w:val="none" w:sz="0" w:space="0" w:color="auto"/>
            <w:left w:val="none" w:sz="0" w:space="0" w:color="auto"/>
            <w:bottom w:val="none" w:sz="0" w:space="0" w:color="auto"/>
            <w:right w:val="none" w:sz="0" w:space="0" w:color="auto"/>
          </w:divBdr>
          <w:divsChild>
            <w:div w:id="484467784">
              <w:marLeft w:val="0"/>
              <w:marRight w:val="0"/>
              <w:marTop w:val="0"/>
              <w:marBottom w:val="0"/>
              <w:divBdr>
                <w:top w:val="none" w:sz="0" w:space="0" w:color="auto"/>
                <w:left w:val="none" w:sz="0" w:space="0" w:color="auto"/>
                <w:bottom w:val="none" w:sz="0" w:space="0" w:color="auto"/>
                <w:right w:val="none" w:sz="0" w:space="0" w:color="auto"/>
              </w:divBdr>
              <w:divsChild>
                <w:div w:id="88502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998565">
      <w:bodyDiv w:val="1"/>
      <w:marLeft w:val="0"/>
      <w:marRight w:val="0"/>
      <w:marTop w:val="0"/>
      <w:marBottom w:val="0"/>
      <w:divBdr>
        <w:top w:val="none" w:sz="0" w:space="0" w:color="auto"/>
        <w:left w:val="none" w:sz="0" w:space="0" w:color="auto"/>
        <w:bottom w:val="none" w:sz="0" w:space="0" w:color="auto"/>
        <w:right w:val="none" w:sz="0" w:space="0" w:color="auto"/>
      </w:divBdr>
      <w:divsChild>
        <w:div w:id="620763050">
          <w:marLeft w:val="0"/>
          <w:marRight w:val="0"/>
          <w:marTop w:val="0"/>
          <w:marBottom w:val="0"/>
          <w:divBdr>
            <w:top w:val="none" w:sz="0" w:space="0" w:color="auto"/>
            <w:left w:val="none" w:sz="0" w:space="0" w:color="auto"/>
            <w:bottom w:val="none" w:sz="0" w:space="0" w:color="auto"/>
            <w:right w:val="none" w:sz="0" w:space="0" w:color="auto"/>
          </w:divBdr>
          <w:divsChild>
            <w:div w:id="1793480007">
              <w:marLeft w:val="0"/>
              <w:marRight w:val="0"/>
              <w:marTop w:val="0"/>
              <w:marBottom w:val="0"/>
              <w:divBdr>
                <w:top w:val="none" w:sz="0" w:space="0" w:color="auto"/>
                <w:left w:val="none" w:sz="0" w:space="0" w:color="auto"/>
                <w:bottom w:val="none" w:sz="0" w:space="0" w:color="auto"/>
                <w:right w:val="none" w:sz="0" w:space="0" w:color="auto"/>
              </w:divBdr>
              <w:divsChild>
                <w:div w:id="1752267767">
                  <w:marLeft w:val="0"/>
                  <w:marRight w:val="0"/>
                  <w:marTop w:val="0"/>
                  <w:marBottom w:val="0"/>
                  <w:divBdr>
                    <w:top w:val="none" w:sz="0" w:space="0" w:color="auto"/>
                    <w:left w:val="none" w:sz="0" w:space="0" w:color="auto"/>
                    <w:bottom w:val="none" w:sz="0" w:space="0" w:color="auto"/>
                    <w:right w:val="none" w:sz="0" w:space="0" w:color="auto"/>
                  </w:divBdr>
                  <w:divsChild>
                    <w:div w:id="187099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8962911">
      <w:bodyDiv w:val="1"/>
      <w:marLeft w:val="0"/>
      <w:marRight w:val="0"/>
      <w:marTop w:val="0"/>
      <w:marBottom w:val="0"/>
      <w:divBdr>
        <w:top w:val="none" w:sz="0" w:space="0" w:color="auto"/>
        <w:left w:val="none" w:sz="0" w:space="0" w:color="auto"/>
        <w:bottom w:val="none" w:sz="0" w:space="0" w:color="auto"/>
        <w:right w:val="none" w:sz="0" w:space="0" w:color="auto"/>
      </w:divBdr>
    </w:div>
    <w:div w:id="1755202094">
      <w:bodyDiv w:val="1"/>
      <w:marLeft w:val="0"/>
      <w:marRight w:val="0"/>
      <w:marTop w:val="0"/>
      <w:marBottom w:val="0"/>
      <w:divBdr>
        <w:top w:val="none" w:sz="0" w:space="0" w:color="auto"/>
        <w:left w:val="none" w:sz="0" w:space="0" w:color="auto"/>
        <w:bottom w:val="none" w:sz="0" w:space="0" w:color="auto"/>
        <w:right w:val="none" w:sz="0" w:space="0" w:color="auto"/>
      </w:divBdr>
    </w:div>
    <w:div w:id="1768228636">
      <w:bodyDiv w:val="1"/>
      <w:marLeft w:val="0"/>
      <w:marRight w:val="0"/>
      <w:marTop w:val="0"/>
      <w:marBottom w:val="0"/>
      <w:divBdr>
        <w:top w:val="none" w:sz="0" w:space="0" w:color="auto"/>
        <w:left w:val="none" w:sz="0" w:space="0" w:color="auto"/>
        <w:bottom w:val="none" w:sz="0" w:space="0" w:color="auto"/>
        <w:right w:val="none" w:sz="0" w:space="0" w:color="auto"/>
      </w:divBdr>
    </w:div>
    <w:div w:id="1798723380">
      <w:bodyDiv w:val="1"/>
      <w:marLeft w:val="0"/>
      <w:marRight w:val="0"/>
      <w:marTop w:val="0"/>
      <w:marBottom w:val="0"/>
      <w:divBdr>
        <w:top w:val="none" w:sz="0" w:space="0" w:color="auto"/>
        <w:left w:val="none" w:sz="0" w:space="0" w:color="auto"/>
        <w:bottom w:val="none" w:sz="0" w:space="0" w:color="auto"/>
        <w:right w:val="none" w:sz="0" w:space="0" w:color="auto"/>
      </w:divBdr>
    </w:div>
    <w:div w:id="1800029478">
      <w:bodyDiv w:val="1"/>
      <w:marLeft w:val="0"/>
      <w:marRight w:val="0"/>
      <w:marTop w:val="0"/>
      <w:marBottom w:val="0"/>
      <w:divBdr>
        <w:top w:val="none" w:sz="0" w:space="0" w:color="auto"/>
        <w:left w:val="none" w:sz="0" w:space="0" w:color="auto"/>
        <w:bottom w:val="none" w:sz="0" w:space="0" w:color="auto"/>
        <w:right w:val="none" w:sz="0" w:space="0" w:color="auto"/>
      </w:divBdr>
    </w:div>
    <w:div w:id="1820340826">
      <w:bodyDiv w:val="1"/>
      <w:marLeft w:val="0"/>
      <w:marRight w:val="0"/>
      <w:marTop w:val="0"/>
      <w:marBottom w:val="0"/>
      <w:divBdr>
        <w:top w:val="none" w:sz="0" w:space="0" w:color="auto"/>
        <w:left w:val="none" w:sz="0" w:space="0" w:color="auto"/>
        <w:bottom w:val="none" w:sz="0" w:space="0" w:color="auto"/>
        <w:right w:val="none" w:sz="0" w:space="0" w:color="auto"/>
      </w:divBdr>
      <w:divsChild>
        <w:div w:id="810946330">
          <w:marLeft w:val="0"/>
          <w:marRight w:val="0"/>
          <w:marTop w:val="0"/>
          <w:marBottom w:val="0"/>
          <w:divBdr>
            <w:top w:val="none" w:sz="0" w:space="0" w:color="auto"/>
            <w:left w:val="none" w:sz="0" w:space="0" w:color="auto"/>
            <w:bottom w:val="none" w:sz="0" w:space="0" w:color="auto"/>
            <w:right w:val="none" w:sz="0" w:space="0" w:color="auto"/>
          </w:divBdr>
          <w:divsChild>
            <w:div w:id="1604336635">
              <w:marLeft w:val="0"/>
              <w:marRight w:val="0"/>
              <w:marTop w:val="0"/>
              <w:marBottom w:val="0"/>
              <w:divBdr>
                <w:top w:val="none" w:sz="0" w:space="0" w:color="auto"/>
                <w:left w:val="none" w:sz="0" w:space="0" w:color="auto"/>
                <w:bottom w:val="none" w:sz="0" w:space="0" w:color="auto"/>
                <w:right w:val="none" w:sz="0" w:space="0" w:color="auto"/>
              </w:divBdr>
              <w:divsChild>
                <w:div w:id="68159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54308">
      <w:bodyDiv w:val="1"/>
      <w:marLeft w:val="0"/>
      <w:marRight w:val="0"/>
      <w:marTop w:val="0"/>
      <w:marBottom w:val="0"/>
      <w:divBdr>
        <w:top w:val="none" w:sz="0" w:space="0" w:color="auto"/>
        <w:left w:val="none" w:sz="0" w:space="0" w:color="auto"/>
        <w:bottom w:val="none" w:sz="0" w:space="0" w:color="auto"/>
        <w:right w:val="none" w:sz="0" w:space="0" w:color="auto"/>
      </w:divBdr>
    </w:div>
    <w:div w:id="1869372247">
      <w:bodyDiv w:val="1"/>
      <w:marLeft w:val="0"/>
      <w:marRight w:val="0"/>
      <w:marTop w:val="0"/>
      <w:marBottom w:val="0"/>
      <w:divBdr>
        <w:top w:val="none" w:sz="0" w:space="0" w:color="auto"/>
        <w:left w:val="none" w:sz="0" w:space="0" w:color="auto"/>
        <w:bottom w:val="none" w:sz="0" w:space="0" w:color="auto"/>
        <w:right w:val="none" w:sz="0" w:space="0" w:color="auto"/>
      </w:divBdr>
    </w:div>
    <w:div w:id="1884244539">
      <w:bodyDiv w:val="1"/>
      <w:marLeft w:val="0"/>
      <w:marRight w:val="0"/>
      <w:marTop w:val="0"/>
      <w:marBottom w:val="0"/>
      <w:divBdr>
        <w:top w:val="none" w:sz="0" w:space="0" w:color="auto"/>
        <w:left w:val="none" w:sz="0" w:space="0" w:color="auto"/>
        <w:bottom w:val="none" w:sz="0" w:space="0" w:color="auto"/>
        <w:right w:val="none" w:sz="0" w:space="0" w:color="auto"/>
      </w:divBdr>
    </w:div>
    <w:div w:id="1884638556">
      <w:bodyDiv w:val="1"/>
      <w:marLeft w:val="0"/>
      <w:marRight w:val="0"/>
      <w:marTop w:val="0"/>
      <w:marBottom w:val="0"/>
      <w:divBdr>
        <w:top w:val="none" w:sz="0" w:space="0" w:color="auto"/>
        <w:left w:val="none" w:sz="0" w:space="0" w:color="auto"/>
        <w:bottom w:val="none" w:sz="0" w:space="0" w:color="auto"/>
        <w:right w:val="none" w:sz="0" w:space="0" w:color="auto"/>
      </w:divBdr>
      <w:divsChild>
        <w:div w:id="1454012831">
          <w:marLeft w:val="0"/>
          <w:marRight w:val="0"/>
          <w:marTop w:val="0"/>
          <w:marBottom w:val="0"/>
          <w:divBdr>
            <w:top w:val="none" w:sz="0" w:space="0" w:color="auto"/>
            <w:left w:val="none" w:sz="0" w:space="0" w:color="auto"/>
            <w:bottom w:val="none" w:sz="0" w:space="0" w:color="auto"/>
            <w:right w:val="none" w:sz="0" w:space="0" w:color="auto"/>
          </w:divBdr>
          <w:divsChild>
            <w:div w:id="904949646">
              <w:marLeft w:val="0"/>
              <w:marRight w:val="0"/>
              <w:marTop w:val="0"/>
              <w:marBottom w:val="0"/>
              <w:divBdr>
                <w:top w:val="none" w:sz="0" w:space="0" w:color="auto"/>
                <w:left w:val="none" w:sz="0" w:space="0" w:color="auto"/>
                <w:bottom w:val="none" w:sz="0" w:space="0" w:color="auto"/>
                <w:right w:val="none" w:sz="0" w:space="0" w:color="auto"/>
              </w:divBdr>
              <w:divsChild>
                <w:div w:id="1501777720">
                  <w:marLeft w:val="0"/>
                  <w:marRight w:val="0"/>
                  <w:marTop w:val="0"/>
                  <w:marBottom w:val="0"/>
                  <w:divBdr>
                    <w:top w:val="none" w:sz="0" w:space="0" w:color="auto"/>
                    <w:left w:val="none" w:sz="0" w:space="0" w:color="auto"/>
                    <w:bottom w:val="none" w:sz="0" w:space="0" w:color="auto"/>
                    <w:right w:val="none" w:sz="0" w:space="0" w:color="auto"/>
                  </w:divBdr>
                  <w:divsChild>
                    <w:div w:id="1270239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60056">
      <w:bodyDiv w:val="1"/>
      <w:marLeft w:val="0"/>
      <w:marRight w:val="0"/>
      <w:marTop w:val="0"/>
      <w:marBottom w:val="0"/>
      <w:divBdr>
        <w:top w:val="none" w:sz="0" w:space="0" w:color="auto"/>
        <w:left w:val="none" w:sz="0" w:space="0" w:color="auto"/>
        <w:bottom w:val="none" w:sz="0" w:space="0" w:color="auto"/>
        <w:right w:val="none" w:sz="0" w:space="0" w:color="auto"/>
      </w:divBdr>
      <w:divsChild>
        <w:div w:id="351152511">
          <w:marLeft w:val="0"/>
          <w:marRight w:val="0"/>
          <w:marTop w:val="0"/>
          <w:marBottom w:val="0"/>
          <w:divBdr>
            <w:top w:val="none" w:sz="0" w:space="0" w:color="auto"/>
            <w:left w:val="none" w:sz="0" w:space="0" w:color="auto"/>
            <w:bottom w:val="none" w:sz="0" w:space="0" w:color="auto"/>
            <w:right w:val="none" w:sz="0" w:space="0" w:color="auto"/>
          </w:divBdr>
          <w:divsChild>
            <w:div w:id="577251435">
              <w:marLeft w:val="0"/>
              <w:marRight w:val="0"/>
              <w:marTop w:val="0"/>
              <w:marBottom w:val="0"/>
              <w:divBdr>
                <w:top w:val="none" w:sz="0" w:space="0" w:color="auto"/>
                <w:left w:val="none" w:sz="0" w:space="0" w:color="auto"/>
                <w:bottom w:val="none" w:sz="0" w:space="0" w:color="auto"/>
                <w:right w:val="none" w:sz="0" w:space="0" w:color="auto"/>
              </w:divBdr>
              <w:divsChild>
                <w:div w:id="965041563">
                  <w:marLeft w:val="0"/>
                  <w:marRight w:val="0"/>
                  <w:marTop w:val="0"/>
                  <w:marBottom w:val="0"/>
                  <w:divBdr>
                    <w:top w:val="none" w:sz="0" w:space="0" w:color="auto"/>
                    <w:left w:val="none" w:sz="0" w:space="0" w:color="auto"/>
                    <w:bottom w:val="none" w:sz="0" w:space="0" w:color="auto"/>
                    <w:right w:val="none" w:sz="0" w:space="0" w:color="auto"/>
                  </w:divBdr>
                  <w:divsChild>
                    <w:div w:id="1918050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5962589">
      <w:bodyDiv w:val="1"/>
      <w:marLeft w:val="0"/>
      <w:marRight w:val="0"/>
      <w:marTop w:val="0"/>
      <w:marBottom w:val="0"/>
      <w:divBdr>
        <w:top w:val="none" w:sz="0" w:space="0" w:color="auto"/>
        <w:left w:val="none" w:sz="0" w:space="0" w:color="auto"/>
        <w:bottom w:val="none" w:sz="0" w:space="0" w:color="auto"/>
        <w:right w:val="none" w:sz="0" w:space="0" w:color="auto"/>
      </w:divBdr>
    </w:div>
    <w:div w:id="1904101233">
      <w:bodyDiv w:val="1"/>
      <w:marLeft w:val="0"/>
      <w:marRight w:val="0"/>
      <w:marTop w:val="0"/>
      <w:marBottom w:val="0"/>
      <w:divBdr>
        <w:top w:val="none" w:sz="0" w:space="0" w:color="auto"/>
        <w:left w:val="none" w:sz="0" w:space="0" w:color="auto"/>
        <w:bottom w:val="none" w:sz="0" w:space="0" w:color="auto"/>
        <w:right w:val="none" w:sz="0" w:space="0" w:color="auto"/>
      </w:divBdr>
    </w:div>
    <w:div w:id="1909413627">
      <w:bodyDiv w:val="1"/>
      <w:marLeft w:val="0"/>
      <w:marRight w:val="0"/>
      <w:marTop w:val="0"/>
      <w:marBottom w:val="0"/>
      <w:divBdr>
        <w:top w:val="none" w:sz="0" w:space="0" w:color="auto"/>
        <w:left w:val="none" w:sz="0" w:space="0" w:color="auto"/>
        <w:bottom w:val="none" w:sz="0" w:space="0" w:color="auto"/>
        <w:right w:val="none" w:sz="0" w:space="0" w:color="auto"/>
      </w:divBdr>
    </w:div>
    <w:div w:id="1915628407">
      <w:bodyDiv w:val="1"/>
      <w:marLeft w:val="0"/>
      <w:marRight w:val="0"/>
      <w:marTop w:val="0"/>
      <w:marBottom w:val="0"/>
      <w:divBdr>
        <w:top w:val="none" w:sz="0" w:space="0" w:color="auto"/>
        <w:left w:val="none" w:sz="0" w:space="0" w:color="auto"/>
        <w:bottom w:val="none" w:sz="0" w:space="0" w:color="auto"/>
        <w:right w:val="none" w:sz="0" w:space="0" w:color="auto"/>
      </w:divBdr>
    </w:div>
    <w:div w:id="1946691529">
      <w:bodyDiv w:val="1"/>
      <w:marLeft w:val="0"/>
      <w:marRight w:val="0"/>
      <w:marTop w:val="0"/>
      <w:marBottom w:val="0"/>
      <w:divBdr>
        <w:top w:val="none" w:sz="0" w:space="0" w:color="auto"/>
        <w:left w:val="none" w:sz="0" w:space="0" w:color="auto"/>
        <w:bottom w:val="none" w:sz="0" w:space="0" w:color="auto"/>
        <w:right w:val="none" w:sz="0" w:space="0" w:color="auto"/>
      </w:divBdr>
    </w:div>
    <w:div w:id="1959099984">
      <w:bodyDiv w:val="1"/>
      <w:marLeft w:val="0"/>
      <w:marRight w:val="0"/>
      <w:marTop w:val="0"/>
      <w:marBottom w:val="0"/>
      <w:divBdr>
        <w:top w:val="none" w:sz="0" w:space="0" w:color="auto"/>
        <w:left w:val="none" w:sz="0" w:space="0" w:color="auto"/>
        <w:bottom w:val="none" w:sz="0" w:space="0" w:color="auto"/>
        <w:right w:val="none" w:sz="0" w:space="0" w:color="auto"/>
      </w:divBdr>
      <w:divsChild>
        <w:div w:id="1024330212">
          <w:marLeft w:val="0"/>
          <w:marRight w:val="0"/>
          <w:marTop w:val="0"/>
          <w:marBottom w:val="0"/>
          <w:divBdr>
            <w:top w:val="none" w:sz="0" w:space="0" w:color="auto"/>
            <w:left w:val="none" w:sz="0" w:space="0" w:color="auto"/>
            <w:bottom w:val="none" w:sz="0" w:space="0" w:color="auto"/>
            <w:right w:val="none" w:sz="0" w:space="0" w:color="auto"/>
          </w:divBdr>
          <w:divsChild>
            <w:div w:id="1728992947">
              <w:marLeft w:val="0"/>
              <w:marRight w:val="0"/>
              <w:marTop w:val="0"/>
              <w:marBottom w:val="0"/>
              <w:divBdr>
                <w:top w:val="none" w:sz="0" w:space="0" w:color="auto"/>
                <w:left w:val="none" w:sz="0" w:space="0" w:color="auto"/>
                <w:bottom w:val="none" w:sz="0" w:space="0" w:color="auto"/>
                <w:right w:val="none" w:sz="0" w:space="0" w:color="auto"/>
              </w:divBdr>
              <w:divsChild>
                <w:div w:id="281500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324561">
      <w:bodyDiv w:val="1"/>
      <w:marLeft w:val="0"/>
      <w:marRight w:val="0"/>
      <w:marTop w:val="0"/>
      <w:marBottom w:val="0"/>
      <w:divBdr>
        <w:top w:val="none" w:sz="0" w:space="0" w:color="auto"/>
        <w:left w:val="none" w:sz="0" w:space="0" w:color="auto"/>
        <w:bottom w:val="none" w:sz="0" w:space="0" w:color="auto"/>
        <w:right w:val="none" w:sz="0" w:space="0" w:color="auto"/>
      </w:divBdr>
      <w:divsChild>
        <w:div w:id="1717855469">
          <w:marLeft w:val="0"/>
          <w:marRight w:val="0"/>
          <w:marTop w:val="0"/>
          <w:marBottom w:val="0"/>
          <w:divBdr>
            <w:top w:val="none" w:sz="0" w:space="0" w:color="auto"/>
            <w:left w:val="none" w:sz="0" w:space="0" w:color="auto"/>
            <w:bottom w:val="none" w:sz="0" w:space="0" w:color="auto"/>
            <w:right w:val="none" w:sz="0" w:space="0" w:color="auto"/>
          </w:divBdr>
          <w:divsChild>
            <w:div w:id="1487090067">
              <w:marLeft w:val="0"/>
              <w:marRight w:val="0"/>
              <w:marTop w:val="0"/>
              <w:marBottom w:val="0"/>
              <w:divBdr>
                <w:top w:val="none" w:sz="0" w:space="0" w:color="auto"/>
                <w:left w:val="none" w:sz="0" w:space="0" w:color="auto"/>
                <w:bottom w:val="none" w:sz="0" w:space="0" w:color="auto"/>
                <w:right w:val="none" w:sz="0" w:space="0" w:color="auto"/>
              </w:divBdr>
              <w:divsChild>
                <w:div w:id="680860362">
                  <w:marLeft w:val="0"/>
                  <w:marRight w:val="0"/>
                  <w:marTop w:val="0"/>
                  <w:marBottom w:val="0"/>
                  <w:divBdr>
                    <w:top w:val="none" w:sz="0" w:space="0" w:color="auto"/>
                    <w:left w:val="none" w:sz="0" w:space="0" w:color="auto"/>
                    <w:bottom w:val="none" w:sz="0" w:space="0" w:color="auto"/>
                    <w:right w:val="none" w:sz="0" w:space="0" w:color="auto"/>
                  </w:divBdr>
                  <w:divsChild>
                    <w:div w:id="203044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2881875">
      <w:bodyDiv w:val="1"/>
      <w:marLeft w:val="0"/>
      <w:marRight w:val="0"/>
      <w:marTop w:val="0"/>
      <w:marBottom w:val="0"/>
      <w:divBdr>
        <w:top w:val="none" w:sz="0" w:space="0" w:color="auto"/>
        <w:left w:val="none" w:sz="0" w:space="0" w:color="auto"/>
        <w:bottom w:val="none" w:sz="0" w:space="0" w:color="auto"/>
        <w:right w:val="none" w:sz="0" w:space="0" w:color="auto"/>
      </w:divBdr>
      <w:divsChild>
        <w:div w:id="812482475">
          <w:marLeft w:val="0"/>
          <w:marRight w:val="0"/>
          <w:marTop w:val="0"/>
          <w:marBottom w:val="0"/>
          <w:divBdr>
            <w:top w:val="none" w:sz="0" w:space="0" w:color="auto"/>
            <w:left w:val="none" w:sz="0" w:space="0" w:color="auto"/>
            <w:bottom w:val="none" w:sz="0" w:space="0" w:color="auto"/>
            <w:right w:val="none" w:sz="0" w:space="0" w:color="auto"/>
          </w:divBdr>
          <w:divsChild>
            <w:div w:id="1131704940">
              <w:marLeft w:val="0"/>
              <w:marRight w:val="0"/>
              <w:marTop w:val="0"/>
              <w:marBottom w:val="0"/>
              <w:divBdr>
                <w:top w:val="none" w:sz="0" w:space="0" w:color="auto"/>
                <w:left w:val="none" w:sz="0" w:space="0" w:color="auto"/>
                <w:bottom w:val="none" w:sz="0" w:space="0" w:color="auto"/>
                <w:right w:val="none" w:sz="0" w:space="0" w:color="auto"/>
              </w:divBdr>
              <w:divsChild>
                <w:div w:id="53912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311700">
      <w:bodyDiv w:val="1"/>
      <w:marLeft w:val="0"/>
      <w:marRight w:val="0"/>
      <w:marTop w:val="0"/>
      <w:marBottom w:val="0"/>
      <w:divBdr>
        <w:top w:val="none" w:sz="0" w:space="0" w:color="auto"/>
        <w:left w:val="none" w:sz="0" w:space="0" w:color="auto"/>
        <w:bottom w:val="none" w:sz="0" w:space="0" w:color="auto"/>
        <w:right w:val="none" w:sz="0" w:space="0" w:color="auto"/>
      </w:divBdr>
      <w:divsChild>
        <w:div w:id="1382248175">
          <w:marLeft w:val="0"/>
          <w:marRight w:val="0"/>
          <w:marTop w:val="0"/>
          <w:marBottom w:val="0"/>
          <w:divBdr>
            <w:top w:val="none" w:sz="0" w:space="0" w:color="auto"/>
            <w:left w:val="none" w:sz="0" w:space="0" w:color="auto"/>
            <w:bottom w:val="none" w:sz="0" w:space="0" w:color="auto"/>
            <w:right w:val="none" w:sz="0" w:space="0" w:color="auto"/>
          </w:divBdr>
          <w:divsChild>
            <w:div w:id="755714459">
              <w:marLeft w:val="0"/>
              <w:marRight w:val="0"/>
              <w:marTop w:val="0"/>
              <w:marBottom w:val="0"/>
              <w:divBdr>
                <w:top w:val="none" w:sz="0" w:space="0" w:color="auto"/>
                <w:left w:val="none" w:sz="0" w:space="0" w:color="auto"/>
                <w:bottom w:val="none" w:sz="0" w:space="0" w:color="auto"/>
                <w:right w:val="none" w:sz="0" w:space="0" w:color="auto"/>
              </w:divBdr>
              <w:divsChild>
                <w:div w:id="1434396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7978113">
      <w:bodyDiv w:val="1"/>
      <w:marLeft w:val="0"/>
      <w:marRight w:val="0"/>
      <w:marTop w:val="0"/>
      <w:marBottom w:val="0"/>
      <w:divBdr>
        <w:top w:val="none" w:sz="0" w:space="0" w:color="auto"/>
        <w:left w:val="none" w:sz="0" w:space="0" w:color="auto"/>
        <w:bottom w:val="none" w:sz="0" w:space="0" w:color="auto"/>
        <w:right w:val="none" w:sz="0" w:space="0" w:color="auto"/>
      </w:divBdr>
    </w:div>
    <w:div w:id="1992517341">
      <w:bodyDiv w:val="1"/>
      <w:marLeft w:val="0"/>
      <w:marRight w:val="0"/>
      <w:marTop w:val="0"/>
      <w:marBottom w:val="0"/>
      <w:divBdr>
        <w:top w:val="none" w:sz="0" w:space="0" w:color="auto"/>
        <w:left w:val="none" w:sz="0" w:space="0" w:color="auto"/>
        <w:bottom w:val="none" w:sz="0" w:space="0" w:color="auto"/>
        <w:right w:val="none" w:sz="0" w:space="0" w:color="auto"/>
      </w:divBdr>
      <w:divsChild>
        <w:div w:id="1599487654">
          <w:marLeft w:val="0"/>
          <w:marRight w:val="0"/>
          <w:marTop w:val="0"/>
          <w:marBottom w:val="0"/>
          <w:divBdr>
            <w:top w:val="none" w:sz="0" w:space="0" w:color="auto"/>
            <w:left w:val="none" w:sz="0" w:space="0" w:color="auto"/>
            <w:bottom w:val="none" w:sz="0" w:space="0" w:color="auto"/>
            <w:right w:val="none" w:sz="0" w:space="0" w:color="auto"/>
          </w:divBdr>
          <w:divsChild>
            <w:div w:id="1519193185">
              <w:marLeft w:val="0"/>
              <w:marRight w:val="0"/>
              <w:marTop w:val="0"/>
              <w:marBottom w:val="0"/>
              <w:divBdr>
                <w:top w:val="none" w:sz="0" w:space="0" w:color="auto"/>
                <w:left w:val="none" w:sz="0" w:space="0" w:color="auto"/>
                <w:bottom w:val="none" w:sz="0" w:space="0" w:color="auto"/>
                <w:right w:val="none" w:sz="0" w:space="0" w:color="auto"/>
              </w:divBdr>
              <w:divsChild>
                <w:div w:id="1252161376">
                  <w:marLeft w:val="0"/>
                  <w:marRight w:val="0"/>
                  <w:marTop w:val="0"/>
                  <w:marBottom w:val="0"/>
                  <w:divBdr>
                    <w:top w:val="none" w:sz="0" w:space="0" w:color="auto"/>
                    <w:left w:val="none" w:sz="0" w:space="0" w:color="auto"/>
                    <w:bottom w:val="none" w:sz="0" w:space="0" w:color="auto"/>
                    <w:right w:val="none" w:sz="0" w:space="0" w:color="auto"/>
                  </w:divBdr>
                  <w:divsChild>
                    <w:div w:id="18734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8267993">
      <w:bodyDiv w:val="1"/>
      <w:marLeft w:val="0"/>
      <w:marRight w:val="0"/>
      <w:marTop w:val="0"/>
      <w:marBottom w:val="0"/>
      <w:divBdr>
        <w:top w:val="none" w:sz="0" w:space="0" w:color="auto"/>
        <w:left w:val="none" w:sz="0" w:space="0" w:color="auto"/>
        <w:bottom w:val="none" w:sz="0" w:space="0" w:color="auto"/>
        <w:right w:val="none" w:sz="0" w:space="0" w:color="auto"/>
      </w:divBdr>
    </w:div>
    <w:div w:id="1999452952">
      <w:bodyDiv w:val="1"/>
      <w:marLeft w:val="0"/>
      <w:marRight w:val="0"/>
      <w:marTop w:val="0"/>
      <w:marBottom w:val="0"/>
      <w:divBdr>
        <w:top w:val="none" w:sz="0" w:space="0" w:color="auto"/>
        <w:left w:val="none" w:sz="0" w:space="0" w:color="auto"/>
        <w:bottom w:val="none" w:sz="0" w:space="0" w:color="auto"/>
        <w:right w:val="none" w:sz="0" w:space="0" w:color="auto"/>
      </w:divBdr>
      <w:divsChild>
        <w:div w:id="609894704">
          <w:marLeft w:val="0"/>
          <w:marRight w:val="0"/>
          <w:marTop w:val="0"/>
          <w:marBottom w:val="0"/>
          <w:divBdr>
            <w:top w:val="none" w:sz="0" w:space="0" w:color="auto"/>
            <w:left w:val="none" w:sz="0" w:space="0" w:color="auto"/>
            <w:bottom w:val="none" w:sz="0" w:space="0" w:color="auto"/>
            <w:right w:val="none" w:sz="0" w:space="0" w:color="auto"/>
          </w:divBdr>
          <w:divsChild>
            <w:div w:id="947202188">
              <w:marLeft w:val="0"/>
              <w:marRight w:val="0"/>
              <w:marTop w:val="0"/>
              <w:marBottom w:val="0"/>
              <w:divBdr>
                <w:top w:val="none" w:sz="0" w:space="0" w:color="auto"/>
                <w:left w:val="none" w:sz="0" w:space="0" w:color="auto"/>
                <w:bottom w:val="none" w:sz="0" w:space="0" w:color="auto"/>
                <w:right w:val="none" w:sz="0" w:space="0" w:color="auto"/>
              </w:divBdr>
              <w:divsChild>
                <w:div w:id="710499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3335270">
      <w:bodyDiv w:val="1"/>
      <w:marLeft w:val="0"/>
      <w:marRight w:val="0"/>
      <w:marTop w:val="0"/>
      <w:marBottom w:val="0"/>
      <w:divBdr>
        <w:top w:val="none" w:sz="0" w:space="0" w:color="auto"/>
        <w:left w:val="none" w:sz="0" w:space="0" w:color="auto"/>
        <w:bottom w:val="none" w:sz="0" w:space="0" w:color="auto"/>
        <w:right w:val="none" w:sz="0" w:space="0" w:color="auto"/>
      </w:divBdr>
    </w:div>
    <w:div w:id="2022734081">
      <w:bodyDiv w:val="1"/>
      <w:marLeft w:val="0"/>
      <w:marRight w:val="0"/>
      <w:marTop w:val="0"/>
      <w:marBottom w:val="0"/>
      <w:divBdr>
        <w:top w:val="none" w:sz="0" w:space="0" w:color="auto"/>
        <w:left w:val="none" w:sz="0" w:space="0" w:color="auto"/>
        <w:bottom w:val="none" w:sz="0" w:space="0" w:color="auto"/>
        <w:right w:val="none" w:sz="0" w:space="0" w:color="auto"/>
      </w:divBdr>
    </w:div>
    <w:div w:id="2031562936">
      <w:bodyDiv w:val="1"/>
      <w:marLeft w:val="0"/>
      <w:marRight w:val="0"/>
      <w:marTop w:val="0"/>
      <w:marBottom w:val="0"/>
      <w:divBdr>
        <w:top w:val="none" w:sz="0" w:space="0" w:color="auto"/>
        <w:left w:val="none" w:sz="0" w:space="0" w:color="auto"/>
        <w:bottom w:val="none" w:sz="0" w:space="0" w:color="auto"/>
        <w:right w:val="none" w:sz="0" w:space="0" w:color="auto"/>
      </w:divBdr>
    </w:div>
    <w:div w:id="2046563949">
      <w:bodyDiv w:val="1"/>
      <w:marLeft w:val="0"/>
      <w:marRight w:val="0"/>
      <w:marTop w:val="0"/>
      <w:marBottom w:val="0"/>
      <w:divBdr>
        <w:top w:val="none" w:sz="0" w:space="0" w:color="auto"/>
        <w:left w:val="none" w:sz="0" w:space="0" w:color="auto"/>
        <w:bottom w:val="none" w:sz="0" w:space="0" w:color="auto"/>
        <w:right w:val="none" w:sz="0" w:space="0" w:color="auto"/>
      </w:divBdr>
      <w:divsChild>
        <w:div w:id="1510294242">
          <w:marLeft w:val="0"/>
          <w:marRight w:val="0"/>
          <w:marTop w:val="0"/>
          <w:marBottom w:val="0"/>
          <w:divBdr>
            <w:top w:val="none" w:sz="0" w:space="0" w:color="auto"/>
            <w:left w:val="none" w:sz="0" w:space="0" w:color="auto"/>
            <w:bottom w:val="none" w:sz="0" w:space="0" w:color="auto"/>
            <w:right w:val="none" w:sz="0" w:space="0" w:color="auto"/>
          </w:divBdr>
          <w:divsChild>
            <w:div w:id="126045155">
              <w:marLeft w:val="0"/>
              <w:marRight w:val="0"/>
              <w:marTop w:val="0"/>
              <w:marBottom w:val="0"/>
              <w:divBdr>
                <w:top w:val="none" w:sz="0" w:space="0" w:color="auto"/>
                <w:left w:val="none" w:sz="0" w:space="0" w:color="auto"/>
                <w:bottom w:val="none" w:sz="0" w:space="0" w:color="auto"/>
                <w:right w:val="none" w:sz="0" w:space="0" w:color="auto"/>
              </w:divBdr>
              <w:divsChild>
                <w:div w:id="5813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0303733">
      <w:bodyDiv w:val="1"/>
      <w:marLeft w:val="0"/>
      <w:marRight w:val="0"/>
      <w:marTop w:val="0"/>
      <w:marBottom w:val="0"/>
      <w:divBdr>
        <w:top w:val="none" w:sz="0" w:space="0" w:color="auto"/>
        <w:left w:val="none" w:sz="0" w:space="0" w:color="auto"/>
        <w:bottom w:val="none" w:sz="0" w:space="0" w:color="auto"/>
        <w:right w:val="none" w:sz="0" w:space="0" w:color="auto"/>
      </w:divBdr>
      <w:divsChild>
        <w:div w:id="393243565">
          <w:marLeft w:val="0"/>
          <w:marRight w:val="0"/>
          <w:marTop w:val="0"/>
          <w:marBottom w:val="0"/>
          <w:divBdr>
            <w:top w:val="none" w:sz="0" w:space="0" w:color="auto"/>
            <w:left w:val="none" w:sz="0" w:space="0" w:color="auto"/>
            <w:bottom w:val="none" w:sz="0" w:space="0" w:color="auto"/>
            <w:right w:val="none" w:sz="0" w:space="0" w:color="auto"/>
          </w:divBdr>
          <w:divsChild>
            <w:div w:id="118845895">
              <w:marLeft w:val="0"/>
              <w:marRight w:val="0"/>
              <w:marTop w:val="0"/>
              <w:marBottom w:val="0"/>
              <w:divBdr>
                <w:top w:val="none" w:sz="0" w:space="0" w:color="auto"/>
                <w:left w:val="none" w:sz="0" w:space="0" w:color="auto"/>
                <w:bottom w:val="none" w:sz="0" w:space="0" w:color="auto"/>
                <w:right w:val="none" w:sz="0" w:space="0" w:color="auto"/>
              </w:divBdr>
              <w:divsChild>
                <w:div w:id="94600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606592">
      <w:bodyDiv w:val="1"/>
      <w:marLeft w:val="0"/>
      <w:marRight w:val="0"/>
      <w:marTop w:val="0"/>
      <w:marBottom w:val="0"/>
      <w:divBdr>
        <w:top w:val="none" w:sz="0" w:space="0" w:color="auto"/>
        <w:left w:val="none" w:sz="0" w:space="0" w:color="auto"/>
        <w:bottom w:val="none" w:sz="0" w:space="0" w:color="auto"/>
        <w:right w:val="none" w:sz="0" w:space="0" w:color="auto"/>
      </w:divBdr>
      <w:divsChild>
        <w:div w:id="322053840">
          <w:marLeft w:val="0"/>
          <w:marRight w:val="0"/>
          <w:marTop w:val="0"/>
          <w:marBottom w:val="0"/>
          <w:divBdr>
            <w:top w:val="none" w:sz="0" w:space="0" w:color="auto"/>
            <w:left w:val="none" w:sz="0" w:space="0" w:color="auto"/>
            <w:bottom w:val="none" w:sz="0" w:space="0" w:color="auto"/>
            <w:right w:val="none" w:sz="0" w:space="0" w:color="auto"/>
          </w:divBdr>
          <w:divsChild>
            <w:div w:id="1576937662">
              <w:marLeft w:val="0"/>
              <w:marRight w:val="0"/>
              <w:marTop w:val="0"/>
              <w:marBottom w:val="0"/>
              <w:divBdr>
                <w:top w:val="none" w:sz="0" w:space="0" w:color="auto"/>
                <w:left w:val="none" w:sz="0" w:space="0" w:color="auto"/>
                <w:bottom w:val="none" w:sz="0" w:space="0" w:color="auto"/>
                <w:right w:val="none" w:sz="0" w:space="0" w:color="auto"/>
              </w:divBdr>
              <w:divsChild>
                <w:div w:id="653144050">
                  <w:marLeft w:val="0"/>
                  <w:marRight w:val="0"/>
                  <w:marTop w:val="0"/>
                  <w:marBottom w:val="0"/>
                  <w:divBdr>
                    <w:top w:val="none" w:sz="0" w:space="0" w:color="auto"/>
                    <w:left w:val="none" w:sz="0" w:space="0" w:color="auto"/>
                    <w:bottom w:val="none" w:sz="0" w:space="0" w:color="auto"/>
                    <w:right w:val="none" w:sz="0" w:space="0" w:color="auto"/>
                  </w:divBdr>
                  <w:divsChild>
                    <w:div w:id="2114740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3114706">
      <w:bodyDiv w:val="1"/>
      <w:marLeft w:val="0"/>
      <w:marRight w:val="0"/>
      <w:marTop w:val="0"/>
      <w:marBottom w:val="0"/>
      <w:divBdr>
        <w:top w:val="none" w:sz="0" w:space="0" w:color="auto"/>
        <w:left w:val="none" w:sz="0" w:space="0" w:color="auto"/>
        <w:bottom w:val="none" w:sz="0" w:space="0" w:color="auto"/>
        <w:right w:val="none" w:sz="0" w:space="0" w:color="auto"/>
      </w:divBdr>
    </w:div>
    <w:div w:id="2064012731">
      <w:bodyDiv w:val="1"/>
      <w:marLeft w:val="0"/>
      <w:marRight w:val="0"/>
      <w:marTop w:val="0"/>
      <w:marBottom w:val="0"/>
      <w:divBdr>
        <w:top w:val="none" w:sz="0" w:space="0" w:color="auto"/>
        <w:left w:val="none" w:sz="0" w:space="0" w:color="auto"/>
        <w:bottom w:val="none" w:sz="0" w:space="0" w:color="auto"/>
        <w:right w:val="none" w:sz="0" w:space="0" w:color="auto"/>
      </w:divBdr>
      <w:divsChild>
        <w:div w:id="375395166">
          <w:marLeft w:val="0"/>
          <w:marRight w:val="0"/>
          <w:marTop w:val="0"/>
          <w:marBottom w:val="0"/>
          <w:divBdr>
            <w:top w:val="none" w:sz="0" w:space="0" w:color="auto"/>
            <w:left w:val="none" w:sz="0" w:space="0" w:color="auto"/>
            <w:bottom w:val="none" w:sz="0" w:space="0" w:color="auto"/>
            <w:right w:val="none" w:sz="0" w:space="0" w:color="auto"/>
          </w:divBdr>
          <w:divsChild>
            <w:div w:id="261694247">
              <w:marLeft w:val="0"/>
              <w:marRight w:val="0"/>
              <w:marTop w:val="0"/>
              <w:marBottom w:val="0"/>
              <w:divBdr>
                <w:top w:val="none" w:sz="0" w:space="0" w:color="auto"/>
                <w:left w:val="none" w:sz="0" w:space="0" w:color="auto"/>
                <w:bottom w:val="none" w:sz="0" w:space="0" w:color="auto"/>
                <w:right w:val="none" w:sz="0" w:space="0" w:color="auto"/>
              </w:divBdr>
              <w:divsChild>
                <w:div w:id="310719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520700">
      <w:bodyDiv w:val="1"/>
      <w:marLeft w:val="0"/>
      <w:marRight w:val="0"/>
      <w:marTop w:val="0"/>
      <w:marBottom w:val="0"/>
      <w:divBdr>
        <w:top w:val="none" w:sz="0" w:space="0" w:color="auto"/>
        <w:left w:val="none" w:sz="0" w:space="0" w:color="auto"/>
        <w:bottom w:val="none" w:sz="0" w:space="0" w:color="auto"/>
        <w:right w:val="none" w:sz="0" w:space="0" w:color="auto"/>
      </w:divBdr>
    </w:div>
    <w:div w:id="2077388429">
      <w:bodyDiv w:val="1"/>
      <w:marLeft w:val="0"/>
      <w:marRight w:val="0"/>
      <w:marTop w:val="0"/>
      <w:marBottom w:val="0"/>
      <w:divBdr>
        <w:top w:val="none" w:sz="0" w:space="0" w:color="auto"/>
        <w:left w:val="none" w:sz="0" w:space="0" w:color="auto"/>
        <w:bottom w:val="none" w:sz="0" w:space="0" w:color="auto"/>
        <w:right w:val="none" w:sz="0" w:space="0" w:color="auto"/>
      </w:divBdr>
    </w:div>
    <w:div w:id="2092651128">
      <w:bodyDiv w:val="1"/>
      <w:marLeft w:val="0"/>
      <w:marRight w:val="0"/>
      <w:marTop w:val="0"/>
      <w:marBottom w:val="0"/>
      <w:divBdr>
        <w:top w:val="none" w:sz="0" w:space="0" w:color="auto"/>
        <w:left w:val="none" w:sz="0" w:space="0" w:color="auto"/>
        <w:bottom w:val="none" w:sz="0" w:space="0" w:color="auto"/>
        <w:right w:val="none" w:sz="0" w:space="0" w:color="auto"/>
      </w:divBdr>
      <w:divsChild>
        <w:div w:id="1631279951">
          <w:marLeft w:val="0"/>
          <w:marRight w:val="0"/>
          <w:marTop w:val="0"/>
          <w:marBottom w:val="0"/>
          <w:divBdr>
            <w:top w:val="none" w:sz="0" w:space="0" w:color="auto"/>
            <w:left w:val="none" w:sz="0" w:space="0" w:color="auto"/>
            <w:bottom w:val="none" w:sz="0" w:space="0" w:color="auto"/>
            <w:right w:val="none" w:sz="0" w:space="0" w:color="auto"/>
          </w:divBdr>
          <w:divsChild>
            <w:div w:id="1324605">
              <w:marLeft w:val="0"/>
              <w:marRight w:val="0"/>
              <w:marTop w:val="0"/>
              <w:marBottom w:val="0"/>
              <w:divBdr>
                <w:top w:val="none" w:sz="0" w:space="0" w:color="auto"/>
                <w:left w:val="none" w:sz="0" w:space="0" w:color="auto"/>
                <w:bottom w:val="none" w:sz="0" w:space="0" w:color="auto"/>
                <w:right w:val="none" w:sz="0" w:space="0" w:color="auto"/>
              </w:divBdr>
              <w:divsChild>
                <w:div w:id="1467233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4297873">
      <w:bodyDiv w:val="1"/>
      <w:marLeft w:val="0"/>
      <w:marRight w:val="0"/>
      <w:marTop w:val="0"/>
      <w:marBottom w:val="0"/>
      <w:divBdr>
        <w:top w:val="none" w:sz="0" w:space="0" w:color="auto"/>
        <w:left w:val="none" w:sz="0" w:space="0" w:color="auto"/>
        <w:bottom w:val="none" w:sz="0" w:space="0" w:color="auto"/>
        <w:right w:val="none" w:sz="0" w:space="0" w:color="auto"/>
      </w:divBdr>
      <w:divsChild>
        <w:div w:id="194084152">
          <w:marLeft w:val="0"/>
          <w:marRight w:val="0"/>
          <w:marTop w:val="0"/>
          <w:marBottom w:val="0"/>
          <w:divBdr>
            <w:top w:val="none" w:sz="0" w:space="0" w:color="auto"/>
            <w:left w:val="none" w:sz="0" w:space="0" w:color="auto"/>
            <w:bottom w:val="none" w:sz="0" w:space="0" w:color="auto"/>
            <w:right w:val="none" w:sz="0" w:space="0" w:color="auto"/>
          </w:divBdr>
          <w:divsChild>
            <w:div w:id="1554851760">
              <w:marLeft w:val="0"/>
              <w:marRight w:val="0"/>
              <w:marTop w:val="0"/>
              <w:marBottom w:val="0"/>
              <w:divBdr>
                <w:top w:val="none" w:sz="0" w:space="0" w:color="auto"/>
                <w:left w:val="none" w:sz="0" w:space="0" w:color="auto"/>
                <w:bottom w:val="none" w:sz="0" w:space="0" w:color="auto"/>
                <w:right w:val="none" w:sz="0" w:space="0" w:color="auto"/>
              </w:divBdr>
              <w:divsChild>
                <w:div w:id="82803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298480">
      <w:bodyDiv w:val="1"/>
      <w:marLeft w:val="0"/>
      <w:marRight w:val="0"/>
      <w:marTop w:val="0"/>
      <w:marBottom w:val="0"/>
      <w:divBdr>
        <w:top w:val="none" w:sz="0" w:space="0" w:color="auto"/>
        <w:left w:val="none" w:sz="0" w:space="0" w:color="auto"/>
        <w:bottom w:val="none" w:sz="0" w:space="0" w:color="auto"/>
        <w:right w:val="none" w:sz="0" w:space="0" w:color="auto"/>
      </w:divBdr>
    </w:div>
    <w:div w:id="2110275536">
      <w:bodyDiv w:val="1"/>
      <w:marLeft w:val="0"/>
      <w:marRight w:val="0"/>
      <w:marTop w:val="0"/>
      <w:marBottom w:val="0"/>
      <w:divBdr>
        <w:top w:val="none" w:sz="0" w:space="0" w:color="auto"/>
        <w:left w:val="none" w:sz="0" w:space="0" w:color="auto"/>
        <w:bottom w:val="none" w:sz="0" w:space="0" w:color="auto"/>
        <w:right w:val="none" w:sz="0" w:space="0" w:color="auto"/>
      </w:divBdr>
      <w:divsChild>
        <w:div w:id="818352673">
          <w:marLeft w:val="0"/>
          <w:marRight w:val="0"/>
          <w:marTop w:val="0"/>
          <w:marBottom w:val="0"/>
          <w:divBdr>
            <w:top w:val="none" w:sz="0" w:space="0" w:color="auto"/>
            <w:left w:val="none" w:sz="0" w:space="0" w:color="auto"/>
            <w:bottom w:val="none" w:sz="0" w:space="0" w:color="auto"/>
            <w:right w:val="none" w:sz="0" w:space="0" w:color="auto"/>
          </w:divBdr>
          <w:divsChild>
            <w:div w:id="1221020395">
              <w:marLeft w:val="0"/>
              <w:marRight w:val="0"/>
              <w:marTop w:val="0"/>
              <w:marBottom w:val="0"/>
              <w:divBdr>
                <w:top w:val="none" w:sz="0" w:space="0" w:color="auto"/>
                <w:left w:val="none" w:sz="0" w:space="0" w:color="auto"/>
                <w:bottom w:val="none" w:sz="0" w:space="0" w:color="auto"/>
                <w:right w:val="none" w:sz="0" w:space="0" w:color="auto"/>
              </w:divBdr>
              <w:divsChild>
                <w:div w:id="2010985948">
                  <w:marLeft w:val="0"/>
                  <w:marRight w:val="0"/>
                  <w:marTop w:val="0"/>
                  <w:marBottom w:val="0"/>
                  <w:divBdr>
                    <w:top w:val="none" w:sz="0" w:space="0" w:color="auto"/>
                    <w:left w:val="none" w:sz="0" w:space="0" w:color="auto"/>
                    <w:bottom w:val="none" w:sz="0" w:space="0" w:color="auto"/>
                    <w:right w:val="none" w:sz="0" w:space="0" w:color="auto"/>
                  </w:divBdr>
                  <w:divsChild>
                    <w:div w:id="1385178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imh.nih.gov/index.s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cdc.gov" TargetMode="External"/><Relationship Id="rId4" Type="http://schemas.openxmlformats.org/officeDocument/2006/relationships/settings" Target="settings.xml"/><Relationship Id="rId9" Type="http://schemas.openxmlformats.org/officeDocument/2006/relationships/hyperlink" Target="https://www.nami.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08C2A5-D046-40B3-9753-B11C7A45E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4</Pages>
  <Words>10279</Words>
  <Characters>58593</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Atif Khan</dc:creator>
  <cp:keywords/>
  <dc:description/>
  <cp:lastModifiedBy>Atif Khan</cp:lastModifiedBy>
  <cp:revision>423</cp:revision>
  <dcterms:created xsi:type="dcterms:W3CDTF">2018-06-13T06:05:00Z</dcterms:created>
  <dcterms:modified xsi:type="dcterms:W3CDTF">2019-06-25T14:51:00Z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Recent Style Id 0_1">
    <vt:lpwstr>http://www.zotero.org/styles/american-medical-association</vt:lpwstr>
  </property>
  <property fmtid="{D5CDD505-2E9C-101B-9397-08002B2CF9AE}" pid="4" name="Mendeley Recent Style Name 0_1">
    <vt:lpwstr>American Medical Association</vt:lpwstr>
  </property>
  <property fmtid="{D5CDD505-2E9C-101B-9397-08002B2CF9AE}" pid="5" name="Mendeley Recent Style Id 1_1">
    <vt:lpwstr>http://www.zotero.org/styles/american-political-science-association</vt:lpwstr>
  </property>
  <property fmtid="{D5CDD505-2E9C-101B-9397-08002B2CF9AE}" pid="6" name="Mendeley Recent Style Name 1_1">
    <vt:lpwstr>American Political Science Association</vt:lpwstr>
  </property>
  <property fmtid="{D5CDD505-2E9C-101B-9397-08002B2CF9AE}" pid="7" name="Mendeley Recent Style Id 2_1">
    <vt:lpwstr>http://www.zotero.org/styles/american-sociological-association</vt:lpwstr>
  </property>
  <property fmtid="{D5CDD505-2E9C-101B-9397-08002B2CF9AE}" pid="8" name="Mendeley Recent Style Name 2_1">
    <vt:lpwstr>American Sociological Association</vt:lpwstr>
  </property>
  <property fmtid="{D5CDD505-2E9C-101B-9397-08002B2CF9AE}" pid="9" name="Mendeley Recent Style Id 3_1">
    <vt:lpwstr>http://www.zotero.org/styles/chicago-author-date</vt:lpwstr>
  </property>
  <property fmtid="{D5CDD505-2E9C-101B-9397-08002B2CF9AE}" pid="10" name="Mendeley Recent Style Name 3_1">
    <vt:lpwstr>Chicago Manual of Style 16th edition (author-date)</vt:lpwstr>
  </property>
  <property fmtid="{D5CDD505-2E9C-101B-9397-08002B2CF9AE}" pid="11" name="Mendeley Recent Style Id 4_1">
    <vt:lpwstr>http://www.zotero.org/styles/harvard-cite-them-right</vt:lpwstr>
  </property>
  <property fmtid="{D5CDD505-2E9C-101B-9397-08002B2CF9AE}" pid="12" name="Mendeley Recent Style Name 4_1">
    <vt:lpwstr>Cite Them Right 10th edition - Harvard</vt:lpwstr>
  </property>
  <property fmtid="{D5CDD505-2E9C-101B-9397-08002B2CF9AE}" pid="13" name="Mendeley Recent Style Id 5_1">
    <vt:lpwstr>http://www.zotero.org/styles/ieee</vt:lpwstr>
  </property>
  <property fmtid="{D5CDD505-2E9C-101B-9397-08002B2CF9AE}" pid="14" name="Mendeley Recent Style Name 5_1">
    <vt:lpwstr>IEEE</vt:lpwstr>
  </property>
  <property fmtid="{D5CDD505-2E9C-101B-9397-08002B2CF9AE}" pid="15" name="Mendeley Recent Style Id 6_1">
    <vt:lpwstr>http://www.zotero.org/styles/jama</vt:lpwstr>
  </property>
  <property fmtid="{D5CDD505-2E9C-101B-9397-08002B2CF9AE}" pid="16" name="Mendeley Recent Style Name 6_1">
    <vt:lpwstr>JAMA (The Journal of the American Medical Association)</vt:lpwstr>
  </property>
  <property fmtid="{D5CDD505-2E9C-101B-9397-08002B2CF9AE}" pid="17" name="Mendeley Recent Style Id 7_1">
    <vt:lpwstr>http://www.zotero.org/styles/nature</vt:lpwstr>
  </property>
  <property fmtid="{D5CDD505-2E9C-101B-9397-08002B2CF9AE}" pid="18" name="Mendeley Recent Style Name 7_1">
    <vt:lpwstr>Nature</vt:lpwstr>
  </property>
  <property fmtid="{D5CDD505-2E9C-101B-9397-08002B2CF9AE}" pid="19" name="Mendeley Recent Style Id 8_1">
    <vt:lpwstr>http://www.zotero.org/styles/plos-biology</vt:lpwstr>
  </property>
  <property fmtid="{D5CDD505-2E9C-101B-9397-08002B2CF9AE}" pid="20" name="Mendeley Recent Style Name 8_1">
    <vt:lpwstr>PLOS Biology</vt:lpwstr>
  </property>
  <property fmtid="{D5CDD505-2E9C-101B-9397-08002B2CF9AE}" pid="21" name="Mendeley Recent Style Id 9_1">
    <vt:lpwstr>http://www.zotero.org/styles/vancouver</vt:lpwstr>
  </property>
  <property fmtid="{D5CDD505-2E9C-101B-9397-08002B2CF9AE}" pid="22" name="Mendeley Recent Style Name 9_1">
    <vt:lpwstr>Vancouver</vt:lpwstr>
  </property>
  <property fmtid="{D5CDD505-2E9C-101B-9397-08002B2CF9AE}" pid="23" name="Mendeley Unique User Id_1">
    <vt:lpwstr>1054c6d3-8233-36f6-946b-2770e5c93317</vt:lpwstr>
  </property>
  <property fmtid="{D5CDD505-2E9C-101B-9397-08002B2CF9AE}" pid="24" name="Mendeley Citation Style_1">
    <vt:lpwstr>http://www.zotero.org/styles/plos-biology</vt:lpwstr>
  </property>
</Properties>
</file>