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CE671" w14:textId="7B3BBBEA" w:rsidR="000E33E7" w:rsidRPr="00427571" w:rsidRDefault="00E315EE" w:rsidP="000E33E7">
      <w:pPr>
        <w:rPr>
          <w:rFonts w:cs="Times New Roman"/>
          <w:b/>
        </w:rPr>
      </w:pPr>
      <w:r>
        <w:rPr>
          <w:rFonts w:cs="Times New Roman"/>
          <w:b/>
        </w:rPr>
        <w:t xml:space="preserve">S1 Text. </w:t>
      </w:r>
      <w:bookmarkStart w:id="0" w:name="_GoBack"/>
      <w:bookmarkEnd w:id="0"/>
      <w:r w:rsidR="000E33E7">
        <w:rPr>
          <w:rFonts w:cs="Times New Roman"/>
          <w:b/>
        </w:rPr>
        <w:t xml:space="preserve">Short motifs with identity to </w:t>
      </w:r>
      <w:r w:rsidR="000E33E7">
        <w:rPr>
          <w:rFonts w:cs="Times New Roman"/>
          <w:b/>
          <w:i/>
        </w:rPr>
        <w:t xml:space="preserve">C. elegans </w:t>
      </w:r>
      <w:r w:rsidR="000E33E7">
        <w:rPr>
          <w:rFonts w:cs="Times New Roman"/>
          <w:b/>
        </w:rPr>
        <w:t>binding sites are present in promoters of all genes examined.</w:t>
      </w:r>
    </w:p>
    <w:p w14:paraId="58517888" w14:textId="77777777" w:rsidR="000E33E7" w:rsidRDefault="000E33E7" w:rsidP="000E33E7">
      <w:pPr>
        <w:rPr>
          <w:rFonts w:cs="Times New Roman"/>
          <w:b/>
        </w:rPr>
      </w:pPr>
    </w:p>
    <w:p w14:paraId="59F48D43" w14:textId="25D495AD" w:rsidR="004F3D6D" w:rsidRPr="004F3D6D" w:rsidRDefault="000E33E7" w:rsidP="004F3D6D">
      <w:pPr>
        <w:ind w:firstLine="720"/>
        <w:rPr>
          <w:rFonts w:cs="Times New Roman"/>
        </w:rPr>
      </w:pPr>
      <w:r w:rsidRPr="004F3D6D">
        <w:rPr>
          <w:rFonts w:cs="Times New Roman"/>
        </w:rPr>
        <w:t xml:space="preserve">The </w:t>
      </w:r>
      <w:r w:rsidRPr="004F3D6D">
        <w:rPr>
          <w:rFonts w:cs="Times New Roman"/>
          <w:i/>
        </w:rPr>
        <w:t xml:space="preserve">C. elegans unc-25 </w:t>
      </w:r>
      <w:r w:rsidRPr="004F3D6D">
        <w:rPr>
          <w:rFonts w:cs="Times New Roman"/>
        </w:rPr>
        <w:t xml:space="preserve">promoter is regulated in D-type neurons by UNC-30, which binds one TAATCC motif on each strand </w:t>
      </w:r>
      <w:r w:rsidR="004945FF" w:rsidRPr="004F3D6D">
        <w:rPr>
          <w:rFonts w:cs="Times New Roman"/>
        </w:rPr>
        <w:fldChar w:fldCharType="begin" w:fldLock="1"/>
      </w:r>
      <w:r w:rsidR="0079466E" w:rsidRPr="004F3D6D">
        <w:rPr>
          <w:rFonts w:cs="Times New Roman"/>
        </w:rPr>
        <w:instrText>ADDIN CSL_CITATION { "citationItems" : [ { "id" : "ITEM-1", "itemData" : { "ISSN" : "0270-6474", "author" : [ { "dropping-particle" : "", "family" : "Eastman", "given" : "C", "non-dropping-particle" : "", "parse-names" : false, "suffix" : "" }, { "dropping-particle" : "", "family" : "Horvitz", "given" : "H R", "non-dropping-particle" : "", "parse-names" : false, "suffix" : "" }, { "dropping-particle" : "", "family" : "Jin", "given" : "Y S", "non-dropping-particle" : "", "parse-names" : false, "suffix" : "" } ], "container-title" : "Journal of Neuroscience", "id" : "ITEM-1", "issue" : "15", "issued" : { "date-parts" : [ [ "1999", "8", "1" ] ] }, "note" : "PT: J", "page" : "6225-6234", "title" : "Coordinated transcriptional regulation of the unc-25 glutamic acid decarboxylase and the unc-47 GABA vesicular transporter by the Caenorhabditis elegans UNC-90 homeodomain protein", "type" : "article-journal", "volume" : "19" }, "uris" : [ "http://www.mendeley.com/documents/?uuid=0b9a87d5-4f5e-4e88-98e5-223e9f3247cc" ] } ], "mendeley" : { "formattedCitation" : "[1]", "plainTextFormattedCitation" : "[1]", "previouslyFormattedCitation" : "[1]" }, "properties" : { "noteIndex" : 0 }, "schema" : "https://github.com/citation-style-language/schema/raw/master/csl-citation.json" }</w:instrText>
      </w:r>
      <w:r w:rsidR="004945FF" w:rsidRPr="004F3D6D">
        <w:rPr>
          <w:rFonts w:cs="Times New Roman"/>
        </w:rPr>
        <w:fldChar w:fldCharType="separate"/>
      </w:r>
      <w:r w:rsidR="0079466E" w:rsidRPr="004F3D6D">
        <w:rPr>
          <w:rFonts w:cs="Times New Roman"/>
          <w:noProof/>
        </w:rPr>
        <w:t>[1]</w:t>
      </w:r>
      <w:r w:rsidR="004945FF" w:rsidRPr="004F3D6D">
        <w:rPr>
          <w:rFonts w:cs="Times New Roman"/>
        </w:rPr>
        <w:fldChar w:fldCharType="end"/>
      </w:r>
      <w:r w:rsidRPr="004F3D6D">
        <w:rPr>
          <w:rFonts w:cs="Times New Roman"/>
        </w:rPr>
        <w:t xml:space="preserve">. All tested </w:t>
      </w:r>
      <w:r w:rsidRPr="004F3D6D">
        <w:rPr>
          <w:rFonts w:cs="Times New Roman"/>
          <w:i/>
        </w:rPr>
        <w:t xml:space="preserve">unc-25 </w:t>
      </w:r>
      <w:r w:rsidRPr="004F3D6D">
        <w:rPr>
          <w:rFonts w:cs="Times New Roman"/>
        </w:rPr>
        <w:t xml:space="preserve">non-coding elements had UNC-30 binding site matches (Figure S11), though both </w:t>
      </w:r>
      <w:r w:rsidRPr="004F3D6D">
        <w:rPr>
          <w:rFonts w:cs="Times New Roman"/>
          <w:i/>
        </w:rPr>
        <w:t>B. malayi</w:t>
      </w:r>
      <w:r w:rsidRPr="004F3D6D">
        <w:rPr>
          <w:rFonts w:cs="Times New Roman"/>
        </w:rPr>
        <w:t xml:space="preserve"> and </w:t>
      </w:r>
      <w:r w:rsidRPr="004F3D6D">
        <w:rPr>
          <w:rFonts w:cs="Times New Roman"/>
          <w:i/>
        </w:rPr>
        <w:t xml:space="preserve">T. spiralis </w:t>
      </w:r>
      <w:r w:rsidRPr="004F3D6D">
        <w:rPr>
          <w:rFonts w:cs="Times New Roman"/>
        </w:rPr>
        <w:t xml:space="preserve">had these motif matches in what appear to be introns, and the </w:t>
      </w:r>
      <w:r w:rsidRPr="004F3D6D">
        <w:rPr>
          <w:rFonts w:cs="Times New Roman"/>
          <w:i/>
        </w:rPr>
        <w:t xml:space="preserve">M. hapla </w:t>
      </w:r>
      <w:r w:rsidRPr="004F3D6D">
        <w:rPr>
          <w:rFonts w:cs="Times New Roman"/>
        </w:rPr>
        <w:t xml:space="preserve">match is on the reverse strand. </w:t>
      </w:r>
      <w:r w:rsidRPr="004F3D6D">
        <w:rPr>
          <w:rFonts w:cs="Times New Roman"/>
          <w:i/>
        </w:rPr>
        <w:t>C. elegans</w:t>
      </w:r>
      <w:r w:rsidRPr="004F3D6D">
        <w:rPr>
          <w:rFonts w:cs="Times New Roman"/>
        </w:rPr>
        <w:t xml:space="preserve"> has an UNC-30 motif in the first intron, although that sequence was not part of the fusion construct tested here (or </w:t>
      </w:r>
      <w:r w:rsidR="000E47B7">
        <w:rPr>
          <w:rFonts w:cs="Times New Roman"/>
        </w:rPr>
        <w:t>in</w:t>
      </w:r>
      <w:r w:rsidRPr="004F3D6D">
        <w:rPr>
          <w:rFonts w:cs="Times New Roman"/>
        </w:rPr>
        <w:t xml:space="preserve"> </w:t>
      </w:r>
      <w:r w:rsidR="004945FF" w:rsidRPr="004F3D6D">
        <w:rPr>
          <w:rFonts w:cs="Times New Roman"/>
        </w:rPr>
        <w:fldChar w:fldCharType="begin" w:fldLock="1"/>
      </w:r>
      <w:r w:rsidR="002B62A2" w:rsidRPr="004F3D6D">
        <w:rPr>
          <w:rFonts w:cs="Times New Roman"/>
        </w:rPr>
        <w:instrText>ADDIN CSL_CITATION { "citationItems" : [ { "id" : "ITEM-1", "itemData" : { "ISSN" : "0270-6474", "author" : [ { "dropping-particle" : "", "family" : "Eastman", "given" : "C", "non-dropping-particle" : "", "parse-names" : false, "suffix" : "" }, { "dropping-particle" : "", "family" : "Horvitz", "given" : "H R", "non-dropping-particle" : "", "parse-names" : false, "suffix" : "" }, { "dropping-particle" : "", "family" : "Jin", "given" : "Y S", "non-dropping-particle" : "", "parse-names" : false, "suffix" : "" } ], "container-title" : "Journal of Neuroscience", "id" : "ITEM-1", "issue" : "15", "issued" : { "date-parts" : [ [ "1999", "8", "1" ] ] }, "note" : "PT: J", "page" : "6225-6234", "title" : "Coordinated transcriptional regulation of the unc-25 glutamic acid decarboxylase and the unc-47 GABA vesicular transporter by the Caenorhabditis elegans UNC-90 homeodomain protein", "type" : "article-journal", "volume" : "19" }, "uris" : [ "http://www.mendeley.com/documents/?uuid=0b9a87d5-4f5e-4e88-98e5-223e9f3247cc" ] }, { "id" : "ITEM-2", "itemData" : { "DOI" : "10.1242/dev.00711", "ISSN" : "0950-1991", "PMID" : "12944426", "abstract" : "Expression patterns of orthologous genes are often conserved, even between distantly related organisms, suggesting that once established, developmental programs can be stably maintained over long periods of evolutionary time. Because many orthologous transcription factors are also functionally conserved, one possible model to account for homologous gene expression patterns, is conservation of specific binding sites within cis-regulatory elements of orthologous genes. If this model is correct, a cis-regulatory element from one organism would be expected to function in a distantly related organism. To test this hypothesis, we fused the green fluorescent protein gene to neuronal and muscular enhancer elements from a variety of Drosophila melanogaster genes, and tested whether these would activate expression in the homologous cell types in Caenorhabditis elegans. Regulatory elements from several genes directed appropriate expression in homologous tissue types, suggesting conservation of regulatory sites. However, enhancers of most Drosophila genes tested were not properly recognized in C. elegans, implying that over this evolutionary distance enough changes occurred in cis-regulatory sequences and/or transcription factors to prevent proper recognition of heterospecific enhancers. Comparisons of enhancer elements of orthologous genes between C. elegans and C. briggsae revealed extensive conservation, as well as specific instances of functional divergence. Our results indicate that functional changes in cis-regulatory sequences accumulate on timescales much shorter than the divergence of arthropods and nematodes, and that mechanisms other than conservation of individual binding sites within enhancer elements are responsible for the conservation of expression patterns of homologous genes between distantly related species.", "author" : [ { "dropping-particle" : "", "family" : "Ruvinsky", "given" : "Ilya", "non-dropping-particle" : "", "parse-names" : false, "suffix" : "" }, { "dropping-particle" : "", "family" : "Ruvkun", "given" : "Gary", "non-dropping-particle" : "", "parse-names" : false, "suffix" : "" } ], "container-title" : "Development (Cambridge, England)", "id" : "ITEM-2", "issue" : "21", "issued" : { "date-parts" : [ [ "2003", "11" ] ] }, "page" : "5133-42", "title" : "Functional tests of enhancer conservation between distantly related species.", "type" : "article-journal", "volume" : "130" }, "uris" : [ "http://www.mendeley.com/documents/?uuid=c9c1477d-2d92-471a-b980-d85400f3c89a" ] }, { "id" : "ITEM-3", "itemData" : { "DOI" : "10.1371/journal.pgen.1004435", "ISSN" : "1553-7404", "PMID" : "24968346", "abstract" : "Because there is considerable variation in gene expression even between closely related species, it is clear that gene regulatory mechanisms evolve relatively rapidly. Because primary sequence conservation is an unreliable proxy for functional conservation of cis-regulatory elements, their assessment must be carried out in vivo. We conducted a survey of cis-regulatory conservation between C. elegans and closely related species C. briggsae, C. remanei, C. brenneri, and C. japonica. We tested enhancers of eight genes from these species by introducing them into C. elegans and analyzing the expression patterns they drove. Our results support several notable conclusions. Most exogenous cis elements direct expression in the same cells as their C. elegans orthologs, confirming gross conservation of regulatory mechanisms. However, the majority of exogenous elements, when placed in C. elegans, also directed expression in cells outside endogenous patterns, suggesting functional divergence. Recurrent ectopic expression of different promoters in the same C. elegans cells may reflect biases in the directions in which expression patterns can evolve due to shared regulatory logic of coexpressed genes. The fact that, despite differences between individual genes, several patterns repeatedly emerged from our survey, encourages us to think that general rules governing regulatory evolution may exist and be discoverable.", "author" : [ { "dropping-particle" : "", "family" : "Barri\u00e8re", "given" : "Antoine", "non-dropping-particle" : "", "parse-names" : false, "suffix" : "" }, { "dropping-particle" : "", "family" : "Ruvinsky", "given" : "Ilya", "non-dropping-particle" : "", "parse-names" : false, "suffix" : "" } ], "container-title" : "PLoS genetics", "editor" : [ { "dropping-particle" : "", "family" : "Akey", "given" : "Joshua M.", "non-dropping-particle" : "", "parse-names" : false, "suffix" : "" } ], "id" : "ITEM-3", "issue" : "6", "issued" : { "date-parts" : [ [ "2014", "6" ] ] }, "page" : "e1004435", "publisher" : "Public Library of Science", "title" : "Pervasive Divergence of Transcriptional Gene Regulation in Caenorhabditis Nematodes.", "type" : "article-journal", "volume" : "10" }, "uris" : [ "http://www.mendeley.com/documents/?uuid=e514f0ec-9bcb-492e-af6f-297a250ac437" ] } ], "mendeley" : { "formattedCitation" : "[1\u20133]", "plainTextFormattedCitation" : "[1\u20133]", "previouslyFormattedCitation" : "[1\u20133]" }, "properties" : { "noteIndex" : 0 }, "schema" : "https://github.com/citation-style-language/schema/raw/master/csl-citation.json" }</w:instrText>
      </w:r>
      <w:r w:rsidR="004945FF" w:rsidRPr="004F3D6D">
        <w:rPr>
          <w:rFonts w:cs="Times New Roman"/>
        </w:rPr>
        <w:fldChar w:fldCharType="separate"/>
      </w:r>
      <w:r w:rsidR="0079466E" w:rsidRPr="004F3D6D">
        <w:rPr>
          <w:rFonts w:cs="Times New Roman"/>
          <w:noProof/>
        </w:rPr>
        <w:t>[1–3]</w:t>
      </w:r>
      <w:r w:rsidR="004945FF" w:rsidRPr="004F3D6D">
        <w:rPr>
          <w:rFonts w:cs="Times New Roman"/>
        </w:rPr>
        <w:fldChar w:fldCharType="end"/>
      </w:r>
      <w:r w:rsidR="0079466E" w:rsidRPr="004F3D6D">
        <w:rPr>
          <w:rFonts w:cs="Times New Roman"/>
        </w:rPr>
        <w:t>)</w:t>
      </w:r>
      <w:r w:rsidRPr="004F3D6D">
        <w:rPr>
          <w:rFonts w:cs="Times New Roman"/>
        </w:rPr>
        <w:t xml:space="preserve">, and therefore is </w:t>
      </w:r>
    </w:p>
    <w:p w14:paraId="6C73D2CB" w14:textId="677EDB9F" w:rsidR="000E33E7" w:rsidRPr="00484C0B" w:rsidRDefault="000E33E7" w:rsidP="002B62A2">
      <w:pPr>
        <w:divId w:val="680623681"/>
        <w:rPr>
          <w:rFonts w:cs="Times New Roman"/>
        </w:rPr>
      </w:pPr>
      <w:r w:rsidRPr="004F3D6D">
        <w:rPr>
          <w:rFonts w:cs="Times New Roman"/>
        </w:rPr>
        <w:t>not necessary to drive proper gene expression. The two ups</w:t>
      </w:r>
      <w:r w:rsidR="004945FF" w:rsidRPr="004F3D6D">
        <w:rPr>
          <w:rFonts w:cs="Times New Roman"/>
        </w:rPr>
        <w:t>t</w:t>
      </w:r>
      <w:r w:rsidRPr="004F3D6D">
        <w:rPr>
          <w:rFonts w:cs="Times New Roman"/>
        </w:rPr>
        <w:t>ream UNC-30 binding sites</w:t>
      </w:r>
      <w:r>
        <w:rPr>
          <w:rFonts w:cs="Times New Roman"/>
        </w:rPr>
        <w:t xml:space="preserve"> </w:t>
      </w:r>
      <w:r w:rsidR="00482597">
        <w:rPr>
          <w:rFonts w:cs="Times New Roman"/>
        </w:rPr>
        <w:t>have been experimentally verified to</w:t>
      </w:r>
      <w:r>
        <w:rPr>
          <w:rFonts w:cs="Times New Roman"/>
        </w:rPr>
        <w:t xml:space="preserve"> bind UNC-30 </w:t>
      </w:r>
      <w:r w:rsidR="004945FF">
        <w:rPr>
          <w:rFonts w:cs="Times New Roman"/>
        </w:rPr>
        <w:fldChar w:fldCharType="begin" w:fldLock="1"/>
      </w:r>
      <w:r w:rsidR="0079466E">
        <w:rPr>
          <w:rFonts w:cs="Times New Roman"/>
        </w:rPr>
        <w:instrText>ADDIN CSL_CITATION { "citationItems" : [ { "id" : "ITEM-1", "itemData" : { "ISSN" : "0270-6474", "author" : [ { "dropping-particle" : "", "family" : "Eastman", "given" : "C", "non-dropping-particle" : "", "parse-names" : false, "suffix" : "" }, { "dropping-particle" : "", "family" : "Horvitz", "given" : "H R", "non-dropping-particle" : "", "parse-names" : false, "suffix" : "" }, { "dropping-particle" : "", "family" : "Jin", "given" : "Y S", "non-dropping-particle" : "", "parse-names" : false, "suffix" : "" } ], "container-title" : "Journal of Neuroscience", "id" : "ITEM-1", "issue" : "15", "issued" : { "date-parts" : [ [ "1999", "8", "1" ] ] }, "note" : "PT: J", "page" : "6225-6234", "title" : "Coordinated transcriptional regulation of the unc-25 glutamic acid decarboxylase and the unc-47 GABA vesicular transporter by the Caenorhabditis elegans UNC-90 homeodomain protein", "type" : "article-journal", "volume" : "19" }, "uris" : [ "http://www.mendeley.com/documents/?uuid=0b9a87d5-4f5e-4e88-98e5-223e9f3247cc" ] } ], "mendeley" : { "formattedCitation" : "[1]", "plainTextFormattedCitation" : "[1]", "previouslyFormattedCitation" : "[1]" }, "properties" : { "noteIndex" : 0 }, "schema" : "https://github.com/citation-style-language/schema/raw/master/csl-citation.json" }</w:instrText>
      </w:r>
      <w:r w:rsidR="004945FF">
        <w:rPr>
          <w:rFonts w:cs="Times New Roman"/>
        </w:rPr>
        <w:fldChar w:fldCharType="separate"/>
      </w:r>
      <w:r w:rsidR="0079466E" w:rsidRPr="0079466E">
        <w:rPr>
          <w:rFonts w:cs="Times New Roman"/>
          <w:noProof/>
        </w:rPr>
        <w:t>[1]</w:t>
      </w:r>
      <w:r w:rsidR="004945FF">
        <w:rPr>
          <w:rFonts w:cs="Times New Roman"/>
        </w:rPr>
        <w:fldChar w:fldCharType="end"/>
      </w:r>
      <w:r>
        <w:rPr>
          <w:rFonts w:cs="Times New Roman"/>
        </w:rPr>
        <w:t xml:space="preserve">, so some degree of redundancy is possible within the given motif types.  </w:t>
      </w:r>
    </w:p>
    <w:p w14:paraId="4ACF0EF2" w14:textId="08BC516F" w:rsidR="001C49B5" w:rsidRDefault="000E33E7" w:rsidP="00482597">
      <w:pPr>
        <w:ind w:firstLine="720"/>
        <w:rPr>
          <w:rFonts w:cs="Times New Roman"/>
        </w:rPr>
      </w:pPr>
      <w:r>
        <w:rPr>
          <w:rFonts w:cs="Times New Roman"/>
        </w:rPr>
        <w:t xml:space="preserve">The </w:t>
      </w:r>
      <w:r>
        <w:rPr>
          <w:rFonts w:cs="Times New Roman"/>
          <w:i/>
        </w:rPr>
        <w:t xml:space="preserve">C. elegans </w:t>
      </w:r>
      <w:r w:rsidRPr="008233BB">
        <w:rPr>
          <w:rFonts w:cs="Times New Roman"/>
        </w:rPr>
        <w:t>and</w:t>
      </w:r>
      <w:r>
        <w:rPr>
          <w:rFonts w:cs="Times New Roman"/>
          <w:i/>
        </w:rPr>
        <w:t xml:space="preserve"> C. remanei mec-3</w:t>
      </w:r>
      <w:r>
        <w:rPr>
          <w:rFonts w:cs="Times New Roman"/>
        </w:rPr>
        <w:t xml:space="preserve"> promoters both contain binding sites for MEC-3 and UNC-86 transcription factors </w:t>
      </w:r>
      <w:r w:rsidR="004945FF">
        <w:rPr>
          <w:rFonts w:cs="Times New Roman"/>
        </w:rPr>
        <w:fldChar w:fldCharType="begin" w:fldLock="1"/>
      </w:r>
      <w:r w:rsidR="0079466E">
        <w:rPr>
          <w:rFonts w:cs="Times New Roman"/>
        </w:rPr>
        <w:instrText>ADDIN CSL_CITATION { "citationItems" : [ { "id" : "ITEM-1", "itemData" : { "DOI" : "10.1101/gad.5.12a.2199", "ISSN" : "0890-9369", "author" : [ { "dropping-particle" : "", "family" : "Way", "given" : "J C", "non-dropping-particle" : "", "parse-names" : false, "suffix" : "" }, { "dropping-particle" : "", "family" : "Wang", "given" : "L", "non-dropping-particle" : "", "parse-names" : false, "suffix" : "" }, { "dropping-particle" : "", "family" : "Run", "given" : "J Q", "non-dropping-particle" : "", "parse-names" : false, "suffix" : "" }, { "dropping-particle" : "", "family" : "Wang", "given" : "a", "non-dropping-particle" : "", "parse-names" : false, "suffix" : "" } ], "container-title" : "Genes &amp; Development", "id" : "ITEM-1", "issue" : "12a", "issued" : { "date-parts" : [ [ "1991", "12" ] ] }, "page" : "2199-2211", "title" : "The mec-3 gene contains cis-acting elements mediating positive and negative regulation in cells produced by asymmetric cell division in Caenorhabditis elegans.", "type" : "article-journal", "volume" : "5" }, "uris" : [ "http://www.mendeley.com/documents/?uuid=adc46845-6f76-41b3-9789-e64c6044aade" ] } ], "mendeley" : { "formattedCitation" : "[4]", "plainTextFormattedCitation" : "[4]", "previouslyFormattedCitation" : "[4]" }, "properties" : { "noteIndex" : 0 }, "schema" : "https://github.com/citation-style-language/schema/raw/master/csl-citation.json" }</w:instrText>
      </w:r>
      <w:r w:rsidR="004945FF">
        <w:rPr>
          <w:rFonts w:cs="Times New Roman"/>
        </w:rPr>
        <w:fldChar w:fldCharType="separate"/>
      </w:r>
      <w:r w:rsidR="0079466E" w:rsidRPr="0079466E">
        <w:rPr>
          <w:rFonts w:cs="Times New Roman"/>
          <w:noProof/>
        </w:rPr>
        <w:t>[4]</w:t>
      </w:r>
      <w:r w:rsidR="004945FF">
        <w:rPr>
          <w:rFonts w:cs="Times New Roman"/>
        </w:rPr>
        <w:fldChar w:fldCharType="end"/>
      </w:r>
      <w:r>
        <w:rPr>
          <w:rFonts w:cs="Times New Roman"/>
        </w:rPr>
        <w:t xml:space="preserve">, which bind to known motifs </w:t>
      </w:r>
      <w:r w:rsidR="004945FF">
        <w:rPr>
          <w:rFonts w:cs="Times New Roman"/>
        </w:rPr>
        <w:fldChar w:fldCharType="begin" w:fldLock="1"/>
      </w:r>
      <w:r w:rsidR="0079466E">
        <w:rPr>
          <w:rFonts w:cs="Times New Roman"/>
        </w:rPr>
        <w:instrText>ADDIN CSL_CITATION { "citationItems" : [ { "id" : "ITEM-1", "itemData" : { "DOI" : "10.1016/0925-4773(96)00523-0", "ISSN" : "09254773", "abstract" : "In certain stereotyped lineages of Caenorhabditis elegans, the mec-3 gene is transcribed in neurons that are anterior daughters of cells containing the UNC-86 protein. UNC-86 binds to the mec-3 promoter and is necessary for transcription activation, but this protein is present in many cells that do not transcribe mec-3, including the posterior sister and parent cells of the mec-3-expressing neurons. To understand how the mec-3 promoter directs transcription in only a subset of cells that contain UNC-86, we have compared sequences within the promoter that are bound by UNC-86 in vitro with sequences that are necessary for early transcription of mec-3 in vivo. We find that upstream of the mec-3 start codon are two blocks of sequence that are each sufficient to generate the cellular pattern of mec-3 transcription. The proximal sequence includes three previously identified short regions that have been conserved in nematode evolution and each contains one high-affinity UNC-86 binding site. The recognition consensus sequence for UNC-86 is CATnnn T/A AAT, which is identical to the recognition sequence for the UNC-86-related mammalian transcription factor Brn-3. Adjacent to the UNC-86 recognition site is an additional sequence that is important for establishment of mec-3 expression and is presumably recognized by an unidentified transcription factor.", "author" : [ { "dropping-particle" : "", "family" : "Wang", "given" : "Lili", "non-dropping-particle" : "", "parse-names" : false, "suffix" : "" }, { "dropping-particle" : "", "family" : "Way", "given" : "Jeffrey C.", "non-dropping-particle" : "", "parse-names" : false, "suffix" : "" } ], "container-title" : "Mechanisms of Development", "id" : "ITEM-1", "issue" : "1-2", "issued" : { "date-parts" : [ [ "1996", "5" ] ] }, "page" : "183-196", "title" : "Promoter sequences for the establishment of mec-3 expression in the nematode Caenorhabditis elegans", "type" : "article-journal", "volume" : "56" }, "uris" : [ "http://www.mendeley.com/documents/?uuid=a89574b4-d90c-4b15-843b-b108fe6fa8b4" ] }, { "id" : "ITEM-2", "itemData" : { "ISSN" : "0261-4189", "PMID" : "1361171", "abstract" : "The mec-3 gene encodes a homeodomain protein with LIM repeats that is required for the specification of touch cell fate in Caenorhabditis elegans. Previous experiments suggested that mec-3 expression requires the product of the unc-86 gene, a POU-type homeoprotein, and mec-3 itself. We have analyzed the control of mec-3 expression by identifying potential cis regulatory elements in the mec-3 gene (by conservation in a related nematode and by DNase I footprinting using unc-86 and mec-3 proteins) and testing their importance by transforming C.elegans with mec-3lacZ fusions in which these sites have been mutagenized in vitro. Both unc-86 and mec-3 proteins bind specifically to the promoter of the mec-3 gene, suggesting that both proteins may be directly involved in the regulation of the mec-3 gene. In addition, the footprint pattern with mec-3 protein is altered in the presence of unc-86 protein. In vivo transformation experiments reveal that some of the binding regions of the two proteins are needed for general positive control and maintenance of mec-3 expression while others have no detectable, unique function. Interestingly, the unc-86 gene appears to be required not only to initiate mec-3 expression but also to maintain it.", "author" : [ { "dropping-particle" : "", "family" : "Xue", "given" : "D", "non-dropping-particle" : "", "parse-names" : false, "suffix" : "" }, { "dropping-particle" : "", "family" : "Finney", "given" : "M", "non-dropping-particle" : "", "parse-names" : false, "suffix" : "" }, { "dropping-particle" : "", "family" : "Ruvkun", "given" : "G", "non-dropping-particle" : "", "parse-names" : false, "suffix" : "" }, { "dropping-particle" : "", "family" : "Chalfie", "given" : "M", "non-dropping-particle" : "", "parse-names" : false, "suffix" : "" } ], "container-title" : "The EMBO journal", "id" : "ITEM-2", "issue" : "13", "issued" : { "date-parts" : [ [ "1992", "12" ] ] }, "page" : "4969-79", "title" : "Regulation of the mec-3 gene by the C.elegans homeoproteins UNC-86 and MEC-3.", "type" : "article-journal", "volume" : "11" }, "uris" : [ "http://www.mendeley.com/documents/?uuid=fc5593a2-99ed-4ecc-990e-364eb3882f3c" ] } ], "mendeley" : { "formattedCitation" : "[5,6]", "plainTextFormattedCitation" : "[5,6]", "previouslyFormattedCitation" : "[5,6]" }, "properties" : { "noteIndex" : 0 }, "schema" : "https://github.com/citation-style-language/schema/raw/master/csl-citation.json" }</w:instrText>
      </w:r>
      <w:r w:rsidR="004945FF">
        <w:rPr>
          <w:rFonts w:cs="Times New Roman"/>
        </w:rPr>
        <w:fldChar w:fldCharType="separate"/>
      </w:r>
      <w:r w:rsidR="0079466E" w:rsidRPr="0079466E">
        <w:rPr>
          <w:rFonts w:cs="Times New Roman"/>
          <w:noProof/>
        </w:rPr>
        <w:t>[5,6]</w:t>
      </w:r>
      <w:r w:rsidR="004945FF">
        <w:rPr>
          <w:rFonts w:cs="Times New Roman"/>
        </w:rPr>
        <w:fldChar w:fldCharType="end"/>
      </w:r>
      <w:r>
        <w:rPr>
          <w:rFonts w:cs="Times New Roman"/>
        </w:rPr>
        <w:t xml:space="preserve">. Matches to these motifs can be found in </w:t>
      </w:r>
      <w:r>
        <w:rPr>
          <w:rFonts w:cs="Times New Roman"/>
          <w:i/>
        </w:rPr>
        <w:t>C. briggsae</w:t>
      </w:r>
      <w:r>
        <w:rPr>
          <w:rFonts w:cs="Times New Roman"/>
        </w:rPr>
        <w:t xml:space="preserve"> and all three of the distantly related nematodes (Figure S12). </w:t>
      </w:r>
    </w:p>
    <w:p w14:paraId="047D33C2" w14:textId="6E95C630" w:rsidR="000E33E7" w:rsidRDefault="000E33E7" w:rsidP="000E33E7">
      <w:pPr>
        <w:ind w:firstLine="720"/>
        <w:rPr>
          <w:rFonts w:cs="Times New Roman"/>
        </w:rPr>
      </w:pPr>
      <w:r>
        <w:rPr>
          <w:rFonts w:cs="Times New Roman"/>
        </w:rPr>
        <w:t xml:space="preserve">Expression from the </w:t>
      </w:r>
      <w:r>
        <w:rPr>
          <w:rFonts w:cs="Times New Roman"/>
          <w:i/>
        </w:rPr>
        <w:t xml:space="preserve">C. elegans elt-2 </w:t>
      </w:r>
      <w:r>
        <w:rPr>
          <w:rFonts w:cs="Times New Roman"/>
        </w:rPr>
        <w:t>promoter is initiated by binding by the GATA transcription factors END-1</w:t>
      </w:r>
      <w:r w:rsidR="000E47B7">
        <w:rPr>
          <w:rFonts w:cs="Times New Roman"/>
        </w:rPr>
        <w:t xml:space="preserve"> and END-</w:t>
      </w:r>
      <w:r>
        <w:rPr>
          <w:rFonts w:cs="Times New Roman"/>
        </w:rPr>
        <w:t>3</w:t>
      </w:r>
      <w:r w:rsidRPr="008F1149">
        <w:rPr>
          <w:rFonts w:cs="Times New Roman"/>
        </w:rPr>
        <w:t xml:space="preserve"> </w:t>
      </w:r>
      <w:r>
        <w:rPr>
          <w:rFonts w:cs="Times New Roman"/>
        </w:rPr>
        <w:t xml:space="preserve">which bind the degenerate GATA-binding motif WGATAR </w:t>
      </w:r>
      <w:r w:rsidR="0079466E">
        <w:rPr>
          <w:rFonts w:cs="Times New Roman"/>
        </w:rPr>
        <w:fldChar w:fldCharType="begin" w:fldLock="1"/>
      </w:r>
      <w:r w:rsidR="0079466E">
        <w:rPr>
          <w:rFonts w:cs="Times New Roman"/>
        </w:rPr>
        <w:instrText>ADDIN CSL_CITATION { "citationItems" : [ { "id" : "ITEM-1", "itemData" : { "DOI" : "10.1002/wdev.93", "ISSN" : "1759-7692", "PMID" : "23799580", "abstract" : "The transcriptional regulatory hierarchy that controls development of the Caenorhabditis elegans endoderm begins with the maternally provided SKN-1 transcription factor, which determines the fate of the EMS blastomere of the four-cell embryo. EMS divides to produce the posterior E blastomere (the clonal progenitor of the intestine) and the anterior MS blastomere, a major contributor to mesoderm. This segregation of lineage fates is controlled by an intercellular signal from the neighboring P2 blastomere and centers on the HMG protein POP-1. POP-1 would normally repress the endoderm program in both E and MS but two consequences of the P2-to-EMS signal are that POP-1 is exported from the E-cell nucleus and the remaining POP-1 is converted to an endoderm activator by complexing with SYS-1, a highly diverged \u03b2-catenin. In the single E cell, a pair of genes encoding small redundant GATA-type transcription factors, END-1 and END-3, are transcribed under the combined control of SKN-1, the POP-1/SYS-1 complex, as well as the redundant pair of MED-1/2 GATA factors, themselves direct zygotic targets of SKN-1 in the EMS cell. With the expression of END-1/END-3, the endoderm is specified. END-1 and END-3 then activate transcription of a further set of GATA-type transcription factors that drive intestine differentiation and function. One of these factors, ELT-2, appears predominant; a second factor, ELT-7, is partially redundant with ELT-2. The mature intestine expresses several thousand genes, apparently all controlled, at least in part, by cis-acting GATA-type motifs.", "author" : [ { "dropping-particle" : "", "family" : "McGhee", "given" : "James D", "non-dropping-particle" : "", "parse-names" : false, "suffix" : "" } ], "container-title" : "Wiley interdisciplinary reviews. Developmental biology", "id" : "ITEM-1", "issue" : "3", "issued" : { "date-parts" : [ [ "2012" ] ] }, "page" : "347-67", "title" : "The Caenorhabditis elegans intestine.", "type" : "article-journal", "volume" : "2" }, "uris" : [ "http://www.mendeley.com/documents/?uuid=d0959e00-15f8-438e-bf3b-4244bc1e6d5d" ] } ], "mendeley" : { "formattedCitation" : "[7]", "plainTextFormattedCitation" : "[7]", "previouslyFormattedCitation" : "[7]" }, "properties" : { "noteIndex" : 0 }, "schema" : "https://github.com/citation-style-language/schema/raw/master/csl-citation.json" }</w:instrText>
      </w:r>
      <w:r w:rsidR="0079466E">
        <w:rPr>
          <w:rFonts w:cs="Times New Roman"/>
        </w:rPr>
        <w:fldChar w:fldCharType="separate"/>
      </w:r>
      <w:r w:rsidR="0079466E" w:rsidRPr="0079466E">
        <w:rPr>
          <w:rFonts w:cs="Times New Roman"/>
          <w:noProof/>
        </w:rPr>
        <w:t>[7]</w:t>
      </w:r>
      <w:r w:rsidR="0079466E">
        <w:rPr>
          <w:rFonts w:cs="Times New Roman"/>
        </w:rPr>
        <w:fldChar w:fldCharType="end"/>
      </w:r>
      <w:r>
        <w:rPr>
          <w:rFonts w:cs="Times New Roman"/>
        </w:rPr>
        <w:t xml:space="preserve">. </w:t>
      </w:r>
      <w:r w:rsidR="000E47B7">
        <w:rPr>
          <w:rFonts w:cs="Times New Roman"/>
        </w:rPr>
        <w:t xml:space="preserve">Expression is then </w:t>
      </w:r>
      <w:r>
        <w:rPr>
          <w:rFonts w:cs="Times New Roman"/>
        </w:rPr>
        <w:t>sustained by ELT-2</w:t>
      </w:r>
      <w:r w:rsidR="000E47B7">
        <w:rPr>
          <w:rFonts w:cs="Times New Roman"/>
        </w:rPr>
        <w:t xml:space="preserve"> autoregulation</w:t>
      </w:r>
      <w:r>
        <w:rPr>
          <w:rFonts w:cs="Times New Roman"/>
        </w:rPr>
        <w:t xml:space="preserve"> </w:t>
      </w:r>
      <w:r w:rsidR="0079466E">
        <w:rPr>
          <w:rFonts w:cs="Times New Roman"/>
        </w:rPr>
        <w:fldChar w:fldCharType="begin" w:fldLock="1"/>
      </w:r>
      <w:r w:rsidR="0079466E">
        <w:rPr>
          <w:rFonts w:cs="Times New Roman"/>
        </w:rPr>
        <w:instrText>ADDIN CSL_CITATION { "citationItems" : [ { "id" : "ITEM-1", "itemData" : { "ISSN" : "0027-8424", "PMID" : "10518545", "abstract" : "In analyzing the transcriptional networks that regulate development, one ideally would like to determine whether a particular transcription factor binds directly to a candidate target promoter inside the living embryo. Properties of the Caenorhabditis elegans elt-2 gene, which encodes a gut-specific GATA factor, have allowed us to develop such a method. We previously have shown, by means of ectopic expression studies, that elt-2 regulates its own promoter. To test whether this autoregulation is direct, we fused green fluorescent protein (GFP) close to the C terminus of elt-2 in a construct that contains the full elt-2 promoter and the full elt-2 zinc finger DNA binding domain; the construct is expressed correctly (i.e., only in the gut lineage) and is able to rescue the lethality of an elt-2 null mutant. Multicopy transgenic arrays of this rescuing elt-2::GFP construct were integrated into the genome and transgenic embryos were examined when the developing gut has 4-8 cells; the majority of these embryonic gut nuclei show two discrete intense foci of fluorescence. We interpret these fluorescent foci as the result of ELT-2::GFP binding directly to its own promoter within nuclei of the developing gut lineage. Numerous control experiments, both genetic and biochemical, all support this conclusion and support the specificity of the binding. The approach should be applicable to studying other transcription factors binding target promoters, all within the living C. elegans embryo.", "author" : [ { "dropping-particle" : "", "family" : "Fukushige", "given" : "T", "non-dropping-particle" : "", "parse-names" : false, "suffix" : "" }, { "dropping-particle" : "", "family" : "Hendzel", "given" : "M J", "non-dropping-particle" : "", "parse-names" : false, "suffix" : "" }, { "dropping-particle" : "", "family" : "Bazett-Jones", "given" : "D P", "non-dropping-particle" : "", "parse-names" : false, "suffix" : "" }, { "dropping-particle" : "", "family" : "McGhee", "given" : "J D", "non-dropping-particle" : "", "parse-names" : false, "suffix" : "" } ], "container-title" : "Proceedings of the National Academy of Sciences of the United States of America", "id" : "ITEM-1", "issue" : "21", "issued" : { "date-parts" : [ [ "1999", "10", "12" ] ] }, "page" : "11883-8", "title" : "Direct visualization of the elt-2 gut-specific GATA factor binding to a target promoter inside the living Caenorhabditis elegans embryo.", "type" : "article-journal", "volume" : "96" }, "uris" : [ "http://www.mendeley.com/documents/?uuid=71f16f67-cb5e-4937-b7e0-29fc327302f4" ] } ], "mendeley" : { "formattedCitation" : "[8]", "plainTextFormattedCitation" : "[8]", "previouslyFormattedCitation" : "[8]" }, "properties" : { "noteIndex" : 0 }, "schema" : "https://github.com/citation-style-language/schema/raw/master/csl-citation.json" }</w:instrText>
      </w:r>
      <w:r w:rsidR="0079466E">
        <w:rPr>
          <w:rFonts w:cs="Times New Roman"/>
        </w:rPr>
        <w:fldChar w:fldCharType="separate"/>
      </w:r>
      <w:r w:rsidR="0079466E" w:rsidRPr="0079466E">
        <w:rPr>
          <w:rFonts w:cs="Times New Roman"/>
          <w:noProof/>
        </w:rPr>
        <w:t>[8]</w:t>
      </w:r>
      <w:r w:rsidR="0079466E">
        <w:rPr>
          <w:rFonts w:cs="Times New Roman"/>
        </w:rPr>
        <w:fldChar w:fldCharType="end"/>
      </w:r>
      <w:r>
        <w:rPr>
          <w:rFonts w:cs="Times New Roman"/>
        </w:rPr>
        <w:t xml:space="preserve"> via a conserved extended GATA binding site AHTGATAARR</w:t>
      </w:r>
      <w:r w:rsidRPr="00437407">
        <w:rPr>
          <w:rFonts w:cs="Times New Roman"/>
        </w:rPr>
        <w:t xml:space="preserve"> </w:t>
      </w:r>
      <w:r w:rsidR="004945FF">
        <w:rPr>
          <w:rFonts w:cs="Times New Roman"/>
        </w:rPr>
        <w:fldChar w:fldCharType="begin" w:fldLock="1"/>
      </w:r>
      <w:r w:rsidR="0079466E">
        <w:rPr>
          <w:rFonts w:cs="Times New Roman"/>
        </w:rPr>
        <w:instrText>ADDIN CSL_CITATION { "citationItems" : [ { "id" : "ITEM-1", "itemData" : { "DOI" : "10.1016/j.ydbio.2006.10.024", "ISSN" : "0012-1606", "PMID" : "17113066", "abstract" : "A SAGE library was prepared from hand-dissected intestines from adult Caenorhabditis elegans, allowing the identification of &gt;4000 intestinally-expressed genes; this gene inventory provides fundamental information for understanding intestine function, structure and development. Intestinally-expressed genes fall into two broad classes: widely-expressed \"housekeeping\" genes and genes that are either intestine-specific or significantly intestine-enriched. Within this latter class of genes, we identified a subset of highly-expressed highly-validated genes that are expressed either exclusively or primarily in the intestine. Over half of the encoded proteins are candidates for secretion into the intestinal lumen to hydrolyze the bacterial food (e.g. lysozymes, amoebapores, lipases and especially proteases). The promoters of this subset of intestine-specific/intestine-enriched genes were analyzed computationally, using both a word-counting method (RSAT oligo-analysis) and a method based on Gibbs sampling (MotifSampler). Both methods returned the same over-represented site, namely an extended GATA-related sequence of the general form AHTGATAARR, which agrees with experimentally determined cis-acting control sequences found in intestine genes over the past 20 years. All promoters in the subset contain such a site, compared to &lt;5% for control promoters; moreover, our analysis suggests that the majority (perhaps all) of genes expressed exclusively or primarily in the worm intestine are likely to contain such a site in their promoters. There are three zinc-finger GATA-type factors that are candidates to bind this extended GATA site in the differentiating C. elegans intestine: ELT-2, ELT-4 and ELT-7. All evidence points to ELT-2 being the most important of the three. We show that worms in which both the elt-4 and the elt-7 genes have been deleted from the genome are essentially wildtype, demonstrating that ELT-2 provides all essential GATA-factor functions in the intestine. The SAGE analysis also identifies more than a hundred other transcription factors in the adult intestine but few show an RNAi-induced loss-of-function phenotype and none (other than ELT-2) show a phenotype primarily in the intestine. We thus propose a simple model in which the ELT-2 GATA factor directly participates in the transcription of all intestine-specific/intestine-enriched genes, from the early embryo through to the dying adult. Other intestinal transcription factors would thus modulate t\u2026", "author" : [ { "dropping-particle" : "", "family" : "McGhee", "given" : "James D", "non-dropping-particle" : "", "parse-names" : false, "suffix" : "" }, { "dropping-particle" : "", "family" : "Sleumer", "given" : "Monica C", "non-dropping-particle" : "", "parse-names" : false, "suffix" : "" }, { "dropping-particle" : "", "family" : "Bilenky", "given" : "Mikhail", "non-dropping-particle" : "", "parse-names" : false, "suffix" : "" }, { "dropping-particle" : "", "family" : "Wong", "given" : "Kim", "non-dropping-particle" : "", "parse-names" : false, "suffix" : "" }, { "dropping-particle" : "", "family" : "McKay", "given" : "Sheldon J", "non-dropping-particle" : "", "parse-names" : false, "suffix" : "" }, { "dropping-particle" : "", "family" : "Goszczynski", "given" : "Barbara", "non-dropping-particle" : "", "parse-names" : false, "suffix" : "" }, { "dropping-particle" : "", "family" : "Tian", "given" : "Helen", "non-dropping-particle" : "", "parse-names" : false, "suffix" : "" }, { "dropping-particle" : "", "family" : "Krich", "given" : "Natisha D", "non-dropping-particle" : "", "parse-names" : false, "suffix" : "" }, { "dropping-particle" : "", "family" : "Khattra", "given" : "Jaswinder", "non-dropping-particle" : "", "parse-names" : false, "suffix" : "" }, { "dropping-particle" : "", "family" : "Holt", "given" : "Robert a", "non-dropping-particle" : "", "parse-names" : false, "suffix" : "" }, { "dropping-particle" : "", "family" : "Baillie", "given" : "David L", "non-dropping-particle" : "", "parse-names" : false, "suffix" : "" }, { "dropping-particle" : "", "family" : "Kohara", "given" : "Yuji", "non-dropping-particle" : "", "parse-names" : false, "suffix" : "" }, { "dropping-particle" : "", "family" : "Marra", "given" : "Marco a", "non-dropping-particle" : "", "parse-names" : false, "suffix" : "" }, { "dropping-particle" : "", "family" : "Jones", "given" : "Steven J M", "non-dropping-particle" : "", "parse-names" : false, "suffix" : "" }, { "dropping-particle" : "", "family" : "Moerman", "given" : "Donald G", "non-dropping-particle" : "", "parse-names" : false, "suffix" : "" }, { "dropping-particle" : "", "family" : "Robertson", "given" : "a Gordon", "non-dropping-particle" : "", "parse-names" : false, "suffix" : "" } ], "container-title" : "Developmental biology", "id" : "ITEM-1", "issue" : "2", "issued" : { "date-parts" : [ [ "2007", "2", "15" ] ] }, "page" : "627-45", "title" : "The ELT-2 GATA-factor and the global regulation of transcription in the C. elegans intestine.", "type" : "article-journal", "volume" : "302" }, "uris" : [ "http://www.mendeley.com/documents/?uuid=9f61b7f6-74d6-4180-998c-4e6933e797a9" ] } ], "mendeley" : { "formattedCitation" : "[9]", "plainTextFormattedCitation" : "[9]", "previouslyFormattedCitation" : "[9]" }, "properties" : { "noteIndex" : 0 }, "schema" : "https://github.com/citation-style-language/schema/raw/master/csl-citation.json" }</w:instrText>
      </w:r>
      <w:r w:rsidR="004945FF">
        <w:rPr>
          <w:rFonts w:cs="Times New Roman"/>
        </w:rPr>
        <w:fldChar w:fldCharType="separate"/>
      </w:r>
      <w:r w:rsidR="0079466E" w:rsidRPr="0079466E">
        <w:rPr>
          <w:rFonts w:cs="Times New Roman"/>
          <w:noProof/>
        </w:rPr>
        <w:t>[9]</w:t>
      </w:r>
      <w:r w:rsidR="004945FF">
        <w:rPr>
          <w:rFonts w:cs="Times New Roman"/>
        </w:rPr>
        <w:fldChar w:fldCharType="end"/>
      </w:r>
      <w:r>
        <w:rPr>
          <w:rFonts w:cs="Times New Roman"/>
        </w:rPr>
        <w:t xml:space="preserve">, which is a </w:t>
      </w:r>
      <w:r w:rsidR="000E47B7">
        <w:rPr>
          <w:rFonts w:cs="Times New Roman"/>
        </w:rPr>
        <w:t>more specific</w:t>
      </w:r>
      <w:r>
        <w:rPr>
          <w:rFonts w:cs="Times New Roman"/>
        </w:rPr>
        <w:t xml:space="preserve"> instance of the WGATAR motif. The upstream regulatory regions of the </w:t>
      </w:r>
      <w:r>
        <w:rPr>
          <w:rFonts w:cs="Times New Roman"/>
          <w:i/>
        </w:rPr>
        <w:t xml:space="preserve">elt-2 </w:t>
      </w:r>
      <w:r>
        <w:rPr>
          <w:rFonts w:cs="Times New Roman"/>
        </w:rPr>
        <w:t xml:space="preserve">orthologs from </w:t>
      </w:r>
      <w:r>
        <w:rPr>
          <w:rFonts w:cs="Times New Roman"/>
          <w:i/>
        </w:rPr>
        <w:t xml:space="preserve">C. elegans, C. briggsae, M. hapla, </w:t>
      </w:r>
      <w:r w:rsidRPr="000075B9">
        <w:rPr>
          <w:rFonts w:cs="Times New Roman"/>
        </w:rPr>
        <w:t xml:space="preserve">and </w:t>
      </w:r>
      <w:r>
        <w:rPr>
          <w:rFonts w:cs="Times New Roman"/>
          <w:i/>
        </w:rPr>
        <w:t>B. malayi</w:t>
      </w:r>
      <w:r>
        <w:rPr>
          <w:rFonts w:cs="Times New Roman"/>
        </w:rPr>
        <w:t xml:space="preserve"> have many such GATA binding sites each (Figure S13). The</w:t>
      </w:r>
      <w:r>
        <w:rPr>
          <w:rFonts w:cs="Times New Roman"/>
          <w:i/>
        </w:rPr>
        <w:t xml:space="preserve"> T. spiralis elt-2 </w:t>
      </w:r>
      <w:r w:rsidR="000E47B7">
        <w:rPr>
          <w:rFonts w:cs="Times New Roman"/>
          <w:i/>
        </w:rPr>
        <w:t>cis</w:t>
      </w:r>
      <w:r w:rsidR="000E47B7">
        <w:rPr>
          <w:rFonts w:cs="Times New Roman"/>
        </w:rPr>
        <w:t>-element</w:t>
      </w:r>
      <w:r>
        <w:rPr>
          <w:rFonts w:cs="Times New Roman"/>
        </w:rPr>
        <w:t xml:space="preserve"> has only two WGATAR </w:t>
      </w:r>
      <w:r w:rsidR="000E47B7">
        <w:rPr>
          <w:rFonts w:cs="Times New Roman"/>
        </w:rPr>
        <w:t>motifs</w:t>
      </w:r>
      <w:r>
        <w:rPr>
          <w:rFonts w:cs="Times New Roman"/>
        </w:rPr>
        <w:t xml:space="preserve">, and </w:t>
      </w:r>
      <w:r w:rsidR="000E47B7">
        <w:rPr>
          <w:rFonts w:cs="Times New Roman"/>
        </w:rPr>
        <w:t>no</w:t>
      </w:r>
      <w:r>
        <w:rPr>
          <w:rFonts w:cs="Times New Roman"/>
        </w:rPr>
        <w:t xml:space="preserve"> AHTGATAARR site</w:t>
      </w:r>
      <w:r w:rsidR="000E47B7">
        <w:rPr>
          <w:rFonts w:cs="Times New Roman"/>
        </w:rPr>
        <w:t xml:space="preserve">. This sequence does not drive </w:t>
      </w:r>
      <w:r>
        <w:rPr>
          <w:rFonts w:cs="Times New Roman"/>
        </w:rPr>
        <w:t xml:space="preserve">any discernable </w:t>
      </w:r>
      <w:r w:rsidR="000E47B7">
        <w:rPr>
          <w:rFonts w:cs="Times New Roman"/>
        </w:rPr>
        <w:t>gene expression</w:t>
      </w:r>
      <w:r>
        <w:rPr>
          <w:rFonts w:cs="Times New Roman"/>
        </w:rPr>
        <w:t xml:space="preserve">. The fact that </w:t>
      </w:r>
      <w:r>
        <w:rPr>
          <w:rFonts w:cs="Times New Roman"/>
          <w:i/>
        </w:rPr>
        <w:t xml:space="preserve">elt-2 </w:t>
      </w:r>
      <w:r>
        <w:rPr>
          <w:rFonts w:cs="Times New Roman"/>
        </w:rPr>
        <w:t>is regulated by a cascade of GATA transcription factors makes it difficult to distinguish which factors bind which motifs</w:t>
      </w:r>
      <w:r w:rsidR="00482597">
        <w:rPr>
          <w:rFonts w:cs="Times New Roman"/>
        </w:rPr>
        <w:t xml:space="preserve"> during what phase of expression</w:t>
      </w:r>
      <w:r>
        <w:rPr>
          <w:rFonts w:cs="Times New Roman"/>
        </w:rPr>
        <w:t>, but our experimental evidence indicat</w:t>
      </w:r>
      <w:r w:rsidR="00482597">
        <w:rPr>
          <w:rFonts w:cs="Times New Roman"/>
        </w:rPr>
        <w:t xml:space="preserve">es that the initiation phase </w:t>
      </w:r>
      <w:r>
        <w:rPr>
          <w:rFonts w:cs="Times New Roman"/>
        </w:rPr>
        <w:t xml:space="preserve">of the </w:t>
      </w:r>
      <w:r>
        <w:rPr>
          <w:rFonts w:cs="Times New Roman"/>
          <w:i/>
        </w:rPr>
        <w:t xml:space="preserve">M. hapla </w:t>
      </w:r>
      <w:r>
        <w:rPr>
          <w:rFonts w:cs="Times New Roman"/>
        </w:rPr>
        <w:t xml:space="preserve">and </w:t>
      </w:r>
      <w:r>
        <w:rPr>
          <w:rFonts w:cs="Times New Roman"/>
          <w:i/>
        </w:rPr>
        <w:t>B. malayi</w:t>
      </w:r>
      <w:r w:rsidR="00482597">
        <w:rPr>
          <w:rFonts w:cs="Times New Roman"/>
          <w:i/>
        </w:rPr>
        <w:t xml:space="preserve"> elt-2</w:t>
      </w:r>
      <w:r>
        <w:rPr>
          <w:rFonts w:cs="Times New Roman"/>
        </w:rPr>
        <w:t xml:space="preserve"> </w:t>
      </w:r>
      <w:r w:rsidR="00482597">
        <w:rPr>
          <w:rFonts w:cs="Times New Roman"/>
        </w:rPr>
        <w:t>elements</w:t>
      </w:r>
      <w:r>
        <w:rPr>
          <w:rFonts w:cs="Times New Roman"/>
        </w:rPr>
        <w:t xml:space="preserve"> is intact in the </w:t>
      </w:r>
      <w:r>
        <w:rPr>
          <w:rFonts w:cs="Times New Roman"/>
          <w:i/>
        </w:rPr>
        <w:t xml:space="preserve">C. elegans </w:t>
      </w:r>
      <w:r>
        <w:rPr>
          <w:rFonts w:cs="Times New Roman"/>
        </w:rPr>
        <w:t xml:space="preserve">transgenic host, while the autoregulatory maintenance phase fails, despite presence of the gut specific GATA </w:t>
      </w:r>
      <w:r w:rsidR="000E47B7">
        <w:rPr>
          <w:rFonts w:cs="Times New Roman"/>
        </w:rPr>
        <w:t>sites in these regulatory DNAs (Figure 5).</w:t>
      </w:r>
    </w:p>
    <w:p w14:paraId="70E06D4F" w14:textId="57BD08EF" w:rsidR="002F76E2" w:rsidRDefault="000E33E7" w:rsidP="004945FF">
      <w:pPr>
        <w:ind w:firstLine="720"/>
        <w:rPr>
          <w:rFonts w:cs="Times New Roman"/>
        </w:rPr>
      </w:pPr>
      <w:r>
        <w:rPr>
          <w:rFonts w:cs="Times New Roman"/>
        </w:rPr>
        <w:t xml:space="preserve">Each of the ortholog groups have motifs that are important for expression of the </w:t>
      </w:r>
      <w:r>
        <w:rPr>
          <w:rFonts w:cs="Times New Roman"/>
          <w:i/>
        </w:rPr>
        <w:t>C. elegans</w:t>
      </w:r>
      <w:r>
        <w:rPr>
          <w:rFonts w:cs="Times New Roman"/>
        </w:rPr>
        <w:t xml:space="preserve"> promoters and are present in the distant relatives’ upstream sequences. Notably, in all cases these motifs are 10</w:t>
      </w:r>
      <w:r w:rsidR="00025FDA">
        <w:rPr>
          <w:rFonts w:cs="Times New Roman"/>
        </w:rPr>
        <w:t xml:space="preserve"> </w:t>
      </w:r>
      <w:r>
        <w:rPr>
          <w:rFonts w:cs="Times New Roman"/>
        </w:rPr>
        <w:t xml:space="preserve">bp or shorter, a window size in which the distant relatives are not dramatically different in their levels of conservation from </w:t>
      </w:r>
      <w:r>
        <w:rPr>
          <w:rFonts w:cs="Times New Roman"/>
          <w:i/>
        </w:rPr>
        <w:t xml:space="preserve">C. briggsae </w:t>
      </w:r>
      <w:r>
        <w:rPr>
          <w:rFonts w:cs="Times New Roman"/>
        </w:rPr>
        <w:t>(Figure 6E and Figures S</w:t>
      </w:r>
      <w:r w:rsidR="00482597">
        <w:rPr>
          <w:rFonts w:cs="Times New Roman"/>
        </w:rPr>
        <w:t>7</w:t>
      </w:r>
      <w:r>
        <w:rPr>
          <w:rFonts w:cs="Times New Roman"/>
        </w:rPr>
        <w:t xml:space="preserve">-S9). </w:t>
      </w:r>
    </w:p>
    <w:p w14:paraId="62ABB69C" w14:textId="77777777" w:rsidR="002B62A2" w:rsidRDefault="002B62A2" w:rsidP="002B62A2">
      <w:pPr>
        <w:ind w:firstLine="720"/>
        <w:jc w:val="center"/>
        <w:rPr>
          <w:rFonts w:cs="Times New Roman"/>
        </w:rPr>
      </w:pPr>
    </w:p>
    <w:p w14:paraId="5F0DC6A9" w14:textId="2E8B3888" w:rsidR="002B62A2" w:rsidRPr="002B62A2" w:rsidRDefault="002B62A2" w:rsidP="002B62A2">
      <w:pPr>
        <w:jc w:val="center"/>
        <w:rPr>
          <w:rFonts w:cs="Times New Roman"/>
          <w:smallCaps/>
          <w:kern w:val="24"/>
        </w:rPr>
      </w:pPr>
      <w:r>
        <w:rPr>
          <w:rFonts w:cs="Times New Roman"/>
          <w:smallCaps/>
          <w:kern w:val="24"/>
        </w:rPr>
        <w:t>References</w:t>
      </w:r>
    </w:p>
    <w:p w14:paraId="78C23163" w14:textId="49D081BB" w:rsidR="002B62A2" w:rsidRPr="002B62A2" w:rsidRDefault="002B62A2">
      <w:pPr>
        <w:pStyle w:val="NormalWeb"/>
        <w:ind w:left="640" w:hanging="640"/>
        <w:divId w:val="1303922140"/>
        <w:rPr>
          <w:rFonts w:ascii="Times New Roman" w:eastAsiaTheme="minorEastAsia" w:hAnsi="Times New Roman"/>
          <w:noProof/>
          <w:sz w:val="24"/>
        </w:rPr>
      </w:pPr>
      <w:r>
        <w:fldChar w:fldCharType="begin" w:fldLock="1"/>
      </w:r>
      <w:r>
        <w:instrText xml:space="preserve">ADDIN Mendeley Bibliography CSL_BIBLIOGRAPHY </w:instrText>
      </w:r>
      <w:r>
        <w:fldChar w:fldCharType="separate"/>
      </w:r>
      <w:r w:rsidRPr="002B62A2">
        <w:rPr>
          <w:rFonts w:ascii="Times New Roman" w:hAnsi="Times New Roman"/>
          <w:noProof/>
          <w:sz w:val="24"/>
        </w:rPr>
        <w:t xml:space="preserve">1. </w:t>
      </w:r>
      <w:r w:rsidRPr="002B62A2">
        <w:rPr>
          <w:rFonts w:ascii="Times New Roman" w:hAnsi="Times New Roman"/>
          <w:noProof/>
          <w:sz w:val="24"/>
        </w:rPr>
        <w:tab/>
        <w:t>Eastman C, Horvitz HR, Jin YS (1999) Coordinated transcriptional regulation of the unc-25 glutamic acid decarboxylase and the unc-47 GABA vesicular transporter by the Caenorhabditis elegans UNC-90 homeodomain protein. J Neurosci 19: 6225–6234.</w:t>
      </w:r>
    </w:p>
    <w:p w14:paraId="4CED9C46" w14:textId="7F77F63B"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2. </w:t>
      </w:r>
      <w:r w:rsidRPr="002B62A2">
        <w:rPr>
          <w:rFonts w:ascii="Times New Roman" w:hAnsi="Times New Roman"/>
          <w:noProof/>
          <w:sz w:val="24"/>
        </w:rPr>
        <w:tab/>
        <w:t xml:space="preserve">Ruvinsky I, Ruvkun G (2003) Functional tests of enhancer conservation between distantly related species. Development 130: 5133–5142. </w:t>
      </w:r>
    </w:p>
    <w:p w14:paraId="52910644" w14:textId="2E048BE7"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lastRenderedPageBreak/>
        <w:t xml:space="preserve">3. </w:t>
      </w:r>
      <w:r w:rsidRPr="002B62A2">
        <w:rPr>
          <w:rFonts w:ascii="Times New Roman" w:hAnsi="Times New Roman"/>
          <w:noProof/>
          <w:sz w:val="24"/>
        </w:rPr>
        <w:tab/>
        <w:t xml:space="preserve">Barrière A, Ruvinsky I (2014) Pervasive Divergence of Transcriptional Gene Regulation in Caenorhabditis Nematodes. PLoS Genet 10: e1004435. </w:t>
      </w:r>
    </w:p>
    <w:p w14:paraId="20AA3A91" w14:textId="382E230E"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4. </w:t>
      </w:r>
      <w:r w:rsidRPr="002B62A2">
        <w:rPr>
          <w:rFonts w:ascii="Times New Roman" w:hAnsi="Times New Roman"/>
          <w:noProof/>
          <w:sz w:val="24"/>
        </w:rPr>
        <w:tab/>
        <w:t xml:space="preserve">Way JC, Wang L, Run JQ, Wang a (1991) The mec-3 gene contains cis-acting elements mediating positive and negative regulation in cells produced by asymmetric cell division in Caenorhabditis elegans. Genes Dev 5: 2199–2211. </w:t>
      </w:r>
    </w:p>
    <w:p w14:paraId="3D959AAD" w14:textId="5D03A008"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5. </w:t>
      </w:r>
      <w:r w:rsidRPr="002B62A2">
        <w:rPr>
          <w:rFonts w:ascii="Times New Roman" w:hAnsi="Times New Roman"/>
          <w:noProof/>
          <w:sz w:val="24"/>
        </w:rPr>
        <w:tab/>
        <w:t xml:space="preserve">Wang L, Way JC (1996) Promoter sequences for the establishment of mec-3 expression in the nematode Caenorhabditis elegans. Mech Dev 56: 183–196. </w:t>
      </w:r>
    </w:p>
    <w:p w14:paraId="2F5BBC0F" w14:textId="77777777"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6. </w:t>
      </w:r>
      <w:r w:rsidRPr="002B62A2">
        <w:rPr>
          <w:rFonts w:ascii="Times New Roman" w:hAnsi="Times New Roman"/>
          <w:noProof/>
          <w:sz w:val="24"/>
        </w:rPr>
        <w:tab/>
        <w:t>Xue D, Finney M, Ruvkun G, Chalfie M (1992) Regulation of the mec-3 gene by the C.elegans homeoproteins UNC-86 and MEC-3. EMBO J 11: 4969–4979.</w:t>
      </w:r>
    </w:p>
    <w:p w14:paraId="6D4A63CA" w14:textId="6F1F4BD7"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7. </w:t>
      </w:r>
      <w:r w:rsidRPr="002B62A2">
        <w:rPr>
          <w:rFonts w:ascii="Times New Roman" w:hAnsi="Times New Roman"/>
          <w:noProof/>
          <w:sz w:val="24"/>
        </w:rPr>
        <w:tab/>
        <w:t xml:space="preserve">McGhee JD (2012) The Caenorhabditis elegans intestine. Wiley Interdiscip Rev Dev Biol 2: 347–367. </w:t>
      </w:r>
    </w:p>
    <w:p w14:paraId="59E31C24" w14:textId="77777777"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8. </w:t>
      </w:r>
      <w:r w:rsidRPr="002B62A2">
        <w:rPr>
          <w:rFonts w:ascii="Times New Roman" w:hAnsi="Times New Roman"/>
          <w:noProof/>
          <w:sz w:val="24"/>
        </w:rPr>
        <w:tab/>
        <w:t>Fukushige T, Hendzel MJ, Bazett-Jones DP, McGhee JD (1999) Direct visualization of the elt-2 gut-specific GATA factor binding to a target promoter inside the living Caenorhabditis elegans embryo. Proc Natl Acad Sci U S A 96: 11883–11888.</w:t>
      </w:r>
    </w:p>
    <w:p w14:paraId="78BB704F" w14:textId="1EAD5764" w:rsidR="002B62A2" w:rsidRPr="002B62A2" w:rsidRDefault="002B62A2">
      <w:pPr>
        <w:pStyle w:val="NormalWeb"/>
        <w:ind w:left="640" w:hanging="640"/>
        <w:divId w:val="1303922140"/>
        <w:rPr>
          <w:rFonts w:ascii="Times New Roman" w:hAnsi="Times New Roman"/>
          <w:noProof/>
          <w:sz w:val="24"/>
        </w:rPr>
      </w:pPr>
      <w:r w:rsidRPr="002B62A2">
        <w:rPr>
          <w:rFonts w:ascii="Times New Roman" w:hAnsi="Times New Roman"/>
          <w:noProof/>
          <w:sz w:val="24"/>
        </w:rPr>
        <w:t xml:space="preserve">9. </w:t>
      </w:r>
      <w:r w:rsidRPr="002B62A2">
        <w:rPr>
          <w:rFonts w:ascii="Times New Roman" w:hAnsi="Times New Roman"/>
          <w:noProof/>
          <w:sz w:val="24"/>
        </w:rPr>
        <w:tab/>
        <w:t xml:space="preserve">McGhee JD, Sleumer MC, Bilenky M, Wong K, McKay SJ, et al. (2007) The ELT-2 GATA-factor and the global regulation of transcription in the C. elegans intestine. Dev Biol 302: 627–645. </w:t>
      </w:r>
    </w:p>
    <w:p w14:paraId="70895763" w14:textId="1C837BD0" w:rsidR="002B62A2" w:rsidRPr="004945FF" w:rsidRDefault="002B62A2" w:rsidP="002B62A2">
      <w:pPr>
        <w:rPr>
          <w:rFonts w:cs="Times New Roman"/>
        </w:rPr>
      </w:pPr>
      <w:r>
        <w:rPr>
          <w:rFonts w:cs="Times New Roman"/>
        </w:rPr>
        <w:fldChar w:fldCharType="end"/>
      </w:r>
    </w:p>
    <w:sectPr w:rsidR="002B62A2" w:rsidRPr="004945FF" w:rsidSect="001E632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Dingbats">
    <w:panose1 w:val="00000000000000000000"/>
    <w:charset w:val="00"/>
    <w:family w:val="auto"/>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3E7"/>
    <w:rsid w:val="00025FDA"/>
    <w:rsid w:val="000E33E7"/>
    <w:rsid w:val="000E47B7"/>
    <w:rsid w:val="001C49B5"/>
    <w:rsid w:val="001E6325"/>
    <w:rsid w:val="002B62A2"/>
    <w:rsid w:val="002F76E2"/>
    <w:rsid w:val="00482597"/>
    <w:rsid w:val="004945FF"/>
    <w:rsid w:val="004F3D6D"/>
    <w:rsid w:val="0079466E"/>
    <w:rsid w:val="0094183D"/>
    <w:rsid w:val="00994964"/>
    <w:rsid w:val="00A2099C"/>
    <w:rsid w:val="00E315EE"/>
    <w:rsid w:val="00F15E7A"/>
    <w:rsid w:val="00FC76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FE36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3E7"/>
    <w:pPr>
      <w:suppressAutoHyphens/>
    </w:pPr>
    <w:rPr>
      <w:rFonts w:ascii="Times New Roman" w:eastAsia="Arial" w:hAnsi="Times New Roman" w:cs="Dingbats"/>
      <w:kern w:val="1"/>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94964"/>
    <w:pPr>
      <w:suppressAutoHyphens w:val="0"/>
      <w:spacing w:before="100" w:beforeAutospacing="1" w:after="100" w:afterAutospacing="1"/>
    </w:pPr>
    <w:rPr>
      <w:rFonts w:ascii="Times" w:eastAsia="ＭＳ 明朝" w:hAnsi="Times" w:cs="Times New Roman"/>
      <w:kern w:val="0"/>
      <w:sz w:val="20"/>
      <w:szCs w:val="20"/>
      <w:lang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3E7"/>
    <w:pPr>
      <w:suppressAutoHyphens/>
    </w:pPr>
    <w:rPr>
      <w:rFonts w:ascii="Times New Roman" w:eastAsia="Arial" w:hAnsi="Times New Roman" w:cs="Dingbats"/>
      <w:kern w:val="1"/>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94964"/>
    <w:pPr>
      <w:suppressAutoHyphens w:val="0"/>
      <w:spacing w:before="100" w:beforeAutospacing="1" w:after="100" w:afterAutospacing="1"/>
    </w:pPr>
    <w:rPr>
      <w:rFonts w:ascii="Times" w:eastAsia="ＭＳ 明朝" w:hAnsi="Times" w:cs="Times New Roman"/>
      <w:kern w:val="0"/>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623681">
      <w:bodyDiv w:val="1"/>
      <w:marLeft w:val="0"/>
      <w:marRight w:val="0"/>
      <w:marTop w:val="0"/>
      <w:marBottom w:val="0"/>
      <w:divBdr>
        <w:top w:val="none" w:sz="0" w:space="0" w:color="auto"/>
        <w:left w:val="none" w:sz="0" w:space="0" w:color="auto"/>
        <w:bottom w:val="none" w:sz="0" w:space="0" w:color="auto"/>
        <w:right w:val="none" w:sz="0" w:space="0" w:color="auto"/>
      </w:divBdr>
      <w:divsChild>
        <w:div w:id="312416786">
          <w:marLeft w:val="0"/>
          <w:marRight w:val="0"/>
          <w:marTop w:val="0"/>
          <w:marBottom w:val="0"/>
          <w:divBdr>
            <w:top w:val="none" w:sz="0" w:space="0" w:color="auto"/>
            <w:left w:val="none" w:sz="0" w:space="0" w:color="auto"/>
            <w:bottom w:val="none" w:sz="0" w:space="0" w:color="auto"/>
            <w:right w:val="none" w:sz="0" w:space="0" w:color="auto"/>
          </w:divBdr>
        </w:div>
      </w:divsChild>
    </w:div>
    <w:div w:id="794717683">
      <w:bodyDiv w:val="1"/>
      <w:marLeft w:val="0"/>
      <w:marRight w:val="0"/>
      <w:marTop w:val="0"/>
      <w:marBottom w:val="0"/>
      <w:divBdr>
        <w:top w:val="none" w:sz="0" w:space="0" w:color="auto"/>
        <w:left w:val="none" w:sz="0" w:space="0" w:color="auto"/>
        <w:bottom w:val="none" w:sz="0" w:space="0" w:color="auto"/>
        <w:right w:val="none" w:sz="0" w:space="0" w:color="auto"/>
      </w:divBdr>
    </w:div>
    <w:div w:id="1303922140">
      <w:bodyDiv w:val="1"/>
      <w:marLeft w:val="0"/>
      <w:marRight w:val="0"/>
      <w:marTop w:val="0"/>
      <w:marBottom w:val="0"/>
      <w:divBdr>
        <w:top w:val="none" w:sz="0" w:space="0" w:color="auto"/>
        <w:left w:val="none" w:sz="0" w:space="0" w:color="auto"/>
        <w:bottom w:val="none" w:sz="0" w:space="0" w:color="auto"/>
        <w:right w:val="none" w:sz="0" w:space="0" w:color="auto"/>
      </w:divBdr>
    </w:div>
    <w:div w:id="19521293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4545</Words>
  <Characters>25908</Characters>
  <Application>Microsoft Macintosh Word</Application>
  <DocSecurity>0</DocSecurity>
  <Lines>215</Lines>
  <Paragraphs>60</Paragraphs>
  <ScaleCrop>false</ScaleCrop>
  <Company/>
  <LinksUpToDate>false</LinksUpToDate>
  <CharactersWithSpaces>30393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Kacy Gordon</dc:creator>
  <cp:keywords/>
  <dc:description/>
  <cp:lastModifiedBy>Mol Bio</cp:lastModifiedBy>
  <cp:revision>10</cp:revision>
  <dcterms:created xsi:type="dcterms:W3CDTF">2015-03-11T18:55:00Z</dcterms:created>
  <dcterms:modified xsi:type="dcterms:W3CDTF">2015-04-23T23:55:00Z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kacy.gordon@gmail.com@www.mendeley.com</vt:lpwstr>
  </property>
  <property fmtid="{D5CDD505-2E9C-101B-9397-08002B2CF9AE}" pid="4" name="Mendeley Citation Style_1">
    <vt:lpwstr>http://www.zotero.org/styles/plos-genetics</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http://www.zotero.org/styles/cell</vt:lpwstr>
  </property>
  <property fmtid="{D5CDD505-2E9C-101B-9397-08002B2CF9AE}" pid="14" name="Mendeley Recent Style Name 4_1">
    <vt:lpwstr>Cell</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http://www.zotero.org/styles/plos-biology</vt:lpwstr>
  </property>
  <property fmtid="{D5CDD505-2E9C-101B-9397-08002B2CF9AE}" pid="22" name="Mendeley Recent Style Name 8_1">
    <vt:lpwstr>PLOS Biology</vt:lpwstr>
  </property>
  <property fmtid="{D5CDD505-2E9C-101B-9397-08002B2CF9AE}" pid="23" name="Mendeley Recent Style Id 9_1">
    <vt:lpwstr>http://www.zotero.org/styles/plos-genetics</vt:lpwstr>
  </property>
  <property fmtid="{D5CDD505-2E9C-101B-9397-08002B2CF9AE}" pid="24" name="Mendeley Recent Style Name 9_1">
    <vt:lpwstr>PLOS Genetics</vt:lpwstr>
  </property>
</Properties>
</file>