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DF654" w14:textId="11204B46" w:rsidR="00BE1069" w:rsidRDefault="00BE1069" w:rsidP="00BE1069">
      <w:pPr>
        <w:spacing w:after="0" w:line="240" w:lineRule="auto"/>
        <w:rPr>
          <w:b/>
          <w:bCs/>
          <w:u w:val="single"/>
        </w:rPr>
      </w:pPr>
      <w:r>
        <w:rPr>
          <w:b/>
          <w:bCs/>
          <w:u w:val="single"/>
        </w:rPr>
        <w:t>1</w:t>
      </w:r>
      <w:r w:rsidRPr="00BE1069">
        <w:rPr>
          <w:b/>
          <w:bCs/>
          <w:u w:val="single"/>
          <w:vertAlign w:val="superscript"/>
        </w:rPr>
        <w:t>st</w:t>
      </w:r>
      <w:r>
        <w:rPr>
          <w:b/>
          <w:bCs/>
          <w:u w:val="single"/>
        </w:rPr>
        <w:t xml:space="preserve"> round</w:t>
      </w:r>
    </w:p>
    <w:p w14:paraId="5613CB0E" w14:textId="06FB5BD0" w:rsidR="00BE1069" w:rsidRDefault="00BE1069" w:rsidP="00BE1069">
      <w:pPr>
        <w:spacing w:after="0" w:line="240" w:lineRule="auto"/>
        <w:rPr>
          <w:b/>
          <w:bCs/>
        </w:rPr>
      </w:pPr>
      <w:r>
        <w:rPr>
          <w:b/>
          <w:bCs/>
        </w:rPr>
        <w:t>Reviewer 1</w:t>
      </w:r>
    </w:p>
    <w:p w14:paraId="6F4E6B0D" w14:textId="2772FFF4" w:rsidR="00BE1069" w:rsidRDefault="00BE1069" w:rsidP="00BE1069">
      <w:pPr>
        <w:spacing w:after="0" w:line="240" w:lineRule="auto"/>
      </w:pPr>
      <w:r w:rsidRPr="00BE1069">
        <w:t xml:space="preserve">The differential expression analysis is important in </w:t>
      </w:r>
      <w:proofErr w:type="spellStart"/>
      <w:r w:rsidRPr="00BE1069">
        <w:t>scRNA-seq</w:t>
      </w:r>
      <w:proofErr w:type="spellEnd"/>
      <w:r w:rsidRPr="00BE1069">
        <w:t xml:space="preserve"> for identifying cell type specific markers/genes. The authors introduce a novel DE method LEMUR (</w:t>
      </w:r>
      <w:proofErr w:type="spellStart"/>
      <w:r w:rsidRPr="00BE1069">
        <w:t>poisson-glmm</w:t>
      </w:r>
      <w:proofErr w:type="spellEnd"/>
      <w:r w:rsidRPr="00BE1069">
        <w:t xml:space="preserve"> and </w:t>
      </w:r>
      <w:proofErr w:type="spellStart"/>
      <w:r w:rsidRPr="00BE1069">
        <w:t>bionomial-glmm</w:t>
      </w:r>
      <w:proofErr w:type="spellEnd"/>
      <w:r w:rsidRPr="00BE1069">
        <w:t xml:space="preserve">) that directly utilizes raw UMI data or zero proportion as input, aiming to reduce the impact of normalization. To demonstrate the superiority of this method, the authors conducted comparisons with </w:t>
      </w:r>
      <w:proofErr w:type="spellStart"/>
      <w:r w:rsidRPr="00BE1069">
        <w:t>exisiting</w:t>
      </w:r>
      <w:proofErr w:type="spellEnd"/>
      <w:r w:rsidRPr="00BE1069">
        <w:t xml:space="preserve"> methods on two datasets. </w:t>
      </w:r>
      <w:r w:rsidRPr="00BE1069">
        <w:br/>
      </w:r>
      <w:r w:rsidRPr="00BE1069">
        <w:br/>
        <w:t>Although the proposed method appears to be effective, the following issues have to be considered.</w:t>
      </w:r>
      <w:r w:rsidRPr="00BE1069">
        <w:br/>
      </w:r>
      <w:r w:rsidRPr="00BE1069">
        <w:br/>
        <w:t xml:space="preserve">1.As authors mentioned, Muscat assigns a random effect term for each combination of donor and group-of-interest while LEMUR treats group-of-interest as a fixed effect while accounting for donor-specific variations as random effects, Which approach is more suitable on </w:t>
      </w:r>
      <w:proofErr w:type="spellStart"/>
      <w:r w:rsidRPr="00BE1069">
        <w:t>scRNA-seq</w:t>
      </w:r>
      <w:proofErr w:type="spellEnd"/>
      <w:r w:rsidRPr="00BE1069">
        <w:t>? Can the authors provide a theoretical explanation.</w:t>
      </w:r>
      <w:r w:rsidRPr="00BE1069">
        <w:br/>
      </w:r>
      <w:proofErr w:type="gramStart"/>
      <w:r w:rsidRPr="00BE1069">
        <w:t>2.For</w:t>
      </w:r>
      <w:proofErr w:type="gramEnd"/>
      <w:r w:rsidRPr="00BE1069">
        <w:t xml:space="preserve"> case study 2 (data collected by Kang et al), the authors only 29065 cells and 7661 genes. The original dataset contains far more than 7661 genes. Why did the authors choose only these genes? There should be filtering criteria provided by the authors.</w:t>
      </w:r>
      <w:r w:rsidRPr="00BE1069">
        <w:br/>
      </w:r>
      <w:proofErr w:type="gramStart"/>
      <w:r w:rsidRPr="00BE1069">
        <w:t>3.Fig.</w:t>
      </w:r>
      <w:proofErr w:type="gramEnd"/>
      <w:r w:rsidRPr="00BE1069">
        <w:t>4C,Fig.5C and Fig.S7A reported the number of inputs and DEGs from different methods. Is it fair to compare different numbers of genes as inputs for each method? Only LEMUR outputs a higher number of differentially expressed genes. How can the possibility of false positives be ruled out</w:t>
      </w:r>
      <w:r w:rsidRPr="00BE1069">
        <w:br/>
        <w:t xml:space="preserve">4.For the section of Variation analysis, the authors conducted a variation analysis across multiple group comparisons and employed linear models for each gene. </w:t>
      </w:r>
      <w:r w:rsidRPr="00BE1069">
        <w:br/>
      </w:r>
      <w:proofErr w:type="gramStart"/>
      <w:r w:rsidRPr="00BE1069">
        <w:t>a)How</w:t>
      </w:r>
      <w:proofErr w:type="gramEnd"/>
      <w:r w:rsidRPr="00BE1069">
        <w:t xml:space="preserve"> to explain the variances attributed to the donor and group?</w:t>
      </w:r>
      <w:r w:rsidRPr="00BE1069">
        <w:br/>
        <w:t>b)For the integrated log-normalized, which contains many negative values, why did the authors use truncated values (with a cut-off at 0) instead of the original values?</w:t>
      </w:r>
      <w:r w:rsidRPr="00BE1069">
        <w:br/>
        <w:t>5.What is the difference in the LEMUR model with or without adding an offset? The authors should provide a comparison of the results.</w:t>
      </w:r>
      <w:r w:rsidRPr="00BE1069">
        <w:br/>
      </w:r>
      <w:proofErr w:type="gramStart"/>
      <w:r w:rsidRPr="00BE1069">
        <w:t>6.Although</w:t>
      </w:r>
      <w:proofErr w:type="gramEnd"/>
      <w:r w:rsidRPr="00BE1069">
        <w:t xml:space="preserve"> the authors conducted a comprehensive analysis of the two datasets in the paper, the actual list of differentially expressed genes in the real dataset is unknown. The authors should include a simulated dataset with known differentially expressed genes to assess whether the newly proposed method can effectively identify all truly differentially expressed genes.</w:t>
      </w:r>
      <w:r w:rsidRPr="00BE1069">
        <w:br/>
        <w:t>7.Is there a statistically significant difference in the distribution of library sizes between the two groups in Figure 4a, 5a and 6a?</w:t>
      </w:r>
      <w:r w:rsidRPr="00BE1069">
        <w:br/>
        <w:t>8.The authors state that the zero-proportion plots fit better to Poisson distribution when separated by stimulation states than only by cell types (Fig.S6b). On what basis did the authors make their judgment, and is there a quantitative metric available?</w:t>
      </w:r>
      <w:r w:rsidRPr="00BE1069">
        <w:br/>
      </w:r>
      <w:proofErr w:type="gramStart"/>
      <w:r w:rsidRPr="00BE1069">
        <w:t>9.The</w:t>
      </w:r>
      <w:proofErr w:type="gramEnd"/>
      <w:r w:rsidRPr="00BE1069">
        <w:t xml:space="preserve"> gene expression values from integrated data are no longer count-based, and there are negative values. Why can Poisson-</w:t>
      </w:r>
      <w:proofErr w:type="spellStart"/>
      <w:r w:rsidRPr="00BE1069">
        <w:t>glmm</w:t>
      </w:r>
      <w:proofErr w:type="spellEnd"/>
      <w:r w:rsidRPr="00BE1069">
        <w:t xml:space="preserve"> still be used in this case (middle panel in Fig.4d)? In addition, how were the 124 DEGs in Fig.4d (left panel) determined?</w:t>
      </w:r>
      <w:r w:rsidRPr="00BE1069">
        <w:br/>
        <w:t>10.In comparison with existing methods, at what levels are the runtime and memory usage for the proposed method?</w:t>
      </w:r>
      <w:r w:rsidRPr="00BE1069">
        <w:br/>
        <w:t xml:space="preserve">11.We all know that all differential expression analyses are based on reliable clustering results, but the UMAP plot (Fig.2A) in Study 1 shows a relatively disordered clustering. </w:t>
      </w:r>
      <w:r w:rsidRPr="00BE1069">
        <w:lastRenderedPageBreak/>
        <w:t>The authors should incorporate a dataset with more accurate cell type annotations to reevaluate the results.</w:t>
      </w:r>
      <w:r w:rsidRPr="00BE1069">
        <w:br/>
      </w:r>
      <w:proofErr w:type="gramStart"/>
      <w:r w:rsidRPr="00BE1069">
        <w:t>12.Fig.</w:t>
      </w:r>
      <w:proofErr w:type="gramEnd"/>
      <w:r w:rsidRPr="00BE1069">
        <w:t xml:space="preserve"> S3a is not referenced.</w:t>
      </w:r>
    </w:p>
    <w:p w14:paraId="610672F7" w14:textId="77777777" w:rsidR="00BE1069" w:rsidRDefault="00BE1069" w:rsidP="00BE1069">
      <w:pPr>
        <w:spacing w:after="0" w:line="240" w:lineRule="auto"/>
      </w:pPr>
    </w:p>
    <w:p w14:paraId="64E51411" w14:textId="5CF4B82B" w:rsidR="00BE1069" w:rsidRDefault="00BE1069" w:rsidP="00BE1069">
      <w:pPr>
        <w:spacing w:after="0" w:line="240" w:lineRule="auto"/>
        <w:rPr>
          <w:b/>
          <w:bCs/>
        </w:rPr>
      </w:pPr>
      <w:r>
        <w:rPr>
          <w:b/>
          <w:bCs/>
        </w:rPr>
        <w:t>Reviewer 2</w:t>
      </w:r>
    </w:p>
    <w:p w14:paraId="41C5CEEE" w14:textId="2A7D1F7C" w:rsidR="00BE1069" w:rsidRDefault="00BE1069" w:rsidP="00BE1069">
      <w:pPr>
        <w:spacing w:after="0" w:line="240" w:lineRule="auto"/>
      </w:pPr>
      <w:r w:rsidRPr="00BE1069">
        <w:t xml:space="preserve">The differential expression analysis is important in </w:t>
      </w:r>
      <w:proofErr w:type="spellStart"/>
      <w:r w:rsidRPr="00BE1069">
        <w:t>scRNA-seq</w:t>
      </w:r>
      <w:proofErr w:type="spellEnd"/>
      <w:r w:rsidRPr="00BE1069">
        <w:t xml:space="preserve"> for identifying cell type specific markers/genes. The authors introduce a novel DE method LEMUR (</w:t>
      </w:r>
      <w:proofErr w:type="spellStart"/>
      <w:r w:rsidRPr="00BE1069">
        <w:t>poisson-glmm</w:t>
      </w:r>
      <w:proofErr w:type="spellEnd"/>
      <w:r w:rsidRPr="00BE1069">
        <w:t xml:space="preserve"> and </w:t>
      </w:r>
      <w:proofErr w:type="spellStart"/>
      <w:r w:rsidRPr="00BE1069">
        <w:t>bionomial-glmm</w:t>
      </w:r>
      <w:proofErr w:type="spellEnd"/>
      <w:r w:rsidRPr="00BE1069">
        <w:t xml:space="preserve">) that directly utilizes raw UMI data or zero proportion as input, aiming to reduce the impact of normalization. To demonstrate the superiority of this method, the authors conducted comparisons with </w:t>
      </w:r>
      <w:proofErr w:type="spellStart"/>
      <w:r w:rsidRPr="00BE1069">
        <w:t>exisiting</w:t>
      </w:r>
      <w:proofErr w:type="spellEnd"/>
      <w:r w:rsidRPr="00BE1069">
        <w:t xml:space="preserve"> methods on two datasets. </w:t>
      </w:r>
      <w:r w:rsidRPr="00BE1069">
        <w:br/>
      </w:r>
      <w:r w:rsidRPr="00BE1069">
        <w:br/>
        <w:t>Although the proposed method appears to be effective, the following issues have to be considered.</w:t>
      </w:r>
      <w:r w:rsidRPr="00BE1069">
        <w:br/>
      </w:r>
      <w:r w:rsidRPr="00BE1069">
        <w:br/>
        <w:t xml:space="preserve">1.As authors mentioned, Muscat assigns a random effect term for each combination of donor and group-of-interest while LEMUR treats group-of-interest as a fixed effect while accounting for donor-specific variations as random effects, Which approach is more suitable on </w:t>
      </w:r>
      <w:proofErr w:type="spellStart"/>
      <w:r w:rsidRPr="00BE1069">
        <w:t>scRNA-seq</w:t>
      </w:r>
      <w:proofErr w:type="spellEnd"/>
      <w:r w:rsidRPr="00BE1069">
        <w:t>? Can the authors provide a theoretical explanation.</w:t>
      </w:r>
      <w:r w:rsidRPr="00BE1069">
        <w:br/>
      </w:r>
      <w:proofErr w:type="gramStart"/>
      <w:r w:rsidRPr="00BE1069">
        <w:t>2.For</w:t>
      </w:r>
      <w:proofErr w:type="gramEnd"/>
      <w:r w:rsidRPr="00BE1069">
        <w:t xml:space="preserve"> case study 2 (data collected by Kang et al), the authors only 29065 cells and 7661 genes. The original dataset contains far more than 7661 genes. Why did the authors choose only these genes? There should be filtering criteria provided by the authors.</w:t>
      </w:r>
      <w:r w:rsidRPr="00BE1069">
        <w:br/>
      </w:r>
      <w:proofErr w:type="gramStart"/>
      <w:r w:rsidRPr="00BE1069">
        <w:t>3.Fig.</w:t>
      </w:r>
      <w:proofErr w:type="gramEnd"/>
      <w:r w:rsidRPr="00BE1069">
        <w:t>4C,Fig.5C and Fig.S7A reported the number of inputs and DEGs from different methods. Is it fair to compare different numbers of genes as inputs for each method? Only LEMUR outputs a higher number of differentially expressed genes. How can the possibility of false positives be ruled out</w:t>
      </w:r>
      <w:r w:rsidRPr="00BE1069">
        <w:br/>
        <w:t xml:space="preserve">4.For the section of Variation analysis, the authors conducted a variation analysis across multiple group comparisons and employed linear models for each gene. </w:t>
      </w:r>
      <w:r w:rsidRPr="00BE1069">
        <w:br/>
      </w:r>
      <w:proofErr w:type="gramStart"/>
      <w:r w:rsidRPr="00BE1069">
        <w:t>a)How</w:t>
      </w:r>
      <w:proofErr w:type="gramEnd"/>
      <w:r w:rsidRPr="00BE1069">
        <w:t xml:space="preserve"> to explain the variances attributed to the donor and group?</w:t>
      </w:r>
      <w:r w:rsidRPr="00BE1069">
        <w:br/>
        <w:t>b)For the integrated log-normalized, which contains many negative values, why did the authors use truncated values (with a cut-off at 0) instead of the original values?</w:t>
      </w:r>
      <w:r w:rsidRPr="00BE1069">
        <w:br/>
        <w:t>5.What is the difference in the LEMUR model with or without adding an offset? The authors should provide a comparison of the results.</w:t>
      </w:r>
      <w:r w:rsidRPr="00BE1069">
        <w:br/>
      </w:r>
      <w:proofErr w:type="gramStart"/>
      <w:r w:rsidRPr="00BE1069">
        <w:t>6.Although</w:t>
      </w:r>
      <w:proofErr w:type="gramEnd"/>
      <w:r w:rsidRPr="00BE1069">
        <w:t xml:space="preserve"> the authors conducted a comprehensive analysis of the two datasets in the paper, the actual list of differentially expressed genes in the real dataset is unknown. The authors should include a simulated dataset with known differentially expressed genes to assess whether the newly proposed method can effectively identify all truly differentially expressed genes.</w:t>
      </w:r>
      <w:r w:rsidRPr="00BE1069">
        <w:br/>
        <w:t>7.Is there a statistically significant difference in the distribution of library sizes between the two groups in Figure 4a, 5a and 6a?</w:t>
      </w:r>
      <w:r w:rsidRPr="00BE1069">
        <w:br/>
        <w:t>8.The authors state that the zero-proportion plots fit better to Poisson distribution when separated by stimulation states than only by cell types (Fig.S6b). On what basis did the authors make their judgment, and is there a quantitative metric available?</w:t>
      </w:r>
      <w:r w:rsidRPr="00BE1069">
        <w:br/>
      </w:r>
      <w:proofErr w:type="gramStart"/>
      <w:r w:rsidRPr="00BE1069">
        <w:t>9.The</w:t>
      </w:r>
      <w:proofErr w:type="gramEnd"/>
      <w:r w:rsidRPr="00BE1069">
        <w:t xml:space="preserve"> gene expression values from integrated data are no longer count-based, and there are negative values. Why can Poisson-</w:t>
      </w:r>
      <w:proofErr w:type="spellStart"/>
      <w:r w:rsidRPr="00BE1069">
        <w:t>glmm</w:t>
      </w:r>
      <w:proofErr w:type="spellEnd"/>
      <w:r w:rsidRPr="00BE1069">
        <w:t xml:space="preserve"> still be used in this case (middle panel in Fig.4d)? In addition, how were the 124 DEGs in Fig.4d (left panel) determined?</w:t>
      </w:r>
      <w:r w:rsidRPr="00BE1069">
        <w:br/>
        <w:t xml:space="preserve">10.In comparison with existing methods, at what levels are the runtime and memory </w:t>
      </w:r>
      <w:r w:rsidRPr="00BE1069">
        <w:lastRenderedPageBreak/>
        <w:t>usage for the proposed method?</w:t>
      </w:r>
      <w:r w:rsidRPr="00BE1069">
        <w:br/>
        <w:t>11.We all know that all differential expression analyses are based on reliable clustering results, but the UMAP plot (Fig.2A) in Study 1 shows a relatively disordered clustering. The authors should incorporate a dataset with more accurate cell type annotations to reevaluate the results.</w:t>
      </w:r>
      <w:r w:rsidRPr="00BE1069">
        <w:br/>
      </w:r>
      <w:proofErr w:type="gramStart"/>
      <w:r w:rsidRPr="00BE1069">
        <w:t>12.Fig.</w:t>
      </w:r>
      <w:proofErr w:type="gramEnd"/>
      <w:r w:rsidRPr="00BE1069">
        <w:t xml:space="preserve"> S3a is not referenced.</w:t>
      </w:r>
    </w:p>
    <w:p w14:paraId="3F7BD87F" w14:textId="77777777" w:rsidR="009E1843" w:rsidRDefault="009E1843" w:rsidP="00BE1069">
      <w:pPr>
        <w:spacing w:after="0" w:line="240" w:lineRule="auto"/>
      </w:pPr>
    </w:p>
    <w:p w14:paraId="220F4468" w14:textId="5070AED1" w:rsidR="009E1843" w:rsidRDefault="009E1843" w:rsidP="00BE1069">
      <w:pPr>
        <w:spacing w:after="0" w:line="240" w:lineRule="auto"/>
        <w:rPr>
          <w:b/>
          <w:bCs/>
        </w:rPr>
      </w:pPr>
      <w:r>
        <w:rPr>
          <w:b/>
          <w:bCs/>
        </w:rPr>
        <w:t>Authors’ response</w:t>
      </w:r>
    </w:p>
    <w:p w14:paraId="65C16962" w14:textId="77777777" w:rsidR="009E1843" w:rsidRDefault="009E1843" w:rsidP="009E1843">
      <w:pPr>
        <w:jc w:val="both"/>
        <w:rPr>
          <w:rFonts w:ascii="Arial" w:eastAsia="Times New Roman" w:hAnsi="Arial" w:cs="Arial"/>
          <w:color w:val="77206D" w:themeColor="accent5" w:themeShade="BF"/>
        </w:rPr>
      </w:pPr>
      <w:proofErr w:type="gramStart"/>
      <w:r w:rsidRPr="00CA6182">
        <w:rPr>
          <w:rFonts w:ascii="Arial" w:eastAsia="Times New Roman" w:hAnsi="Arial" w:cs="Arial"/>
          <w:color w:val="77206D" w:themeColor="accent5" w:themeShade="BF"/>
        </w:rPr>
        <w:t xml:space="preserve">First </w:t>
      </w:r>
      <w:r>
        <w:rPr>
          <w:rFonts w:ascii="Arial" w:eastAsia="Times New Roman" w:hAnsi="Arial" w:cs="Arial"/>
          <w:color w:val="77206D" w:themeColor="accent5" w:themeShade="BF"/>
        </w:rPr>
        <w:t>of all</w:t>
      </w:r>
      <w:proofErr w:type="gramEnd"/>
      <w:r w:rsidRPr="00CA6182">
        <w:rPr>
          <w:rFonts w:ascii="Arial" w:eastAsia="Times New Roman" w:hAnsi="Arial" w:cs="Arial"/>
          <w:color w:val="77206D" w:themeColor="accent5" w:themeShade="BF"/>
        </w:rPr>
        <w:t>, we would like to express our sincere gratitude to the reviewers for their time and thoughtful comments on the manuscript. After carefully considering your suggestions, we have made several major revisions, which are outlined as follows:</w:t>
      </w:r>
    </w:p>
    <w:p w14:paraId="47F4B256" w14:textId="77777777" w:rsidR="009E1843" w:rsidRPr="00FC100D" w:rsidRDefault="009E1843" w:rsidP="009E1843">
      <w:pPr>
        <w:jc w:val="both"/>
        <w:rPr>
          <w:rFonts w:ascii="Arial" w:eastAsia="Times New Roman" w:hAnsi="Arial" w:cs="Arial"/>
          <w:color w:val="77206D" w:themeColor="accent5" w:themeShade="BF"/>
        </w:rPr>
      </w:pPr>
    </w:p>
    <w:p w14:paraId="116A7000" w14:textId="77777777" w:rsidR="009E1843" w:rsidRPr="00FC100D" w:rsidRDefault="009E1843" w:rsidP="009E1843">
      <w:pPr>
        <w:pStyle w:val="ListParagraph"/>
        <w:numPr>
          <w:ilvl w:val="0"/>
          <w:numId w:val="1"/>
        </w:numPr>
        <w:spacing w:after="0" w:line="240" w:lineRule="auto"/>
        <w:jc w:val="both"/>
        <w:rPr>
          <w:rFonts w:ascii="Arial" w:eastAsia="Times New Roman" w:hAnsi="Arial" w:cs="Arial"/>
          <w:color w:val="77206D" w:themeColor="accent5" w:themeShade="BF"/>
        </w:rPr>
      </w:pPr>
      <w:r w:rsidRPr="00FC100D">
        <w:rPr>
          <w:rFonts w:ascii="Arial" w:eastAsia="Times New Roman" w:hAnsi="Arial" w:cs="Arial"/>
          <w:color w:val="77206D" w:themeColor="accent5" w:themeShade="BF"/>
        </w:rPr>
        <w:t xml:space="preserve">As suggested, </w:t>
      </w:r>
      <w:r w:rsidRPr="00F16228">
        <w:rPr>
          <w:rFonts w:ascii="Arial" w:eastAsia="Times New Roman" w:hAnsi="Arial" w:cs="Arial"/>
          <w:color w:val="77206D" w:themeColor="accent5" w:themeShade="BF"/>
        </w:rPr>
        <w:t xml:space="preserve">we have added a human spinal cord dataset (Case Study 2) with "ground truth" labels, in addition to Case Study 1. Furthermore, the treatment/control comparison for B cells is now </w:t>
      </w:r>
      <w:proofErr w:type="spellStart"/>
      <w:r w:rsidRPr="00F16228">
        <w:rPr>
          <w:rFonts w:ascii="Arial" w:eastAsia="Times New Roman" w:hAnsi="Arial" w:cs="Arial"/>
          <w:color w:val="77206D" w:themeColor="accent5" w:themeShade="BF"/>
        </w:rPr>
        <w:t>labeled</w:t>
      </w:r>
      <w:proofErr w:type="spellEnd"/>
      <w:r w:rsidRPr="00F16228">
        <w:rPr>
          <w:rFonts w:ascii="Arial" w:eastAsia="Times New Roman" w:hAnsi="Arial" w:cs="Arial"/>
          <w:color w:val="77206D" w:themeColor="accent5" w:themeShade="BF"/>
        </w:rPr>
        <w:t xml:space="preserve"> as Case Study 3. The results from these studies have been incorporated and discussed in the manuscript.</w:t>
      </w:r>
    </w:p>
    <w:p w14:paraId="3B5772E9" w14:textId="77777777" w:rsidR="009E1843" w:rsidRDefault="009E1843" w:rsidP="009E1843">
      <w:pPr>
        <w:pStyle w:val="ListParagraph"/>
        <w:numPr>
          <w:ilvl w:val="0"/>
          <w:numId w:val="1"/>
        </w:numPr>
        <w:spacing w:after="0" w:line="240" w:lineRule="auto"/>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The Seurat package released a new version (</w:t>
      </w:r>
      <w:hyperlink r:id="rId7">
        <w:r w:rsidRPr="27E1536C">
          <w:rPr>
            <w:rStyle w:val="Hyperlink"/>
            <w:rFonts w:ascii="Arial" w:eastAsia="Times New Roman" w:hAnsi="Arial" w:cs="Arial"/>
          </w:rPr>
          <w:t>v5</w:t>
        </w:r>
      </w:hyperlink>
      <w:r w:rsidRPr="27E1536C">
        <w:rPr>
          <w:rFonts w:ascii="Arial" w:eastAsia="Times New Roman" w:hAnsi="Arial" w:cs="Arial"/>
          <w:color w:val="77206D" w:themeColor="accent5" w:themeShade="BF"/>
        </w:rPr>
        <w:t>) in the past few months. In the previous version (</w:t>
      </w:r>
      <w:hyperlink r:id="rId8">
        <w:r w:rsidRPr="27E1536C">
          <w:rPr>
            <w:rStyle w:val="Hyperlink"/>
            <w:rFonts w:ascii="Arial" w:eastAsia="Times New Roman" w:hAnsi="Arial" w:cs="Arial"/>
          </w:rPr>
          <w:t>v4</w:t>
        </w:r>
      </w:hyperlink>
      <w:r w:rsidRPr="27E1536C">
        <w:rPr>
          <w:rFonts w:ascii="Arial" w:eastAsia="Times New Roman" w:hAnsi="Arial" w:cs="Arial"/>
          <w:color w:val="77206D" w:themeColor="accent5" w:themeShade="BF"/>
        </w:rPr>
        <w:t xml:space="preserve">), the integration workflow provided integrated counts for 2,000 genes. However, in the v5 workflow, the output is an integrated dimensional reduction embedding, which is used as input for clustering. In this updated workflow, the input for DE analysis is simply the normalized counts for the Wilcox method. For Case Study 1, we applied Seurat v4 to obtain the integrated data, while Seurat v5 was used for Case Studies 2 and 3. Additionally, the formula for log2 fold change in Seurat has been modified to log2((1+totalcount1)/n1) - log2((1+totalcount2)/n2), where n1 and n2 represent the number of cells in each group. This formula is applied to the input data, which can be either normalized or integrated by Seurat or other packages. The default parameters in the </w:t>
      </w:r>
      <w:hyperlink r:id="rId9">
        <w:r w:rsidRPr="27E1536C">
          <w:rPr>
            <w:rStyle w:val="Hyperlink"/>
            <w:rFonts w:ascii="Arial" w:eastAsia="Times New Roman" w:hAnsi="Arial" w:cs="Arial"/>
          </w:rPr>
          <w:t>FindMarkers</w:t>
        </w:r>
      </w:hyperlink>
      <w:r w:rsidRPr="27E1536C">
        <w:rPr>
          <w:rFonts w:ascii="Arial" w:eastAsia="Times New Roman" w:hAnsi="Arial" w:cs="Arial"/>
          <w:color w:val="77206D" w:themeColor="accent5" w:themeShade="BF"/>
        </w:rPr>
        <w:t xml:space="preserve"> function have also been updated to allow more genes to be tested. These changes in the Seurat package impact all results presented in our manuscript.</w:t>
      </w:r>
    </w:p>
    <w:p w14:paraId="24E0365A" w14:textId="77777777" w:rsidR="009E1843" w:rsidRDefault="009E1843" w:rsidP="009E1843">
      <w:pPr>
        <w:pStyle w:val="ListParagraph"/>
        <w:numPr>
          <w:ilvl w:val="0"/>
          <w:numId w:val="1"/>
        </w:numPr>
        <w:spacing w:after="0" w:line="240" w:lineRule="auto"/>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We have adjusted our model structure to accommodate more versatile scenarios in single-cell RNA sequencing (</w:t>
      </w:r>
      <w:proofErr w:type="spellStart"/>
      <w:r w:rsidRPr="27E1536C">
        <w:rPr>
          <w:rFonts w:ascii="Arial" w:eastAsia="Times New Roman" w:hAnsi="Arial" w:cs="Arial"/>
          <w:color w:val="77206D" w:themeColor="accent5" w:themeShade="BF"/>
        </w:rPr>
        <w:t>scRNA-seq</w:t>
      </w:r>
      <w:proofErr w:type="spellEnd"/>
      <w:r w:rsidRPr="27E1536C">
        <w:rPr>
          <w:rFonts w:ascii="Arial" w:eastAsia="Times New Roman" w:hAnsi="Arial" w:cs="Arial"/>
          <w:color w:val="77206D" w:themeColor="accent5" w:themeShade="BF"/>
        </w:rPr>
        <w:t xml:space="preserve">) studies (Fig. 7e and Discussion). The random effects are now incorporated to account for both donor effects and additional batch effects, if applicable. The updated model structure is as follows: UMI count ~ </w:t>
      </w:r>
      <w:proofErr w:type="spellStart"/>
      <w:r w:rsidRPr="27E1536C">
        <w:rPr>
          <w:rFonts w:ascii="Arial" w:eastAsia="Times New Roman" w:hAnsi="Arial" w:cs="Arial"/>
          <w:color w:val="77206D" w:themeColor="accent5" w:themeShade="BF"/>
        </w:rPr>
        <w:t>compared_groups</w:t>
      </w:r>
      <w:proofErr w:type="spellEnd"/>
      <w:r w:rsidRPr="27E1536C">
        <w:rPr>
          <w:rFonts w:ascii="Arial" w:eastAsia="Times New Roman" w:hAnsi="Arial" w:cs="Arial"/>
          <w:color w:val="77206D" w:themeColor="accent5" w:themeShade="BF"/>
        </w:rPr>
        <w:t xml:space="preserve"> + (1|donor ID) + (1|batch ID). This adjustment resulted in different models in Case Study 3, where additional experimental batch effects were considered compared to the approach used in our previous manuscript.</w:t>
      </w:r>
    </w:p>
    <w:p w14:paraId="4891EF24" w14:textId="77777777" w:rsidR="009E1843" w:rsidRPr="00FC100D" w:rsidRDefault="009E1843" w:rsidP="009E1843">
      <w:pPr>
        <w:pStyle w:val="ListParagraph"/>
        <w:numPr>
          <w:ilvl w:val="0"/>
          <w:numId w:val="1"/>
        </w:numPr>
        <w:spacing w:after="0" w:line="240" w:lineRule="auto"/>
        <w:jc w:val="both"/>
        <w:rPr>
          <w:rFonts w:ascii="Arial" w:eastAsia="Times New Roman" w:hAnsi="Arial" w:cs="Arial"/>
          <w:color w:val="77206D" w:themeColor="accent5" w:themeShade="BF"/>
        </w:rPr>
      </w:pPr>
      <w:r>
        <w:rPr>
          <w:rFonts w:ascii="Arial" w:eastAsia="Times New Roman" w:hAnsi="Arial" w:cs="Arial"/>
          <w:color w:val="77206D" w:themeColor="accent5" w:themeShade="BF"/>
        </w:rPr>
        <w:t>For all the analysis, we applied the same DEG criteria (log2fc and adj. p-value) for all methods including LEMUR. And then we discussed the proposed criteria at the end of case study 3.</w:t>
      </w:r>
    </w:p>
    <w:p w14:paraId="219006C1" w14:textId="77777777" w:rsidR="009E1843" w:rsidRPr="00F16228" w:rsidRDefault="009E1843" w:rsidP="009E1843">
      <w:pPr>
        <w:pStyle w:val="ListParagraph"/>
        <w:numPr>
          <w:ilvl w:val="0"/>
          <w:numId w:val="1"/>
        </w:numPr>
        <w:spacing w:after="0" w:line="240" w:lineRule="auto"/>
        <w:jc w:val="both"/>
        <w:rPr>
          <w:rFonts w:ascii="Arial" w:eastAsia="Times New Roman" w:hAnsi="Arial" w:cs="Arial"/>
          <w:color w:val="77206D" w:themeColor="accent5" w:themeShade="BF"/>
        </w:rPr>
      </w:pPr>
      <w:r w:rsidRPr="00F16228">
        <w:rPr>
          <w:rFonts w:ascii="Arial" w:eastAsia="Times New Roman" w:hAnsi="Arial" w:cs="Arial"/>
          <w:color w:val="77206D" w:themeColor="accent5" w:themeShade="BF"/>
        </w:rPr>
        <w:t xml:space="preserve">In the previous manuscript, the </w:t>
      </w:r>
      <w:r>
        <w:rPr>
          <w:rFonts w:ascii="Arial" w:eastAsia="Times New Roman" w:hAnsi="Arial" w:cs="Arial"/>
          <w:color w:val="77206D" w:themeColor="accent5" w:themeShade="BF"/>
        </w:rPr>
        <w:t>DE</w:t>
      </w:r>
      <w:r w:rsidRPr="00F16228">
        <w:rPr>
          <w:rFonts w:ascii="Arial" w:eastAsia="Times New Roman" w:hAnsi="Arial" w:cs="Arial"/>
          <w:color w:val="77206D" w:themeColor="accent5" w:themeShade="BF"/>
        </w:rPr>
        <w:t xml:space="preserve"> results for all methods</w:t>
      </w:r>
      <w:r>
        <w:rPr>
          <w:rFonts w:ascii="Arial" w:eastAsia="Times New Roman" w:hAnsi="Arial" w:cs="Arial"/>
          <w:color w:val="77206D" w:themeColor="accent5" w:themeShade="BF"/>
        </w:rPr>
        <w:t xml:space="preserve"> in Case Study 3</w:t>
      </w:r>
      <w:r w:rsidRPr="00F16228">
        <w:rPr>
          <w:rFonts w:ascii="Arial" w:eastAsia="Times New Roman" w:hAnsi="Arial" w:cs="Arial"/>
          <w:color w:val="77206D" w:themeColor="accent5" w:themeShade="BF"/>
        </w:rPr>
        <w:t xml:space="preserve"> were restricted to the input </w:t>
      </w:r>
      <w:r>
        <w:rPr>
          <w:rFonts w:ascii="Arial" w:eastAsia="Times New Roman" w:hAnsi="Arial" w:cs="Arial"/>
          <w:color w:val="77206D" w:themeColor="accent5" w:themeShade="BF"/>
        </w:rPr>
        <w:t>genes</w:t>
      </w:r>
      <w:r w:rsidRPr="00F16228">
        <w:rPr>
          <w:rFonts w:ascii="Arial" w:eastAsia="Times New Roman" w:hAnsi="Arial" w:cs="Arial"/>
          <w:color w:val="77206D" w:themeColor="accent5" w:themeShade="BF"/>
        </w:rPr>
        <w:t xml:space="preserve"> of Poisson-</w:t>
      </w:r>
      <w:proofErr w:type="spellStart"/>
      <w:r w:rsidRPr="00F16228">
        <w:rPr>
          <w:rFonts w:ascii="Arial" w:eastAsia="Times New Roman" w:hAnsi="Arial" w:cs="Arial"/>
          <w:color w:val="77206D" w:themeColor="accent5" w:themeShade="BF"/>
        </w:rPr>
        <w:t>glmm</w:t>
      </w:r>
      <w:proofErr w:type="spellEnd"/>
      <w:r w:rsidRPr="00F16228">
        <w:rPr>
          <w:rFonts w:ascii="Arial" w:eastAsia="Times New Roman" w:hAnsi="Arial" w:cs="Arial"/>
          <w:color w:val="77206D" w:themeColor="accent5" w:themeShade="BF"/>
        </w:rPr>
        <w:t>. We have now removed this restriction and presented the results directly produced by other methods. As a result, this change led to different outcomes for all methods in Case Study 3.</w:t>
      </w:r>
    </w:p>
    <w:p w14:paraId="2D5FE950" w14:textId="77777777" w:rsidR="009E1843" w:rsidRDefault="009E1843" w:rsidP="009E1843">
      <w:pPr>
        <w:pStyle w:val="ListParagraph"/>
        <w:numPr>
          <w:ilvl w:val="0"/>
          <w:numId w:val="1"/>
        </w:numPr>
        <w:spacing w:after="0" w:line="240" w:lineRule="auto"/>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lastRenderedPageBreak/>
        <w:t>We have added a comparison of FDR, power, and runtime on synthetic datasets generated by Splatter (Fig. 7a-b, Fig. S13). The details of this analysis can be found in the Methods section.</w:t>
      </w:r>
    </w:p>
    <w:p w14:paraId="53867BAD" w14:textId="77777777" w:rsidR="009E1843" w:rsidRDefault="009E1843" w:rsidP="009E1843">
      <w:pPr>
        <w:pStyle w:val="ListParagraph"/>
        <w:numPr>
          <w:ilvl w:val="0"/>
          <w:numId w:val="1"/>
        </w:numPr>
        <w:spacing w:after="0" w:line="240" w:lineRule="auto"/>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We have included a comparison between Poisson-</w:t>
      </w:r>
      <w:proofErr w:type="spellStart"/>
      <w:r w:rsidRPr="27E1536C">
        <w:rPr>
          <w:rFonts w:ascii="Arial" w:eastAsia="Times New Roman" w:hAnsi="Arial" w:cs="Arial"/>
          <w:color w:val="77206D" w:themeColor="accent5" w:themeShade="BF"/>
        </w:rPr>
        <w:t>glmm</w:t>
      </w:r>
      <w:proofErr w:type="spellEnd"/>
      <w:r w:rsidRPr="27E1536C">
        <w:rPr>
          <w:rFonts w:ascii="Arial" w:eastAsia="Times New Roman" w:hAnsi="Arial" w:cs="Arial"/>
          <w:color w:val="77206D" w:themeColor="accent5" w:themeShade="BF"/>
        </w:rPr>
        <w:t xml:space="preserve"> with and without the library size factor as an offset to </w:t>
      </w:r>
      <w:proofErr w:type="spellStart"/>
      <w:r w:rsidRPr="27E1536C">
        <w:rPr>
          <w:rFonts w:ascii="Arial" w:eastAsia="Times New Roman" w:hAnsi="Arial" w:cs="Arial"/>
          <w:color w:val="77206D" w:themeColor="accent5" w:themeShade="BF"/>
        </w:rPr>
        <w:t>analyze</w:t>
      </w:r>
      <w:proofErr w:type="spellEnd"/>
      <w:r w:rsidRPr="27E1536C">
        <w:rPr>
          <w:rFonts w:ascii="Arial" w:eastAsia="Times New Roman" w:hAnsi="Arial" w:cs="Arial"/>
          <w:color w:val="77206D" w:themeColor="accent5" w:themeShade="BF"/>
        </w:rPr>
        <w:t xml:space="preserve"> the impact of normalization. The results of this comparison are presented in Fig. 7c-d.</w:t>
      </w:r>
    </w:p>
    <w:p w14:paraId="69437EFA" w14:textId="77777777" w:rsidR="009E1843" w:rsidRDefault="009E1843" w:rsidP="009E1843">
      <w:pPr>
        <w:pStyle w:val="ListParagraph"/>
        <w:numPr>
          <w:ilvl w:val="0"/>
          <w:numId w:val="1"/>
        </w:numPr>
        <w:spacing w:after="0" w:line="240" w:lineRule="auto"/>
        <w:jc w:val="both"/>
        <w:rPr>
          <w:rFonts w:ascii="Arial" w:eastAsia="Times New Roman" w:hAnsi="Arial" w:cs="Arial"/>
          <w:color w:val="77206D" w:themeColor="accent5" w:themeShade="BF"/>
        </w:rPr>
      </w:pPr>
      <w:r>
        <w:rPr>
          <w:rFonts w:ascii="Arial" w:eastAsia="Times New Roman" w:hAnsi="Arial" w:cs="Arial"/>
          <w:color w:val="77206D" w:themeColor="accent5" w:themeShade="BF"/>
        </w:rPr>
        <w:t>We have adjusted the contents in the main figure panels and moved some figures to supplementary materials. The following responses are based on updated figure labels.</w:t>
      </w:r>
    </w:p>
    <w:p w14:paraId="5D6B2292" w14:textId="77777777" w:rsidR="009E1843" w:rsidRPr="006F5603" w:rsidRDefault="009E1843" w:rsidP="009E1843">
      <w:pPr>
        <w:jc w:val="both"/>
        <w:rPr>
          <w:rFonts w:ascii="Arial" w:eastAsia="Times New Roman" w:hAnsi="Arial" w:cs="Arial"/>
          <w:color w:val="77206D" w:themeColor="accent5" w:themeShade="BF"/>
        </w:rPr>
      </w:pPr>
    </w:p>
    <w:p w14:paraId="721A2E80" w14:textId="77777777" w:rsidR="009E1843" w:rsidRDefault="009E1843" w:rsidP="009E1843">
      <w:pPr>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There are also some minor changes in addition to those mentioned above, which we detail in the point-by-point responses provided below.</w:t>
      </w:r>
    </w:p>
    <w:p w14:paraId="7176E12E" w14:textId="77777777" w:rsidR="009E1843" w:rsidRPr="007C6747" w:rsidRDefault="009E1843" w:rsidP="009E1843">
      <w:pPr>
        <w:rPr>
          <w:rFonts w:ascii="Arial" w:eastAsia="Times New Roman" w:hAnsi="Arial" w:cs="Arial"/>
          <w:b/>
        </w:rPr>
      </w:pPr>
      <w:r w:rsidRPr="007C6747">
        <w:rPr>
          <w:rFonts w:ascii="Arial" w:eastAsia="Times New Roman" w:hAnsi="Arial" w:cs="Arial"/>
        </w:rPr>
        <w:br/>
      </w:r>
      <w:r w:rsidRPr="007C6747">
        <w:rPr>
          <w:rFonts w:ascii="Arial" w:eastAsia="Times New Roman" w:hAnsi="Arial" w:cs="Arial"/>
          <w:b/>
        </w:rPr>
        <w:t>Responses to Reviewer #1</w:t>
      </w:r>
    </w:p>
    <w:p w14:paraId="78A98523" w14:textId="77777777" w:rsidR="009E1843" w:rsidRDefault="009E1843" w:rsidP="009E1843">
      <w:pPr>
        <w:jc w:val="both"/>
        <w:rPr>
          <w:rFonts w:ascii="Arial" w:eastAsia="Times New Roman" w:hAnsi="Arial" w:cs="Arial"/>
        </w:rPr>
      </w:pPr>
      <w:r w:rsidRPr="007C6747">
        <w:rPr>
          <w:rFonts w:ascii="Arial" w:eastAsia="Times New Roman" w:hAnsi="Arial" w:cs="Arial"/>
        </w:rPr>
        <w:br/>
        <w:t xml:space="preserve">Reviewer #1: The differential expression analysis is important in </w:t>
      </w:r>
      <w:proofErr w:type="spellStart"/>
      <w:r w:rsidRPr="007C6747">
        <w:rPr>
          <w:rFonts w:ascii="Arial" w:eastAsia="Times New Roman" w:hAnsi="Arial" w:cs="Arial"/>
        </w:rPr>
        <w:t>scRNA-seq</w:t>
      </w:r>
      <w:proofErr w:type="spellEnd"/>
      <w:r w:rsidRPr="007C6747">
        <w:rPr>
          <w:rFonts w:ascii="Arial" w:eastAsia="Times New Roman" w:hAnsi="Arial" w:cs="Arial"/>
        </w:rPr>
        <w:t xml:space="preserve"> for identifying cell type specific markers/genes. The authors introduce a novel DE method LEMUR (</w:t>
      </w:r>
      <w:proofErr w:type="spellStart"/>
      <w:r w:rsidRPr="007C6747">
        <w:rPr>
          <w:rFonts w:ascii="Arial" w:eastAsia="Times New Roman" w:hAnsi="Arial" w:cs="Arial"/>
        </w:rPr>
        <w:t>poisson-glmm</w:t>
      </w:r>
      <w:proofErr w:type="spellEnd"/>
      <w:r w:rsidRPr="007C6747">
        <w:rPr>
          <w:rFonts w:ascii="Arial" w:eastAsia="Times New Roman" w:hAnsi="Arial" w:cs="Arial"/>
        </w:rPr>
        <w:t xml:space="preserve"> and </w:t>
      </w:r>
      <w:proofErr w:type="spellStart"/>
      <w:r w:rsidRPr="007C6747">
        <w:rPr>
          <w:rFonts w:ascii="Arial" w:eastAsia="Times New Roman" w:hAnsi="Arial" w:cs="Arial"/>
        </w:rPr>
        <w:t>bionomial-glmm</w:t>
      </w:r>
      <w:proofErr w:type="spellEnd"/>
      <w:r w:rsidRPr="007C6747">
        <w:rPr>
          <w:rFonts w:ascii="Arial" w:eastAsia="Times New Roman" w:hAnsi="Arial" w:cs="Arial"/>
        </w:rPr>
        <w:t>) that directly utilizes raw UMI data or zero proportion as input, aiming to reduce the impact of normalization. To demonstrate the superiority of this method, the authors conducted comparisons with existing methods on two datasets. </w:t>
      </w:r>
    </w:p>
    <w:p w14:paraId="1A65916B" w14:textId="77777777" w:rsidR="009E1843" w:rsidRDefault="009E1843" w:rsidP="009E1843">
      <w:pPr>
        <w:rPr>
          <w:rFonts w:ascii="Arial" w:eastAsia="Times New Roman" w:hAnsi="Arial" w:cs="Arial"/>
        </w:rPr>
      </w:pPr>
      <w:r w:rsidRPr="007C6747">
        <w:rPr>
          <w:rFonts w:ascii="Arial" w:eastAsia="Times New Roman" w:hAnsi="Arial" w:cs="Arial"/>
        </w:rPr>
        <w:br/>
      </w:r>
      <w:r w:rsidRPr="006F5603">
        <w:rPr>
          <w:rFonts w:ascii="Arial" w:hAnsi="Arial" w:cs="Arial"/>
          <w:color w:val="77206D" w:themeColor="accent5" w:themeShade="BF"/>
        </w:rPr>
        <w:t>Thank you for the comments. Our detailed responses are listed below.</w:t>
      </w:r>
      <w:r w:rsidRPr="007C6747">
        <w:rPr>
          <w:rFonts w:ascii="Arial" w:eastAsia="Times New Roman" w:hAnsi="Arial" w:cs="Arial"/>
        </w:rPr>
        <w:br/>
      </w:r>
    </w:p>
    <w:p w14:paraId="45887988" w14:textId="77777777" w:rsidR="009E1843" w:rsidRDefault="009E1843" w:rsidP="009E1843">
      <w:pPr>
        <w:jc w:val="both"/>
        <w:rPr>
          <w:rFonts w:ascii="Arial" w:eastAsia="Times New Roman" w:hAnsi="Arial" w:cs="Arial"/>
        </w:rPr>
      </w:pPr>
      <w:r w:rsidRPr="007C6747">
        <w:rPr>
          <w:rFonts w:ascii="Arial" w:eastAsia="Times New Roman" w:hAnsi="Arial" w:cs="Arial"/>
        </w:rPr>
        <w:t>Although the proposed method appears to be effective, the following issues have to be considered.</w:t>
      </w:r>
      <w:r w:rsidRPr="007C6747">
        <w:rPr>
          <w:rFonts w:ascii="Arial" w:eastAsia="Times New Roman" w:hAnsi="Arial" w:cs="Arial"/>
        </w:rPr>
        <w:br/>
      </w:r>
      <w:r w:rsidRPr="007C6747">
        <w:rPr>
          <w:rFonts w:ascii="Arial" w:eastAsia="Times New Roman" w:hAnsi="Arial" w:cs="Arial"/>
        </w:rPr>
        <w:br/>
        <w:t xml:space="preserve">1.As authors mentioned, Muscat assigns a random effect term for each combination of donor and group-of-interest while LEMUR treats group-of-interest as a fixed effect while accounting for donor-specific variations as random effects, Which approach is more suitable on </w:t>
      </w:r>
      <w:proofErr w:type="spellStart"/>
      <w:r w:rsidRPr="007C6747">
        <w:rPr>
          <w:rFonts w:ascii="Arial" w:eastAsia="Times New Roman" w:hAnsi="Arial" w:cs="Arial"/>
        </w:rPr>
        <w:t>scRNA-seq</w:t>
      </w:r>
      <w:proofErr w:type="spellEnd"/>
      <w:r w:rsidRPr="007C6747">
        <w:rPr>
          <w:rFonts w:ascii="Arial" w:eastAsia="Times New Roman" w:hAnsi="Arial" w:cs="Arial"/>
        </w:rPr>
        <w:t xml:space="preserve">? Can the authors provide a </w:t>
      </w:r>
      <w:r w:rsidRPr="00300AF2">
        <w:rPr>
          <w:rFonts w:ascii="Arial" w:eastAsia="Times New Roman" w:hAnsi="Arial" w:cs="Arial"/>
        </w:rPr>
        <w:t>theoretical explanation</w:t>
      </w:r>
      <w:r w:rsidRPr="007C6747">
        <w:rPr>
          <w:rFonts w:ascii="Arial" w:eastAsia="Times New Roman" w:hAnsi="Arial" w:cs="Arial"/>
        </w:rPr>
        <w:t>?</w:t>
      </w:r>
    </w:p>
    <w:p w14:paraId="1FAB3112" w14:textId="77777777" w:rsidR="009E1843" w:rsidRDefault="009E1843" w:rsidP="009E1843">
      <w:pPr>
        <w:jc w:val="both"/>
        <w:rPr>
          <w:rFonts w:ascii="Arial" w:hAnsi="Arial" w:cs="Arial"/>
          <w:color w:val="77206D" w:themeColor="accent5" w:themeShade="BF"/>
        </w:rPr>
      </w:pPr>
    </w:p>
    <w:p w14:paraId="05865124" w14:textId="77777777" w:rsidR="009E1843" w:rsidRDefault="009E1843" w:rsidP="009E1843">
      <w:pPr>
        <w:jc w:val="both"/>
        <w:rPr>
          <w:rFonts w:ascii="Arial" w:hAnsi="Arial" w:cs="Arial"/>
          <w:color w:val="77206D" w:themeColor="accent5" w:themeShade="BF"/>
        </w:rPr>
      </w:pPr>
      <w:r w:rsidRPr="004A3C0D">
        <w:rPr>
          <w:rFonts w:ascii="Arial" w:hAnsi="Arial" w:cs="Arial"/>
          <w:color w:val="77206D" w:themeColor="accent5" w:themeShade="BF"/>
        </w:rPr>
        <w:t xml:space="preserve">Thank you for the comments. In single-cell studies, donor effects (biological variability) are inevitable since multiple cells are derived from the same donor. Each donor’s unique genetic background can influence gene expression. Additionally, batch effects (technical variability) may arise when donor ID does not fully represent sample ID, such as when multiple batches are processed from the same donor (case studies 2 and 3). Both types of variability need to be accounted for. For example, if one donor shows a more pronounced response to a treatment but is processed in a separate batch, observed differences could be confounded by batch effects. A correct model </w:t>
      </w:r>
      <w:r w:rsidRPr="004A3C0D">
        <w:rPr>
          <w:rFonts w:ascii="Arial" w:hAnsi="Arial" w:cs="Arial"/>
          <w:color w:val="77206D" w:themeColor="accent5" w:themeShade="BF"/>
        </w:rPr>
        <w:lastRenderedPageBreak/>
        <w:t>must control for both biological and technical variations to ensure that the results reflect true biological differences rather than technical artifacts.</w:t>
      </w:r>
    </w:p>
    <w:p w14:paraId="0CE37E24" w14:textId="77777777" w:rsidR="009E1843" w:rsidRDefault="009E1843" w:rsidP="009E1843">
      <w:pPr>
        <w:rPr>
          <w:rFonts w:ascii="Arial" w:hAnsi="Arial" w:cs="Arial"/>
          <w:color w:val="77206D" w:themeColor="accent5" w:themeShade="BF"/>
        </w:rPr>
      </w:pPr>
    </w:p>
    <w:p w14:paraId="0E6AD710" w14:textId="77777777" w:rsidR="009E1843" w:rsidRPr="004A3C0D" w:rsidRDefault="009E1843" w:rsidP="009E1843">
      <w:pPr>
        <w:jc w:val="both"/>
        <w:rPr>
          <w:rFonts w:ascii="Arial" w:hAnsi="Arial" w:cs="Arial"/>
          <w:color w:val="77206D" w:themeColor="accent5" w:themeShade="BF"/>
        </w:rPr>
      </w:pPr>
      <w:r w:rsidRPr="27E1536C">
        <w:rPr>
          <w:rFonts w:ascii="Arial" w:hAnsi="Arial" w:cs="Arial"/>
          <w:color w:val="77206D" w:themeColor="accent5" w:themeShade="BF"/>
        </w:rPr>
        <w:t>Muscat is specifically designed for DE analysis between different states or conditions, assuming that cells from different groups are sequenced in separate experimental batches. In this specific scenario, the random effect accounts for the experimental batch effect (sample ID). For other scenarios (Fig. 7e), such as DE analysis between cell types, the sequenced samples may not necessarily represent a combination of donor and group-of-interest, indicating that the method may not accurately reflect the experimental design. In our current model, we include both donor effect and optional batch effect (e.g., sample ID) as random effects, depending on the experimental design. The batch effect is determined by the user and does not necessarily confound the group-of-interest. This flexibility allows our model to account for both effects, providing better characterization of single-cell study structures.</w:t>
      </w:r>
    </w:p>
    <w:p w14:paraId="33C94C31" w14:textId="77777777" w:rsidR="009E1843" w:rsidRPr="007C6747" w:rsidRDefault="009E1843" w:rsidP="009E1843">
      <w:pPr>
        <w:rPr>
          <w:rFonts w:ascii="Arial" w:eastAsia="Times New Roman" w:hAnsi="Arial" w:cs="Arial"/>
        </w:rPr>
      </w:pPr>
    </w:p>
    <w:p w14:paraId="4C7CC34D" w14:textId="77777777" w:rsidR="009E1843" w:rsidRPr="007C6747" w:rsidRDefault="009E1843" w:rsidP="009E1843">
      <w:pPr>
        <w:jc w:val="both"/>
        <w:rPr>
          <w:rFonts w:ascii="Arial" w:eastAsia="Times New Roman" w:hAnsi="Arial" w:cs="Arial"/>
        </w:rPr>
      </w:pPr>
      <w:r w:rsidRPr="007C6747">
        <w:rPr>
          <w:rFonts w:ascii="Arial" w:eastAsia="Times New Roman" w:hAnsi="Arial" w:cs="Arial"/>
        </w:rPr>
        <w:t>2.For case study 2 (data collected by Kang et al), the authors only 29065 cells and 7661 genes. The original dataset contains far more than 7661 genes. Why did the authors choose only these genes? There should be filtering criteria provided by the authors.</w:t>
      </w:r>
    </w:p>
    <w:p w14:paraId="695D3018" w14:textId="77777777" w:rsidR="009E1843" w:rsidRPr="007C6747" w:rsidRDefault="009E1843" w:rsidP="009E1843">
      <w:pPr>
        <w:rPr>
          <w:rFonts w:ascii="Arial" w:eastAsia="Times New Roman" w:hAnsi="Arial" w:cs="Arial"/>
        </w:rPr>
      </w:pPr>
    </w:p>
    <w:p w14:paraId="370B01BB" w14:textId="77777777" w:rsidR="009E1843" w:rsidRDefault="009E1843" w:rsidP="009E1843">
      <w:pPr>
        <w:jc w:val="both"/>
        <w:rPr>
          <w:rFonts w:ascii="Arial" w:hAnsi="Arial" w:cs="Arial"/>
          <w:color w:val="77206D" w:themeColor="accent5" w:themeShade="BF"/>
        </w:rPr>
      </w:pPr>
      <w:r>
        <w:rPr>
          <w:rFonts w:ascii="Arial" w:eastAsia="Times New Roman" w:hAnsi="Arial" w:cs="Arial"/>
          <w:color w:val="77206D" w:themeColor="accent5" w:themeShade="BF"/>
        </w:rPr>
        <w:t xml:space="preserve">Thank you for the comments. </w:t>
      </w:r>
      <w:r w:rsidRPr="007C6747">
        <w:rPr>
          <w:rFonts w:ascii="Arial" w:eastAsia="Times New Roman" w:hAnsi="Arial" w:cs="Arial"/>
          <w:color w:val="77206D" w:themeColor="accent5" w:themeShade="BF"/>
        </w:rPr>
        <w:t>The criteria were mentioned in Methods and materials section</w:t>
      </w:r>
      <w:r>
        <w:rPr>
          <w:rFonts w:ascii="Arial" w:eastAsia="Times New Roman" w:hAnsi="Arial" w:cs="Arial"/>
          <w:color w:val="77206D" w:themeColor="accent5" w:themeShade="BF"/>
        </w:rPr>
        <w:t xml:space="preserve">. </w:t>
      </w:r>
      <w:r w:rsidRPr="007C6747">
        <w:rPr>
          <w:rFonts w:ascii="Arial" w:eastAsia="Times New Roman" w:hAnsi="Arial" w:cs="Arial"/>
          <w:color w:val="77206D" w:themeColor="accent5" w:themeShade="BF"/>
        </w:rPr>
        <w:t>“</w:t>
      </w:r>
      <w:r w:rsidRPr="007C6747">
        <w:rPr>
          <w:rFonts w:ascii="Arial" w:hAnsi="Arial" w:cs="Arial"/>
          <w:color w:val="77206D" w:themeColor="accent5" w:themeShade="BF"/>
        </w:rPr>
        <w:t>After removing undetected and low expression genes (less than 10 cells expressing more than 1), the dataset consisted of 29065 cells and 7661 genes.”</w:t>
      </w:r>
      <w:r>
        <w:rPr>
          <w:rFonts w:ascii="Arial" w:hAnsi="Arial" w:cs="Arial"/>
          <w:color w:val="77206D" w:themeColor="accent5" w:themeShade="BF"/>
        </w:rPr>
        <w:t xml:space="preserve"> In single-cell studies, r</w:t>
      </w:r>
      <w:r w:rsidRPr="00E8356B">
        <w:rPr>
          <w:rFonts w:ascii="Arial" w:hAnsi="Arial" w:cs="Arial"/>
          <w:color w:val="77206D" w:themeColor="accent5" w:themeShade="BF"/>
        </w:rPr>
        <w:t>emoving low expression genes is essential to reduce noise, improve data quality, and enhance computational efficiency. Genes expressed in very few cells are often influenced by technical variability and contribute little to biological insights. Filtering these genes helps focus on meaningful signals and prevents false positives in differential expression analysis.</w:t>
      </w:r>
      <w:r>
        <w:rPr>
          <w:rFonts w:ascii="Arial" w:hAnsi="Arial" w:cs="Arial"/>
          <w:color w:val="77206D" w:themeColor="accent5" w:themeShade="BF"/>
        </w:rPr>
        <w:t xml:space="preserve"> (</w:t>
      </w:r>
      <w:proofErr w:type="spellStart"/>
      <w:r>
        <w:rPr>
          <w:rFonts w:ascii="Arial" w:hAnsi="Arial" w:cs="Arial"/>
          <w:color w:val="77206D" w:themeColor="accent5" w:themeShade="BF"/>
        </w:rPr>
        <w:fldChar w:fldCharType="begin"/>
      </w:r>
      <w:r>
        <w:rPr>
          <w:rFonts w:ascii="Arial" w:hAnsi="Arial" w:cs="Arial"/>
          <w:color w:val="77206D" w:themeColor="accent5" w:themeShade="BF"/>
        </w:rPr>
        <w:instrText xml:space="preserve"> HYPERLINK "rhttps://academic.oup.com/bioinformatics/article/33/8/1179/2907823" </w:instrText>
      </w:r>
      <w:r>
        <w:rPr>
          <w:rFonts w:ascii="Arial" w:hAnsi="Arial" w:cs="Arial"/>
          <w:color w:val="77206D" w:themeColor="accent5" w:themeShade="BF"/>
        </w:rPr>
      </w:r>
      <w:r>
        <w:rPr>
          <w:rFonts w:ascii="Arial" w:hAnsi="Arial" w:cs="Arial"/>
          <w:color w:val="77206D" w:themeColor="accent5" w:themeShade="BF"/>
        </w:rPr>
        <w:fldChar w:fldCharType="separate"/>
      </w:r>
      <w:r w:rsidRPr="00E8356B">
        <w:rPr>
          <w:rStyle w:val="Hyperlink"/>
          <w:rFonts w:ascii="Arial" w:hAnsi="Arial" w:cs="Arial"/>
        </w:rPr>
        <w:t>Scater</w:t>
      </w:r>
      <w:proofErr w:type="spellEnd"/>
      <w:r w:rsidRPr="00E8356B">
        <w:rPr>
          <w:rStyle w:val="Hyperlink"/>
          <w:rFonts w:ascii="Arial" w:hAnsi="Arial" w:cs="Arial"/>
        </w:rPr>
        <w:t>: pre-processing, quality control, normalization and visualization of single-cell RNA-</w:t>
      </w:r>
      <w:proofErr w:type="spellStart"/>
      <w:r w:rsidRPr="00E8356B">
        <w:rPr>
          <w:rStyle w:val="Hyperlink"/>
          <w:rFonts w:ascii="Arial" w:hAnsi="Arial" w:cs="Arial"/>
        </w:rPr>
        <w:t>seq</w:t>
      </w:r>
      <w:proofErr w:type="spellEnd"/>
      <w:r w:rsidRPr="00E8356B">
        <w:rPr>
          <w:rStyle w:val="Hyperlink"/>
          <w:rFonts w:ascii="Arial" w:hAnsi="Arial" w:cs="Arial"/>
        </w:rPr>
        <w:t xml:space="preserve"> data in R</w:t>
      </w:r>
      <w:r>
        <w:rPr>
          <w:rFonts w:ascii="Arial" w:hAnsi="Arial" w:cs="Arial"/>
          <w:color w:val="77206D" w:themeColor="accent5" w:themeShade="BF"/>
        </w:rPr>
        <w:fldChar w:fldCharType="end"/>
      </w:r>
      <w:r>
        <w:rPr>
          <w:rFonts w:ascii="Arial" w:hAnsi="Arial" w:cs="Arial"/>
          <w:color w:val="77206D" w:themeColor="accent5" w:themeShade="BF"/>
        </w:rPr>
        <w:t>)</w:t>
      </w:r>
    </w:p>
    <w:p w14:paraId="3C4E23D2" w14:textId="77777777" w:rsidR="009E1843" w:rsidRPr="004F5F6E" w:rsidRDefault="009E1843" w:rsidP="009E1843">
      <w:pPr>
        <w:jc w:val="both"/>
        <w:rPr>
          <w:rFonts w:ascii="Arial" w:eastAsia="Times New Roman" w:hAnsi="Arial" w:cs="Arial"/>
          <w:color w:val="77206D" w:themeColor="accent5" w:themeShade="BF"/>
        </w:rPr>
      </w:pPr>
    </w:p>
    <w:p w14:paraId="1CC114AB" w14:textId="77777777" w:rsidR="009E1843" w:rsidRPr="0060204B" w:rsidRDefault="009E1843" w:rsidP="009E1843">
      <w:pPr>
        <w:jc w:val="both"/>
        <w:rPr>
          <w:rFonts w:ascii="Arial" w:eastAsia="Times New Roman" w:hAnsi="Arial" w:cs="Arial"/>
        </w:rPr>
      </w:pPr>
      <w:r w:rsidRPr="007C6747">
        <w:rPr>
          <w:rFonts w:ascii="Arial" w:eastAsia="Times New Roman" w:hAnsi="Arial" w:cs="Arial"/>
        </w:rPr>
        <w:t>3.Fig.4</w:t>
      </w:r>
      <w:proofErr w:type="gramStart"/>
      <w:r w:rsidRPr="007C6747">
        <w:rPr>
          <w:rFonts w:ascii="Arial" w:eastAsia="Times New Roman" w:hAnsi="Arial" w:cs="Arial"/>
        </w:rPr>
        <w:t>C,Fig.</w:t>
      </w:r>
      <w:proofErr w:type="gramEnd"/>
      <w:r w:rsidRPr="007C6747">
        <w:rPr>
          <w:rFonts w:ascii="Arial" w:eastAsia="Times New Roman" w:hAnsi="Arial" w:cs="Arial"/>
        </w:rPr>
        <w:t xml:space="preserve">5C and Fig.S7A reported the number of inputs and DEGs from different methods. Is it fair to compare different numbers of genes as inputs for each method? Only LEMUR outputs a higher number of differentially expressed genes. </w:t>
      </w:r>
      <w:r w:rsidRPr="0060204B">
        <w:rPr>
          <w:rFonts w:ascii="Arial" w:eastAsia="Times New Roman" w:hAnsi="Arial" w:cs="Arial"/>
        </w:rPr>
        <w:t>How can the possibility of false positives be ruled out</w:t>
      </w:r>
    </w:p>
    <w:p w14:paraId="3642B4BF" w14:textId="77777777" w:rsidR="009E1843" w:rsidRPr="007C6747" w:rsidRDefault="009E1843" w:rsidP="009E1843">
      <w:pPr>
        <w:rPr>
          <w:rFonts w:ascii="Arial" w:eastAsia="Times New Roman" w:hAnsi="Arial" w:cs="Arial"/>
        </w:rPr>
      </w:pPr>
    </w:p>
    <w:p w14:paraId="381CC7F2" w14:textId="77777777" w:rsidR="009E1843" w:rsidRPr="00E7026E" w:rsidRDefault="009E1843" w:rsidP="009E1843">
      <w:pPr>
        <w:jc w:val="both"/>
        <w:rPr>
          <w:rFonts w:ascii="Arial" w:eastAsia="Times New Roman" w:hAnsi="Arial" w:cs="Arial"/>
          <w:color w:val="77206D" w:themeColor="accent5" w:themeShade="BF"/>
        </w:rPr>
      </w:pPr>
      <w:r w:rsidRPr="00E7026E">
        <w:rPr>
          <w:rFonts w:ascii="Arial" w:eastAsia="Times New Roman" w:hAnsi="Arial" w:cs="Arial"/>
          <w:color w:val="77206D" w:themeColor="accent5" w:themeShade="BF"/>
        </w:rPr>
        <w:t xml:space="preserve">Thank you for the comments. The input genes refer to those that pass the filtering criteria specified by the DE methods and are subsequently fitted by their respective models. For the benchmarked methods, we utilized the built-in filtering criteria </w:t>
      </w:r>
      <w:r w:rsidRPr="00E7026E">
        <w:rPr>
          <w:rFonts w:ascii="Arial" w:eastAsia="Times New Roman" w:hAnsi="Arial" w:cs="Arial"/>
          <w:color w:val="77206D" w:themeColor="accent5" w:themeShade="BF"/>
        </w:rPr>
        <w:lastRenderedPageBreak/>
        <w:t>provided by their packages to reflect how these methods are typically applied in practice. Some packages, such as Seurat, apply logarithmic transformation on the average gene expression, which can result in a reduced number of input genes. As noted earlier, the latest version (v5) of Seurat relaxes the default filtering parameters in their DE function, leading to different results compared to its earlier versions.</w:t>
      </w:r>
    </w:p>
    <w:p w14:paraId="432F7079" w14:textId="77777777" w:rsidR="009E1843" w:rsidRPr="00E7026E" w:rsidRDefault="009E1843" w:rsidP="009E1843">
      <w:pPr>
        <w:rPr>
          <w:rFonts w:ascii="Arial" w:eastAsia="Times New Roman" w:hAnsi="Arial" w:cs="Arial"/>
          <w:color w:val="77206D" w:themeColor="accent5" w:themeShade="BF"/>
        </w:rPr>
      </w:pPr>
    </w:p>
    <w:p w14:paraId="0DFA9878" w14:textId="77777777" w:rsidR="009E1843" w:rsidRDefault="009E1843" w:rsidP="009E1843">
      <w:pPr>
        <w:spacing w:line="259" w:lineRule="auto"/>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For case studies 2 and 3 (S7b, S9a), other methods identified more DEGs than our methods but also produced many false positives. To address this, we proposed an improved approach to DEG criteria by combining log2 fold change and p-</w:t>
      </w:r>
      <w:proofErr w:type="gramStart"/>
      <w:r w:rsidRPr="27E1536C">
        <w:rPr>
          <w:rFonts w:ascii="Arial" w:eastAsia="Times New Roman" w:hAnsi="Arial" w:cs="Arial"/>
          <w:color w:val="77206D" w:themeColor="accent5" w:themeShade="BF"/>
        </w:rPr>
        <w:t>values, and</w:t>
      </w:r>
      <w:proofErr w:type="gramEnd"/>
      <w:r w:rsidRPr="27E1536C">
        <w:rPr>
          <w:rFonts w:ascii="Arial" w:eastAsia="Times New Roman" w:hAnsi="Arial" w:cs="Arial"/>
          <w:color w:val="77206D" w:themeColor="accent5" w:themeShade="BF"/>
        </w:rPr>
        <w:t xml:space="preserve"> incorporating the difference in gene expressions. Specifically, we mandated that the mean difference between two groups exceeds a set threshold, such as -1. With conventional criteria, numerous genes would be designated as DEGs when relying on ratio-defined fold change. Yet, as shown in the mean vs. mean difference plot, many genes that meet the p-value criteria showcase only modest changes in absolute means (Fig. S10a). This approach emphasizes genes with significant absolute differences, yielding more biologically pertinent results. We applied the additional criterion on several comparisons in case study 1, which lead to a substantial reduction in the number of identified DEGs and a clearer distinction between the compared groups (Fig. S10d). This adjustment aims to reduce potential false positives and improve the reliability of DE analysis. The updated results, highlighting the effectiveness of this approach, are presented in Fig. S10.</w:t>
      </w:r>
    </w:p>
    <w:p w14:paraId="28632838" w14:textId="77777777" w:rsidR="002274A5" w:rsidRPr="00DB7ECC" w:rsidRDefault="002274A5" w:rsidP="002274A5">
      <w:pPr>
        <w:jc w:val="center"/>
        <w:rPr>
          <w:rFonts w:ascii="Arial" w:hAnsi="Arial" w:cs="Arial"/>
        </w:rPr>
      </w:pPr>
      <w:r w:rsidRPr="00DB7ECC">
        <w:rPr>
          <w:rFonts w:ascii="Arial" w:hAnsi="Arial" w:cs="Arial"/>
          <w:b/>
          <w:color w:val="77206D" w:themeColor="accent5" w:themeShade="BF"/>
        </w:rPr>
        <w:t>S7b</w:t>
      </w:r>
      <w:r w:rsidRPr="00DB7ECC">
        <w:rPr>
          <w:rFonts w:ascii="Arial" w:hAnsi="Arial" w:cs="Arial"/>
        </w:rPr>
        <w:t xml:space="preserve"> </w:t>
      </w:r>
      <w:r w:rsidRPr="00DB7ECC">
        <w:rPr>
          <w:rFonts w:ascii="Arial" w:hAnsi="Arial" w:cs="Arial"/>
        </w:rPr>
        <w:fldChar w:fldCharType="begin"/>
      </w:r>
      <w:r w:rsidRPr="00DB7ECC">
        <w:rPr>
          <w:rFonts w:ascii="Arial" w:hAnsi="Arial" w:cs="Arial"/>
        </w:rPr>
        <w:instrText xml:space="preserve"> INCLUDEPICTURE "https://c-hw.github.io/DEanalysis/figure/Dors_Horn_Vent_Lat_White.Rmd/unnamed-chunk-12-1.png" \* MERGEFORMATINET </w:instrText>
      </w:r>
      <w:r w:rsidRPr="00DB7ECC">
        <w:rPr>
          <w:rFonts w:ascii="Arial" w:hAnsi="Arial" w:cs="Arial"/>
        </w:rPr>
        <w:fldChar w:fldCharType="separate"/>
      </w:r>
      <w:r w:rsidRPr="00DB7ECC">
        <w:rPr>
          <w:rFonts w:ascii="Arial" w:hAnsi="Arial" w:cs="Arial"/>
          <w:noProof/>
        </w:rPr>
        <w:drawing>
          <wp:inline distT="0" distB="0" distL="0" distR="0" wp14:anchorId="7F0AA4E9" wp14:editId="67D40057">
            <wp:extent cx="2562967" cy="1830770"/>
            <wp:effectExtent l="0" t="0" r="2540" b="0"/>
            <wp:docPr id="196" name="Picture 196" descr="https://c-hw.github.io/DEanalysis/figure/Dors_Horn_Vent_Lat_White.Rmd/unnamed-chunk-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https://c-hw.github.io/DEanalysis/figure/Dors_Horn_Vent_Lat_White.Rmd/unnamed-chunk-12-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99883" cy="1857139"/>
                    </a:xfrm>
                    <a:prstGeom prst="rect">
                      <a:avLst/>
                    </a:prstGeom>
                    <a:noFill/>
                    <a:ln>
                      <a:noFill/>
                    </a:ln>
                  </pic:spPr>
                </pic:pic>
              </a:graphicData>
            </a:graphic>
          </wp:inline>
        </w:drawing>
      </w:r>
      <w:r w:rsidRPr="00DB7ECC">
        <w:rPr>
          <w:rFonts w:ascii="Arial" w:hAnsi="Arial" w:cs="Arial"/>
        </w:rPr>
        <w:fldChar w:fldCharType="end"/>
      </w:r>
      <w:r w:rsidRPr="00DB7ECC">
        <w:rPr>
          <w:rFonts w:ascii="Arial" w:hAnsi="Arial" w:cs="Arial"/>
        </w:rPr>
        <w:t xml:space="preserve">   </w:t>
      </w:r>
      <w:r w:rsidRPr="00DB7ECC">
        <w:rPr>
          <w:rFonts w:ascii="Arial" w:hAnsi="Arial" w:cs="Arial"/>
          <w:b/>
          <w:color w:val="77206D" w:themeColor="accent5" w:themeShade="BF"/>
        </w:rPr>
        <w:t>S9a</w:t>
      </w:r>
      <w:r w:rsidRPr="00DB7ECC">
        <w:rPr>
          <w:rFonts w:ascii="Arial" w:hAnsi="Arial" w:cs="Arial"/>
        </w:rPr>
        <w:fldChar w:fldCharType="begin"/>
      </w:r>
      <w:r w:rsidRPr="00DB7ECC">
        <w:rPr>
          <w:rFonts w:ascii="Arial" w:hAnsi="Arial" w:cs="Arial"/>
        </w:rPr>
        <w:instrText xml:space="preserve"> INCLUDEPICTURE "https://c-hw.github.io/DEanalysis/figure/Bcells.Rmd/unnamed-chunk-12-1.png" \* MERGEFORMATINET </w:instrText>
      </w:r>
      <w:r w:rsidRPr="00DB7ECC">
        <w:rPr>
          <w:rFonts w:ascii="Arial" w:hAnsi="Arial" w:cs="Arial"/>
        </w:rPr>
        <w:fldChar w:fldCharType="separate"/>
      </w:r>
      <w:r w:rsidRPr="00DB7ECC">
        <w:rPr>
          <w:rFonts w:ascii="Arial" w:hAnsi="Arial" w:cs="Arial"/>
          <w:noProof/>
        </w:rPr>
        <w:drawing>
          <wp:inline distT="0" distB="0" distL="0" distR="0" wp14:anchorId="0F8C337A" wp14:editId="6B84FC68">
            <wp:extent cx="2611582" cy="1865496"/>
            <wp:effectExtent l="0" t="0" r="5080" b="1905"/>
            <wp:docPr id="65" name="Picture 65" descr="https://c-hw.github.io/DEanalysis/figure/Bcells.Rmd/unnamed-chunk-1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hw.github.io/DEanalysis/figure/Bcells.Rmd/unnamed-chunk-12-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35887" cy="1882858"/>
                    </a:xfrm>
                    <a:prstGeom prst="rect">
                      <a:avLst/>
                    </a:prstGeom>
                    <a:noFill/>
                    <a:ln>
                      <a:noFill/>
                    </a:ln>
                  </pic:spPr>
                </pic:pic>
              </a:graphicData>
            </a:graphic>
          </wp:inline>
        </w:drawing>
      </w:r>
      <w:r w:rsidRPr="00DB7ECC">
        <w:rPr>
          <w:rFonts w:ascii="Arial" w:hAnsi="Arial" w:cs="Arial"/>
        </w:rPr>
        <w:fldChar w:fldCharType="end"/>
      </w:r>
    </w:p>
    <w:p w14:paraId="63B5E7A4" w14:textId="77777777" w:rsidR="002274A5" w:rsidRPr="00DB7ECC" w:rsidRDefault="002274A5" w:rsidP="002274A5">
      <w:pPr>
        <w:jc w:val="center"/>
        <w:rPr>
          <w:rFonts w:ascii="Arial" w:hAnsi="Arial" w:cs="Arial"/>
          <w:color w:val="77206D" w:themeColor="accent5" w:themeShade="BF"/>
          <w:sz w:val="36"/>
        </w:rPr>
      </w:pPr>
      <w:r w:rsidRPr="00DB7ECC">
        <w:rPr>
          <w:rFonts w:ascii="Arial" w:hAnsi="Arial" w:cs="Arial"/>
          <w:b/>
          <w:color w:val="77206D" w:themeColor="accent5" w:themeShade="BF"/>
        </w:rPr>
        <w:t>S10a</w:t>
      </w:r>
      <w:r w:rsidRPr="00DB7ECC">
        <w:rPr>
          <w:rFonts w:ascii="Arial" w:hAnsi="Arial" w:cs="Arial"/>
          <w:color w:val="77206D" w:themeColor="accent5" w:themeShade="BF"/>
        </w:rPr>
        <w:t xml:space="preserve"> Left: Volcano plot for current criteria. Right: Gene </w:t>
      </w:r>
      <w:proofErr w:type="gramStart"/>
      <w:r w:rsidRPr="00DB7ECC">
        <w:rPr>
          <w:rFonts w:ascii="Arial" w:hAnsi="Arial" w:cs="Arial"/>
          <w:color w:val="77206D" w:themeColor="accent5" w:themeShade="BF"/>
        </w:rPr>
        <w:t>mean</w:t>
      </w:r>
      <w:proofErr w:type="gramEnd"/>
      <w:r w:rsidRPr="00DB7ECC">
        <w:rPr>
          <w:rFonts w:ascii="Arial" w:hAnsi="Arial" w:cs="Arial"/>
          <w:color w:val="77206D" w:themeColor="accent5" w:themeShade="BF"/>
        </w:rPr>
        <w:t xml:space="preserve"> vs. mean difference plot. </w:t>
      </w:r>
    </w:p>
    <w:p w14:paraId="3643E553" w14:textId="5A254901" w:rsidR="009E1843" w:rsidRDefault="002274A5" w:rsidP="00BE1069">
      <w:pPr>
        <w:spacing w:after="0" w:line="240" w:lineRule="auto"/>
        <w:rPr>
          <w:rFonts w:ascii="Arial" w:hAnsi="Arial" w:cs="Arial"/>
        </w:rPr>
      </w:pPr>
      <w:r w:rsidRPr="00DB7ECC">
        <w:rPr>
          <w:rFonts w:ascii="Arial" w:hAnsi="Arial" w:cs="Arial"/>
        </w:rPr>
        <w:lastRenderedPageBreak/>
        <w:fldChar w:fldCharType="begin"/>
      </w:r>
      <w:r w:rsidRPr="00DB7ECC">
        <w:rPr>
          <w:rFonts w:ascii="Arial" w:hAnsi="Arial" w:cs="Arial"/>
        </w:rPr>
        <w:instrText xml:space="preserve"> INCLUDEPICTURE "https://c-hw.github.io/DEanalysis/figure/new_criteria.Rmd/unnamed-chunk-3-1.png" \* MERGEFORMATINET </w:instrText>
      </w:r>
      <w:r w:rsidRPr="00DB7ECC">
        <w:rPr>
          <w:rFonts w:ascii="Arial" w:hAnsi="Arial" w:cs="Arial"/>
        </w:rPr>
        <w:fldChar w:fldCharType="separate"/>
      </w:r>
      <w:r w:rsidRPr="00DB7ECC">
        <w:rPr>
          <w:rFonts w:ascii="Arial" w:hAnsi="Arial" w:cs="Arial"/>
          <w:noProof/>
        </w:rPr>
        <w:drawing>
          <wp:inline distT="0" distB="0" distL="0" distR="0" wp14:anchorId="55DAFE91" wp14:editId="3D6F2255">
            <wp:extent cx="1737360" cy="1737360"/>
            <wp:effectExtent l="0" t="0" r="2540" b="2540"/>
            <wp:docPr id="75" name="Picture 75" descr="https://c-hw.github.io/DEanalysis/figure/new_criteria.Rmd/unnamed-chunk-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c-hw.github.io/DEanalysis/figure/new_criteria.Rmd/unnamed-chunk-3-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r w:rsidRPr="00DB7ECC">
        <w:rPr>
          <w:rFonts w:ascii="Arial" w:hAnsi="Arial" w:cs="Arial"/>
        </w:rPr>
        <w:fldChar w:fldCharType="end"/>
      </w:r>
      <w:r>
        <w:rPr>
          <w:noProof/>
        </w:rPr>
        <w:drawing>
          <wp:inline distT="0" distB="0" distL="0" distR="0" wp14:anchorId="636E95FC" wp14:editId="7178AC19">
            <wp:extent cx="1737360" cy="1737360"/>
            <wp:effectExtent l="0" t="0" r="2540" b="2540"/>
            <wp:docPr id="76" name="Picture 76" descr="https://c-hw.github.io/DEanalysis/figure/new_criteria.Rmd/unnamed-chunk-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c-hw.github.io/DEanalysis/figure/new_criteria.Rmd/unnamed-chunk-4-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p w14:paraId="34E750A1" w14:textId="77777777" w:rsidR="002274A5" w:rsidRDefault="002274A5" w:rsidP="002274A5">
      <w:pPr>
        <w:jc w:val="center"/>
      </w:pPr>
      <w:r>
        <w:rPr>
          <w:rFonts w:ascii="Arial" w:hAnsi="Arial" w:cs="Arial"/>
          <w:b/>
          <w:color w:val="77206D" w:themeColor="accent5" w:themeShade="BF"/>
        </w:rPr>
        <w:t>S10c</w:t>
      </w:r>
      <w:r w:rsidRPr="00DB7ECC">
        <w:rPr>
          <w:rFonts w:ascii="Arial" w:hAnsi="Arial" w:cs="Arial"/>
          <w:b/>
          <w:color w:val="77206D" w:themeColor="accent5" w:themeShade="BF"/>
        </w:rPr>
        <w:t xml:space="preserve"> </w:t>
      </w:r>
      <w:r w:rsidRPr="00DB7ECC">
        <w:rPr>
          <w:rFonts w:ascii="Arial" w:hAnsi="Arial" w:cs="Arial"/>
          <w:color w:val="77206D" w:themeColor="accent5" w:themeShade="BF"/>
        </w:rPr>
        <w:t xml:space="preserve">Left: Volcano plot for new criteria. Right: Gene </w:t>
      </w:r>
      <w:proofErr w:type="gramStart"/>
      <w:r w:rsidRPr="00DB7ECC">
        <w:rPr>
          <w:rFonts w:ascii="Arial" w:hAnsi="Arial" w:cs="Arial"/>
          <w:color w:val="77206D" w:themeColor="accent5" w:themeShade="BF"/>
        </w:rPr>
        <w:t>mean</w:t>
      </w:r>
      <w:proofErr w:type="gramEnd"/>
      <w:r w:rsidRPr="00DB7ECC">
        <w:rPr>
          <w:rFonts w:ascii="Arial" w:hAnsi="Arial" w:cs="Arial"/>
          <w:color w:val="77206D" w:themeColor="accent5" w:themeShade="BF"/>
        </w:rPr>
        <w:t xml:space="preserve"> vs. mean difference plot. The DEGs selected by new criteria are annotated.</w:t>
      </w:r>
    </w:p>
    <w:p w14:paraId="420AD702" w14:textId="14FD94AA" w:rsidR="002274A5" w:rsidRDefault="002274A5" w:rsidP="00BE1069">
      <w:pPr>
        <w:spacing w:after="0" w:line="240" w:lineRule="auto"/>
      </w:pPr>
      <w:r>
        <w:rPr>
          <w:noProof/>
        </w:rPr>
        <w:drawing>
          <wp:inline distT="0" distB="0" distL="0" distR="0" wp14:anchorId="74B88455" wp14:editId="0AE44005">
            <wp:extent cx="1737360" cy="1737360"/>
            <wp:effectExtent l="0" t="0" r="2540" b="2540"/>
            <wp:docPr id="82" name="Picture 82" descr="https://c-hw.github.io/DEanalysis/figure/new_criteria.Rmd/unnamed-chunk-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c-hw.github.io/DEanalysis/figure/new_criteria.Rmd/unnamed-chunk-7-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r>
        <w:rPr>
          <w:noProof/>
        </w:rPr>
        <w:drawing>
          <wp:inline distT="0" distB="0" distL="0" distR="0" wp14:anchorId="5F3CF281" wp14:editId="2A07DE34">
            <wp:extent cx="1737360" cy="1737360"/>
            <wp:effectExtent l="0" t="0" r="2540" b="2540"/>
            <wp:docPr id="83" name="Picture 83" descr="https://c-hw.github.io/DEanalysis/figure/new_criteria.Rmd/unnamed-chunk-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c-hw.github.io/DEanalysis/figure/new_criteria.Rmd/unnamed-chunk-8-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p w14:paraId="2DE5398B" w14:textId="77777777" w:rsidR="002274A5" w:rsidRPr="00DB7ECC" w:rsidRDefault="002274A5" w:rsidP="002274A5">
      <w:pPr>
        <w:jc w:val="center"/>
        <w:rPr>
          <w:rFonts w:ascii="Arial" w:hAnsi="Arial" w:cs="Arial"/>
          <w:color w:val="77206D" w:themeColor="accent5" w:themeShade="BF"/>
        </w:rPr>
      </w:pPr>
      <w:r w:rsidRPr="00DB7ECC">
        <w:rPr>
          <w:rFonts w:ascii="Arial" w:hAnsi="Arial" w:cs="Arial"/>
          <w:b/>
          <w:color w:val="77206D" w:themeColor="accent5" w:themeShade="BF"/>
        </w:rPr>
        <w:t>S10d</w:t>
      </w:r>
      <w:r w:rsidRPr="00DB7ECC">
        <w:rPr>
          <w:rFonts w:ascii="Arial" w:hAnsi="Arial" w:cs="Arial"/>
          <w:color w:val="77206D" w:themeColor="accent5" w:themeShade="BF"/>
        </w:rPr>
        <w:t xml:space="preserve"> The heatmaps of DEGs for conventional criteria (left) and new criteria (right).</w:t>
      </w:r>
    </w:p>
    <w:p w14:paraId="488EEB49" w14:textId="6D934BD5" w:rsidR="002274A5" w:rsidRDefault="002274A5" w:rsidP="00BE1069">
      <w:pPr>
        <w:spacing w:after="0" w:line="240" w:lineRule="auto"/>
      </w:pPr>
      <w:r w:rsidRPr="004A30AB">
        <w:rPr>
          <w:noProof/>
        </w:rPr>
        <w:lastRenderedPageBreak/>
        <w:drawing>
          <wp:inline distT="0" distB="0" distL="0" distR="0" wp14:anchorId="46D11766" wp14:editId="5A2A7643">
            <wp:extent cx="4634101" cy="8041871"/>
            <wp:effectExtent l="0" t="0" r="1905" b="0"/>
            <wp:docPr id="93" name="Picture 93" descr="https://c-hw.github.io/DEanalysis/figure/new_criteria.Rmd/unnamed-chunk-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hw.github.io/DEanalysis/figure/new_criteria.Rmd/unnamed-chunk-10-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43417" cy="8058038"/>
                    </a:xfrm>
                    <a:prstGeom prst="rect">
                      <a:avLst/>
                    </a:prstGeom>
                    <a:noFill/>
                    <a:ln>
                      <a:noFill/>
                    </a:ln>
                  </pic:spPr>
                </pic:pic>
              </a:graphicData>
            </a:graphic>
          </wp:inline>
        </w:drawing>
      </w:r>
    </w:p>
    <w:p w14:paraId="7DCCD74D" w14:textId="77777777" w:rsidR="002274A5" w:rsidRDefault="002274A5" w:rsidP="00BE1069">
      <w:pPr>
        <w:spacing w:after="0" w:line="240" w:lineRule="auto"/>
      </w:pPr>
    </w:p>
    <w:p w14:paraId="49C2AF2F" w14:textId="77777777" w:rsidR="002274A5" w:rsidRPr="007C6747" w:rsidRDefault="002274A5" w:rsidP="002274A5">
      <w:pPr>
        <w:rPr>
          <w:rFonts w:ascii="Arial" w:eastAsia="Times New Roman" w:hAnsi="Arial" w:cs="Arial"/>
        </w:rPr>
      </w:pPr>
      <w:r w:rsidRPr="007C6747">
        <w:rPr>
          <w:rFonts w:ascii="Arial" w:eastAsia="Times New Roman" w:hAnsi="Arial" w:cs="Arial"/>
        </w:rPr>
        <w:t>4.For the section of Variation analysis, the authors conducted a variation analysis across multiple group comparisons and employed linear models for each gene. </w:t>
      </w:r>
      <w:r w:rsidRPr="007C6747">
        <w:rPr>
          <w:rFonts w:ascii="Arial" w:eastAsia="Times New Roman" w:hAnsi="Arial" w:cs="Arial"/>
        </w:rPr>
        <w:br/>
        <w:t>a)</w:t>
      </w:r>
      <w:r>
        <w:rPr>
          <w:rFonts w:ascii="Arial" w:eastAsia="Times New Roman" w:hAnsi="Arial" w:cs="Arial"/>
        </w:rPr>
        <w:t xml:space="preserve"> </w:t>
      </w:r>
      <w:r w:rsidRPr="007C6747">
        <w:rPr>
          <w:rFonts w:ascii="Arial" w:eastAsia="Times New Roman" w:hAnsi="Arial" w:cs="Arial"/>
        </w:rPr>
        <w:t>How to explain the variances attributed to the donor and group?</w:t>
      </w:r>
      <w:r w:rsidRPr="007C6747">
        <w:rPr>
          <w:rFonts w:ascii="Arial" w:eastAsia="Times New Roman" w:hAnsi="Arial" w:cs="Arial"/>
        </w:rPr>
        <w:br/>
      </w:r>
      <w:r w:rsidRPr="007C6747">
        <w:rPr>
          <w:rFonts w:ascii="Arial" w:eastAsia="Times New Roman" w:hAnsi="Arial" w:cs="Arial"/>
        </w:rPr>
        <w:lastRenderedPageBreak/>
        <w:t>b)</w:t>
      </w:r>
      <w:r>
        <w:rPr>
          <w:rFonts w:ascii="Arial" w:eastAsia="Times New Roman" w:hAnsi="Arial" w:cs="Arial"/>
        </w:rPr>
        <w:t xml:space="preserve"> </w:t>
      </w:r>
      <w:r w:rsidRPr="007C6747">
        <w:rPr>
          <w:rFonts w:ascii="Arial" w:eastAsia="Times New Roman" w:hAnsi="Arial" w:cs="Arial"/>
        </w:rPr>
        <w:t>For the integrated log-normalized, which contains many negative values, why did the authors use truncated values (with a cut-off at 0) instead of the original values?</w:t>
      </w:r>
    </w:p>
    <w:p w14:paraId="4CC770B9" w14:textId="77777777" w:rsidR="002274A5" w:rsidRPr="007C6747" w:rsidRDefault="002274A5" w:rsidP="002274A5">
      <w:pPr>
        <w:rPr>
          <w:rFonts w:ascii="Arial" w:eastAsia="Times New Roman" w:hAnsi="Arial" w:cs="Arial"/>
        </w:rPr>
      </w:pPr>
    </w:p>
    <w:p w14:paraId="1A3C3590" w14:textId="77777777" w:rsidR="002274A5" w:rsidRDefault="002274A5" w:rsidP="002274A5">
      <w:pPr>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Thank you for the comments. Each point is explained in detail</w:t>
      </w:r>
      <w:r>
        <w:rPr>
          <w:rFonts w:ascii="Arial" w:eastAsia="Times New Roman" w:hAnsi="Arial" w:cs="Arial"/>
          <w:color w:val="77206D" w:themeColor="accent5" w:themeShade="BF"/>
        </w:rPr>
        <w:t xml:space="preserve"> </w:t>
      </w:r>
      <w:r w:rsidRPr="27E1536C">
        <w:rPr>
          <w:rFonts w:ascii="Arial" w:eastAsia="Times New Roman" w:hAnsi="Arial" w:cs="Arial"/>
          <w:color w:val="77206D" w:themeColor="accent5" w:themeShade="BF"/>
        </w:rPr>
        <w:t>below.</w:t>
      </w:r>
    </w:p>
    <w:p w14:paraId="12DF8C50" w14:textId="77777777" w:rsidR="002274A5" w:rsidRDefault="002274A5" w:rsidP="002274A5">
      <w:pPr>
        <w:rPr>
          <w:rFonts w:ascii="Arial" w:eastAsia="Times New Roman" w:hAnsi="Arial" w:cs="Arial"/>
          <w:color w:val="77206D" w:themeColor="accent5" w:themeShade="BF"/>
        </w:rPr>
      </w:pPr>
    </w:p>
    <w:p w14:paraId="251698FA" w14:textId="77777777" w:rsidR="002274A5" w:rsidRPr="00E3366A" w:rsidRDefault="002274A5" w:rsidP="002274A5">
      <w:pPr>
        <w:jc w:val="both"/>
        <w:rPr>
          <w:rFonts w:ascii="Arial" w:eastAsia="Times New Roman" w:hAnsi="Arial" w:cs="Arial"/>
          <w:color w:val="77206D" w:themeColor="accent5" w:themeShade="BF"/>
        </w:rPr>
      </w:pPr>
      <w:r w:rsidRPr="00E3366A">
        <w:rPr>
          <w:rFonts w:ascii="Arial" w:eastAsia="Times New Roman" w:hAnsi="Arial" w:cs="Arial"/>
          <w:color w:val="77206D" w:themeColor="accent5" w:themeShade="BF"/>
        </w:rPr>
        <w:t>a) The variation analysis quantifies how much of the total variability in gene expression counts can be attributed to differences between donors and cell types. In DE analysis, the primary goal is to identify genes associated with variations in cell types. Pre-processing steps should not diminish the variation in cell types, as doing so could obscure the differences that the analysis aims to detect.</w:t>
      </w:r>
    </w:p>
    <w:p w14:paraId="6EF78656" w14:textId="77777777" w:rsidR="002274A5" w:rsidRPr="00E3366A" w:rsidRDefault="002274A5" w:rsidP="002274A5">
      <w:pPr>
        <w:rPr>
          <w:rFonts w:ascii="Arial" w:eastAsia="Times New Roman" w:hAnsi="Arial" w:cs="Arial"/>
          <w:color w:val="77206D" w:themeColor="accent5" w:themeShade="BF"/>
        </w:rPr>
      </w:pPr>
    </w:p>
    <w:p w14:paraId="28E97114" w14:textId="77777777" w:rsidR="002274A5" w:rsidRPr="00E3366A" w:rsidRDefault="002274A5" w:rsidP="002274A5">
      <w:pPr>
        <w:jc w:val="both"/>
        <w:rPr>
          <w:rFonts w:ascii="Arial" w:eastAsia="Times New Roman" w:hAnsi="Arial" w:cs="Arial"/>
          <w:color w:val="77206D" w:themeColor="accent5" w:themeShade="BF"/>
        </w:rPr>
      </w:pPr>
      <w:r w:rsidRPr="00E3366A">
        <w:rPr>
          <w:rFonts w:ascii="Arial" w:eastAsia="Times New Roman" w:hAnsi="Arial" w:cs="Arial"/>
          <w:color w:val="77206D" w:themeColor="accent5" w:themeShade="BF"/>
        </w:rPr>
        <w:t>In current practice, the integration procedure is intended to remove batch effects and produce processed counts for DE analysis. However, our analysis demonstrates that this procedure not only reduces donor variation but also diminishes variation attributable to cell types. This supports our argument that the current pipeline is suboptimal for DE analysis, as it may introduce cumulative bias, compromising the detection of true differences between cell types.</w:t>
      </w:r>
    </w:p>
    <w:p w14:paraId="1EA3CC08" w14:textId="77777777" w:rsidR="002274A5" w:rsidRPr="00E3366A" w:rsidRDefault="002274A5" w:rsidP="002274A5">
      <w:pPr>
        <w:rPr>
          <w:rFonts w:ascii="Arial" w:eastAsia="Times New Roman" w:hAnsi="Arial" w:cs="Arial"/>
          <w:color w:val="77206D" w:themeColor="accent5" w:themeShade="BF"/>
        </w:rPr>
      </w:pPr>
    </w:p>
    <w:p w14:paraId="0CD7187D" w14:textId="77777777" w:rsidR="002274A5" w:rsidRPr="007C6747" w:rsidRDefault="002274A5" w:rsidP="002274A5">
      <w:pPr>
        <w:jc w:val="both"/>
        <w:rPr>
          <w:rFonts w:ascii="Arial" w:eastAsia="Times New Roman" w:hAnsi="Arial" w:cs="Arial"/>
          <w:color w:val="77206D" w:themeColor="accent5" w:themeShade="BF"/>
        </w:rPr>
      </w:pPr>
      <w:r w:rsidRPr="007C6747">
        <w:rPr>
          <w:rFonts w:ascii="Arial" w:eastAsia="Times New Roman" w:hAnsi="Arial" w:cs="Arial"/>
          <w:color w:val="77206D" w:themeColor="accent5" w:themeShade="BF"/>
        </w:rPr>
        <w:t xml:space="preserve">b) </w:t>
      </w:r>
      <w:r>
        <w:rPr>
          <w:rFonts w:ascii="Arial" w:eastAsia="Times New Roman" w:hAnsi="Arial" w:cs="Arial"/>
          <w:color w:val="77206D" w:themeColor="accent5" w:themeShade="BF"/>
        </w:rPr>
        <w:t xml:space="preserve">Thank you for pointing out the inconsistency. </w:t>
      </w:r>
      <w:r w:rsidRPr="007C6747">
        <w:rPr>
          <w:rFonts w:ascii="Arial" w:eastAsia="Times New Roman" w:hAnsi="Arial" w:cs="Arial"/>
          <w:color w:val="77206D" w:themeColor="accent5" w:themeShade="BF"/>
        </w:rPr>
        <w:t>The source code has been updated. We used original values instead of truncated values.</w:t>
      </w:r>
      <w:r>
        <w:rPr>
          <w:rFonts w:ascii="Arial" w:eastAsia="Times New Roman" w:hAnsi="Arial" w:cs="Arial"/>
          <w:color w:val="77206D" w:themeColor="accent5" w:themeShade="BF"/>
        </w:rPr>
        <w:t xml:space="preserve"> The results don’t change a lot, and our conclusion still holds.</w:t>
      </w:r>
    </w:p>
    <w:p w14:paraId="32D33520" w14:textId="77777777" w:rsidR="002274A5" w:rsidRPr="007C6747" w:rsidRDefault="002274A5" w:rsidP="002274A5">
      <w:pPr>
        <w:rPr>
          <w:rFonts w:ascii="Arial" w:eastAsia="Times New Roman" w:hAnsi="Arial" w:cs="Arial"/>
        </w:rPr>
      </w:pPr>
      <w:r w:rsidRPr="007C6747">
        <w:rPr>
          <w:rFonts w:ascii="Arial" w:eastAsia="Times New Roman" w:hAnsi="Arial" w:cs="Arial"/>
        </w:rPr>
        <w:br/>
      </w:r>
    </w:p>
    <w:p w14:paraId="6BA9CB90" w14:textId="77777777" w:rsidR="002274A5" w:rsidRPr="007C6747" w:rsidRDefault="002274A5" w:rsidP="002274A5">
      <w:pPr>
        <w:rPr>
          <w:rFonts w:ascii="Arial" w:eastAsia="Times New Roman" w:hAnsi="Arial" w:cs="Arial"/>
        </w:rPr>
      </w:pPr>
      <w:r w:rsidRPr="007C6747">
        <w:rPr>
          <w:rFonts w:ascii="Arial" w:eastAsia="Times New Roman" w:hAnsi="Arial" w:cs="Arial"/>
        </w:rPr>
        <w:t>5.What is the difference in the LEMUR model with or without adding an offset? The authors should provide a comparison of the results.</w:t>
      </w:r>
    </w:p>
    <w:p w14:paraId="6BF34354" w14:textId="77777777" w:rsidR="002274A5" w:rsidRPr="007C6747" w:rsidRDefault="002274A5" w:rsidP="002274A5">
      <w:pPr>
        <w:rPr>
          <w:rFonts w:ascii="Arial" w:eastAsia="Times New Roman" w:hAnsi="Arial" w:cs="Arial"/>
        </w:rPr>
      </w:pPr>
    </w:p>
    <w:p w14:paraId="6E6ADCA2" w14:textId="77777777" w:rsidR="002274A5" w:rsidRDefault="002274A5" w:rsidP="002274A5">
      <w:pPr>
        <w:jc w:val="both"/>
        <w:rPr>
          <w:rFonts w:ascii="Arial" w:eastAsia="Times New Roman" w:hAnsi="Arial" w:cs="Arial"/>
          <w:color w:val="77206D" w:themeColor="accent5" w:themeShade="BF"/>
        </w:rPr>
      </w:pPr>
      <w:r>
        <w:rPr>
          <w:rFonts w:ascii="Arial" w:eastAsia="Times New Roman" w:hAnsi="Arial" w:cs="Arial"/>
          <w:color w:val="77206D" w:themeColor="accent5" w:themeShade="BF"/>
        </w:rPr>
        <w:t>Thank you for the suggestion</w:t>
      </w:r>
      <w:r>
        <w:rPr>
          <w:rFonts w:ascii="Arial" w:eastAsia="Times New Roman" w:hAnsi="Arial" w:cs="Arial" w:hint="eastAsia"/>
          <w:color w:val="77206D" w:themeColor="accent5" w:themeShade="BF"/>
        </w:rPr>
        <w:t>.</w:t>
      </w:r>
      <w:r>
        <w:rPr>
          <w:rFonts w:ascii="Arial" w:eastAsia="Times New Roman" w:hAnsi="Arial" w:cs="Arial"/>
          <w:color w:val="77206D" w:themeColor="accent5" w:themeShade="BF"/>
        </w:rPr>
        <w:t xml:space="preserve"> We have added the comparison for with and without adding an offset in the manuscript. The results show the impact of normalization and were attached below and added in “</w:t>
      </w:r>
      <w:r w:rsidRPr="007B79E0">
        <w:rPr>
          <w:rFonts w:ascii="Arial" w:eastAsia="Times New Roman" w:hAnsi="Arial" w:cs="Arial"/>
          <w:i/>
          <w:color w:val="77206D" w:themeColor="accent5" w:themeShade="BF"/>
        </w:rPr>
        <w:t>Poisson-</w:t>
      </w:r>
      <w:proofErr w:type="spellStart"/>
      <w:r w:rsidRPr="007B79E0">
        <w:rPr>
          <w:rFonts w:ascii="Arial" w:eastAsia="Times New Roman" w:hAnsi="Arial" w:cs="Arial"/>
          <w:i/>
          <w:color w:val="77206D" w:themeColor="accent5" w:themeShade="BF"/>
        </w:rPr>
        <w:t>glmm</w:t>
      </w:r>
      <w:proofErr w:type="spellEnd"/>
      <w:r w:rsidRPr="007B79E0">
        <w:rPr>
          <w:rFonts w:ascii="Arial" w:eastAsia="Times New Roman" w:hAnsi="Arial" w:cs="Arial"/>
          <w:i/>
          <w:color w:val="77206D" w:themeColor="accent5" w:themeShade="BF"/>
        </w:rPr>
        <w:t xml:space="preserve"> with and without library-size factor</w:t>
      </w:r>
      <w:r>
        <w:rPr>
          <w:rFonts w:ascii="Arial" w:eastAsia="Times New Roman" w:hAnsi="Arial" w:cs="Arial"/>
          <w:i/>
          <w:color w:val="77206D" w:themeColor="accent5" w:themeShade="BF"/>
        </w:rPr>
        <w:t>”</w:t>
      </w:r>
      <w:r>
        <w:rPr>
          <w:rFonts w:ascii="Arial" w:eastAsia="Times New Roman" w:hAnsi="Arial" w:cs="Arial"/>
          <w:color w:val="77206D" w:themeColor="accent5" w:themeShade="BF"/>
        </w:rPr>
        <w:t xml:space="preserve">. </w:t>
      </w:r>
    </w:p>
    <w:p w14:paraId="149F1B14" w14:textId="77777777" w:rsidR="002274A5" w:rsidRDefault="002274A5" w:rsidP="002274A5">
      <w:pPr>
        <w:rPr>
          <w:rFonts w:ascii="Arial" w:eastAsia="Times New Roman" w:hAnsi="Arial" w:cs="Arial"/>
          <w:color w:val="77206D" w:themeColor="accent5" w:themeShade="BF"/>
        </w:rPr>
      </w:pPr>
    </w:p>
    <w:p w14:paraId="36DE9B38" w14:textId="77777777" w:rsidR="002274A5" w:rsidRPr="004223C7"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In Muscat's mixed models, library-size factors are included as offsets to perform normalization. However, as discussed previously, this normalization can distort DE results. To evaluate its impact, we compared Poisson-</w:t>
      </w:r>
      <w:proofErr w:type="spellStart"/>
      <w:r w:rsidRPr="27E1536C">
        <w:rPr>
          <w:rFonts w:ascii="Arial" w:eastAsia="Times New Roman" w:hAnsi="Arial" w:cs="Arial"/>
          <w:color w:val="77206D" w:themeColor="accent5" w:themeShade="BF"/>
        </w:rPr>
        <w:t>glmm</w:t>
      </w:r>
      <w:proofErr w:type="spellEnd"/>
      <w:r w:rsidRPr="27E1536C">
        <w:rPr>
          <w:rFonts w:ascii="Arial" w:eastAsia="Times New Roman" w:hAnsi="Arial" w:cs="Arial"/>
          <w:color w:val="77206D" w:themeColor="accent5" w:themeShade="BF"/>
        </w:rPr>
        <w:t xml:space="preserve"> results with and without the library-size factor across previous case studies. The fold-change estimates shifted by approximately the same magnitude as the average library size factor ratio between groups (Fig. 7c). Scatter plots for p-value comparisons reveal a significant discrepancy </w:t>
      </w:r>
      <w:r w:rsidRPr="27E1536C">
        <w:rPr>
          <w:rFonts w:ascii="Arial" w:eastAsia="Times New Roman" w:hAnsi="Arial" w:cs="Arial"/>
          <w:color w:val="77206D" w:themeColor="accent5" w:themeShade="BF"/>
        </w:rPr>
        <w:lastRenderedPageBreak/>
        <w:t xml:space="preserve">between models, as most p-values diverge sharply from the diagonal line, indicating opposite significance outcomes between the two models (Fig. 7d). From this analysis, we conclude that including library-size normalization in DE analysis can lead to biased results. The decision to use library-size normalization should be carefully considered based on the specific study design and objectives. </w:t>
      </w:r>
    </w:p>
    <w:p w14:paraId="14F57BBA" w14:textId="77777777" w:rsidR="002274A5" w:rsidRPr="004223C7" w:rsidRDefault="002274A5" w:rsidP="002274A5">
      <w:pPr>
        <w:jc w:val="both"/>
        <w:rPr>
          <w:rFonts w:ascii="Arial" w:eastAsia="Times New Roman" w:hAnsi="Arial" w:cs="Arial"/>
          <w:color w:val="77206D" w:themeColor="accent5" w:themeShade="BF"/>
        </w:rPr>
      </w:pPr>
    </w:p>
    <w:p w14:paraId="00AB615C" w14:textId="40E2F166" w:rsidR="002274A5" w:rsidRDefault="002274A5" w:rsidP="00BE1069">
      <w:pPr>
        <w:spacing w:after="0" w:line="240" w:lineRule="auto"/>
      </w:pPr>
      <w:r w:rsidRPr="00E6776B">
        <w:rPr>
          <w:rFonts w:ascii="Arial" w:eastAsia="Times New Roman" w:hAnsi="Arial" w:cs="Arial"/>
          <w:noProof/>
          <w:color w:val="77206D" w:themeColor="accent5" w:themeShade="BF"/>
        </w:rPr>
        <w:drawing>
          <wp:inline distT="0" distB="0" distL="0" distR="0" wp14:anchorId="5D53B80F" wp14:editId="65C415A8">
            <wp:extent cx="5731510" cy="2250352"/>
            <wp:effectExtent l="0" t="0" r="2540" b="0"/>
            <wp:docPr id="1" name="Picture 1" descr="A group of graphs showing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oup of graphs showing different colored lines&#10;&#10;AI-generated content may be incorrect."/>
                    <pic:cNvPicPr/>
                  </pic:nvPicPr>
                  <pic:blipFill>
                    <a:blip r:embed="rId17"/>
                    <a:stretch>
                      <a:fillRect/>
                    </a:stretch>
                  </pic:blipFill>
                  <pic:spPr>
                    <a:xfrm>
                      <a:off x="0" y="0"/>
                      <a:ext cx="5731510" cy="2250352"/>
                    </a:xfrm>
                    <a:prstGeom prst="rect">
                      <a:avLst/>
                    </a:prstGeom>
                  </pic:spPr>
                </pic:pic>
              </a:graphicData>
            </a:graphic>
          </wp:inline>
        </w:drawing>
      </w:r>
    </w:p>
    <w:p w14:paraId="14D0E5C1" w14:textId="77777777" w:rsidR="002274A5" w:rsidRPr="007C6747" w:rsidRDefault="002274A5" w:rsidP="002274A5">
      <w:pPr>
        <w:jc w:val="both"/>
        <w:rPr>
          <w:rFonts w:ascii="Arial" w:eastAsia="Times New Roman" w:hAnsi="Arial" w:cs="Arial"/>
        </w:rPr>
      </w:pPr>
      <w:r w:rsidRPr="007C6747">
        <w:rPr>
          <w:rFonts w:ascii="Arial" w:eastAsia="Times New Roman" w:hAnsi="Arial" w:cs="Arial"/>
        </w:rPr>
        <w:t xml:space="preserve">6.Although the authors conducted a comprehensive analysis of the two datasets in the paper, the actual list of differentially expressed genes in the real dataset is unknown. The authors should include a </w:t>
      </w:r>
      <w:r w:rsidRPr="004233EF">
        <w:rPr>
          <w:rFonts w:ascii="Arial" w:eastAsia="Times New Roman" w:hAnsi="Arial" w:cs="Arial"/>
        </w:rPr>
        <w:t>simulated dataset with known differentially expressed genes</w:t>
      </w:r>
      <w:r w:rsidRPr="007C6747">
        <w:rPr>
          <w:rFonts w:ascii="Arial" w:eastAsia="Times New Roman" w:hAnsi="Arial" w:cs="Arial"/>
        </w:rPr>
        <w:t xml:space="preserve"> to assess whether the newly proposed method can effectively identify all truly differentially expressed genes.</w:t>
      </w:r>
    </w:p>
    <w:p w14:paraId="2D0ADADB" w14:textId="77777777" w:rsidR="002274A5" w:rsidRDefault="002274A5" w:rsidP="002274A5">
      <w:pPr>
        <w:rPr>
          <w:rFonts w:ascii="Arial" w:eastAsia="Times New Roman" w:hAnsi="Arial" w:cs="Arial"/>
          <w:color w:val="77206D" w:themeColor="accent5" w:themeShade="BF"/>
        </w:rPr>
      </w:pPr>
    </w:p>
    <w:p w14:paraId="147AD0D0" w14:textId="77777777" w:rsidR="002274A5" w:rsidRDefault="002274A5" w:rsidP="002274A5">
      <w:pPr>
        <w:jc w:val="both"/>
        <w:rPr>
          <w:rFonts w:ascii="Arial" w:eastAsia="Times New Roman" w:hAnsi="Arial" w:cs="Arial"/>
          <w:color w:val="77206D" w:themeColor="accent5" w:themeShade="BF"/>
          <w:highlight w:val="yellow"/>
        </w:rPr>
      </w:pPr>
      <w:r w:rsidRPr="004233EF">
        <w:rPr>
          <w:rFonts w:ascii="Arial" w:eastAsia="Times New Roman" w:hAnsi="Arial" w:cs="Arial"/>
          <w:color w:val="77206D" w:themeColor="accent5" w:themeShade="BF"/>
        </w:rPr>
        <w:t xml:space="preserve">Thank you for the suggestion. </w:t>
      </w:r>
      <w:r>
        <w:rPr>
          <w:rFonts w:ascii="Arial" w:eastAsia="Times New Roman" w:hAnsi="Arial" w:cs="Arial"/>
          <w:color w:val="77206D" w:themeColor="accent5" w:themeShade="BF"/>
        </w:rPr>
        <w:t>We have added the simulated dataset with known DEGs by Splatter. The results were attached below and added to the manuscript in “</w:t>
      </w:r>
      <w:r w:rsidRPr="007B79E0">
        <w:rPr>
          <w:rFonts w:ascii="Arial" w:eastAsia="Times New Roman" w:hAnsi="Arial" w:cs="Arial"/>
          <w:i/>
          <w:color w:val="77206D" w:themeColor="accent5" w:themeShade="BF"/>
        </w:rPr>
        <w:t>False discovery rates and power assessment</w:t>
      </w:r>
      <w:r>
        <w:rPr>
          <w:rFonts w:ascii="Arial" w:eastAsia="Times New Roman" w:hAnsi="Arial" w:cs="Arial"/>
          <w:color w:val="77206D" w:themeColor="accent5" w:themeShade="BF"/>
        </w:rPr>
        <w:t>”.</w:t>
      </w:r>
    </w:p>
    <w:p w14:paraId="46A97974" w14:textId="77777777" w:rsidR="002274A5" w:rsidRDefault="002274A5" w:rsidP="002274A5">
      <w:pPr>
        <w:rPr>
          <w:rFonts w:ascii="Arial" w:eastAsia="Times New Roman" w:hAnsi="Arial" w:cs="Arial"/>
        </w:rPr>
      </w:pPr>
    </w:p>
    <w:p w14:paraId="6EA53253" w14:textId="77777777" w:rsidR="002274A5" w:rsidRPr="004223C7" w:rsidRDefault="002274A5" w:rsidP="002274A5">
      <w:pPr>
        <w:jc w:val="both"/>
        <w:rPr>
          <w:rFonts w:ascii="Arial" w:eastAsia="Times New Roman" w:hAnsi="Arial" w:cs="Arial"/>
          <w:color w:val="77206D" w:themeColor="accent5" w:themeShade="BF"/>
        </w:rPr>
      </w:pPr>
      <w:r w:rsidRPr="004223C7">
        <w:rPr>
          <w:rFonts w:ascii="Arial" w:eastAsia="Times New Roman" w:hAnsi="Arial" w:cs="Arial"/>
          <w:color w:val="77206D" w:themeColor="accent5" w:themeShade="BF"/>
        </w:rPr>
        <w:t>We assessed the power of each method on synthetic datasets simulated with Splatter under four configurations, varying donor and DE effects: (donor effect, DE effect) = (0.5, 0.5), (0,5, 1), (1, 0.5), (1, 1), where the parameter controls the location and scale factor for the effects. The PCA plots (Fig. 7a, Fig. S13a) indicate that the donor effect remains more pronounced than the group of interest, consistent with previous case studies. We calculated the FDR and power for each method and configuration. Generally, the FDR is well-controlled for Poisson-</w:t>
      </w:r>
      <w:proofErr w:type="spellStart"/>
      <w:r w:rsidRPr="004223C7">
        <w:rPr>
          <w:rFonts w:ascii="Arial" w:eastAsia="Times New Roman" w:hAnsi="Arial" w:cs="Arial"/>
          <w:color w:val="77206D" w:themeColor="accent5" w:themeShade="BF"/>
        </w:rPr>
        <w:t>glmm</w:t>
      </w:r>
      <w:proofErr w:type="spellEnd"/>
      <w:r w:rsidRPr="004223C7">
        <w:rPr>
          <w:rFonts w:ascii="Arial" w:eastAsia="Times New Roman" w:hAnsi="Arial" w:cs="Arial"/>
          <w:color w:val="77206D" w:themeColor="accent5" w:themeShade="BF"/>
        </w:rPr>
        <w:t xml:space="preserve"> (using the new DEG criteria), Binomial-</w:t>
      </w:r>
      <w:proofErr w:type="spellStart"/>
      <w:r w:rsidRPr="004223C7">
        <w:rPr>
          <w:rFonts w:ascii="Arial" w:eastAsia="Times New Roman" w:hAnsi="Arial" w:cs="Arial"/>
          <w:color w:val="77206D" w:themeColor="accent5" w:themeShade="BF"/>
        </w:rPr>
        <w:t>glmm</w:t>
      </w:r>
      <w:proofErr w:type="spellEnd"/>
      <w:r w:rsidRPr="004223C7">
        <w:rPr>
          <w:rFonts w:ascii="Arial" w:eastAsia="Times New Roman" w:hAnsi="Arial" w:cs="Arial"/>
          <w:color w:val="77206D" w:themeColor="accent5" w:themeShade="BF"/>
        </w:rPr>
        <w:t xml:space="preserve">, Wilcox, </w:t>
      </w:r>
      <w:proofErr w:type="spellStart"/>
      <w:r w:rsidRPr="004223C7">
        <w:rPr>
          <w:rFonts w:ascii="Arial" w:eastAsia="Times New Roman" w:hAnsi="Arial" w:cs="Arial"/>
          <w:color w:val="77206D" w:themeColor="accent5" w:themeShade="BF"/>
        </w:rPr>
        <w:t>pseudobulk</w:t>
      </w:r>
      <w:proofErr w:type="spellEnd"/>
      <w:r w:rsidRPr="004223C7">
        <w:rPr>
          <w:rFonts w:ascii="Arial" w:eastAsia="Times New Roman" w:hAnsi="Arial" w:cs="Arial"/>
          <w:color w:val="77206D" w:themeColor="accent5" w:themeShade="BF"/>
        </w:rPr>
        <w:t xml:space="preserve"> methods, and </w:t>
      </w:r>
      <w:proofErr w:type="spellStart"/>
      <w:r w:rsidRPr="004223C7">
        <w:rPr>
          <w:rFonts w:ascii="Arial" w:eastAsia="Times New Roman" w:hAnsi="Arial" w:cs="Arial"/>
          <w:color w:val="77206D" w:themeColor="accent5" w:themeShade="BF"/>
        </w:rPr>
        <w:t>MMvst</w:t>
      </w:r>
      <w:proofErr w:type="spellEnd"/>
      <w:r w:rsidRPr="004223C7">
        <w:rPr>
          <w:rFonts w:ascii="Arial" w:eastAsia="Times New Roman" w:hAnsi="Arial" w:cs="Arial"/>
          <w:color w:val="77206D" w:themeColor="accent5" w:themeShade="BF"/>
        </w:rPr>
        <w:t>. However, Poisson-</w:t>
      </w:r>
      <w:proofErr w:type="spellStart"/>
      <w:r w:rsidRPr="004223C7">
        <w:rPr>
          <w:rFonts w:ascii="Arial" w:eastAsia="Times New Roman" w:hAnsi="Arial" w:cs="Arial"/>
          <w:color w:val="77206D" w:themeColor="accent5" w:themeShade="BF"/>
        </w:rPr>
        <w:t>glmm</w:t>
      </w:r>
      <w:proofErr w:type="spellEnd"/>
      <w:r w:rsidRPr="004223C7">
        <w:rPr>
          <w:rFonts w:ascii="Arial" w:eastAsia="Times New Roman" w:hAnsi="Arial" w:cs="Arial"/>
          <w:color w:val="77206D" w:themeColor="accent5" w:themeShade="BF"/>
        </w:rPr>
        <w:t xml:space="preserve"> (with conventional DEG criteria), MAST, and </w:t>
      </w:r>
      <w:proofErr w:type="spellStart"/>
      <w:r w:rsidRPr="004223C7">
        <w:rPr>
          <w:rFonts w:ascii="Arial" w:eastAsia="Times New Roman" w:hAnsi="Arial" w:cs="Arial"/>
          <w:color w:val="77206D" w:themeColor="accent5" w:themeShade="BF"/>
        </w:rPr>
        <w:t>MMpoisson</w:t>
      </w:r>
      <w:proofErr w:type="spellEnd"/>
      <w:r w:rsidRPr="004223C7">
        <w:rPr>
          <w:rFonts w:ascii="Arial" w:eastAsia="Times New Roman" w:hAnsi="Arial" w:cs="Arial"/>
          <w:color w:val="77206D" w:themeColor="accent5" w:themeShade="BF"/>
        </w:rPr>
        <w:t xml:space="preserve"> exhibit higher FDRs when the donor effect is large. In terms of power, Poisson-</w:t>
      </w:r>
      <w:proofErr w:type="spellStart"/>
      <w:r w:rsidRPr="004223C7">
        <w:rPr>
          <w:rFonts w:ascii="Arial" w:eastAsia="Times New Roman" w:hAnsi="Arial" w:cs="Arial"/>
          <w:color w:val="77206D" w:themeColor="accent5" w:themeShade="BF"/>
        </w:rPr>
        <w:t>glmm</w:t>
      </w:r>
      <w:proofErr w:type="spellEnd"/>
      <w:r w:rsidRPr="004223C7">
        <w:rPr>
          <w:rFonts w:ascii="Arial" w:eastAsia="Times New Roman" w:hAnsi="Arial" w:cs="Arial"/>
          <w:color w:val="77206D" w:themeColor="accent5" w:themeShade="BF"/>
        </w:rPr>
        <w:t xml:space="preserve">, MAST, and Wilcox perform well across all configurations. Pb-DESeq2, </w:t>
      </w:r>
      <w:proofErr w:type="spellStart"/>
      <w:r w:rsidRPr="004223C7">
        <w:rPr>
          <w:rFonts w:ascii="Arial" w:eastAsia="Times New Roman" w:hAnsi="Arial" w:cs="Arial"/>
          <w:color w:val="77206D" w:themeColor="accent5" w:themeShade="BF"/>
        </w:rPr>
        <w:t>MMvst</w:t>
      </w:r>
      <w:proofErr w:type="spellEnd"/>
      <w:r w:rsidRPr="004223C7">
        <w:rPr>
          <w:rFonts w:ascii="Arial" w:eastAsia="Times New Roman" w:hAnsi="Arial" w:cs="Arial"/>
          <w:color w:val="77206D" w:themeColor="accent5" w:themeShade="BF"/>
        </w:rPr>
        <w:t xml:space="preserve">, and </w:t>
      </w:r>
      <w:proofErr w:type="spellStart"/>
      <w:r w:rsidRPr="004223C7">
        <w:rPr>
          <w:rFonts w:ascii="Arial" w:eastAsia="Times New Roman" w:hAnsi="Arial" w:cs="Arial"/>
          <w:color w:val="77206D" w:themeColor="accent5" w:themeShade="BF"/>
        </w:rPr>
        <w:t>MMpoisson</w:t>
      </w:r>
      <w:proofErr w:type="spellEnd"/>
      <w:r w:rsidRPr="004223C7">
        <w:rPr>
          <w:rFonts w:ascii="Arial" w:eastAsia="Times New Roman" w:hAnsi="Arial" w:cs="Arial"/>
          <w:color w:val="77206D" w:themeColor="accent5" w:themeShade="BF"/>
        </w:rPr>
        <w:t xml:space="preserve"> show moderate power in the (0.5, 1) setting but perform poorly in other settings. Binomial-</w:t>
      </w:r>
      <w:proofErr w:type="spellStart"/>
      <w:r w:rsidRPr="004223C7">
        <w:rPr>
          <w:rFonts w:ascii="Arial" w:eastAsia="Times New Roman" w:hAnsi="Arial" w:cs="Arial"/>
          <w:color w:val="77206D" w:themeColor="accent5" w:themeShade="BF"/>
        </w:rPr>
        <w:t>glmm</w:t>
      </w:r>
      <w:proofErr w:type="spellEnd"/>
      <w:r w:rsidRPr="004223C7">
        <w:rPr>
          <w:rFonts w:ascii="Arial" w:eastAsia="Times New Roman" w:hAnsi="Arial" w:cs="Arial"/>
          <w:color w:val="77206D" w:themeColor="accent5" w:themeShade="BF"/>
        </w:rPr>
        <w:t xml:space="preserve"> and pb-</w:t>
      </w:r>
      <w:proofErr w:type="spellStart"/>
      <w:r w:rsidRPr="004223C7">
        <w:rPr>
          <w:rFonts w:ascii="Arial" w:eastAsia="Times New Roman" w:hAnsi="Arial" w:cs="Arial"/>
          <w:color w:val="77206D" w:themeColor="accent5" w:themeShade="BF"/>
        </w:rPr>
        <w:t>edgeR</w:t>
      </w:r>
      <w:proofErr w:type="spellEnd"/>
      <w:r w:rsidRPr="004223C7">
        <w:rPr>
          <w:rFonts w:ascii="Arial" w:eastAsia="Times New Roman" w:hAnsi="Arial" w:cs="Arial"/>
          <w:color w:val="77206D" w:themeColor="accent5" w:themeShade="BF"/>
        </w:rPr>
        <w:t xml:space="preserve"> demonstrate consistently lower power across all settings</w:t>
      </w:r>
      <w:r>
        <w:rPr>
          <w:rFonts w:ascii="Arial" w:eastAsia="Times New Roman" w:hAnsi="Arial" w:cs="Arial"/>
          <w:color w:val="77206D" w:themeColor="accent5" w:themeShade="BF"/>
        </w:rPr>
        <w:t xml:space="preserve"> (Fig. 7b)</w:t>
      </w:r>
      <w:r w:rsidRPr="004223C7">
        <w:rPr>
          <w:rFonts w:ascii="Arial" w:eastAsia="Times New Roman" w:hAnsi="Arial" w:cs="Arial"/>
          <w:color w:val="77206D" w:themeColor="accent5" w:themeShade="BF"/>
        </w:rPr>
        <w:t>.</w:t>
      </w:r>
    </w:p>
    <w:p w14:paraId="52889C87" w14:textId="77777777" w:rsidR="002274A5" w:rsidRPr="004223C7" w:rsidRDefault="002274A5" w:rsidP="002274A5">
      <w:pPr>
        <w:jc w:val="both"/>
        <w:rPr>
          <w:rFonts w:ascii="Arial" w:eastAsia="Times New Roman" w:hAnsi="Arial" w:cs="Arial"/>
          <w:color w:val="77206D" w:themeColor="accent5" w:themeShade="BF"/>
        </w:rPr>
      </w:pPr>
      <w:r w:rsidRPr="004223C7">
        <w:rPr>
          <w:rFonts w:ascii="Arial" w:eastAsia="Times New Roman" w:hAnsi="Arial" w:cs="Arial"/>
          <w:color w:val="77206D" w:themeColor="accent5" w:themeShade="BF"/>
        </w:rPr>
        <w:lastRenderedPageBreak/>
        <w:t xml:space="preserve">     </w:t>
      </w:r>
    </w:p>
    <w:p w14:paraId="5DE9C2FA" w14:textId="77777777" w:rsidR="002274A5"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 xml:space="preserve">Although Splatter provides ground truth for identifying DE genes, enabling straightforward FDR and power calculations, it has notable limitations.  First, the library-size cannot be customized for different groups (Fig. S13b), which may prevent it from accurately representing the differences observed in real data. Additionally, we are unable to define more complex batch effect structures, limiting the simulation's ability to capture the intricacies of batch-related variations. Finally, the comparison groups are randomly assigned, which does not reflect scenarios where groups are processed independently, such as distinct cell states. </w:t>
      </w:r>
    </w:p>
    <w:p w14:paraId="6C7756A0" w14:textId="77777777" w:rsidR="002274A5" w:rsidRDefault="002274A5" w:rsidP="002274A5">
      <w:pPr>
        <w:jc w:val="both"/>
        <w:rPr>
          <w:rFonts w:ascii="Arial" w:eastAsia="Times New Roman" w:hAnsi="Arial" w:cs="Arial"/>
        </w:rPr>
      </w:pPr>
      <w:r w:rsidRPr="004223C7">
        <w:rPr>
          <w:rFonts w:ascii="Arial" w:eastAsia="Times New Roman" w:hAnsi="Arial" w:cs="Arial"/>
          <w:noProof/>
        </w:rPr>
        <w:drawing>
          <wp:inline distT="0" distB="0" distL="0" distR="0" wp14:anchorId="394324B3" wp14:editId="11CA4062">
            <wp:extent cx="5943600" cy="2679065"/>
            <wp:effectExtent l="0" t="0" r="0" b="635"/>
            <wp:docPr id="2" name="Picture 2"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graph with different colored dots&#10;&#10;AI-generated content may be incorrect."/>
                    <pic:cNvPicPr/>
                  </pic:nvPicPr>
                  <pic:blipFill>
                    <a:blip r:embed="rId18"/>
                    <a:stretch>
                      <a:fillRect/>
                    </a:stretch>
                  </pic:blipFill>
                  <pic:spPr>
                    <a:xfrm>
                      <a:off x="0" y="0"/>
                      <a:ext cx="5943600" cy="2679065"/>
                    </a:xfrm>
                    <a:prstGeom prst="rect">
                      <a:avLst/>
                    </a:prstGeom>
                  </pic:spPr>
                </pic:pic>
              </a:graphicData>
            </a:graphic>
          </wp:inline>
        </w:drawing>
      </w:r>
    </w:p>
    <w:p w14:paraId="39DC2FBC" w14:textId="77777777" w:rsidR="002274A5" w:rsidRPr="007C6747" w:rsidRDefault="002274A5" w:rsidP="002274A5">
      <w:pPr>
        <w:rPr>
          <w:rFonts w:ascii="Arial" w:eastAsia="Times New Roman" w:hAnsi="Arial" w:cs="Arial"/>
        </w:rPr>
      </w:pPr>
      <w:r w:rsidRPr="007C6747">
        <w:rPr>
          <w:rFonts w:ascii="Arial" w:eastAsia="Times New Roman" w:hAnsi="Arial" w:cs="Arial"/>
        </w:rPr>
        <w:t>7.Is there a statistically significant difference in the distribution of library sizes between the two groups in Figure 4a, 5a and 6a?</w:t>
      </w:r>
    </w:p>
    <w:p w14:paraId="4F202486" w14:textId="77777777" w:rsidR="002274A5" w:rsidRDefault="002274A5" w:rsidP="002274A5">
      <w:pPr>
        <w:rPr>
          <w:rFonts w:ascii="Arial" w:eastAsia="Times New Roman" w:hAnsi="Arial" w:cs="Arial"/>
        </w:rPr>
      </w:pPr>
    </w:p>
    <w:p w14:paraId="1F2611BB" w14:textId="77777777" w:rsidR="002274A5" w:rsidRPr="006B4C65" w:rsidRDefault="002274A5" w:rsidP="002274A5">
      <w:pPr>
        <w:rPr>
          <w:rFonts w:ascii="Arial" w:eastAsia="Times New Roman" w:hAnsi="Arial" w:cs="Arial"/>
          <w:color w:val="77206D" w:themeColor="accent5" w:themeShade="BF"/>
        </w:rPr>
      </w:pPr>
      <w:r w:rsidRPr="006B4C65">
        <w:rPr>
          <w:rFonts w:ascii="Arial" w:eastAsia="Times New Roman" w:hAnsi="Arial" w:cs="Arial"/>
          <w:color w:val="77206D" w:themeColor="accent5" w:themeShade="BF"/>
        </w:rPr>
        <w:t>Thank you for the comments. We have added the two</w:t>
      </w:r>
      <w:r>
        <w:rPr>
          <w:rFonts w:ascii="Arial" w:eastAsia="Times New Roman" w:hAnsi="Arial" w:cs="Arial"/>
          <w:color w:val="77206D" w:themeColor="accent5" w:themeShade="BF"/>
        </w:rPr>
        <w:t>-</w:t>
      </w:r>
      <w:r w:rsidRPr="006B4C65">
        <w:rPr>
          <w:rFonts w:ascii="Arial" w:eastAsia="Times New Roman" w:hAnsi="Arial" w:cs="Arial"/>
          <w:color w:val="77206D" w:themeColor="accent5" w:themeShade="BF"/>
        </w:rPr>
        <w:t xml:space="preserve">sample t-test statistics </w:t>
      </w:r>
      <w:r>
        <w:rPr>
          <w:rFonts w:ascii="Arial" w:eastAsia="Times New Roman" w:hAnsi="Arial" w:cs="Arial"/>
          <w:color w:val="77206D" w:themeColor="accent5" w:themeShade="BF"/>
        </w:rPr>
        <w:t>at the beginning of</w:t>
      </w:r>
      <w:r w:rsidRPr="006B4C65">
        <w:rPr>
          <w:rFonts w:ascii="Arial" w:eastAsia="Times New Roman" w:hAnsi="Arial" w:cs="Arial"/>
          <w:color w:val="77206D" w:themeColor="accent5" w:themeShade="BF"/>
        </w:rPr>
        <w:t xml:space="preserve"> each comparison in the manuscript.</w:t>
      </w:r>
      <w:r>
        <w:rPr>
          <w:rFonts w:ascii="Arial" w:eastAsia="Times New Roman" w:hAnsi="Arial" w:cs="Arial"/>
          <w:color w:val="77206D" w:themeColor="accent5" w:themeShade="BF"/>
        </w:rPr>
        <w:t xml:space="preserve"> </w:t>
      </w:r>
      <w:r w:rsidRPr="007C6747">
        <w:rPr>
          <w:rFonts w:ascii="Arial" w:eastAsia="Times New Roman" w:hAnsi="Arial" w:cs="Arial"/>
        </w:rPr>
        <w:br/>
      </w:r>
    </w:p>
    <w:p w14:paraId="1282FFBD" w14:textId="77777777" w:rsidR="002274A5" w:rsidRPr="007C6747" w:rsidRDefault="002274A5" w:rsidP="002274A5">
      <w:pPr>
        <w:jc w:val="both"/>
        <w:rPr>
          <w:rFonts w:ascii="Arial" w:eastAsia="Times New Roman" w:hAnsi="Arial" w:cs="Arial"/>
        </w:rPr>
      </w:pPr>
      <w:r w:rsidRPr="00F71CD1">
        <w:rPr>
          <w:rFonts w:ascii="Arial" w:eastAsia="Times New Roman" w:hAnsi="Arial" w:cs="Arial"/>
        </w:rPr>
        <w:t>8.</w:t>
      </w:r>
      <w:r w:rsidRPr="007C6747">
        <w:rPr>
          <w:rFonts w:ascii="Arial" w:eastAsia="Times New Roman" w:hAnsi="Arial" w:cs="Arial"/>
        </w:rPr>
        <w:t xml:space="preserve">The authors state that the zero-proportion plots fit better to Poisson distribution when separated by stimulation states than only by cell types (Fig.S6b). On what basis did the authors make their judgment, and is there a </w:t>
      </w:r>
      <w:r w:rsidRPr="00F71CD1">
        <w:rPr>
          <w:rFonts w:ascii="Arial" w:eastAsia="Times New Roman" w:hAnsi="Arial" w:cs="Arial"/>
        </w:rPr>
        <w:t>quantitative metric</w:t>
      </w:r>
      <w:r w:rsidRPr="007C6747">
        <w:rPr>
          <w:rFonts w:ascii="Arial" w:eastAsia="Times New Roman" w:hAnsi="Arial" w:cs="Arial"/>
        </w:rPr>
        <w:t xml:space="preserve"> available?</w:t>
      </w:r>
    </w:p>
    <w:p w14:paraId="4699B01B" w14:textId="77777777" w:rsidR="002274A5" w:rsidRPr="007C6747" w:rsidRDefault="002274A5" w:rsidP="002274A5">
      <w:pPr>
        <w:rPr>
          <w:rFonts w:ascii="Arial" w:eastAsia="Times New Roman" w:hAnsi="Arial" w:cs="Arial"/>
        </w:rPr>
      </w:pPr>
    </w:p>
    <w:p w14:paraId="1105C95D" w14:textId="77777777" w:rsidR="002274A5" w:rsidRDefault="002274A5" w:rsidP="002274A5">
      <w:pPr>
        <w:jc w:val="both"/>
        <w:rPr>
          <w:rFonts w:ascii="Arial" w:eastAsia="Times New Roman" w:hAnsi="Arial" w:cs="Arial"/>
          <w:color w:val="77206D" w:themeColor="accent5" w:themeShade="BF"/>
        </w:rPr>
      </w:pPr>
      <w:r w:rsidRPr="005434DA">
        <w:rPr>
          <w:rFonts w:ascii="Arial" w:eastAsia="Times New Roman" w:hAnsi="Arial" w:cs="Arial"/>
          <w:color w:val="77206D" w:themeColor="accent5" w:themeShade="BF"/>
        </w:rPr>
        <w:t xml:space="preserve">Thank you for the comments. For B cells and CD14+ monocytes, we made this statement based on the observation that fewer genes deviate from the expected line when the status is considered (S8b right). Though the difference is not obvious, it does not affect our further analysis. For a quantitative metric, the diagnostic plot implemented by HIPPO can identify inflated genes, but the exact number requires some modification of the code. When separated by stimulation states, a few genes are no longer inflated. We did not delve into the details, as the diagnostic plot is not the </w:t>
      </w:r>
      <w:r w:rsidRPr="005434DA">
        <w:rPr>
          <w:rFonts w:ascii="Arial" w:eastAsia="Times New Roman" w:hAnsi="Arial" w:cs="Arial"/>
          <w:color w:val="77206D" w:themeColor="accent5" w:themeShade="BF"/>
        </w:rPr>
        <w:lastRenderedPageBreak/>
        <w:t>sole reason for conducting DE analysis between different states. It is the design of the experiment that suggests separating the stimulation states.</w:t>
      </w:r>
    </w:p>
    <w:p w14:paraId="260AA830" w14:textId="77777777" w:rsidR="002274A5" w:rsidRPr="007C6747" w:rsidRDefault="002274A5" w:rsidP="002274A5">
      <w:pPr>
        <w:jc w:val="both"/>
        <w:rPr>
          <w:rFonts w:ascii="Arial" w:eastAsia="Times New Roman" w:hAnsi="Arial" w:cs="Arial"/>
        </w:rPr>
      </w:pPr>
    </w:p>
    <w:p w14:paraId="01E30425" w14:textId="77777777" w:rsidR="002274A5" w:rsidRPr="007C6747" w:rsidRDefault="002274A5" w:rsidP="002274A5">
      <w:pPr>
        <w:jc w:val="both"/>
        <w:rPr>
          <w:rFonts w:ascii="Arial" w:eastAsia="Times New Roman" w:hAnsi="Arial" w:cs="Arial"/>
        </w:rPr>
      </w:pPr>
      <w:r w:rsidRPr="007C6747">
        <w:rPr>
          <w:rFonts w:ascii="Arial" w:eastAsia="Times New Roman" w:hAnsi="Arial" w:cs="Arial"/>
        </w:rPr>
        <w:t>9.The gene expression values from integrated data are no longer count-based, and there are negative values. Why can Poisson-</w:t>
      </w:r>
      <w:proofErr w:type="spellStart"/>
      <w:r w:rsidRPr="007C6747">
        <w:rPr>
          <w:rFonts w:ascii="Arial" w:eastAsia="Times New Roman" w:hAnsi="Arial" w:cs="Arial"/>
        </w:rPr>
        <w:t>glmm</w:t>
      </w:r>
      <w:proofErr w:type="spellEnd"/>
      <w:r w:rsidRPr="007C6747">
        <w:rPr>
          <w:rFonts w:ascii="Arial" w:eastAsia="Times New Roman" w:hAnsi="Arial" w:cs="Arial"/>
        </w:rPr>
        <w:t xml:space="preserve"> still be used in this case (middle panel in Fig.4d)? In addition, how were the 124 DEGs in Fig.4d (left panel) determined?</w:t>
      </w:r>
      <w:r w:rsidRPr="007C6747">
        <w:rPr>
          <w:rFonts w:ascii="Arial" w:eastAsia="Times New Roman" w:hAnsi="Arial" w:cs="Arial"/>
        </w:rPr>
        <w:br/>
      </w:r>
    </w:p>
    <w:p w14:paraId="7D22B696" w14:textId="77777777" w:rsidR="002274A5" w:rsidRPr="007C6747" w:rsidRDefault="002274A5" w:rsidP="002274A5">
      <w:pPr>
        <w:jc w:val="both"/>
        <w:rPr>
          <w:rFonts w:ascii="Arial" w:eastAsia="Times New Roman" w:hAnsi="Arial" w:cs="Arial"/>
          <w:color w:val="77206D" w:themeColor="accent5" w:themeShade="BF"/>
        </w:rPr>
      </w:pPr>
      <w:r>
        <w:rPr>
          <w:rFonts w:ascii="Arial" w:eastAsia="Times New Roman" w:hAnsi="Arial" w:cs="Arial"/>
          <w:color w:val="77206D" w:themeColor="accent5" w:themeShade="BF"/>
        </w:rPr>
        <w:t xml:space="preserve">Thank you for the comments. </w:t>
      </w:r>
      <w:r w:rsidRPr="007C6747">
        <w:rPr>
          <w:rFonts w:ascii="Arial" w:eastAsia="Times New Roman" w:hAnsi="Arial" w:cs="Arial"/>
          <w:color w:val="77206D" w:themeColor="accent5" w:themeShade="BF"/>
        </w:rPr>
        <w:t xml:space="preserve">Poisson-GLMM exclusively accepts UMI counts as input. In this DE analysis, Poisson-GLMM identified a total of </w:t>
      </w:r>
      <w:r>
        <w:rPr>
          <w:rFonts w:ascii="Arial" w:eastAsia="Times New Roman" w:hAnsi="Arial" w:cs="Arial"/>
          <w:color w:val="77206D" w:themeColor="accent5" w:themeShade="BF"/>
        </w:rPr>
        <w:t>1383</w:t>
      </w:r>
      <w:r w:rsidRPr="007C6747">
        <w:rPr>
          <w:rFonts w:ascii="Arial" w:eastAsia="Times New Roman" w:hAnsi="Arial" w:cs="Arial"/>
          <w:color w:val="77206D" w:themeColor="accent5" w:themeShade="BF"/>
        </w:rPr>
        <w:t xml:space="preserve"> DEGs. Of these, </w:t>
      </w:r>
      <w:r>
        <w:rPr>
          <w:rFonts w:ascii="Arial" w:eastAsia="Times New Roman" w:hAnsi="Arial" w:cs="Arial"/>
          <w:color w:val="77206D" w:themeColor="accent5" w:themeShade="BF"/>
        </w:rPr>
        <w:t xml:space="preserve">213 </w:t>
      </w:r>
      <w:r w:rsidRPr="007C6747">
        <w:rPr>
          <w:rFonts w:ascii="Arial" w:eastAsia="Times New Roman" w:hAnsi="Arial" w:cs="Arial"/>
          <w:color w:val="77206D" w:themeColor="accent5" w:themeShade="BF"/>
        </w:rPr>
        <w:t xml:space="preserve">DEGs were present in the integrated dataset, while </w:t>
      </w:r>
      <w:r>
        <w:rPr>
          <w:rFonts w:ascii="Arial" w:eastAsia="Times New Roman" w:hAnsi="Arial" w:cs="Arial"/>
          <w:color w:val="77206D" w:themeColor="accent5" w:themeShade="BF"/>
        </w:rPr>
        <w:t>1170</w:t>
      </w:r>
      <w:r w:rsidRPr="007C6747">
        <w:rPr>
          <w:rFonts w:ascii="Arial" w:eastAsia="Times New Roman" w:hAnsi="Arial" w:cs="Arial"/>
          <w:color w:val="77206D" w:themeColor="accent5" w:themeShade="BF"/>
        </w:rPr>
        <w:t xml:space="preserve"> were not. We compared the expression of these </w:t>
      </w:r>
      <w:r>
        <w:rPr>
          <w:rFonts w:ascii="Arial" w:eastAsia="Times New Roman" w:hAnsi="Arial" w:cs="Arial"/>
          <w:color w:val="77206D" w:themeColor="accent5" w:themeShade="BF"/>
        </w:rPr>
        <w:t>213</w:t>
      </w:r>
      <w:r w:rsidRPr="007C6747">
        <w:rPr>
          <w:rFonts w:ascii="Arial" w:eastAsia="Times New Roman" w:hAnsi="Arial" w:cs="Arial"/>
          <w:color w:val="77206D" w:themeColor="accent5" w:themeShade="BF"/>
        </w:rPr>
        <w:t xml:space="preserve"> DEGs across both UMI counts (4d left) and the integrated data</w:t>
      </w:r>
      <w:r>
        <w:rPr>
          <w:rFonts w:ascii="Arial" w:eastAsia="Times New Roman" w:hAnsi="Arial" w:cs="Arial"/>
          <w:color w:val="77206D" w:themeColor="accent5" w:themeShade="BF"/>
        </w:rPr>
        <w:t xml:space="preserve"> </w:t>
      </w:r>
      <w:r w:rsidRPr="007C6747">
        <w:rPr>
          <w:rFonts w:ascii="Arial" w:eastAsia="Times New Roman" w:hAnsi="Arial" w:cs="Arial"/>
          <w:color w:val="77206D" w:themeColor="accent5" w:themeShade="BF"/>
        </w:rPr>
        <w:t>(4d middle).</w:t>
      </w:r>
      <w:r>
        <w:rPr>
          <w:rFonts w:ascii="Arial" w:eastAsia="Times New Roman" w:hAnsi="Arial" w:cs="Arial"/>
          <w:color w:val="77206D" w:themeColor="accent5" w:themeShade="BF"/>
        </w:rPr>
        <w:t xml:space="preserve"> Fig. 4d(right) shows those DEGs not contained in the integrated data.</w:t>
      </w:r>
    </w:p>
    <w:p w14:paraId="37C38CB6" w14:textId="77777777" w:rsidR="002274A5" w:rsidRPr="007C6747" w:rsidRDefault="002274A5" w:rsidP="002274A5">
      <w:pPr>
        <w:rPr>
          <w:rFonts w:ascii="Arial" w:eastAsia="Times New Roman" w:hAnsi="Arial" w:cs="Arial"/>
        </w:rPr>
      </w:pPr>
    </w:p>
    <w:p w14:paraId="63F9E207" w14:textId="77777777" w:rsidR="002274A5" w:rsidRPr="007C6747" w:rsidRDefault="002274A5" w:rsidP="002274A5">
      <w:pPr>
        <w:rPr>
          <w:rFonts w:ascii="Arial" w:eastAsia="Times New Roman" w:hAnsi="Arial" w:cs="Arial"/>
        </w:rPr>
      </w:pPr>
      <w:r w:rsidRPr="007C6747">
        <w:rPr>
          <w:rFonts w:ascii="Arial" w:eastAsia="Times New Roman" w:hAnsi="Arial" w:cs="Arial"/>
        </w:rPr>
        <w:t>10.In comparison with existing methods, at what levels are the runtime and memory usage for the proposed method?</w:t>
      </w:r>
    </w:p>
    <w:p w14:paraId="0461246D" w14:textId="77777777" w:rsidR="002274A5" w:rsidRPr="007C6747" w:rsidRDefault="002274A5" w:rsidP="002274A5">
      <w:pPr>
        <w:rPr>
          <w:rFonts w:ascii="Arial" w:eastAsia="Times New Roman" w:hAnsi="Arial" w:cs="Arial"/>
        </w:rPr>
      </w:pPr>
    </w:p>
    <w:p w14:paraId="1DBF2312" w14:textId="77777777" w:rsidR="002274A5" w:rsidRPr="007B79E0" w:rsidRDefault="002274A5" w:rsidP="002274A5">
      <w:pPr>
        <w:jc w:val="both"/>
        <w:rPr>
          <w:rFonts w:ascii="Arial" w:eastAsia="Times New Roman" w:hAnsi="Arial" w:cs="Arial"/>
          <w:color w:val="77206D" w:themeColor="accent5" w:themeShade="BF"/>
          <w:highlight w:val="yellow"/>
        </w:rPr>
      </w:pPr>
      <w:r w:rsidRPr="27E1536C">
        <w:rPr>
          <w:rFonts w:ascii="Arial" w:eastAsia="Times New Roman" w:hAnsi="Arial" w:cs="Arial"/>
          <w:color w:val="77206D" w:themeColor="accent5" w:themeShade="BF"/>
        </w:rPr>
        <w:t>Thank you for the comments. We have added runtime comparisons across different methods on a simulated dataset (Fig. S13c). The results have been added in</w:t>
      </w:r>
      <w:r>
        <w:rPr>
          <w:rFonts w:ascii="Arial" w:eastAsia="Times New Roman" w:hAnsi="Arial" w:cs="Arial"/>
          <w:color w:val="77206D" w:themeColor="accent5" w:themeShade="BF"/>
        </w:rPr>
        <w:t xml:space="preserve"> “</w:t>
      </w:r>
      <w:r w:rsidRPr="007B79E0">
        <w:rPr>
          <w:rFonts w:ascii="Arial" w:eastAsia="Times New Roman" w:hAnsi="Arial" w:cs="Arial"/>
          <w:color w:val="77206D" w:themeColor="accent5" w:themeShade="BF"/>
        </w:rPr>
        <w:t>False discovery rates and power assessment</w:t>
      </w:r>
      <w:r>
        <w:rPr>
          <w:rFonts w:ascii="Arial" w:eastAsia="Times New Roman" w:hAnsi="Arial" w:cs="Arial"/>
          <w:color w:val="77206D" w:themeColor="accent5" w:themeShade="BF"/>
        </w:rPr>
        <w:t xml:space="preserve">”. </w:t>
      </w:r>
      <w:r w:rsidRPr="27E1536C">
        <w:rPr>
          <w:rFonts w:ascii="Arial" w:eastAsia="Times New Roman" w:hAnsi="Arial" w:cs="Arial"/>
          <w:color w:val="77206D" w:themeColor="accent5" w:themeShade="BF"/>
        </w:rPr>
        <w:t>We have also attached the results below.</w:t>
      </w:r>
    </w:p>
    <w:p w14:paraId="48B1293A" w14:textId="77777777" w:rsidR="002274A5" w:rsidRDefault="002274A5" w:rsidP="002274A5">
      <w:pPr>
        <w:jc w:val="both"/>
        <w:rPr>
          <w:rFonts w:ascii="Arial" w:eastAsia="Times New Roman" w:hAnsi="Arial" w:cs="Arial"/>
          <w:color w:val="77206D" w:themeColor="accent5" w:themeShade="BF"/>
        </w:rPr>
      </w:pPr>
    </w:p>
    <w:p w14:paraId="4F877F0B" w14:textId="77777777" w:rsidR="002274A5"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 xml:space="preserve">In terms of computation time (Fig. S13c), Wilcox and </w:t>
      </w:r>
      <w:proofErr w:type="spellStart"/>
      <w:r w:rsidRPr="27E1536C">
        <w:rPr>
          <w:rFonts w:ascii="Arial" w:eastAsia="Times New Roman" w:hAnsi="Arial" w:cs="Arial"/>
          <w:color w:val="77206D" w:themeColor="accent5" w:themeShade="BF"/>
        </w:rPr>
        <w:t>pseudobulk</w:t>
      </w:r>
      <w:proofErr w:type="spellEnd"/>
      <w:r w:rsidRPr="27E1536C">
        <w:rPr>
          <w:rFonts w:ascii="Arial" w:eastAsia="Times New Roman" w:hAnsi="Arial" w:cs="Arial"/>
          <w:color w:val="77206D" w:themeColor="accent5" w:themeShade="BF"/>
        </w:rPr>
        <w:t xml:space="preserve"> methods are the most efficient. MAST requires more </w:t>
      </w:r>
      <w:proofErr w:type="gramStart"/>
      <w:r w:rsidRPr="27E1536C">
        <w:rPr>
          <w:rFonts w:ascii="Arial" w:eastAsia="Times New Roman" w:hAnsi="Arial" w:cs="Arial"/>
          <w:color w:val="77206D" w:themeColor="accent5" w:themeShade="BF"/>
        </w:rPr>
        <w:t>time, but</w:t>
      </w:r>
      <w:proofErr w:type="gramEnd"/>
      <w:r w:rsidRPr="27E1536C">
        <w:rPr>
          <w:rFonts w:ascii="Arial" w:eastAsia="Times New Roman" w:hAnsi="Arial" w:cs="Arial"/>
          <w:color w:val="77206D" w:themeColor="accent5" w:themeShade="BF"/>
        </w:rPr>
        <w:t xml:space="preserve"> remains reasonably fast. Mixed models—including our methods, </w:t>
      </w:r>
      <w:proofErr w:type="spellStart"/>
      <w:r w:rsidRPr="27E1536C">
        <w:rPr>
          <w:rFonts w:ascii="Arial" w:eastAsia="Times New Roman" w:hAnsi="Arial" w:cs="Arial"/>
          <w:color w:val="77206D" w:themeColor="accent5" w:themeShade="BF"/>
        </w:rPr>
        <w:t>MMvst</w:t>
      </w:r>
      <w:proofErr w:type="spellEnd"/>
      <w:r w:rsidRPr="27E1536C">
        <w:rPr>
          <w:rFonts w:ascii="Arial" w:eastAsia="Times New Roman" w:hAnsi="Arial" w:cs="Arial"/>
          <w:color w:val="77206D" w:themeColor="accent5" w:themeShade="BF"/>
        </w:rPr>
        <w:t xml:space="preserve">, and </w:t>
      </w:r>
      <w:proofErr w:type="spellStart"/>
      <w:r w:rsidRPr="27E1536C">
        <w:rPr>
          <w:rFonts w:ascii="Arial" w:eastAsia="Times New Roman" w:hAnsi="Arial" w:cs="Arial"/>
          <w:color w:val="77206D" w:themeColor="accent5" w:themeShade="BF"/>
        </w:rPr>
        <w:t>MMpoisson</w:t>
      </w:r>
      <w:proofErr w:type="spellEnd"/>
      <w:r w:rsidRPr="27E1536C">
        <w:rPr>
          <w:rFonts w:ascii="Arial" w:eastAsia="Times New Roman" w:hAnsi="Arial" w:cs="Arial"/>
          <w:color w:val="77206D" w:themeColor="accent5" w:themeShade="BF"/>
        </w:rPr>
        <w:t>—demand significantly more processing time, taking over 30 times longer than the Wilcox method, which could become a concern as the number of cells and genes increases.</w:t>
      </w:r>
    </w:p>
    <w:p w14:paraId="7499ADB0" w14:textId="5BE24E51" w:rsidR="002274A5" w:rsidRDefault="002274A5" w:rsidP="00BE1069">
      <w:pPr>
        <w:spacing w:after="0" w:line="240" w:lineRule="auto"/>
      </w:pPr>
      <w:r>
        <w:rPr>
          <w:noProof/>
        </w:rPr>
        <w:lastRenderedPageBreak/>
        <w:drawing>
          <wp:inline distT="0" distB="0" distL="0" distR="0" wp14:anchorId="045E111A" wp14:editId="4E6D823E">
            <wp:extent cx="2967716" cy="1992457"/>
            <wp:effectExtent l="0" t="0" r="4445" b="1905"/>
            <wp:docPr id="167" name="Picture 167" descr="https://c-hw.github.io/DEanalysis/figure/simulation_donor_effect.Rmd/unnamed-chunk-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https://c-hw.github.io/DEanalysis/figure/simulation_donor_effect.Rmd/unnamed-chunk-10-1.pn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5997"/>
                    <a:stretch/>
                  </pic:blipFill>
                  <pic:spPr bwMode="auto">
                    <a:xfrm>
                      <a:off x="0" y="0"/>
                      <a:ext cx="3010005" cy="2020849"/>
                    </a:xfrm>
                    <a:prstGeom prst="rect">
                      <a:avLst/>
                    </a:prstGeom>
                    <a:noFill/>
                    <a:ln>
                      <a:noFill/>
                    </a:ln>
                    <a:extLst>
                      <a:ext uri="{53640926-AAD7-44D8-BBD7-CCE9431645EC}">
                        <a14:shadowObscured xmlns:a14="http://schemas.microsoft.com/office/drawing/2010/main"/>
                      </a:ext>
                    </a:extLst>
                  </pic:spPr>
                </pic:pic>
              </a:graphicData>
            </a:graphic>
          </wp:inline>
        </w:drawing>
      </w:r>
      <w:r w:rsidRPr="00AC1BB1">
        <w:rPr>
          <w:noProof/>
        </w:rPr>
        <w:drawing>
          <wp:inline distT="0" distB="0" distL="0" distR="0" wp14:anchorId="13E36733" wp14:editId="3D6E486A">
            <wp:extent cx="2092037" cy="3626649"/>
            <wp:effectExtent l="0" t="0" r="3810" b="5715"/>
            <wp:docPr id="168" name="Picture 168"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Picture 168" descr="A screenshot of a computer program&#10;&#10;AI-generated content may be incorrect."/>
                    <pic:cNvPicPr/>
                  </pic:nvPicPr>
                  <pic:blipFill>
                    <a:blip r:embed="rId20"/>
                    <a:stretch>
                      <a:fillRect/>
                    </a:stretch>
                  </pic:blipFill>
                  <pic:spPr>
                    <a:xfrm>
                      <a:off x="0" y="0"/>
                      <a:ext cx="2140074" cy="3709923"/>
                    </a:xfrm>
                    <a:prstGeom prst="rect">
                      <a:avLst/>
                    </a:prstGeom>
                  </pic:spPr>
                </pic:pic>
              </a:graphicData>
            </a:graphic>
          </wp:inline>
        </w:drawing>
      </w:r>
    </w:p>
    <w:p w14:paraId="5FC441E0" w14:textId="77777777" w:rsidR="002274A5" w:rsidRDefault="002274A5" w:rsidP="00BE1069">
      <w:pPr>
        <w:spacing w:after="0" w:line="240" w:lineRule="auto"/>
      </w:pPr>
    </w:p>
    <w:p w14:paraId="57C82FFF" w14:textId="77777777" w:rsidR="002274A5" w:rsidRDefault="002274A5" w:rsidP="002274A5">
      <w:pPr>
        <w:jc w:val="both"/>
        <w:rPr>
          <w:rFonts w:ascii="Arial" w:eastAsia="Times New Roman" w:hAnsi="Arial" w:cs="Arial"/>
        </w:rPr>
      </w:pPr>
      <w:r w:rsidRPr="007C6747">
        <w:rPr>
          <w:rFonts w:ascii="Arial" w:eastAsia="Times New Roman" w:hAnsi="Arial" w:cs="Arial"/>
        </w:rPr>
        <w:t xml:space="preserve">11.We all know that all differential expression analyses are based on reliable clustering results, but the UMAP plot (Fig.2A) in Study 1 shows a relatively disordered clustering. The authors should incorporate a </w:t>
      </w:r>
      <w:r w:rsidRPr="00DA417C">
        <w:rPr>
          <w:rFonts w:ascii="Arial" w:eastAsia="Times New Roman" w:hAnsi="Arial" w:cs="Arial"/>
        </w:rPr>
        <w:t>dataset with more accurate cell type annotations</w:t>
      </w:r>
      <w:r w:rsidRPr="007C6747">
        <w:rPr>
          <w:rFonts w:ascii="Arial" w:eastAsia="Times New Roman" w:hAnsi="Arial" w:cs="Arial"/>
        </w:rPr>
        <w:t xml:space="preserve"> to reevaluate the results.</w:t>
      </w:r>
    </w:p>
    <w:p w14:paraId="35E6226D" w14:textId="77777777" w:rsidR="002274A5" w:rsidRDefault="002274A5" w:rsidP="002274A5">
      <w:pPr>
        <w:rPr>
          <w:rFonts w:ascii="Arial" w:eastAsia="Times New Roman" w:hAnsi="Arial" w:cs="Arial"/>
        </w:rPr>
      </w:pPr>
    </w:p>
    <w:p w14:paraId="58C392CD" w14:textId="77777777" w:rsidR="002274A5" w:rsidRPr="007C6747" w:rsidRDefault="002274A5" w:rsidP="002274A5">
      <w:pPr>
        <w:rPr>
          <w:rFonts w:ascii="Arial" w:eastAsia="Times New Roman" w:hAnsi="Arial" w:cs="Arial"/>
        </w:rPr>
      </w:pPr>
      <w:r w:rsidRPr="00DA417C">
        <w:rPr>
          <w:rFonts w:ascii="Arial" w:eastAsia="Times New Roman" w:hAnsi="Arial" w:cs="Arial"/>
          <w:color w:val="77206D" w:themeColor="accent5" w:themeShade="BF"/>
        </w:rPr>
        <w:t xml:space="preserve">Thank you for the suggestions. </w:t>
      </w:r>
      <w:r>
        <w:rPr>
          <w:rFonts w:ascii="Arial" w:eastAsia="Times New Roman" w:hAnsi="Arial" w:cs="Arial"/>
          <w:color w:val="77206D" w:themeColor="accent5" w:themeShade="BF"/>
        </w:rPr>
        <w:t>As mentioned at the beginning of this report, we have added a human spinal cord dataset (case study 2) with accurate annotations for regions and perform DE analysis between dorsal horn and ventral lateral white regions. The results can be found in “</w:t>
      </w:r>
      <w:r w:rsidRPr="007B79E0">
        <w:rPr>
          <w:rFonts w:ascii="Arial" w:eastAsia="Times New Roman" w:hAnsi="Arial" w:cs="Arial"/>
          <w:color w:val="77206D" w:themeColor="accent5" w:themeShade="BF"/>
        </w:rPr>
        <w:t>Case study 2: DE analysis on different regions of human spinal cord cells</w:t>
      </w:r>
      <w:r>
        <w:rPr>
          <w:rFonts w:ascii="Arial" w:eastAsia="Times New Roman" w:hAnsi="Arial" w:cs="Arial"/>
          <w:color w:val="77206D" w:themeColor="accent5" w:themeShade="BF"/>
        </w:rPr>
        <w:t xml:space="preserve">”. </w:t>
      </w:r>
      <w:r w:rsidRPr="007C6747">
        <w:rPr>
          <w:rFonts w:ascii="Arial" w:eastAsia="Times New Roman" w:hAnsi="Arial" w:cs="Arial"/>
        </w:rPr>
        <w:br/>
      </w:r>
    </w:p>
    <w:p w14:paraId="61E3AF31" w14:textId="77777777" w:rsidR="002274A5" w:rsidRDefault="002274A5" w:rsidP="002274A5">
      <w:pPr>
        <w:rPr>
          <w:rFonts w:ascii="Arial" w:eastAsia="Times New Roman" w:hAnsi="Arial" w:cs="Arial"/>
        </w:rPr>
      </w:pPr>
      <w:r w:rsidRPr="007C6747">
        <w:rPr>
          <w:rFonts w:ascii="Arial" w:eastAsia="Times New Roman" w:hAnsi="Arial" w:cs="Arial"/>
        </w:rPr>
        <w:t>12.Fig. S3a is not referenced.</w:t>
      </w:r>
      <w:r w:rsidRPr="007C6747">
        <w:rPr>
          <w:rFonts w:ascii="Arial" w:eastAsia="Times New Roman" w:hAnsi="Arial" w:cs="Arial"/>
        </w:rPr>
        <w:br/>
      </w:r>
      <w:r w:rsidRPr="007C6747">
        <w:rPr>
          <w:rFonts w:ascii="Arial" w:eastAsia="Times New Roman" w:hAnsi="Arial" w:cs="Arial"/>
        </w:rPr>
        <w:br/>
      </w:r>
      <w:r>
        <w:rPr>
          <w:rFonts w:ascii="Arial" w:eastAsia="Times New Roman" w:hAnsi="Arial" w:cs="Arial"/>
          <w:color w:val="77206D" w:themeColor="accent5" w:themeShade="BF"/>
        </w:rPr>
        <w:t>Thanks for pointing out. We have removed the supplementary figures that are not referenced.</w:t>
      </w:r>
      <w:r w:rsidRPr="007C6747">
        <w:rPr>
          <w:rFonts w:ascii="Arial" w:eastAsia="Times New Roman" w:hAnsi="Arial" w:cs="Arial"/>
        </w:rPr>
        <w:br/>
      </w:r>
    </w:p>
    <w:p w14:paraId="771465CB" w14:textId="77777777" w:rsidR="002274A5" w:rsidRPr="007C6747" w:rsidRDefault="002274A5" w:rsidP="002274A5">
      <w:pPr>
        <w:rPr>
          <w:rFonts w:ascii="Arial" w:eastAsia="Times New Roman" w:hAnsi="Arial" w:cs="Arial"/>
          <w:b/>
        </w:rPr>
      </w:pPr>
      <w:r w:rsidRPr="007C6747">
        <w:rPr>
          <w:rFonts w:ascii="Arial" w:eastAsia="Times New Roman" w:hAnsi="Arial" w:cs="Arial"/>
          <w:b/>
        </w:rPr>
        <w:t>Responses to Reviewer #</w:t>
      </w:r>
      <w:r>
        <w:rPr>
          <w:rFonts w:ascii="Arial" w:eastAsia="Times New Roman" w:hAnsi="Arial" w:cs="Arial"/>
          <w:b/>
        </w:rPr>
        <w:t>2</w:t>
      </w:r>
    </w:p>
    <w:p w14:paraId="649216A7" w14:textId="77777777" w:rsidR="002274A5" w:rsidRDefault="002274A5" w:rsidP="002274A5">
      <w:pPr>
        <w:rPr>
          <w:rFonts w:ascii="Arial" w:eastAsia="Times New Roman" w:hAnsi="Arial" w:cs="Arial"/>
        </w:rPr>
      </w:pPr>
    </w:p>
    <w:p w14:paraId="537BF2E3" w14:textId="77777777" w:rsidR="002274A5" w:rsidRDefault="002274A5" w:rsidP="002274A5">
      <w:pPr>
        <w:jc w:val="both"/>
        <w:rPr>
          <w:rFonts w:ascii="Arial" w:eastAsia="Times New Roman" w:hAnsi="Arial" w:cs="Arial"/>
        </w:rPr>
      </w:pPr>
      <w:r w:rsidRPr="007C6747">
        <w:rPr>
          <w:rFonts w:ascii="Arial" w:eastAsia="Times New Roman" w:hAnsi="Arial" w:cs="Arial"/>
        </w:rPr>
        <w:t>Reviewer #2: </w:t>
      </w:r>
    </w:p>
    <w:p w14:paraId="5521CFB9" w14:textId="77777777" w:rsidR="002274A5" w:rsidRDefault="002274A5" w:rsidP="002274A5">
      <w:pPr>
        <w:jc w:val="both"/>
        <w:rPr>
          <w:rFonts w:ascii="Arial" w:eastAsia="Times New Roman" w:hAnsi="Arial" w:cs="Arial"/>
        </w:rPr>
      </w:pPr>
      <w:r w:rsidRPr="007C6747">
        <w:rPr>
          <w:rFonts w:ascii="Arial" w:eastAsia="Times New Roman" w:hAnsi="Arial" w:cs="Arial"/>
        </w:rPr>
        <w:br/>
        <w:t xml:space="preserve">The current manuscript presents a perspective on the effect of four major confounding </w:t>
      </w:r>
      <w:r w:rsidRPr="007C6747">
        <w:rPr>
          <w:rFonts w:ascii="Arial" w:eastAsia="Times New Roman" w:hAnsi="Arial" w:cs="Arial"/>
        </w:rPr>
        <w:lastRenderedPageBreak/>
        <w:t>factors in single-cell experimental setup - normalization, excessive zeros, donor effect and cumulative biases. As a proof of concept, the manuscript has considered two case studies from real experiments. The points raised by the manuscript are relevant and affect hundreds of single-cell studies and analysis papers. I have some concerns about the current paper. The current writing lacks clarity when describing the analysis and the related plots. Below are my major and minor concerns about the current paper. </w:t>
      </w:r>
      <w:r w:rsidRPr="007C6747">
        <w:rPr>
          <w:rFonts w:ascii="Arial" w:eastAsia="Times New Roman" w:hAnsi="Arial" w:cs="Arial"/>
        </w:rPr>
        <w:br/>
      </w:r>
    </w:p>
    <w:p w14:paraId="0D2ABD35" w14:textId="77777777" w:rsidR="002274A5" w:rsidRDefault="002274A5" w:rsidP="002274A5">
      <w:pPr>
        <w:rPr>
          <w:rFonts w:ascii="Arial" w:eastAsia="Times New Roman" w:hAnsi="Arial" w:cs="Arial"/>
        </w:rPr>
      </w:pPr>
      <w:r w:rsidRPr="006F5603">
        <w:rPr>
          <w:rFonts w:ascii="Arial" w:hAnsi="Arial" w:cs="Arial"/>
          <w:color w:val="77206D" w:themeColor="accent5" w:themeShade="BF"/>
        </w:rPr>
        <w:t>Thank you for the comments. Our detailed responses are listed below.</w:t>
      </w:r>
      <w:r w:rsidRPr="007C6747">
        <w:rPr>
          <w:rFonts w:ascii="Arial" w:eastAsia="Times New Roman" w:hAnsi="Arial" w:cs="Arial"/>
        </w:rPr>
        <w:br/>
      </w:r>
      <w:r w:rsidRPr="007C6747">
        <w:rPr>
          <w:rFonts w:ascii="Arial" w:eastAsia="Times New Roman" w:hAnsi="Arial" w:cs="Arial"/>
        </w:rPr>
        <w:br/>
        <w:t>Major Concerns</w:t>
      </w:r>
      <w:r w:rsidRPr="007C6747">
        <w:rPr>
          <w:rFonts w:ascii="Arial" w:eastAsia="Times New Roman" w:hAnsi="Arial" w:cs="Arial"/>
        </w:rPr>
        <w:br/>
      </w:r>
      <w:r w:rsidRPr="007C6747">
        <w:rPr>
          <w:rFonts w:ascii="Arial" w:eastAsia="Times New Roman" w:hAnsi="Arial" w:cs="Arial"/>
        </w:rPr>
        <w:br/>
        <w:t>1. Novelty of the analysis --</w:t>
      </w:r>
      <w:r>
        <w:rPr>
          <w:rFonts w:ascii="Arial" w:eastAsia="Times New Roman" w:hAnsi="Arial" w:cs="Arial"/>
        </w:rPr>
        <w:t xml:space="preserve"> </w:t>
      </w:r>
      <w:r w:rsidRPr="007C6747">
        <w:rPr>
          <w:rFonts w:ascii="Arial" w:eastAsia="Times New Roman" w:hAnsi="Arial" w:cs="Arial"/>
        </w:rPr>
        <w:t xml:space="preserve">While the discussed problems about single-cell DE are relevant, there is a large body of papers have produced extensive benchmark on the same topic, </w:t>
      </w:r>
      <w:proofErr w:type="spellStart"/>
      <w:r w:rsidRPr="007C6747">
        <w:rPr>
          <w:rFonts w:ascii="Arial" w:eastAsia="Times New Roman" w:hAnsi="Arial" w:cs="Arial"/>
        </w:rPr>
        <w:t>e.g</w:t>
      </w:r>
      <w:proofErr w:type="spellEnd"/>
      <w:r w:rsidRPr="007C6747">
        <w:rPr>
          <w:rFonts w:ascii="Arial" w:eastAsia="Times New Roman" w:hAnsi="Arial" w:cs="Arial"/>
        </w:rPr>
        <w:t>, </w:t>
      </w:r>
    </w:p>
    <w:p w14:paraId="3BA95B4B" w14:textId="77777777" w:rsidR="002274A5" w:rsidRDefault="002274A5" w:rsidP="002274A5">
      <w:pPr>
        <w:jc w:val="both"/>
        <w:rPr>
          <w:rFonts w:ascii="Arial" w:eastAsia="Times New Roman" w:hAnsi="Arial" w:cs="Arial"/>
        </w:rPr>
      </w:pPr>
      <w:hyperlink r:id="rId21" w:history="1">
        <w:r w:rsidRPr="00D32F1F">
          <w:rPr>
            <w:rStyle w:val="Hyperlink"/>
            <w:rFonts w:ascii="Arial" w:eastAsia="Times New Roman" w:hAnsi="Arial" w:cs="Arial"/>
          </w:rPr>
          <w:t>https://www.nature.com/articles/s41467-023-37126-3</w:t>
        </w:r>
      </w:hyperlink>
      <w:r w:rsidRPr="007C6747">
        <w:rPr>
          <w:rFonts w:ascii="Arial" w:eastAsia="Times New Roman" w:hAnsi="Arial" w:cs="Arial"/>
        </w:rPr>
        <w:br/>
      </w:r>
      <w:hyperlink r:id="rId22" w:history="1">
        <w:r w:rsidRPr="007C6747">
          <w:rPr>
            <w:rFonts w:ascii="Arial" w:eastAsia="Times New Roman" w:hAnsi="Arial" w:cs="Arial"/>
            <w:color w:val="0000FF"/>
            <w:u w:val="single"/>
          </w:rPr>
          <w:t>https://genomebiology.biomedcentral.com/articles/10.1186/s13059-019-1850-9</w:t>
        </w:r>
      </w:hyperlink>
      <w:r w:rsidRPr="007C6747">
        <w:rPr>
          <w:rFonts w:ascii="Arial" w:eastAsia="Times New Roman" w:hAnsi="Arial" w:cs="Arial"/>
        </w:rPr>
        <w:br/>
      </w:r>
      <w:hyperlink r:id="rId23" w:history="1">
        <w:r w:rsidRPr="007C6747">
          <w:rPr>
            <w:rFonts w:ascii="Arial" w:eastAsia="Times New Roman" w:hAnsi="Arial" w:cs="Arial"/>
            <w:color w:val="0000FF"/>
            <w:u w:val="single"/>
          </w:rPr>
          <w:t>https://genomebiology.biomedcentral.com/articles/10.1186/s13059-023-02978-x</w:t>
        </w:r>
      </w:hyperlink>
      <w:r w:rsidRPr="007C6747">
        <w:rPr>
          <w:rFonts w:ascii="Arial" w:eastAsia="Times New Roman" w:hAnsi="Arial" w:cs="Arial"/>
        </w:rPr>
        <w:br/>
      </w:r>
      <w:hyperlink r:id="rId24" w:history="1">
        <w:r w:rsidRPr="007C6747">
          <w:rPr>
            <w:rFonts w:ascii="Arial" w:eastAsia="Times New Roman" w:hAnsi="Arial" w:cs="Arial"/>
            <w:color w:val="0000FF"/>
            <w:u w:val="single"/>
          </w:rPr>
          <w:t>https://www.nature.com/articles/s41592-023-01814-1</w:t>
        </w:r>
      </w:hyperlink>
    </w:p>
    <w:p w14:paraId="6B201932" w14:textId="77777777" w:rsidR="002274A5" w:rsidRDefault="002274A5" w:rsidP="002274A5">
      <w:pPr>
        <w:jc w:val="both"/>
        <w:rPr>
          <w:rFonts w:ascii="Arial" w:eastAsia="Times New Roman" w:hAnsi="Arial" w:cs="Arial"/>
        </w:rPr>
      </w:pPr>
      <w:r w:rsidRPr="007C6747">
        <w:rPr>
          <w:rFonts w:ascii="Arial" w:eastAsia="Times New Roman" w:hAnsi="Arial" w:cs="Arial"/>
        </w:rPr>
        <w:br/>
        <w:t xml:space="preserve">While some of these benchmark papers are also cited in the manuscript, it is unclear what the current manuscript presents that is different or novel in terms of downstream results (not in terms of the statistical model itself, as that has been described well) compared to these existing studies in terms of identifying the over-correction of batch effects and </w:t>
      </w:r>
      <w:proofErr w:type="spellStart"/>
      <w:r w:rsidRPr="007C6747">
        <w:rPr>
          <w:rFonts w:ascii="Arial" w:eastAsia="Times New Roman" w:hAnsi="Arial" w:cs="Arial"/>
        </w:rPr>
        <w:t>modeling</w:t>
      </w:r>
      <w:proofErr w:type="spellEnd"/>
      <w:r w:rsidRPr="007C6747">
        <w:rPr>
          <w:rFonts w:ascii="Arial" w:eastAsia="Times New Roman" w:hAnsi="Arial" w:cs="Arial"/>
        </w:rPr>
        <w:t xml:space="preserve"> the over-representation of zeros.  </w:t>
      </w:r>
    </w:p>
    <w:p w14:paraId="497381E8" w14:textId="77777777" w:rsidR="002274A5" w:rsidRDefault="002274A5" w:rsidP="002274A5">
      <w:pPr>
        <w:jc w:val="both"/>
        <w:rPr>
          <w:rFonts w:ascii="Arial" w:eastAsia="Times New Roman" w:hAnsi="Arial" w:cs="Arial"/>
        </w:rPr>
      </w:pPr>
    </w:p>
    <w:p w14:paraId="6F4B8D1A" w14:textId="77777777" w:rsidR="002274A5" w:rsidRPr="008414C6" w:rsidRDefault="002274A5" w:rsidP="002274A5">
      <w:pPr>
        <w:rPr>
          <w:rFonts w:ascii="Arial" w:eastAsia="Times New Roman" w:hAnsi="Arial" w:cs="Arial"/>
          <w:color w:val="77206D" w:themeColor="accent5" w:themeShade="BF"/>
        </w:rPr>
      </w:pPr>
      <w:r w:rsidRPr="008414C6">
        <w:rPr>
          <w:rFonts w:ascii="Arial" w:eastAsia="Times New Roman" w:hAnsi="Arial" w:cs="Arial"/>
          <w:color w:val="77206D" w:themeColor="accent5" w:themeShade="BF"/>
        </w:rPr>
        <w:t>Thank you for the constructive comments and for providing a comprehensive list of references.</w:t>
      </w:r>
    </w:p>
    <w:p w14:paraId="407106E5" w14:textId="77777777" w:rsidR="002274A5" w:rsidRPr="008414C6" w:rsidRDefault="002274A5" w:rsidP="002274A5">
      <w:pPr>
        <w:rPr>
          <w:rFonts w:ascii="Arial" w:eastAsia="Times New Roman" w:hAnsi="Arial" w:cs="Arial"/>
          <w:color w:val="77206D" w:themeColor="accent5" w:themeShade="BF"/>
        </w:rPr>
      </w:pPr>
    </w:p>
    <w:p w14:paraId="4B22611F" w14:textId="77777777" w:rsidR="002274A5"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 xml:space="preserve">The benchmark papers referenced primarily focus on comparing various transformation and integration methods. Our study, however, casts a wider net by assessing the impact of all preprocessing steps on differential expression (DE) analysis. We assert that DE analysis should not be seen merely as a subsequent step to clustering, but rather, we should exploit the distribution of </w:t>
      </w:r>
      <w:proofErr w:type="spellStart"/>
      <w:r w:rsidRPr="27E1536C">
        <w:rPr>
          <w:rFonts w:ascii="Arial" w:eastAsia="Times New Roman" w:hAnsi="Arial" w:cs="Arial"/>
          <w:color w:val="77206D" w:themeColor="accent5" w:themeShade="BF"/>
        </w:rPr>
        <w:t>scRNA-seq</w:t>
      </w:r>
      <w:proofErr w:type="spellEnd"/>
      <w:r w:rsidRPr="27E1536C">
        <w:rPr>
          <w:rFonts w:ascii="Arial" w:eastAsia="Times New Roman" w:hAnsi="Arial" w:cs="Arial"/>
          <w:color w:val="77206D" w:themeColor="accent5" w:themeShade="BF"/>
        </w:rPr>
        <w:t xml:space="preserve"> data to directly perform DE analysis. Consequently, our method excludes both normalization and integration steps, emphasizing the use of raw UMI counts directly at the single-cell level.</w:t>
      </w:r>
    </w:p>
    <w:p w14:paraId="00F4CB9D" w14:textId="77777777" w:rsidR="002274A5" w:rsidRDefault="002274A5" w:rsidP="002274A5">
      <w:pPr>
        <w:jc w:val="both"/>
        <w:rPr>
          <w:rFonts w:ascii="Arial" w:eastAsia="Times New Roman" w:hAnsi="Arial" w:cs="Arial"/>
          <w:color w:val="77206D" w:themeColor="accent5" w:themeShade="BF"/>
        </w:rPr>
      </w:pPr>
    </w:p>
    <w:p w14:paraId="4A340859" w14:textId="77777777" w:rsidR="002274A5" w:rsidRPr="008414C6"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lastRenderedPageBreak/>
        <w:t xml:space="preserve">A significant innovation of our study is our recommendation against normalization—a routine step in many existing methodologies. This approach not only pertains to integrated data but also extends to statistical models, such as those employing the median ratio factor in DESeq2 and the library-size factor in </w:t>
      </w:r>
      <w:proofErr w:type="spellStart"/>
      <w:r w:rsidRPr="27E1536C">
        <w:rPr>
          <w:rFonts w:ascii="Arial" w:eastAsia="Times New Roman" w:hAnsi="Arial" w:cs="Arial"/>
          <w:color w:val="77206D" w:themeColor="accent5" w:themeShade="BF"/>
        </w:rPr>
        <w:t>MMpoisson</w:t>
      </w:r>
      <w:proofErr w:type="spellEnd"/>
      <w:r w:rsidRPr="27E1536C">
        <w:rPr>
          <w:rFonts w:ascii="Arial" w:eastAsia="Times New Roman" w:hAnsi="Arial" w:cs="Arial"/>
          <w:color w:val="77206D" w:themeColor="accent5" w:themeShade="BF"/>
        </w:rPr>
        <w:t>.</w:t>
      </w:r>
    </w:p>
    <w:p w14:paraId="49310EA8" w14:textId="77777777" w:rsidR="002274A5" w:rsidRPr="00D36CB4" w:rsidRDefault="002274A5" w:rsidP="002274A5">
      <w:pPr>
        <w:jc w:val="both"/>
        <w:rPr>
          <w:rFonts w:ascii="Arial" w:eastAsia="Times New Roman" w:hAnsi="Arial" w:cs="Arial"/>
          <w:color w:val="77206D" w:themeColor="accent5" w:themeShade="BF"/>
        </w:rPr>
      </w:pPr>
      <w:r w:rsidRPr="008414C6">
        <w:rPr>
          <w:rFonts w:ascii="Arial" w:eastAsia="Times New Roman" w:hAnsi="Arial" w:cs="Arial"/>
          <w:color w:val="77206D" w:themeColor="accent5" w:themeShade="BF"/>
        </w:rPr>
        <w:t xml:space="preserve">In this manuscript, we systematically </w:t>
      </w:r>
      <w:proofErr w:type="spellStart"/>
      <w:r w:rsidRPr="008414C6">
        <w:rPr>
          <w:rFonts w:ascii="Arial" w:eastAsia="Times New Roman" w:hAnsi="Arial" w:cs="Arial"/>
          <w:color w:val="77206D" w:themeColor="accent5" w:themeShade="BF"/>
        </w:rPr>
        <w:t>analyzed</w:t>
      </w:r>
      <w:proofErr w:type="spellEnd"/>
      <w:r w:rsidRPr="008414C6">
        <w:rPr>
          <w:rFonts w:ascii="Arial" w:eastAsia="Times New Roman" w:hAnsi="Arial" w:cs="Arial"/>
          <w:color w:val="77206D" w:themeColor="accent5" w:themeShade="BF"/>
        </w:rPr>
        <w:t xml:space="preserve"> the impact of normalization, which is inherently embedded in existing methods—either through input data processing or within statistical models (as summarized in Table 1). Our results, shown in Figures 1a, S6e, and 6b, demonstrate that normalization can obscure differences in gene expression between cell types. This has a significant effect on DE analysis, particularly when comparing two cell types. Normalization also impacts the estimation of effect sizes and p-values, thereby influencing the identification of </w:t>
      </w:r>
      <w:r>
        <w:rPr>
          <w:rFonts w:ascii="Arial" w:eastAsia="Times New Roman" w:hAnsi="Arial" w:cs="Arial"/>
          <w:color w:val="77206D" w:themeColor="accent5" w:themeShade="BF"/>
        </w:rPr>
        <w:t>DEGs</w:t>
      </w:r>
      <w:r w:rsidRPr="008414C6">
        <w:rPr>
          <w:rFonts w:ascii="Arial" w:eastAsia="Times New Roman" w:hAnsi="Arial" w:cs="Arial"/>
          <w:color w:val="77206D" w:themeColor="accent5" w:themeShade="BF"/>
        </w:rPr>
        <w:t>.</w:t>
      </w:r>
      <w:r>
        <w:rPr>
          <w:rFonts w:ascii="Arial" w:eastAsia="Times New Roman" w:hAnsi="Arial" w:cs="Arial"/>
          <w:color w:val="77206D" w:themeColor="accent5" w:themeShade="BF"/>
        </w:rPr>
        <w:t xml:space="preserve"> </w:t>
      </w:r>
    </w:p>
    <w:p w14:paraId="7A0C1D8B" w14:textId="77777777" w:rsidR="002274A5" w:rsidRPr="00DD1A0A" w:rsidRDefault="002274A5" w:rsidP="002274A5">
      <w:pPr>
        <w:rPr>
          <w:rFonts w:ascii="Arial" w:eastAsia="Times New Roman" w:hAnsi="Arial" w:cs="Arial"/>
          <w:color w:val="77206D" w:themeColor="accent5" w:themeShade="BF"/>
        </w:rPr>
      </w:pPr>
    </w:p>
    <w:p w14:paraId="3DD64785" w14:textId="77777777" w:rsidR="002274A5" w:rsidRPr="00DD1A0A"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We also have added a comparison of Poisson-</w:t>
      </w:r>
      <w:proofErr w:type="spellStart"/>
      <w:r w:rsidRPr="27E1536C">
        <w:rPr>
          <w:rFonts w:ascii="Arial" w:eastAsia="Times New Roman" w:hAnsi="Arial" w:cs="Arial"/>
          <w:color w:val="77206D" w:themeColor="accent5" w:themeShade="BF"/>
        </w:rPr>
        <w:t>glmm</w:t>
      </w:r>
      <w:proofErr w:type="spellEnd"/>
      <w:r w:rsidRPr="27E1536C">
        <w:rPr>
          <w:rFonts w:ascii="Arial" w:eastAsia="Times New Roman" w:hAnsi="Arial" w:cs="Arial"/>
          <w:color w:val="77206D" w:themeColor="accent5" w:themeShade="BF"/>
        </w:rPr>
        <w:t xml:space="preserve"> with and without library-size factor as an offset isolating the impact of normalization</w:t>
      </w:r>
      <w:r>
        <w:rPr>
          <w:rFonts w:ascii="Arial" w:eastAsia="Times New Roman" w:hAnsi="Arial" w:cs="Arial"/>
          <w:color w:val="77206D" w:themeColor="accent5" w:themeShade="BF"/>
        </w:rPr>
        <w:t xml:space="preserve"> (“</w:t>
      </w:r>
      <w:r w:rsidRPr="001B64B6">
        <w:rPr>
          <w:rFonts w:ascii="Arial" w:eastAsia="Times New Roman" w:hAnsi="Arial" w:cs="Arial"/>
          <w:color w:val="77206D" w:themeColor="accent5" w:themeShade="BF"/>
        </w:rPr>
        <w:t>Poisson-</w:t>
      </w:r>
      <w:proofErr w:type="spellStart"/>
      <w:r w:rsidRPr="001B64B6">
        <w:rPr>
          <w:rFonts w:ascii="Arial" w:eastAsia="Times New Roman" w:hAnsi="Arial" w:cs="Arial"/>
          <w:color w:val="77206D" w:themeColor="accent5" w:themeShade="BF"/>
        </w:rPr>
        <w:t>glmm</w:t>
      </w:r>
      <w:proofErr w:type="spellEnd"/>
      <w:r w:rsidRPr="001B64B6">
        <w:rPr>
          <w:rFonts w:ascii="Arial" w:eastAsia="Times New Roman" w:hAnsi="Arial" w:cs="Arial"/>
          <w:color w:val="77206D" w:themeColor="accent5" w:themeShade="BF"/>
        </w:rPr>
        <w:t xml:space="preserve"> with and without library-size factor</w:t>
      </w:r>
      <w:r>
        <w:rPr>
          <w:rFonts w:ascii="Arial" w:eastAsia="Times New Roman" w:hAnsi="Arial" w:cs="Arial"/>
          <w:color w:val="77206D" w:themeColor="accent5" w:themeShade="BF"/>
        </w:rPr>
        <w:t>”)</w:t>
      </w:r>
      <w:r w:rsidRPr="27E1536C">
        <w:rPr>
          <w:rFonts w:ascii="Arial" w:eastAsia="Times New Roman" w:hAnsi="Arial" w:cs="Arial"/>
          <w:color w:val="77206D" w:themeColor="accent5" w:themeShade="BF"/>
        </w:rPr>
        <w:t xml:space="preserve">. The results attached below show that including the library size factor shifts the distribution </w:t>
      </w:r>
      <w:proofErr w:type="spellStart"/>
      <w:r w:rsidRPr="27E1536C">
        <w:rPr>
          <w:rFonts w:ascii="Arial" w:eastAsia="Times New Roman" w:hAnsi="Arial" w:cs="Arial"/>
          <w:color w:val="77206D" w:themeColor="accent5" w:themeShade="BF"/>
        </w:rPr>
        <w:t>center</w:t>
      </w:r>
      <w:proofErr w:type="spellEnd"/>
      <w:r w:rsidRPr="27E1536C">
        <w:rPr>
          <w:rFonts w:ascii="Arial" w:eastAsia="Times New Roman" w:hAnsi="Arial" w:cs="Arial"/>
          <w:color w:val="77206D" w:themeColor="accent5" w:themeShade="BF"/>
        </w:rPr>
        <w:t xml:space="preserve"> of log2 fold change closer to zero. This effect is also evident in the volcano plots for each comparison. Our methods preserve the imbalanced expression patterns, whereas other methods are either overly conservative or produce more biased estimates. </w:t>
      </w:r>
    </w:p>
    <w:p w14:paraId="5C5CE210" w14:textId="290819D0" w:rsidR="002274A5" w:rsidRDefault="002274A5" w:rsidP="002274A5">
      <w:pPr>
        <w:rPr>
          <w:rFonts w:ascii="Arial" w:eastAsia="Times New Roman" w:hAnsi="Arial" w:cs="Arial"/>
        </w:rPr>
      </w:pPr>
      <w:r w:rsidRPr="00E6776B">
        <w:rPr>
          <w:rFonts w:ascii="Arial" w:eastAsia="Times New Roman" w:hAnsi="Arial" w:cs="Arial"/>
          <w:noProof/>
          <w:color w:val="77206D" w:themeColor="accent5" w:themeShade="BF"/>
        </w:rPr>
        <w:drawing>
          <wp:inline distT="0" distB="0" distL="0" distR="0" wp14:anchorId="36D3099E" wp14:editId="0236D001">
            <wp:extent cx="5731510" cy="2250352"/>
            <wp:effectExtent l="0" t="0" r="2540" b="0"/>
            <wp:docPr id="3" name="Picture 3" descr="A group of graphs showing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group of graphs showing different colored lines&#10;&#10;AI-generated content may be incorrect."/>
                    <pic:cNvPicPr/>
                  </pic:nvPicPr>
                  <pic:blipFill>
                    <a:blip r:embed="rId17"/>
                    <a:stretch>
                      <a:fillRect/>
                    </a:stretch>
                  </pic:blipFill>
                  <pic:spPr>
                    <a:xfrm>
                      <a:off x="0" y="0"/>
                      <a:ext cx="5731510" cy="2250352"/>
                    </a:xfrm>
                    <a:prstGeom prst="rect">
                      <a:avLst/>
                    </a:prstGeom>
                  </pic:spPr>
                </pic:pic>
              </a:graphicData>
            </a:graphic>
          </wp:inline>
        </w:drawing>
      </w:r>
    </w:p>
    <w:p w14:paraId="3048B12F" w14:textId="77777777" w:rsidR="002274A5" w:rsidRDefault="002274A5" w:rsidP="002274A5">
      <w:pPr>
        <w:jc w:val="both"/>
        <w:rPr>
          <w:rFonts w:ascii="Arial" w:eastAsia="Times New Roman" w:hAnsi="Arial" w:cs="Arial"/>
          <w:color w:val="77206D" w:themeColor="accent5" w:themeShade="BF"/>
        </w:rPr>
      </w:pPr>
      <w:r>
        <w:rPr>
          <w:rFonts w:ascii="Arial" w:eastAsia="Times New Roman" w:hAnsi="Arial" w:cs="Arial"/>
          <w:color w:val="77206D" w:themeColor="accent5" w:themeShade="BF"/>
        </w:rPr>
        <w:t>To summarize</w:t>
      </w:r>
      <w:r w:rsidRPr="00D36CB4">
        <w:rPr>
          <w:rFonts w:ascii="Arial" w:eastAsia="Times New Roman" w:hAnsi="Arial" w:cs="Arial"/>
          <w:color w:val="77206D" w:themeColor="accent5" w:themeShade="BF"/>
        </w:rPr>
        <w:t xml:space="preserve">, we proposed a new paradigm that uses raw UMI counts as input rather than processed counts (Fig. 3). Instead of integrating data across batches, we </w:t>
      </w:r>
      <w:proofErr w:type="spellStart"/>
      <w:r w:rsidRPr="00D36CB4">
        <w:rPr>
          <w:rFonts w:ascii="Arial" w:eastAsia="Times New Roman" w:hAnsi="Arial" w:cs="Arial"/>
          <w:color w:val="77206D" w:themeColor="accent5" w:themeShade="BF"/>
        </w:rPr>
        <w:t>modeled</w:t>
      </w:r>
      <w:proofErr w:type="spellEnd"/>
      <w:r w:rsidRPr="00D36CB4">
        <w:rPr>
          <w:rFonts w:ascii="Arial" w:eastAsia="Times New Roman" w:hAnsi="Arial" w:cs="Arial"/>
          <w:color w:val="77206D" w:themeColor="accent5" w:themeShade="BF"/>
        </w:rPr>
        <w:t xml:space="preserve"> donor information and additional batch effects as random effects in our generalized linear mixed model. Unlike Muscat, our approach does not incorporate the library size factor as an offset. This strategy avoids cumulative bias and preserves the variation in the group of interest, which is often lost after data integration.</w:t>
      </w:r>
    </w:p>
    <w:p w14:paraId="6FC22207" w14:textId="77777777" w:rsidR="002274A5" w:rsidRDefault="002274A5" w:rsidP="002274A5">
      <w:pPr>
        <w:jc w:val="both"/>
        <w:rPr>
          <w:rFonts w:ascii="Arial" w:eastAsia="Times New Roman" w:hAnsi="Arial" w:cs="Arial"/>
          <w:color w:val="77206D" w:themeColor="accent5" w:themeShade="BF"/>
        </w:rPr>
      </w:pPr>
    </w:p>
    <w:p w14:paraId="05A04B1A" w14:textId="77777777" w:rsidR="002274A5"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 xml:space="preserve">In DE analysis, the decision to apply library-size normalization should be carefully evaluated based on the study design, as the appropriateness of normalization depends on the specific research question and data structure. Common DE analysis </w:t>
      </w:r>
      <w:r w:rsidRPr="27E1536C">
        <w:rPr>
          <w:rFonts w:ascii="Arial" w:eastAsia="Times New Roman" w:hAnsi="Arial" w:cs="Arial"/>
          <w:color w:val="77206D" w:themeColor="accent5" w:themeShade="BF"/>
        </w:rPr>
        <w:lastRenderedPageBreak/>
        <w:t>scenarios involve detecting gene expression changes across various experimental conditions, cell types, or biological factors. We outline four typical scenarios in Fig. 7e, each with distinct considerations for handling donor and batch effects.</w:t>
      </w:r>
    </w:p>
    <w:p w14:paraId="716DCEED" w14:textId="77777777" w:rsidR="002274A5" w:rsidRPr="00F97D7B" w:rsidRDefault="002274A5" w:rsidP="002274A5">
      <w:pPr>
        <w:jc w:val="both"/>
        <w:rPr>
          <w:rFonts w:ascii="Arial" w:eastAsia="Times New Roman" w:hAnsi="Arial" w:cs="Arial"/>
          <w:color w:val="77206D" w:themeColor="accent5" w:themeShade="BF"/>
        </w:rPr>
      </w:pPr>
    </w:p>
    <w:p w14:paraId="1CA859EE" w14:textId="77777777" w:rsidR="002274A5" w:rsidRDefault="002274A5" w:rsidP="002274A5">
      <w:pPr>
        <w:jc w:val="both"/>
        <w:rPr>
          <w:rFonts w:ascii="Arial" w:eastAsia="Times New Roman" w:hAnsi="Arial" w:cs="Arial"/>
          <w:color w:val="77206D" w:themeColor="accent5" w:themeShade="BF"/>
        </w:rPr>
      </w:pPr>
      <w:r w:rsidRPr="00F97D7B">
        <w:rPr>
          <w:rFonts w:ascii="Arial" w:eastAsia="Times New Roman" w:hAnsi="Arial" w:cs="Arial"/>
          <w:color w:val="77206D" w:themeColor="accent5" w:themeShade="BF"/>
        </w:rPr>
        <w:t>For instance, comparisons between distinct cell types or tissue regions (e.g., case studies 1 and 2) often allow for clear group distinctions where batch effects are less confounding. In contrast, DE analyses comparing treatment versus control groups or other experimental conditions (e.g., case study 3) are more prone to confounding because the cells of interest are simultaneously the focus and subject to batch effects. Furthermore, when multiple batches are derived from the same donor, as in case studies 2 and 3, additional layers of batch effects can complicate the analysis.</w:t>
      </w:r>
    </w:p>
    <w:p w14:paraId="018EAE72" w14:textId="77777777" w:rsidR="002274A5" w:rsidRPr="00F97D7B" w:rsidRDefault="002274A5" w:rsidP="002274A5">
      <w:pPr>
        <w:jc w:val="both"/>
        <w:rPr>
          <w:rFonts w:ascii="Arial" w:eastAsia="Times New Roman" w:hAnsi="Arial" w:cs="Arial"/>
          <w:color w:val="77206D" w:themeColor="accent5" w:themeShade="BF"/>
        </w:rPr>
      </w:pPr>
    </w:p>
    <w:p w14:paraId="59C6FA9E" w14:textId="77777777" w:rsidR="002274A5" w:rsidRDefault="002274A5" w:rsidP="002274A5">
      <w:pPr>
        <w:jc w:val="both"/>
        <w:rPr>
          <w:rFonts w:ascii="Arial" w:eastAsia="Times New Roman" w:hAnsi="Arial" w:cs="Arial"/>
          <w:color w:val="77206D" w:themeColor="accent5" w:themeShade="BF"/>
        </w:rPr>
      </w:pPr>
      <w:r w:rsidRPr="00F97D7B">
        <w:rPr>
          <w:rFonts w:ascii="Arial" w:eastAsia="Times New Roman" w:hAnsi="Arial" w:cs="Arial"/>
          <w:color w:val="77206D" w:themeColor="accent5" w:themeShade="BF"/>
        </w:rPr>
        <w:t>In such scenarios, the impact of library size normalization must be considered carefully. While normalization may mitigate biases in datasets with large library size variations, it can also obscure biologically relevant signals or introduce artifacts, particularly when group composition or cell states differ significantly. A thoughtful evaluation of the study design, data structure, and the specific confounding factors present is essential to determine whether normalization is appropriate and to select the most suitable method for DE analysis. Addressing these factors according to the scenario at hand is crucial for obtaining accurate and biologically meaningful results.</w:t>
      </w:r>
    </w:p>
    <w:p w14:paraId="418969DF" w14:textId="77777777" w:rsidR="002274A5" w:rsidRPr="00F97D7B" w:rsidRDefault="002274A5" w:rsidP="002274A5">
      <w:pPr>
        <w:jc w:val="both"/>
        <w:rPr>
          <w:rFonts w:ascii="Arial" w:eastAsia="Times New Roman" w:hAnsi="Arial" w:cs="Arial"/>
          <w:color w:val="77206D" w:themeColor="accent5" w:themeShade="BF"/>
        </w:rPr>
      </w:pPr>
      <w:r w:rsidRPr="007C6747">
        <w:rPr>
          <w:rFonts w:ascii="Arial" w:eastAsia="Times New Roman" w:hAnsi="Arial" w:cs="Arial"/>
        </w:rPr>
        <w:br/>
      </w:r>
      <w:r w:rsidRPr="00710336">
        <w:rPr>
          <w:rFonts w:ascii="Arial" w:eastAsia="Times New Roman" w:hAnsi="Arial" w:cs="Arial"/>
        </w:rPr>
        <w:t>2.</w:t>
      </w:r>
      <w:r w:rsidRPr="007C6747">
        <w:rPr>
          <w:rFonts w:ascii="Arial" w:eastAsia="Times New Roman" w:hAnsi="Arial" w:cs="Arial"/>
        </w:rPr>
        <w:t xml:space="preserve"> It is not clear to me how the contribution of the donor plot is to be interpreted (produced by HIPPO). Maybe add a reference to Figure 2d. Figure 1a shows </w:t>
      </w:r>
      <w:proofErr w:type="spellStart"/>
      <w:r w:rsidRPr="007C6747">
        <w:rPr>
          <w:rFonts w:ascii="Arial" w:eastAsia="Times New Roman" w:hAnsi="Arial" w:cs="Arial"/>
        </w:rPr>
        <w:t>umap</w:t>
      </w:r>
      <w:proofErr w:type="spellEnd"/>
      <w:r w:rsidRPr="007C6747">
        <w:rPr>
          <w:rFonts w:ascii="Arial" w:eastAsia="Times New Roman" w:hAnsi="Arial" w:cs="Arial"/>
        </w:rPr>
        <w:t xml:space="preserve"> of 20 clusters from study 1 where the </w:t>
      </w:r>
      <w:r w:rsidRPr="00F33E5B">
        <w:rPr>
          <w:rFonts w:ascii="Arial" w:eastAsia="Times New Roman" w:hAnsi="Arial" w:cs="Arial"/>
        </w:rPr>
        <w:t>clusters overlap with each other</w:t>
      </w:r>
      <w:r w:rsidRPr="007C6747">
        <w:rPr>
          <w:rFonts w:ascii="Arial" w:eastAsia="Times New Roman" w:hAnsi="Arial" w:cs="Arial"/>
        </w:rPr>
        <w:t xml:space="preserve"> to a great extent. I am not sure if this clustering represents the reality of cell-types. One way to understand the validity of cell-types is to have clearly separable markers. The </w:t>
      </w:r>
      <w:proofErr w:type="spellStart"/>
      <w:r w:rsidRPr="007C6747">
        <w:rPr>
          <w:rFonts w:ascii="Arial" w:eastAsia="Times New Roman" w:hAnsi="Arial" w:cs="Arial"/>
        </w:rPr>
        <w:t>dotplot</w:t>
      </w:r>
      <w:proofErr w:type="spellEnd"/>
      <w:r w:rsidRPr="007C6747">
        <w:rPr>
          <w:rFonts w:ascii="Arial" w:eastAsia="Times New Roman" w:hAnsi="Arial" w:cs="Arial"/>
        </w:rPr>
        <w:t xml:space="preserve"> provided in the 2b does not really represent a very distinct cell-type. It seems there are a lot of shared markers. </w:t>
      </w:r>
    </w:p>
    <w:p w14:paraId="4FAF7996" w14:textId="77777777" w:rsidR="002274A5" w:rsidRDefault="002274A5" w:rsidP="002274A5">
      <w:pPr>
        <w:rPr>
          <w:rFonts w:ascii="Arial" w:eastAsia="Times New Roman" w:hAnsi="Arial" w:cs="Arial"/>
        </w:rPr>
      </w:pPr>
    </w:p>
    <w:p w14:paraId="19D846B6" w14:textId="77777777" w:rsidR="002274A5" w:rsidRDefault="002274A5" w:rsidP="002274A5">
      <w:pPr>
        <w:jc w:val="both"/>
        <w:rPr>
          <w:rFonts w:ascii="Arial" w:eastAsia="Times New Roman" w:hAnsi="Arial" w:cs="Arial"/>
          <w:color w:val="77206D" w:themeColor="accent5" w:themeShade="BF"/>
        </w:rPr>
      </w:pPr>
      <w:r w:rsidRPr="00422E59">
        <w:rPr>
          <w:rFonts w:ascii="Arial" w:eastAsia="Times New Roman" w:hAnsi="Arial" w:cs="Arial"/>
          <w:color w:val="77206D" w:themeColor="accent5" w:themeShade="BF"/>
        </w:rPr>
        <w:t xml:space="preserve">Thank you for the </w:t>
      </w:r>
      <w:r w:rsidRPr="00F33E5B">
        <w:rPr>
          <w:rFonts w:ascii="Arial" w:eastAsia="Times New Roman" w:hAnsi="Arial" w:cs="Arial"/>
          <w:color w:val="77206D" w:themeColor="accent5" w:themeShade="BF"/>
        </w:rPr>
        <w:t xml:space="preserve">comments. I’m </w:t>
      </w:r>
      <w:r>
        <w:rPr>
          <w:rFonts w:ascii="Arial" w:eastAsia="Times New Roman" w:hAnsi="Arial" w:cs="Arial"/>
          <w:color w:val="77206D" w:themeColor="accent5" w:themeShade="BF"/>
        </w:rPr>
        <w:t>assuming that you meant 2c (donor distribution plot) here instead of 2d. For Fig. 2c, we simply showed the distribution of donors in each HIPPO cluster. And we selected some clusters with all donors included to do DE analysis. And I’m assuming you meant Fig. 2a referring to the UMAP instead of Fig. 1a. The UMAP may not show a clear distinction since we’ve focused on T/NK cells and tried to identify potential sub cell types.</w:t>
      </w:r>
    </w:p>
    <w:p w14:paraId="191D7814" w14:textId="77777777" w:rsidR="002274A5" w:rsidRDefault="002274A5" w:rsidP="002274A5">
      <w:pPr>
        <w:jc w:val="both"/>
        <w:rPr>
          <w:rFonts w:ascii="Arial" w:eastAsia="Times New Roman" w:hAnsi="Arial" w:cs="Arial"/>
          <w:color w:val="77206D" w:themeColor="accent5" w:themeShade="BF"/>
        </w:rPr>
      </w:pPr>
    </w:p>
    <w:p w14:paraId="1A946771" w14:textId="77777777" w:rsidR="002274A5" w:rsidRDefault="002274A5" w:rsidP="002274A5">
      <w:pPr>
        <w:jc w:val="both"/>
        <w:rPr>
          <w:rFonts w:ascii="Arial" w:eastAsia="Times New Roman" w:hAnsi="Arial" w:cs="Arial"/>
          <w:color w:val="77206D" w:themeColor="accent5" w:themeShade="BF"/>
        </w:rPr>
      </w:pPr>
      <w:r>
        <w:rPr>
          <w:rFonts w:ascii="Arial" w:eastAsia="Times New Roman" w:hAnsi="Arial" w:cs="Arial"/>
          <w:color w:val="77206D" w:themeColor="accent5" w:themeShade="BF"/>
        </w:rPr>
        <w:t xml:space="preserve">To address the concern, we have included a human spinal cord dataset in case study 2, with reliable region annotation. Overall, the observation on the impact of </w:t>
      </w:r>
      <w:r>
        <w:rPr>
          <w:rFonts w:ascii="Arial" w:eastAsia="Times New Roman" w:hAnsi="Arial" w:cs="Arial"/>
          <w:color w:val="77206D" w:themeColor="accent5" w:themeShade="BF"/>
        </w:rPr>
        <w:lastRenderedPageBreak/>
        <w:t>normalization on DE analysis is consistent with the other case studies. The results can be found in “</w:t>
      </w:r>
      <w:r w:rsidRPr="001B64B6">
        <w:rPr>
          <w:rFonts w:ascii="Arial" w:eastAsia="Times New Roman" w:hAnsi="Arial" w:cs="Arial"/>
          <w:color w:val="77206D" w:themeColor="accent5" w:themeShade="BF"/>
        </w:rPr>
        <w:t>Case study 2: DE analysis on different regions of human spinal cord cells</w:t>
      </w:r>
      <w:r>
        <w:rPr>
          <w:rFonts w:ascii="Arial" w:eastAsia="Times New Roman" w:hAnsi="Arial" w:cs="Arial"/>
          <w:color w:val="77206D" w:themeColor="accent5" w:themeShade="BF"/>
        </w:rPr>
        <w:t>”.</w:t>
      </w:r>
    </w:p>
    <w:p w14:paraId="4A511B2A" w14:textId="77777777" w:rsidR="002274A5" w:rsidRPr="00F1394F" w:rsidRDefault="002274A5" w:rsidP="002274A5">
      <w:pPr>
        <w:jc w:val="both"/>
        <w:rPr>
          <w:rFonts w:ascii="Arial" w:eastAsia="Times New Roman" w:hAnsi="Arial" w:cs="Arial"/>
          <w:color w:val="77206D" w:themeColor="accent5" w:themeShade="BF"/>
        </w:rPr>
      </w:pPr>
      <w:r w:rsidRPr="007C6747">
        <w:rPr>
          <w:rFonts w:ascii="Arial" w:eastAsia="Times New Roman" w:hAnsi="Arial" w:cs="Arial"/>
        </w:rPr>
        <w:br/>
        <w:t xml:space="preserve">3. What is the underlying data for Figure 2d? It would be advisable to write down the represented coefficient and the linear model in clear mathematical symbols in either the method section or in the supplementary material. Figure 2c shows proportion for cell-types. Is this quantity used as a response variable? If that's the case, what are the data points? Overall Figure 2d is the foundational figure for one of the major claims of the paper. It would be great to explain the construction and </w:t>
      </w:r>
      <w:proofErr w:type="spellStart"/>
      <w:r w:rsidRPr="007C6747">
        <w:rPr>
          <w:rFonts w:ascii="Arial" w:eastAsia="Times New Roman" w:hAnsi="Arial" w:cs="Arial"/>
        </w:rPr>
        <w:t>analyze</w:t>
      </w:r>
      <w:proofErr w:type="spellEnd"/>
      <w:r w:rsidRPr="007C6747">
        <w:rPr>
          <w:rFonts w:ascii="Arial" w:eastAsia="Times New Roman" w:hAnsi="Arial" w:cs="Arial"/>
        </w:rPr>
        <w:t xml:space="preserve"> the plot in detail. This problem also applies to Figure 2e. Is each point a gene in the scatterplot? If yes, </w:t>
      </w:r>
      <w:proofErr w:type="gramStart"/>
      <w:r w:rsidRPr="007C6747">
        <w:rPr>
          <w:rFonts w:ascii="Arial" w:eastAsia="Times New Roman" w:hAnsi="Arial" w:cs="Arial"/>
        </w:rPr>
        <w:t>But</w:t>
      </w:r>
      <w:proofErr w:type="gramEnd"/>
      <w:r w:rsidRPr="007C6747">
        <w:rPr>
          <w:rFonts w:ascii="Arial" w:eastAsia="Times New Roman" w:hAnsi="Arial" w:cs="Arial"/>
        </w:rPr>
        <w:t xml:space="preserve"> then what is meant by variation of proportion?</w:t>
      </w:r>
    </w:p>
    <w:p w14:paraId="248BEE2E" w14:textId="77777777" w:rsidR="002274A5" w:rsidRDefault="002274A5" w:rsidP="002274A5">
      <w:pPr>
        <w:rPr>
          <w:rFonts w:ascii="Arial" w:eastAsia="Times New Roman" w:hAnsi="Arial" w:cs="Arial"/>
        </w:rPr>
      </w:pPr>
    </w:p>
    <w:p w14:paraId="273D1EF9" w14:textId="77777777" w:rsidR="002274A5"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Thank you for the comments. The linear model for Fig. 2d-e was written down in variation analysis part in Method</w:t>
      </w:r>
      <w:r>
        <w:rPr>
          <w:rFonts w:ascii="Arial" w:eastAsia="Times New Roman" w:hAnsi="Arial" w:cs="Arial"/>
          <w:color w:val="77206D" w:themeColor="accent5" w:themeShade="BF"/>
        </w:rPr>
        <w:t>s and materials</w:t>
      </w:r>
      <w:r w:rsidRPr="27E1536C">
        <w:rPr>
          <w:rFonts w:ascii="Arial" w:eastAsia="Times New Roman" w:hAnsi="Arial" w:cs="Arial"/>
          <w:color w:val="77206D" w:themeColor="accent5" w:themeShade="BF"/>
        </w:rPr>
        <w:t xml:space="preserve"> section, as well as the details of data and the calculation of variation proportion. We have reorganized the Methods section to align with the order of topics presented in the manuscript. This adjustment ensures that readers can easily locate relevant materials and follow the flow of the analysis without confusion. </w:t>
      </w:r>
    </w:p>
    <w:p w14:paraId="6ED9FC23" w14:textId="77777777" w:rsidR="002274A5" w:rsidRDefault="002274A5" w:rsidP="002274A5">
      <w:pPr>
        <w:jc w:val="both"/>
        <w:rPr>
          <w:rFonts w:ascii="Arial" w:eastAsia="Times New Roman" w:hAnsi="Arial" w:cs="Arial"/>
          <w:color w:val="77206D" w:themeColor="accent5" w:themeShade="BF"/>
        </w:rPr>
      </w:pPr>
    </w:p>
    <w:p w14:paraId="3BAAC812" w14:textId="77777777" w:rsidR="002274A5" w:rsidRPr="00F271AA" w:rsidRDefault="002274A5" w:rsidP="002274A5">
      <w:pPr>
        <w:jc w:val="both"/>
        <w:rPr>
          <w:rFonts w:ascii="Arial" w:eastAsia="Times New Roman" w:hAnsi="Arial" w:cs="Arial"/>
          <w:color w:val="77206D" w:themeColor="accent5" w:themeShade="BF"/>
        </w:rPr>
      </w:pPr>
      <w:r w:rsidRPr="00E3366A">
        <w:rPr>
          <w:rFonts w:ascii="Arial" w:eastAsia="Times New Roman" w:hAnsi="Arial" w:cs="Arial"/>
          <w:color w:val="77206D" w:themeColor="accent5" w:themeShade="BF"/>
        </w:rPr>
        <w:t xml:space="preserve">The variation analysis quantifies how much of the total variability in gene expression counts can be attributed to differences between donors and cell types. In DE analysis, the primary goal is to identify genes associated with variations in cell types. </w:t>
      </w:r>
      <w:r>
        <w:rPr>
          <w:rFonts w:ascii="Arial" w:eastAsia="Times New Roman" w:hAnsi="Arial" w:cs="Arial"/>
          <w:color w:val="77206D" w:themeColor="accent5" w:themeShade="BF"/>
        </w:rPr>
        <w:t>W</w:t>
      </w:r>
      <w:r w:rsidRPr="00F31C47">
        <w:rPr>
          <w:rFonts w:ascii="Arial" w:eastAsia="Times New Roman" w:hAnsi="Arial" w:cs="Arial"/>
          <w:color w:val="77206D" w:themeColor="accent5" w:themeShade="BF"/>
        </w:rPr>
        <w:t>e employed linear models (</w:t>
      </w:r>
      <w:proofErr w:type="spellStart"/>
      <w:r w:rsidRPr="00F31C47">
        <w:rPr>
          <w:rFonts w:ascii="Arial" w:eastAsia="Times New Roman" w:hAnsi="Arial" w:cs="Arial"/>
          <w:color w:val="77206D" w:themeColor="accent5" w:themeShade="BF"/>
        </w:rPr>
        <w:t>lm</w:t>
      </w:r>
      <w:proofErr w:type="spellEnd"/>
      <w:r w:rsidRPr="00F31C47">
        <w:rPr>
          <w:rFonts w:ascii="Arial" w:eastAsia="Times New Roman" w:hAnsi="Arial" w:cs="Arial"/>
          <w:color w:val="77206D" w:themeColor="accent5" w:themeShade="BF"/>
        </w:rPr>
        <w:t xml:space="preserve"> (count ~ donor + group)) </w:t>
      </w:r>
      <w:r>
        <w:rPr>
          <w:rFonts w:ascii="Arial" w:eastAsia="Times New Roman" w:hAnsi="Arial" w:cs="Arial"/>
          <w:color w:val="77206D" w:themeColor="accent5" w:themeShade="BF"/>
        </w:rPr>
        <w:t xml:space="preserve">for each gene </w:t>
      </w:r>
      <w:r w:rsidRPr="00F31C47">
        <w:rPr>
          <w:rFonts w:ascii="Arial" w:eastAsia="Times New Roman" w:hAnsi="Arial" w:cs="Arial"/>
          <w:color w:val="77206D" w:themeColor="accent5" w:themeShade="BF"/>
        </w:rPr>
        <w:t xml:space="preserve">and used the sum of squares attributed to three components: donor, group, and the residual from the ANOVA table to obtain the proportion of variation. </w:t>
      </w:r>
      <w:r>
        <w:rPr>
          <w:rFonts w:ascii="Arial" w:eastAsia="Times New Roman" w:hAnsi="Arial" w:cs="Arial"/>
          <w:color w:val="77206D" w:themeColor="accent5" w:themeShade="BF"/>
        </w:rPr>
        <w:t xml:space="preserve">This variation analysis aims to quantify the percentage of variation contributed from cell types and donors. Each data point represents one gene. </w:t>
      </w:r>
    </w:p>
    <w:p w14:paraId="21CA3009" w14:textId="77777777" w:rsidR="002274A5" w:rsidRPr="004A08E0" w:rsidRDefault="002274A5" w:rsidP="002274A5">
      <w:pPr>
        <w:jc w:val="both"/>
        <w:rPr>
          <w:rFonts w:ascii="Arial" w:eastAsia="Times New Roman" w:hAnsi="Arial" w:cs="Arial"/>
        </w:rPr>
      </w:pPr>
      <w:r w:rsidRPr="007C6747">
        <w:rPr>
          <w:rFonts w:ascii="Arial" w:eastAsia="Times New Roman" w:hAnsi="Arial" w:cs="Arial"/>
        </w:rPr>
        <w:br/>
        <w:t>One of the major claims by the authors is that removing batch effects (donor specific effect) does not remove the effect from gene expression, therefore while doing DE, such effects should be reconsidered in the mixed model. While this idea has been previously discussed (such as </w:t>
      </w:r>
      <w:hyperlink r:id="rId25" w:history="1">
        <w:r w:rsidRPr="007C6747">
          <w:rPr>
            <w:rFonts w:ascii="Arial" w:eastAsia="Times New Roman" w:hAnsi="Arial" w:cs="Arial"/>
            <w:color w:val="0000FF"/>
            <w:u w:val="single"/>
          </w:rPr>
          <w:t>https://www.ncbi.nlm.nih.gov/pmc/articles/PMC6448773/</w:t>
        </w:r>
      </w:hyperlink>
      <w:r w:rsidRPr="007C6747">
        <w:rPr>
          <w:rFonts w:ascii="Arial" w:eastAsia="Times New Roman" w:hAnsi="Arial" w:cs="Arial"/>
        </w:rPr>
        <w:t>, or the statistical</w:t>
      </w:r>
      <w:r>
        <w:rPr>
          <w:rFonts w:ascii="Arial" w:eastAsia="Times New Roman" w:hAnsi="Arial" w:cs="Arial"/>
        </w:rPr>
        <w:t xml:space="preserve"> </w:t>
      </w:r>
      <w:r w:rsidRPr="007C6747">
        <w:rPr>
          <w:rFonts w:ascii="Arial" w:eastAsia="Times New Roman" w:hAnsi="Arial" w:cs="Arial"/>
        </w:rPr>
        <w:t>model</w:t>
      </w:r>
      <w:r>
        <w:rPr>
          <w:rFonts w:ascii="Arial" w:eastAsia="Times New Roman" w:hAnsi="Arial" w:cs="Arial"/>
        </w:rPr>
        <w:t xml:space="preserve"> </w:t>
      </w:r>
      <w:r w:rsidRPr="007C6747">
        <w:rPr>
          <w:rFonts w:ascii="Arial" w:eastAsia="Times New Roman" w:hAnsi="Arial" w:cs="Arial"/>
        </w:rPr>
        <w:t>presented </w:t>
      </w:r>
      <w:hyperlink r:id="rId26" w:history="1">
        <w:r w:rsidRPr="007C6747">
          <w:rPr>
            <w:rFonts w:ascii="Arial" w:eastAsia="Times New Roman" w:hAnsi="Arial" w:cs="Arial"/>
            <w:color w:val="0000FF"/>
            <w:u w:val="single"/>
          </w:rPr>
          <w:t>https://www.sciencedirect.com/science/article/pii/S2666634022001842</w:t>
        </w:r>
      </w:hyperlink>
      <w:r w:rsidRPr="007C6747">
        <w:rPr>
          <w:rFonts w:ascii="Arial" w:eastAsia="Times New Roman" w:hAnsi="Arial" w:cs="Arial"/>
        </w:rPr>
        <w:t xml:space="preserve">) I am not sure if different integration techniques would have different levels of donor specific effects or in other words if a "better" integration tool would resolve this error. I would suggest the authors </w:t>
      </w:r>
      <w:r w:rsidRPr="00A045F3">
        <w:rPr>
          <w:rFonts w:ascii="Arial" w:eastAsia="Times New Roman" w:hAnsi="Arial" w:cs="Arial"/>
        </w:rPr>
        <w:t>provide comparisons with a few more integration tools</w:t>
      </w:r>
      <w:r w:rsidRPr="007C6747">
        <w:rPr>
          <w:rFonts w:ascii="Arial" w:eastAsia="Times New Roman" w:hAnsi="Arial" w:cs="Arial"/>
        </w:rPr>
        <w:t xml:space="preserve"> to evaluate how much of this donor specific bias can be attributed to the integration method. </w:t>
      </w:r>
      <w:r w:rsidRPr="007C6747">
        <w:rPr>
          <w:rFonts w:ascii="Arial" w:eastAsia="Times New Roman" w:hAnsi="Arial" w:cs="Arial"/>
        </w:rPr>
        <w:br/>
      </w:r>
    </w:p>
    <w:p w14:paraId="64A18669" w14:textId="77777777" w:rsidR="002274A5" w:rsidRDefault="002274A5" w:rsidP="002274A5">
      <w:pPr>
        <w:jc w:val="both"/>
        <w:rPr>
          <w:rFonts w:ascii="Arial" w:eastAsia="Times New Roman" w:hAnsi="Arial" w:cs="Arial"/>
          <w:color w:val="77206D" w:themeColor="accent5" w:themeShade="BF"/>
        </w:rPr>
      </w:pPr>
      <w:r>
        <w:rPr>
          <w:rFonts w:ascii="Arial" w:eastAsia="Times New Roman" w:hAnsi="Arial" w:cs="Arial"/>
          <w:color w:val="77206D" w:themeColor="accent5" w:themeShade="BF"/>
        </w:rPr>
        <w:lastRenderedPageBreak/>
        <w:t>Thanks for the comments. In the paper</w:t>
      </w:r>
      <w:r w:rsidRPr="00CA77F1">
        <w:rPr>
          <w:rFonts w:ascii="Arial" w:eastAsia="Times New Roman" w:hAnsi="Arial" w:cs="Arial"/>
          <w:color w:val="77206D" w:themeColor="accent5" w:themeShade="BF"/>
        </w:rPr>
        <w:t>, we quantif</w:t>
      </w:r>
      <w:r>
        <w:rPr>
          <w:rFonts w:ascii="Arial" w:eastAsia="Times New Roman" w:hAnsi="Arial" w:cs="Arial"/>
          <w:color w:val="77206D" w:themeColor="accent5" w:themeShade="BF"/>
        </w:rPr>
        <w:t>ied</w:t>
      </w:r>
      <w:r w:rsidRPr="00CA77F1">
        <w:rPr>
          <w:rFonts w:ascii="Arial" w:eastAsia="Times New Roman" w:hAnsi="Arial" w:cs="Arial"/>
          <w:color w:val="77206D" w:themeColor="accent5" w:themeShade="BF"/>
        </w:rPr>
        <w:t xml:space="preserve"> the proportion of variation originating from different sources</w:t>
      </w:r>
      <w:r>
        <w:rPr>
          <w:rFonts w:ascii="Arial" w:eastAsia="Times New Roman" w:hAnsi="Arial" w:cs="Arial"/>
          <w:color w:val="77206D" w:themeColor="accent5" w:themeShade="BF"/>
        </w:rPr>
        <w:t xml:space="preserve"> by</w:t>
      </w:r>
      <w:r w:rsidRPr="00CA77F1">
        <w:rPr>
          <w:rFonts w:ascii="Arial" w:eastAsia="Times New Roman" w:hAnsi="Arial" w:cs="Arial"/>
          <w:color w:val="77206D" w:themeColor="accent5" w:themeShade="BF"/>
        </w:rPr>
        <w:t xml:space="preserve"> fit</w:t>
      </w:r>
      <w:r>
        <w:rPr>
          <w:rFonts w:ascii="Arial" w:eastAsia="Times New Roman" w:hAnsi="Arial" w:cs="Arial"/>
          <w:color w:val="77206D" w:themeColor="accent5" w:themeShade="BF"/>
        </w:rPr>
        <w:t>ting</w:t>
      </w:r>
      <w:r w:rsidRPr="00CA77F1">
        <w:rPr>
          <w:rFonts w:ascii="Arial" w:eastAsia="Times New Roman" w:hAnsi="Arial" w:cs="Arial"/>
          <w:color w:val="77206D" w:themeColor="accent5" w:themeShade="BF"/>
        </w:rPr>
        <w:t xml:space="preserve"> a linear model, using cell types and donors as covariates, for each gene in several subtype pairs</w:t>
      </w:r>
      <w:r>
        <w:rPr>
          <w:rFonts w:ascii="Arial" w:eastAsia="Times New Roman" w:hAnsi="Arial" w:cs="Arial"/>
          <w:color w:val="77206D" w:themeColor="accent5" w:themeShade="BF"/>
        </w:rPr>
        <w:t>, using data from study 1</w:t>
      </w:r>
      <w:r w:rsidRPr="00CA77F1">
        <w:rPr>
          <w:rFonts w:ascii="Arial" w:eastAsia="Times New Roman" w:hAnsi="Arial" w:cs="Arial"/>
          <w:color w:val="77206D" w:themeColor="accent5" w:themeShade="BF"/>
        </w:rPr>
        <w:t>. Through all pairs, the integration led to a reduction in donor variation (Fig. 2d, S2). However, in comparisons of two subtypes of the same cell type (12 vs.13) and two subtypes of different cell types (13 vs. 19), we observed a decrease in the proportion of cell-type–related variation. This underscores that integration not only mitigates batch effects but also impacts the phenotypes of interest. Importantly, our analysis indicated that even after implementing batch correction, a notable percentage of genes still exhibited donor-related effects (Fig. 2e). As batch effects are often estimated from leading principal components, representing a consensus from a subset of genes, it is quite possible that residual donor effects persist on some, if not all, genes. Therefore, it is crucial to account for donor effects when performing DE tests to avoid false discoveries and obtain accurate results, even after removing batch effects.</w:t>
      </w:r>
      <w:r>
        <w:rPr>
          <w:rFonts w:ascii="Arial" w:eastAsia="Times New Roman" w:hAnsi="Arial" w:cs="Arial"/>
          <w:color w:val="77206D" w:themeColor="accent5" w:themeShade="BF"/>
        </w:rPr>
        <w:t xml:space="preserve"> The impact of integration varies on each gene level, depending on how the gene aligned with the batch effects. </w:t>
      </w:r>
    </w:p>
    <w:p w14:paraId="23AE4C61" w14:textId="77777777" w:rsidR="002274A5" w:rsidRDefault="002274A5" w:rsidP="002274A5">
      <w:pPr>
        <w:jc w:val="both"/>
        <w:rPr>
          <w:rFonts w:ascii="Arial" w:eastAsia="Times New Roman" w:hAnsi="Arial" w:cs="Arial"/>
        </w:rPr>
      </w:pPr>
      <w:r w:rsidRPr="007C6747">
        <w:rPr>
          <w:rFonts w:ascii="Arial" w:eastAsia="Times New Roman" w:hAnsi="Arial" w:cs="Arial"/>
        </w:rPr>
        <w:br/>
      </w:r>
      <w:r w:rsidRPr="00D36CB4">
        <w:rPr>
          <w:rFonts w:ascii="Arial" w:eastAsia="Times New Roman" w:hAnsi="Arial" w:cs="Arial"/>
        </w:rPr>
        <w:t>4.</w:t>
      </w:r>
      <w:r w:rsidRPr="007C6747">
        <w:rPr>
          <w:rFonts w:ascii="Arial" w:eastAsia="Times New Roman" w:hAnsi="Arial" w:cs="Arial"/>
        </w:rPr>
        <w:t xml:space="preserve"> The key difference of the present method is that LEMUR models donor specific variation as random effect, while the within group (e.g. cell-type) variation has a fixed effect. This reformulation is intuitive when "within" group-of-interest (cell-type) variations of gene expression are not high enough and the raw UMI counts can be "explained" using donor specific effects. I wonder if this is still the case for datasets where there is significant within group-of-interest. Can authors potentially show that LEMUR would work in such cases too, in other words, an analysis that shows generalizability of the method might be useful. </w:t>
      </w:r>
    </w:p>
    <w:p w14:paraId="70B4DDBB" w14:textId="77777777" w:rsidR="002274A5" w:rsidRDefault="002274A5" w:rsidP="002274A5">
      <w:pPr>
        <w:rPr>
          <w:rFonts w:ascii="Arial" w:eastAsia="Times New Roman" w:hAnsi="Arial" w:cs="Arial"/>
        </w:rPr>
      </w:pPr>
    </w:p>
    <w:p w14:paraId="65AB4D7C" w14:textId="77777777" w:rsidR="002274A5" w:rsidRPr="004F5F6E"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Thank you for the comments. The Poisson-</w:t>
      </w:r>
      <w:proofErr w:type="spellStart"/>
      <w:r w:rsidRPr="27E1536C">
        <w:rPr>
          <w:rFonts w:ascii="Arial" w:eastAsia="Times New Roman" w:hAnsi="Arial" w:cs="Arial"/>
          <w:color w:val="77206D" w:themeColor="accent5" w:themeShade="BF"/>
        </w:rPr>
        <w:t>glmm</w:t>
      </w:r>
      <w:proofErr w:type="spellEnd"/>
      <w:r w:rsidRPr="27E1536C">
        <w:rPr>
          <w:rFonts w:ascii="Arial" w:eastAsia="Times New Roman" w:hAnsi="Arial" w:cs="Arial"/>
          <w:color w:val="77206D" w:themeColor="accent5" w:themeShade="BF"/>
        </w:rPr>
        <w:t xml:space="preserve"> works well when the model assumption is certain to be valid. We also compared the robustness of our method with other methods in different scenarios. We not only performed DE analysis on two homogeneous cell types (12 vs. 13, 2 vs. 19 in case study 1), but also presented the results for DE analysis between heterogeneous groups (8&amp;17 vs. 2&amp;19 in case study 1). In the latter scenario, variations within the comparison can be large as there are potential subtypes in one group. In the diagnostic plot, it also shows that it does not exactly fit the Poisson zero proportion line. However, our method still identified substantial DEGs. And with the new criteria we proposed to determine DEGs, we can reduce the number of false positives. These analyses provide the capability of our method in terms of generalizability and robustness. The results are attached below and added in S10.</w:t>
      </w:r>
    </w:p>
    <w:p w14:paraId="77C8864E" w14:textId="77777777" w:rsidR="002274A5" w:rsidRDefault="002274A5" w:rsidP="002274A5">
      <w:pPr>
        <w:jc w:val="center"/>
        <w:rPr>
          <w:rFonts w:ascii="Arial" w:eastAsia="Times New Roman" w:hAnsi="Arial" w:cs="Arial"/>
          <w:b/>
          <w:color w:val="77206D" w:themeColor="accent5" w:themeShade="BF"/>
        </w:rPr>
      </w:pPr>
    </w:p>
    <w:p w14:paraId="62D54CA1" w14:textId="77777777" w:rsidR="002274A5" w:rsidRDefault="002274A5" w:rsidP="002274A5">
      <w:pPr>
        <w:jc w:val="center"/>
        <w:rPr>
          <w:rFonts w:ascii="Arial" w:eastAsia="Times New Roman" w:hAnsi="Arial" w:cs="Arial"/>
          <w:color w:val="77206D" w:themeColor="accent5" w:themeShade="BF"/>
        </w:rPr>
      </w:pPr>
      <w:r w:rsidRPr="005B28FC">
        <w:rPr>
          <w:rFonts w:ascii="Arial" w:eastAsia="Times New Roman" w:hAnsi="Arial" w:cs="Arial"/>
          <w:b/>
          <w:color w:val="77206D" w:themeColor="accent5" w:themeShade="BF"/>
        </w:rPr>
        <w:t>S5a</w:t>
      </w:r>
      <w:r>
        <w:rPr>
          <w:rFonts w:ascii="Arial" w:eastAsia="Times New Roman" w:hAnsi="Arial" w:cs="Arial"/>
          <w:color w:val="77206D" w:themeColor="accent5" w:themeShade="BF"/>
        </w:rPr>
        <w:t xml:space="preserve"> The zero proportion plot for heterogeneous groups (8&amp;17 vs. 2&amp;19)</w:t>
      </w:r>
    </w:p>
    <w:p w14:paraId="4F4E198B" w14:textId="6E9FDAFC" w:rsidR="002274A5" w:rsidRDefault="002274A5" w:rsidP="002274A5">
      <w:pPr>
        <w:rPr>
          <w:rFonts w:ascii="Arial" w:eastAsia="Times New Roman" w:hAnsi="Arial" w:cs="Arial"/>
        </w:rPr>
      </w:pPr>
      <w:r w:rsidRPr="00EF1243">
        <w:rPr>
          <w:noProof/>
        </w:rPr>
        <w:lastRenderedPageBreak/>
        <w:drawing>
          <wp:inline distT="0" distB="0" distL="0" distR="0" wp14:anchorId="05A0DF80" wp14:editId="4E87E51E">
            <wp:extent cx="2926602" cy="1794163"/>
            <wp:effectExtent l="0" t="0" r="0" b="0"/>
            <wp:docPr id="46" name="Picture 46" descr="https://c-hw.github.io/DEanalysis/figure/group8_17-2_19.Rmd/unnamed-chunk-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s://c-hw.github.io/DEanalysis/figure/group8_17-2_19.Rmd/unnamed-chunk-8-1.pn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50002" r="-2" b="50956"/>
                    <a:stretch/>
                  </pic:blipFill>
                  <pic:spPr bwMode="auto">
                    <a:xfrm>
                      <a:off x="0" y="0"/>
                      <a:ext cx="2967453" cy="1819207"/>
                    </a:xfrm>
                    <a:prstGeom prst="rect">
                      <a:avLst/>
                    </a:prstGeom>
                    <a:noFill/>
                    <a:ln>
                      <a:noFill/>
                    </a:ln>
                    <a:extLst>
                      <a:ext uri="{53640926-AAD7-44D8-BBD7-CCE9431645EC}">
                        <a14:shadowObscured xmlns:a14="http://schemas.microsoft.com/office/drawing/2010/main"/>
                      </a:ext>
                    </a:extLst>
                  </pic:spPr>
                </pic:pic>
              </a:graphicData>
            </a:graphic>
          </wp:inline>
        </w:drawing>
      </w:r>
    </w:p>
    <w:p w14:paraId="726097AC" w14:textId="77777777" w:rsidR="002274A5" w:rsidRPr="00DB7ECC" w:rsidRDefault="002274A5" w:rsidP="002274A5">
      <w:pPr>
        <w:jc w:val="center"/>
        <w:rPr>
          <w:rFonts w:ascii="Arial" w:hAnsi="Arial" w:cs="Arial"/>
          <w:color w:val="77206D" w:themeColor="accent5" w:themeShade="BF"/>
          <w:sz w:val="36"/>
        </w:rPr>
      </w:pPr>
      <w:r w:rsidRPr="00DB7ECC">
        <w:rPr>
          <w:rFonts w:ascii="Arial" w:hAnsi="Arial" w:cs="Arial"/>
          <w:b/>
          <w:color w:val="77206D" w:themeColor="accent5" w:themeShade="BF"/>
        </w:rPr>
        <w:t>S10a</w:t>
      </w:r>
      <w:r w:rsidRPr="00DB7ECC">
        <w:rPr>
          <w:rFonts w:ascii="Arial" w:hAnsi="Arial" w:cs="Arial"/>
          <w:color w:val="77206D" w:themeColor="accent5" w:themeShade="BF"/>
        </w:rPr>
        <w:t xml:space="preserve"> Left: Volcano plot for current criteria. Right: Gene </w:t>
      </w:r>
      <w:proofErr w:type="gramStart"/>
      <w:r w:rsidRPr="00DB7ECC">
        <w:rPr>
          <w:rFonts w:ascii="Arial" w:hAnsi="Arial" w:cs="Arial"/>
          <w:color w:val="77206D" w:themeColor="accent5" w:themeShade="BF"/>
        </w:rPr>
        <w:t>mean</w:t>
      </w:r>
      <w:proofErr w:type="gramEnd"/>
      <w:r w:rsidRPr="00DB7ECC">
        <w:rPr>
          <w:rFonts w:ascii="Arial" w:hAnsi="Arial" w:cs="Arial"/>
          <w:color w:val="77206D" w:themeColor="accent5" w:themeShade="BF"/>
        </w:rPr>
        <w:t xml:space="preserve"> vs. mean difference plot. </w:t>
      </w:r>
    </w:p>
    <w:p w14:paraId="359CC5C5" w14:textId="51DDBE5F" w:rsidR="002274A5" w:rsidRDefault="002274A5" w:rsidP="002274A5">
      <w:pPr>
        <w:rPr>
          <w:rFonts w:ascii="Arial" w:eastAsia="Times New Roman" w:hAnsi="Arial" w:cs="Arial"/>
        </w:rPr>
      </w:pPr>
      <w:r w:rsidRPr="00DB7ECC">
        <w:rPr>
          <w:rFonts w:ascii="Arial" w:hAnsi="Arial" w:cs="Arial"/>
          <w:noProof/>
        </w:rPr>
        <w:drawing>
          <wp:inline distT="0" distB="0" distL="0" distR="0" wp14:anchorId="0527DD84" wp14:editId="285E8E5A">
            <wp:extent cx="1737360" cy="1737360"/>
            <wp:effectExtent l="0" t="0" r="2540" b="2540"/>
            <wp:docPr id="4" name="Picture 4" descr="https://c-hw.github.io/DEanalysis/figure/new_criteria.Rmd/unnamed-chunk-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https://c-hw.github.io/DEanalysis/figure/new_criteria.Rmd/unnamed-chunk-3-1.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r>
        <w:rPr>
          <w:noProof/>
        </w:rPr>
        <w:drawing>
          <wp:inline distT="0" distB="0" distL="0" distR="0" wp14:anchorId="42DD1383" wp14:editId="47CD41B5">
            <wp:extent cx="1737360" cy="1737360"/>
            <wp:effectExtent l="0" t="0" r="2540" b="2540"/>
            <wp:docPr id="5" name="Picture 5" descr="https://c-hw.github.io/DEanalysis/figure/new_criteria.Rmd/unnamed-chunk-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s://c-hw.github.io/DEanalysis/figure/new_criteria.Rmd/unnamed-chunk-4-1.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p>
    <w:p w14:paraId="41F5E73D" w14:textId="77777777" w:rsidR="002274A5" w:rsidRDefault="002274A5" w:rsidP="002274A5">
      <w:pPr>
        <w:jc w:val="center"/>
      </w:pPr>
      <w:r>
        <w:rPr>
          <w:rFonts w:ascii="Arial" w:hAnsi="Arial" w:cs="Arial"/>
          <w:b/>
          <w:color w:val="77206D" w:themeColor="accent5" w:themeShade="BF"/>
        </w:rPr>
        <w:t>S10c</w:t>
      </w:r>
      <w:r w:rsidRPr="00DB7ECC">
        <w:rPr>
          <w:rFonts w:ascii="Arial" w:hAnsi="Arial" w:cs="Arial"/>
          <w:b/>
          <w:color w:val="77206D" w:themeColor="accent5" w:themeShade="BF"/>
        </w:rPr>
        <w:t xml:space="preserve"> </w:t>
      </w:r>
      <w:r w:rsidRPr="00DB7ECC">
        <w:rPr>
          <w:rFonts w:ascii="Arial" w:hAnsi="Arial" w:cs="Arial"/>
          <w:color w:val="77206D" w:themeColor="accent5" w:themeShade="BF"/>
        </w:rPr>
        <w:t xml:space="preserve">Left: Volcano plot for new criteria. Right: Gene </w:t>
      </w:r>
      <w:proofErr w:type="gramStart"/>
      <w:r w:rsidRPr="00DB7ECC">
        <w:rPr>
          <w:rFonts w:ascii="Arial" w:hAnsi="Arial" w:cs="Arial"/>
          <w:color w:val="77206D" w:themeColor="accent5" w:themeShade="BF"/>
        </w:rPr>
        <w:t>mean</w:t>
      </w:r>
      <w:proofErr w:type="gramEnd"/>
      <w:r w:rsidRPr="00DB7ECC">
        <w:rPr>
          <w:rFonts w:ascii="Arial" w:hAnsi="Arial" w:cs="Arial"/>
          <w:color w:val="77206D" w:themeColor="accent5" w:themeShade="BF"/>
        </w:rPr>
        <w:t xml:space="preserve"> vs. mean difference plot. The DEGs selected by new criteria are annotated.</w:t>
      </w:r>
    </w:p>
    <w:p w14:paraId="11B4D91E" w14:textId="77777777" w:rsidR="002274A5" w:rsidRPr="004F5F6E" w:rsidRDefault="002274A5" w:rsidP="002274A5">
      <w:pPr>
        <w:jc w:val="center"/>
      </w:pPr>
      <w:r>
        <w:fldChar w:fldCharType="begin"/>
      </w:r>
      <w:r>
        <w:instrText xml:space="preserve"> INCLUDEPICTURE "https://c-hw.github.io/DEanalysis/figure/new_criteria.Rmd/unnamed-chunk-7-1.png" \* MERGEFORMATINET </w:instrText>
      </w:r>
      <w:r>
        <w:fldChar w:fldCharType="separate"/>
      </w:r>
      <w:r>
        <w:rPr>
          <w:noProof/>
        </w:rPr>
        <w:drawing>
          <wp:inline distT="0" distB="0" distL="0" distR="0" wp14:anchorId="61FA1216" wp14:editId="6B982B97">
            <wp:extent cx="1737360" cy="1737360"/>
            <wp:effectExtent l="0" t="0" r="2540" b="2540"/>
            <wp:docPr id="6" name="Picture 6" descr="https://c-hw.github.io/DEanalysis/figure/new_criteria.Rmd/unnamed-chunk-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s://c-hw.github.io/DEanalysis/figure/new_criteria.Rmd/unnamed-chunk-7-1.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r>
        <w:fldChar w:fldCharType="end"/>
      </w:r>
      <w:r>
        <w:t xml:space="preserve">   </w:t>
      </w:r>
      <w:r>
        <w:fldChar w:fldCharType="begin"/>
      </w:r>
      <w:r>
        <w:instrText xml:space="preserve"> INCLUDEPICTURE "https://c-hw.github.io/DEanalysis/figure/new_criteria.Rmd/unnamed-chunk-8-1.png" \* MERGEFORMATINET </w:instrText>
      </w:r>
      <w:r>
        <w:fldChar w:fldCharType="separate"/>
      </w:r>
      <w:r>
        <w:rPr>
          <w:noProof/>
        </w:rPr>
        <w:drawing>
          <wp:inline distT="0" distB="0" distL="0" distR="0" wp14:anchorId="548B5D9D" wp14:editId="470024FF">
            <wp:extent cx="1737360" cy="1737360"/>
            <wp:effectExtent l="0" t="0" r="2540" b="2540"/>
            <wp:docPr id="7" name="Picture 7" descr="https://c-hw.github.io/DEanalysis/figure/new_criteria.Rmd/unnamed-chunk-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https://c-hw.github.io/DEanalysis/figure/new_criteria.Rmd/unnamed-chunk-8-1.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37360" cy="1737360"/>
                    </a:xfrm>
                    <a:prstGeom prst="rect">
                      <a:avLst/>
                    </a:prstGeom>
                    <a:noFill/>
                    <a:ln>
                      <a:noFill/>
                    </a:ln>
                  </pic:spPr>
                </pic:pic>
              </a:graphicData>
            </a:graphic>
          </wp:inline>
        </w:drawing>
      </w:r>
      <w:r>
        <w:fldChar w:fldCharType="end"/>
      </w:r>
    </w:p>
    <w:p w14:paraId="2C6807B8" w14:textId="77777777" w:rsidR="002274A5" w:rsidRPr="00DB7ECC" w:rsidRDefault="002274A5" w:rsidP="002274A5">
      <w:pPr>
        <w:jc w:val="center"/>
        <w:rPr>
          <w:rFonts w:ascii="Arial" w:hAnsi="Arial" w:cs="Arial"/>
          <w:color w:val="77206D" w:themeColor="accent5" w:themeShade="BF"/>
        </w:rPr>
      </w:pPr>
      <w:r w:rsidRPr="00DB7ECC">
        <w:rPr>
          <w:rFonts w:ascii="Arial" w:hAnsi="Arial" w:cs="Arial"/>
          <w:b/>
          <w:color w:val="77206D" w:themeColor="accent5" w:themeShade="BF"/>
        </w:rPr>
        <w:t>S10d</w:t>
      </w:r>
      <w:r w:rsidRPr="00DB7ECC">
        <w:rPr>
          <w:rFonts w:ascii="Arial" w:hAnsi="Arial" w:cs="Arial"/>
          <w:color w:val="77206D" w:themeColor="accent5" w:themeShade="BF"/>
        </w:rPr>
        <w:t xml:space="preserve"> The heatmaps of DEGs for conventional criteria (left) and new criteria (right).</w:t>
      </w:r>
    </w:p>
    <w:p w14:paraId="2DFCF450" w14:textId="77777777" w:rsidR="002274A5" w:rsidRPr="001B64B6" w:rsidRDefault="002274A5" w:rsidP="002274A5">
      <w:pPr>
        <w:jc w:val="center"/>
        <w:rPr>
          <w:rFonts w:ascii="Arial" w:eastAsia="Times New Roman" w:hAnsi="Arial" w:cs="Arial"/>
        </w:rPr>
      </w:pPr>
      <w:r w:rsidRPr="004A30AB">
        <w:lastRenderedPageBreak/>
        <w:fldChar w:fldCharType="begin"/>
      </w:r>
      <w:r w:rsidRPr="004A30AB">
        <w:instrText xml:space="preserve"> INCLUDEPICTURE "https://c-hw.github.io/DEanalysis/figure/new_criteria.Rmd/unnamed-chunk-10-1.png" \* MERGEFORMATINET </w:instrText>
      </w:r>
      <w:r w:rsidRPr="004A30AB">
        <w:fldChar w:fldCharType="separate"/>
      </w:r>
      <w:r w:rsidRPr="004A30AB">
        <w:rPr>
          <w:noProof/>
        </w:rPr>
        <w:drawing>
          <wp:inline distT="0" distB="0" distL="0" distR="0" wp14:anchorId="5C356C10" wp14:editId="234C73B8">
            <wp:extent cx="4634101" cy="8041871"/>
            <wp:effectExtent l="0" t="0" r="1905" b="0"/>
            <wp:docPr id="14" name="Picture 14" descr="https://c-hw.github.io/DEanalysis/figure/new_criteria.Rmd/unnamed-chunk-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c-hw.github.io/DEanalysis/figure/new_criteria.Rmd/unnamed-chunk-10-1.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43417" cy="8058038"/>
                    </a:xfrm>
                    <a:prstGeom prst="rect">
                      <a:avLst/>
                    </a:prstGeom>
                    <a:noFill/>
                    <a:ln>
                      <a:noFill/>
                    </a:ln>
                  </pic:spPr>
                </pic:pic>
              </a:graphicData>
            </a:graphic>
          </wp:inline>
        </w:drawing>
      </w:r>
      <w:r w:rsidRPr="004A30AB">
        <w:fldChar w:fldCharType="end"/>
      </w:r>
    </w:p>
    <w:p w14:paraId="525FF075" w14:textId="77777777" w:rsidR="002274A5" w:rsidRPr="007C6747" w:rsidRDefault="002274A5" w:rsidP="002274A5">
      <w:pPr>
        <w:rPr>
          <w:rFonts w:ascii="Arial" w:eastAsia="Times New Roman" w:hAnsi="Arial" w:cs="Arial"/>
        </w:rPr>
      </w:pPr>
    </w:p>
    <w:p w14:paraId="3E2AB4D8" w14:textId="77777777" w:rsidR="002274A5"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lastRenderedPageBreak/>
        <w:t xml:space="preserve">Besides the robustness, we also outlined four typical scenarios in </w:t>
      </w:r>
      <w:proofErr w:type="spellStart"/>
      <w:r w:rsidRPr="27E1536C">
        <w:rPr>
          <w:rFonts w:ascii="Arial" w:eastAsia="Times New Roman" w:hAnsi="Arial" w:cs="Arial"/>
          <w:color w:val="77206D" w:themeColor="accent5" w:themeShade="BF"/>
        </w:rPr>
        <w:t>scRNA</w:t>
      </w:r>
      <w:proofErr w:type="spellEnd"/>
      <w:r w:rsidRPr="27E1536C">
        <w:rPr>
          <w:rFonts w:ascii="Arial" w:eastAsia="Times New Roman" w:hAnsi="Arial" w:cs="Arial"/>
          <w:color w:val="77206D" w:themeColor="accent5" w:themeShade="BF"/>
        </w:rPr>
        <w:t xml:space="preserve"> studies, each with distinct considerations for handling donor and batch effects. Our model structure is now more flexible, which provides the generalizability for different DE problems.</w:t>
      </w:r>
    </w:p>
    <w:p w14:paraId="07689558" w14:textId="77777777" w:rsidR="002274A5" w:rsidRPr="00B17634" w:rsidRDefault="002274A5" w:rsidP="002274A5">
      <w:pPr>
        <w:jc w:val="both"/>
        <w:rPr>
          <w:rFonts w:ascii="Arial" w:eastAsia="Times New Roman" w:hAnsi="Arial" w:cs="Arial"/>
          <w:color w:val="77206D" w:themeColor="accent5" w:themeShade="BF"/>
        </w:rPr>
      </w:pPr>
    </w:p>
    <w:p w14:paraId="52360066" w14:textId="77777777" w:rsidR="002274A5" w:rsidRDefault="002274A5" w:rsidP="002274A5">
      <w:pPr>
        <w:jc w:val="both"/>
        <w:rPr>
          <w:rFonts w:ascii="Arial" w:eastAsia="Times New Roman" w:hAnsi="Arial" w:cs="Arial"/>
          <w:color w:val="77206D" w:themeColor="accent5" w:themeShade="BF"/>
        </w:rPr>
      </w:pPr>
      <w:r w:rsidRPr="00B17634">
        <w:rPr>
          <w:rFonts w:ascii="Arial" w:eastAsia="Times New Roman" w:hAnsi="Arial" w:cs="Arial"/>
          <w:color w:val="77206D" w:themeColor="accent5" w:themeShade="BF"/>
        </w:rPr>
        <w:t>For instance, comparisons between distinct cell types or tissue regions (e.g., case studies 1 and 2) often allow for clear group distinctions where batch effects are less confounding. In contrast, DE analyses comparing treatment versus control groups or other experimental conditions (e.g., case study 3) are more prone to confounding because the cells of interest are simultaneously the focus and subject to batch effects. Furthermore, when multiple batches are derived from the same donor, as in case studies 2 and 3, additional layers of batch effects can complicate the analysis.</w:t>
      </w:r>
    </w:p>
    <w:p w14:paraId="7CBA2211" w14:textId="77777777" w:rsidR="002274A5" w:rsidRPr="00B17634" w:rsidRDefault="002274A5" w:rsidP="002274A5">
      <w:pPr>
        <w:jc w:val="both"/>
        <w:rPr>
          <w:rFonts w:ascii="Arial" w:eastAsia="Times New Roman" w:hAnsi="Arial" w:cs="Arial"/>
          <w:color w:val="77206D" w:themeColor="accent5" w:themeShade="BF"/>
        </w:rPr>
      </w:pPr>
    </w:p>
    <w:p w14:paraId="0BB9DE4A" w14:textId="77777777" w:rsidR="002274A5"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In such scenarios, the impact of library-size normalization must be considered carefully. While normalization may mitigate biases in datasets with large library-size variations, it can also obscure biologically relevant signals or introduce artifacts, particularly when group composition or cell states differ significantly. A thoughtful evaluation of the study design, data structure, and the specific confounding factors present is essential to determine whether normalization is appropriate and to select the most suitable method for DE analysis. Addressing these factors according to the scenario at hand is crucial for obtaining accurate and biologically meaningful results.</w:t>
      </w:r>
    </w:p>
    <w:p w14:paraId="749176F3" w14:textId="77777777" w:rsidR="002274A5" w:rsidRPr="006E2FA8" w:rsidRDefault="002274A5" w:rsidP="002274A5">
      <w:pPr>
        <w:jc w:val="both"/>
        <w:rPr>
          <w:rFonts w:ascii="Arial" w:eastAsia="Times New Roman" w:hAnsi="Arial" w:cs="Arial"/>
          <w:color w:val="77206D" w:themeColor="accent5" w:themeShade="BF"/>
        </w:rPr>
      </w:pPr>
    </w:p>
    <w:p w14:paraId="0B8D3FB7" w14:textId="77777777" w:rsidR="002274A5" w:rsidRDefault="002274A5" w:rsidP="002274A5">
      <w:pPr>
        <w:jc w:val="center"/>
        <w:rPr>
          <w:rFonts w:ascii="Arial" w:eastAsia="Times New Roman" w:hAnsi="Arial" w:cs="Arial"/>
        </w:rPr>
      </w:pPr>
      <w:r w:rsidRPr="00B17634">
        <w:rPr>
          <w:rFonts w:ascii="Arial" w:eastAsia="Times New Roman" w:hAnsi="Arial" w:cs="Arial"/>
          <w:noProof/>
        </w:rPr>
        <w:drawing>
          <wp:inline distT="0" distB="0" distL="0" distR="0" wp14:anchorId="13BAC000" wp14:editId="18C1E018">
            <wp:extent cx="4475018" cy="2034795"/>
            <wp:effectExtent l="0" t="0" r="0" b="0"/>
            <wp:docPr id="10" name="Picture 10" descr="A group of people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group of people with different colored squares&#10;&#10;AI-generated content may be incorrect."/>
                    <pic:cNvPicPr/>
                  </pic:nvPicPr>
                  <pic:blipFill>
                    <a:blip r:embed="rId28"/>
                    <a:stretch>
                      <a:fillRect/>
                    </a:stretch>
                  </pic:blipFill>
                  <pic:spPr>
                    <a:xfrm>
                      <a:off x="0" y="0"/>
                      <a:ext cx="4485705" cy="2039655"/>
                    </a:xfrm>
                    <a:prstGeom prst="rect">
                      <a:avLst/>
                    </a:prstGeom>
                  </pic:spPr>
                </pic:pic>
              </a:graphicData>
            </a:graphic>
          </wp:inline>
        </w:drawing>
      </w:r>
    </w:p>
    <w:p w14:paraId="44D217A3" w14:textId="77777777" w:rsidR="002274A5" w:rsidRDefault="002274A5" w:rsidP="002274A5">
      <w:pPr>
        <w:jc w:val="both"/>
        <w:rPr>
          <w:rFonts w:ascii="Arial" w:eastAsia="Times New Roman" w:hAnsi="Arial" w:cs="Arial"/>
        </w:rPr>
      </w:pPr>
      <w:r w:rsidRPr="007C6747">
        <w:rPr>
          <w:rFonts w:ascii="Arial" w:eastAsia="Times New Roman" w:hAnsi="Arial" w:cs="Arial"/>
        </w:rPr>
        <w:br/>
        <w:t xml:space="preserve">Although it is not shown in Figure 3, from Case Study 1 it seems the integration and cell-type detection </w:t>
      </w:r>
      <w:proofErr w:type="gramStart"/>
      <w:r w:rsidRPr="007C6747">
        <w:rPr>
          <w:rFonts w:ascii="Arial" w:eastAsia="Times New Roman" w:hAnsi="Arial" w:cs="Arial"/>
        </w:rPr>
        <w:t>is</w:t>
      </w:r>
      <w:proofErr w:type="gramEnd"/>
      <w:r w:rsidRPr="007C6747">
        <w:rPr>
          <w:rFonts w:ascii="Arial" w:eastAsia="Times New Roman" w:hAnsi="Arial" w:cs="Arial"/>
        </w:rPr>
        <w:t xml:space="preserve"> done before computing DE, quoting from the paper </w:t>
      </w:r>
    </w:p>
    <w:p w14:paraId="4AE19EFB" w14:textId="77777777" w:rsidR="002274A5" w:rsidRDefault="002274A5" w:rsidP="002274A5">
      <w:pPr>
        <w:jc w:val="both"/>
        <w:rPr>
          <w:rFonts w:ascii="Arial" w:eastAsia="Times New Roman" w:hAnsi="Arial" w:cs="Arial"/>
        </w:rPr>
      </w:pPr>
      <w:r w:rsidRPr="007C6747">
        <w:rPr>
          <w:rFonts w:ascii="Arial" w:eastAsia="Times New Roman" w:hAnsi="Arial" w:cs="Arial"/>
        </w:rPr>
        <w:br/>
        <w:t>"</w:t>
      </w:r>
      <w:proofErr w:type="spellStart"/>
      <w:r w:rsidRPr="007C6747">
        <w:rPr>
          <w:rFonts w:ascii="Arial" w:eastAsia="Times New Roman" w:hAnsi="Arial" w:cs="Arial"/>
        </w:rPr>
        <w:t>X_c</w:t>
      </w:r>
      <w:proofErr w:type="spellEnd"/>
      <w:r w:rsidRPr="007C6747">
        <w:rPr>
          <w:rFonts w:ascii="Arial" w:eastAsia="Times New Roman" w:hAnsi="Arial" w:cs="Arial"/>
        </w:rPr>
        <w:t xml:space="preserve"> is the indicator for groups (e.g. cell types in case study 1, control/stimulus in case study 2), and"</w:t>
      </w:r>
    </w:p>
    <w:p w14:paraId="4C9CEA0F" w14:textId="77777777" w:rsidR="002274A5" w:rsidRDefault="002274A5" w:rsidP="002274A5">
      <w:pPr>
        <w:jc w:val="both"/>
        <w:rPr>
          <w:rFonts w:ascii="Arial" w:eastAsia="Times New Roman" w:hAnsi="Arial" w:cs="Arial"/>
        </w:rPr>
      </w:pPr>
      <w:r w:rsidRPr="007C6747">
        <w:rPr>
          <w:rFonts w:ascii="Arial" w:eastAsia="Times New Roman" w:hAnsi="Arial" w:cs="Arial"/>
        </w:rPr>
        <w:br/>
        <w:t xml:space="preserve">If my interpretation is correct, then the pipeline figure should be modified to </w:t>
      </w:r>
      <w:r w:rsidRPr="007C6747">
        <w:rPr>
          <w:rFonts w:ascii="Arial" w:eastAsia="Times New Roman" w:hAnsi="Arial" w:cs="Arial"/>
        </w:rPr>
        <w:lastRenderedPageBreak/>
        <w:t>accommodate this change. Otherwise, using the pre-existing cell-type annotations is a bit confusing to me. In either case the order of the analysis should be clarified - possibly using numerical bullet points to avoid any confusions.</w:t>
      </w:r>
    </w:p>
    <w:p w14:paraId="3ACC2A59" w14:textId="77777777" w:rsidR="002274A5" w:rsidRDefault="002274A5" w:rsidP="002274A5">
      <w:pPr>
        <w:rPr>
          <w:rFonts w:ascii="Arial" w:eastAsia="Times New Roman" w:hAnsi="Arial" w:cs="Arial"/>
        </w:rPr>
      </w:pPr>
    </w:p>
    <w:p w14:paraId="45817D8F" w14:textId="77777777" w:rsidR="002274A5"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 xml:space="preserve">Thank you for the comments. In Figure 3, the arrow from "current practice" to "new paradigm" highlights that cell type annotations from existing clustering pipelines can still be adapted. These annotations could result from clustering followed by integration, such as in Seurat, or expert-based annotations, like the regions defined in case study 2. As we characterized the common scenarios in Figure 7e, DE analysis between different cell types is just one possible scenario. The DE question being asked will dictate whether cell type annotation is required. </w:t>
      </w:r>
      <w:r w:rsidRPr="002B0539">
        <w:rPr>
          <w:rFonts w:ascii="Arial" w:eastAsia="Times New Roman" w:hAnsi="Arial" w:cs="Arial"/>
          <w:color w:val="77206D" w:themeColor="accent5" w:themeShade="BF"/>
        </w:rPr>
        <w:t>Our primary suggestion is to use raw UMI counts rather than processed counts from these pipelines. The new paradigm emphasizes incorporating all relevant information simultaneously within the GLMM framework, rather than following a step-by-step process. This approach helps preserve biological variability and avoids cumulative bias introduced by intermediate processing steps.</w:t>
      </w:r>
    </w:p>
    <w:p w14:paraId="73387407" w14:textId="55B515DD" w:rsidR="002274A5" w:rsidRDefault="002274A5" w:rsidP="00BE1069">
      <w:pPr>
        <w:spacing w:after="0" w:line="240" w:lineRule="auto"/>
      </w:pPr>
      <w:r w:rsidRPr="000504CC">
        <w:rPr>
          <w:rFonts w:ascii="Arial" w:eastAsia="Times New Roman" w:hAnsi="Arial" w:cs="Arial"/>
          <w:noProof/>
          <w:color w:val="77206D" w:themeColor="accent5" w:themeShade="BF"/>
        </w:rPr>
        <w:drawing>
          <wp:inline distT="0" distB="0" distL="0" distR="0" wp14:anchorId="1F14A989" wp14:editId="7D5C9D4E">
            <wp:extent cx="5056909" cy="3087632"/>
            <wp:effectExtent l="0" t="0" r="0" b="0"/>
            <wp:docPr id="11" name="Picture 11" descr="A diagram of a new proced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new procedure&#10;&#10;AI-generated content may be incorrect."/>
                    <pic:cNvPicPr/>
                  </pic:nvPicPr>
                  <pic:blipFill>
                    <a:blip r:embed="rId29"/>
                    <a:stretch>
                      <a:fillRect/>
                    </a:stretch>
                  </pic:blipFill>
                  <pic:spPr>
                    <a:xfrm>
                      <a:off x="0" y="0"/>
                      <a:ext cx="5095038" cy="3110913"/>
                    </a:xfrm>
                    <a:prstGeom prst="rect">
                      <a:avLst/>
                    </a:prstGeom>
                  </pic:spPr>
                </pic:pic>
              </a:graphicData>
            </a:graphic>
          </wp:inline>
        </w:drawing>
      </w:r>
    </w:p>
    <w:p w14:paraId="5F89D888" w14:textId="77777777" w:rsidR="002274A5" w:rsidRDefault="002274A5" w:rsidP="002274A5">
      <w:pPr>
        <w:jc w:val="both"/>
        <w:rPr>
          <w:rFonts w:ascii="Arial" w:eastAsia="Times New Roman" w:hAnsi="Arial" w:cs="Arial"/>
        </w:rPr>
      </w:pPr>
      <w:r w:rsidRPr="007C6747">
        <w:rPr>
          <w:rFonts w:ascii="Arial" w:eastAsia="Times New Roman" w:hAnsi="Arial" w:cs="Arial"/>
        </w:rPr>
        <w:t xml:space="preserve">5. I find Figure 4 ambiguous. The </w:t>
      </w:r>
      <w:proofErr w:type="spellStart"/>
      <w:r w:rsidRPr="007C6747">
        <w:rPr>
          <w:rFonts w:ascii="Arial" w:eastAsia="Times New Roman" w:hAnsi="Arial" w:cs="Arial"/>
        </w:rPr>
        <w:t>logFC</w:t>
      </w:r>
      <w:proofErr w:type="spellEnd"/>
      <w:r w:rsidRPr="007C6747">
        <w:rPr>
          <w:rFonts w:ascii="Arial" w:eastAsia="Times New Roman" w:hAnsi="Arial" w:cs="Arial"/>
        </w:rPr>
        <w:t xml:space="preserve"> </w:t>
      </w:r>
      <w:proofErr w:type="spellStart"/>
      <w:r w:rsidRPr="007C6747">
        <w:rPr>
          <w:rFonts w:ascii="Arial" w:eastAsia="Times New Roman" w:hAnsi="Arial" w:cs="Arial"/>
        </w:rPr>
        <w:t>color</w:t>
      </w:r>
      <w:proofErr w:type="spellEnd"/>
      <w:r w:rsidRPr="007C6747">
        <w:rPr>
          <w:rFonts w:ascii="Arial" w:eastAsia="Times New Roman" w:hAnsi="Arial" w:cs="Arial"/>
        </w:rPr>
        <w:t xml:space="preserve"> code seems to be present in "Poisson-</w:t>
      </w:r>
      <w:proofErr w:type="spellStart"/>
      <w:r w:rsidRPr="007C6747">
        <w:rPr>
          <w:rFonts w:ascii="Arial" w:eastAsia="Times New Roman" w:hAnsi="Arial" w:cs="Arial"/>
        </w:rPr>
        <w:t>glmm</w:t>
      </w:r>
      <w:proofErr w:type="spellEnd"/>
      <w:r w:rsidRPr="007C6747">
        <w:rPr>
          <w:rFonts w:ascii="Arial" w:eastAsia="Times New Roman" w:hAnsi="Arial" w:cs="Arial"/>
        </w:rPr>
        <w:t>" heatmap but absent in Poisson-</w:t>
      </w:r>
      <w:proofErr w:type="spellStart"/>
      <w:r w:rsidRPr="007C6747">
        <w:rPr>
          <w:rFonts w:ascii="Arial" w:eastAsia="Times New Roman" w:hAnsi="Arial" w:cs="Arial"/>
        </w:rPr>
        <w:t>glmm</w:t>
      </w:r>
      <w:proofErr w:type="spellEnd"/>
      <w:r w:rsidRPr="007C6747">
        <w:rPr>
          <w:rFonts w:ascii="Arial" w:eastAsia="Times New Roman" w:hAnsi="Arial" w:cs="Arial"/>
        </w:rPr>
        <w:t xml:space="preserve"> DEGs. One suggestion to make the figure more helpful would be using some quantitative aid to bolster the claim "The heatmaps of DEGs further emphasize that raw counts can better capture the differences between groups compared to integrated counts". The description paragraph should also clearly state the reason behind some of the sentences, for example, "403 DEGs were excluded from the integrated data before testing?". Without context it's hard to derive the reason from the sentence. </w:t>
      </w:r>
    </w:p>
    <w:p w14:paraId="4644B0EC" w14:textId="77777777" w:rsidR="002274A5" w:rsidRDefault="002274A5" w:rsidP="002274A5">
      <w:pPr>
        <w:rPr>
          <w:rFonts w:ascii="Arial" w:eastAsia="Times New Roman" w:hAnsi="Arial" w:cs="Arial"/>
        </w:rPr>
      </w:pPr>
    </w:p>
    <w:p w14:paraId="54442D91" w14:textId="77777777" w:rsidR="002274A5" w:rsidRDefault="002274A5" w:rsidP="002274A5">
      <w:pPr>
        <w:jc w:val="both"/>
        <w:rPr>
          <w:rFonts w:ascii="Arial" w:eastAsia="Times New Roman" w:hAnsi="Arial" w:cs="Arial"/>
          <w:color w:val="77206D" w:themeColor="accent5" w:themeShade="BF"/>
        </w:rPr>
      </w:pPr>
      <w:r>
        <w:rPr>
          <w:rFonts w:ascii="Arial" w:eastAsia="Times New Roman" w:hAnsi="Arial" w:cs="Arial"/>
          <w:color w:val="77206D" w:themeColor="accent5" w:themeShade="BF"/>
        </w:rPr>
        <w:lastRenderedPageBreak/>
        <w:t xml:space="preserve">Thank you for the comments. </w:t>
      </w:r>
      <w:r w:rsidRPr="00BC3DC2">
        <w:rPr>
          <w:rFonts w:ascii="Arial" w:eastAsia="Times New Roman" w:hAnsi="Arial" w:cs="Arial"/>
          <w:color w:val="77206D" w:themeColor="accent5" w:themeShade="BF"/>
        </w:rPr>
        <w:t xml:space="preserve">For quantitative </w:t>
      </w:r>
      <w:r>
        <w:rPr>
          <w:rFonts w:ascii="Arial" w:eastAsia="Times New Roman" w:hAnsi="Arial" w:cs="Arial"/>
          <w:color w:val="77206D" w:themeColor="accent5" w:themeShade="BF"/>
        </w:rPr>
        <w:t>aid, we provided the comparison of t-statistics for the sample mean difference in Figure 4b.</w:t>
      </w:r>
      <w:r w:rsidRPr="00BC3DC2">
        <w:t xml:space="preserve"> </w:t>
      </w:r>
      <w:r w:rsidRPr="00BC3DC2">
        <w:rPr>
          <w:rFonts w:ascii="Arial" w:eastAsia="Times New Roman" w:hAnsi="Arial" w:cs="Arial"/>
          <w:color w:val="77206D" w:themeColor="accent5" w:themeShade="BF"/>
        </w:rPr>
        <w:t>Using a two-sample t-test, we compared gene expression means between these groups with raw UMI counts and three other normalization methods (Fig. 4b) using absolute t-scores. While t-scores from CPM mirror those from UMI counts, albeit with minor shrinkage, both VST and integration show substantial shrinkage. This normalization process dampens the gene expression differences between the groups before deploying any DE detection techniques.</w:t>
      </w:r>
    </w:p>
    <w:p w14:paraId="0AD7578B" w14:textId="7993D9EF" w:rsidR="002274A5" w:rsidRDefault="002274A5" w:rsidP="00BE1069">
      <w:pPr>
        <w:spacing w:after="0" w:line="240" w:lineRule="auto"/>
      </w:pPr>
      <w:r w:rsidRPr="00BC3DC2">
        <w:rPr>
          <w:rFonts w:ascii="Arial" w:eastAsia="Times New Roman" w:hAnsi="Arial" w:cs="Arial"/>
          <w:noProof/>
          <w:color w:val="77206D" w:themeColor="accent5" w:themeShade="BF"/>
        </w:rPr>
        <w:drawing>
          <wp:inline distT="0" distB="0" distL="0" distR="0" wp14:anchorId="381CA5BA" wp14:editId="124CD9AF">
            <wp:extent cx="4288004" cy="1544781"/>
            <wp:effectExtent l="0" t="0" r="5080" b="5080"/>
            <wp:docPr id="12" name="Picture 1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graph of a graph&#10;&#10;AI-generated content may be incorrect."/>
                    <pic:cNvPicPr/>
                  </pic:nvPicPr>
                  <pic:blipFill>
                    <a:blip r:embed="rId30"/>
                    <a:stretch>
                      <a:fillRect/>
                    </a:stretch>
                  </pic:blipFill>
                  <pic:spPr>
                    <a:xfrm>
                      <a:off x="0" y="0"/>
                      <a:ext cx="4312391" cy="1553567"/>
                    </a:xfrm>
                    <a:prstGeom prst="rect">
                      <a:avLst/>
                    </a:prstGeom>
                  </pic:spPr>
                </pic:pic>
              </a:graphicData>
            </a:graphic>
          </wp:inline>
        </w:drawing>
      </w:r>
    </w:p>
    <w:p w14:paraId="7A5D4741" w14:textId="77777777" w:rsidR="002274A5" w:rsidRDefault="002274A5" w:rsidP="002274A5">
      <w:pPr>
        <w:jc w:val="both"/>
        <w:rPr>
          <w:rFonts w:ascii="Arial" w:eastAsia="Times New Roman" w:hAnsi="Arial" w:cs="Arial"/>
          <w:color w:val="77206D" w:themeColor="accent5" w:themeShade="BF"/>
        </w:rPr>
      </w:pPr>
      <w:r>
        <w:rPr>
          <w:rFonts w:ascii="Arial" w:eastAsia="Times New Roman" w:hAnsi="Arial" w:cs="Arial"/>
          <w:color w:val="77206D" w:themeColor="accent5" w:themeShade="BF"/>
        </w:rPr>
        <w:t>We stated in “</w:t>
      </w:r>
      <w:r w:rsidRPr="001B64B6">
        <w:rPr>
          <w:rFonts w:ascii="Arial" w:eastAsia="Times New Roman" w:hAnsi="Arial" w:cs="Arial"/>
          <w:i/>
          <w:color w:val="77206D" w:themeColor="accent5" w:themeShade="BF"/>
        </w:rPr>
        <w:t>Datasets and pre-processing</w:t>
      </w:r>
      <w:r>
        <w:rPr>
          <w:rFonts w:ascii="Arial" w:eastAsia="Times New Roman" w:hAnsi="Arial" w:cs="Arial"/>
          <w:color w:val="77206D" w:themeColor="accent5" w:themeShade="BF"/>
        </w:rPr>
        <w:t xml:space="preserve">” that </w:t>
      </w:r>
      <w:r w:rsidRPr="007C6747">
        <w:rPr>
          <w:rFonts w:ascii="Arial" w:eastAsia="Times New Roman" w:hAnsi="Arial" w:cs="Arial"/>
          <w:color w:val="77206D" w:themeColor="accent5" w:themeShade="BF"/>
        </w:rPr>
        <w:t xml:space="preserve">the integrated data </w:t>
      </w:r>
      <w:r>
        <w:rPr>
          <w:rFonts w:ascii="Arial" w:eastAsia="Times New Roman" w:hAnsi="Arial" w:cs="Arial"/>
          <w:color w:val="77206D" w:themeColor="accent5" w:themeShade="BF"/>
        </w:rPr>
        <w:t xml:space="preserve">followed Seurat v4 workflow </w:t>
      </w:r>
      <w:r w:rsidRPr="007C6747">
        <w:rPr>
          <w:rFonts w:ascii="Arial" w:eastAsia="Times New Roman" w:hAnsi="Arial" w:cs="Arial" w:hint="eastAsia"/>
          <w:color w:val="77206D" w:themeColor="accent5" w:themeShade="BF"/>
        </w:rPr>
        <w:t>o</w:t>
      </w:r>
      <w:r w:rsidRPr="007C6747">
        <w:rPr>
          <w:rFonts w:ascii="Arial" w:eastAsia="Times New Roman" w:hAnsi="Arial" w:cs="Arial"/>
          <w:color w:val="77206D" w:themeColor="accent5" w:themeShade="BF"/>
        </w:rPr>
        <w:t>nly includes 2000 genes, so the 403</w:t>
      </w:r>
      <w:r>
        <w:rPr>
          <w:rFonts w:ascii="Arial" w:eastAsia="Times New Roman" w:hAnsi="Arial" w:cs="Arial"/>
          <w:color w:val="77206D" w:themeColor="accent5" w:themeShade="BF"/>
        </w:rPr>
        <w:t xml:space="preserve"> (now 1170)</w:t>
      </w:r>
      <w:r w:rsidRPr="007C6747">
        <w:rPr>
          <w:rFonts w:ascii="Arial" w:eastAsia="Times New Roman" w:hAnsi="Arial" w:cs="Arial"/>
          <w:color w:val="77206D" w:themeColor="accent5" w:themeShade="BF"/>
        </w:rPr>
        <w:t xml:space="preserve"> DEGs were excluded before testing.</w:t>
      </w:r>
      <w:r>
        <w:rPr>
          <w:rFonts w:ascii="Arial" w:eastAsia="Times New Roman" w:hAnsi="Arial" w:cs="Arial"/>
          <w:color w:val="77206D" w:themeColor="accent5" w:themeShade="BF"/>
        </w:rPr>
        <w:t xml:space="preserve"> In Figure 4d (left and middle), we showed the DEGs in UMI counts and integrated counts. And for Figure 4d (right), the 403 (now 1170) DEGs were not contained in integrated counts.</w:t>
      </w:r>
    </w:p>
    <w:p w14:paraId="67838B83" w14:textId="77777777" w:rsidR="002274A5" w:rsidRPr="00DD1A0A" w:rsidRDefault="002274A5" w:rsidP="002274A5">
      <w:pPr>
        <w:jc w:val="both"/>
        <w:rPr>
          <w:rFonts w:ascii="Arial" w:eastAsia="Times New Roman" w:hAnsi="Arial" w:cs="Arial"/>
          <w:color w:val="77206D" w:themeColor="accent5" w:themeShade="BF"/>
        </w:rPr>
      </w:pPr>
      <w:r w:rsidRPr="007C6747">
        <w:rPr>
          <w:rFonts w:ascii="Arial" w:eastAsia="Times New Roman" w:hAnsi="Arial" w:cs="Arial"/>
        </w:rPr>
        <w:br/>
        <w:t xml:space="preserve">From the source code provided by the authors, it seems the Seurat Wilcoxon test is called with </w:t>
      </w:r>
      <w:proofErr w:type="gramStart"/>
      <w:r w:rsidRPr="009F1114">
        <w:rPr>
          <w:rFonts w:ascii="Arial" w:eastAsia="Times New Roman" w:hAnsi="Arial" w:cs="Arial"/>
          <w:i/>
        </w:rPr>
        <w:t>FindMarkers(</w:t>
      </w:r>
      <w:proofErr w:type="spellStart"/>
      <w:proofErr w:type="gramEnd"/>
      <w:r w:rsidRPr="009F1114">
        <w:rPr>
          <w:rFonts w:ascii="Arial" w:eastAsia="Times New Roman" w:hAnsi="Arial" w:cs="Arial"/>
          <w:i/>
        </w:rPr>
        <w:t>Seurat_subgroup_int</w:t>
      </w:r>
      <w:proofErr w:type="spellEnd"/>
      <w:r w:rsidRPr="009F1114">
        <w:rPr>
          <w:rFonts w:ascii="Arial" w:eastAsia="Times New Roman" w:hAnsi="Arial" w:cs="Arial"/>
          <w:i/>
        </w:rPr>
        <w:t xml:space="preserve">, ident.1 = </w:t>
      </w:r>
      <w:proofErr w:type="spellStart"/>
      <w:r w:rsidRPr="009F1114">
        <w:rPr>
          <w:rFonts w:ascii="Arial" w:eastAsia="Times New Roman" w:hAnsi="Arial" w:cs="Arial"/>
          <w:i/>
        </w:rPr>
        <w:t>as.character</w:t>
      </w:r>
      <w:proofErr w:type="spellEnd"/>
      <w:r w:rsidRPr="009F1114">
        <w:rPr>
          <w:rFonts w:ascii="Arial" w:eastAsia="Times New Roman" w:hAnsi="Arial" w:cs="Arial"/>
          <w:i/>
        </w:rPr>
        <w:t xml:space="preserve">(group1), ident.2 = </w:t>
      </w:r>
      <w:proofErr w:type="spellStart"/>
      <w:r w:rsidRPr="009F1114">
        <w:rPr>
          <w:rFonts w:ascii="Arial" w:eastAsia="Times New Roman" w:hAnsi="Arial" w:cs="Arial"/>
          <w:i/>
        </w:rPr>
        <w:t>as.character</w:t>
      </w:r>
      <w:proofErr w:type="spellEnd"/>
      <w:r w:rsidRPr="009F1114">
        <w:rPr>
          <w:rFonts w:ascii="Arial" w:eastAsia="Times New Roman" w:hAnsi="Arial" w:cs="Arial"/>
          <w:i/>
        </w:rPr>
        <w:t xml:space="preserve">(group2), </w:t>
      </w:r>
      <w:proofErr w:type="spellStart"/>
      <w:r w:rsidRPr="009F1114">
        <w:rPr>
          <w:rFonts w:ascii="Arial" w:eastAsia="Times New Roman" w:hAnsi="Arial" w:cs="Arial"/>
          <w:i/>
        </w:rPr>
        <w:t>test.use</w:t>
      </w:r>
      <w:proofErr w:type="spellEnd"/>
      <w:r w:rsidRPr="009F1114">
        <w:rPr>
          <w:rFonts w:ascii="Arial" w:eastAsia="Times New Roman" w:hAnsi="Arial" w:cs="Arial"/>
          <w:i/>
        </w:rPr>
        <w:t xml:space="preserve"> = "</w:t>
      </w:r>
      <w:proofErr w:type="spellStart"/>
      <w:r w:rsidRPr="009F1114">
        <w:rPr>
          <w:rFonts w:ascii="Arial" w:eastAsia="Times New Roman" w:hAnsi="Arial" w:cs="Arial"/>
          <w:i/>
        </w:rPr>
        <w:t>wilcox</w:t>
      </w:r>
      <w:proofErr w:type="spellEnd"/>
      <w:r w:rsidRPr="009F1114">
        <w:rPr>
          <w:rFonts w:ascii="Arial" w:eastAsia="Times New Roman" w:hAnsi="Arial" w:cs="Arial"/>
          <w:i/>
        </w:rPr>
        <w:t>")</w:t>
      </w:r>
      <w:r w:rsidRPr="007C6747">
        <w:rPr>
          <w:rFonts w:ascii="Arial" w:eastAsia="Times New Roman" w:hAnsi="Arial" w:cs="Arial"/>
        </w:rPr>
        <w:t>, and it is reported that only 42 genes are included (Case Study 1). The reason is explained as being due to the log2 fold change cutoff. Does making the cutoff less stringent by using non-default parameters such as "</w:t>
      </w:r>
      <w:proofErr w:type="spellStart"/>
      <w:proofErr w:type="gramStart"/>
      <w:r w:rsidRPr="009F1114">
        <w:rPr>
          <w:rFonts w:ascii="Arial" w:eastAsia="Times New Roman" w:hAnsi="Arial" w:cs="Arial"/>
          <w:i/>
        </w:rPr>
        <w:t>logfc.threshold</w:t>
      </w:r>
      <w:proofErr w:type="spellEnd"/>
      <w:proofErr w:type="gramEnd"/>
      <w:r w:rsidRPr="009F1114">
        <w:rPr>
          <w:rFonts w:ascii="Arial" w:eastAsia="Times New Roman" w:hAnsi="Arial" w:cs="Arial"/>
          <w:i/>
        </w:rPr>
        <w:t xml:space="preserve"> = -Inf, min.pct = -Inf, </w:t>
      </w:r>
      <w:proofErr w:type="spellStart"/>
      <w:r w:rsidRPr="009F1114">
        <w:rPr>
          <w:rFonts w:ascii="Arial" w:eastAsia="Times New Roman" w:hAnsi="Arial" w:cs="Arial"/>
          <w:i/>
        </w:rPr>
        <w:t>min.cells.feature</w:t>
      </w:r>
      <w:proofErr w:type="spellEnd"/>
      <w:r w:rsidRPr="009F1114">
        <w:rPr>
          <w:rFonts w:ascii="Arial" w:eastAsia="Times New Roman" w:hAnsi="Arial" w:cs="Arial"/>
          <w:i/>
        </w:rPr>
        <w:t xml:space="preserve"> = 0, </w:t>
      </w:r>
      <w:proofErr w:type="spellStart"/>
      <w:r w:rsidRPr="009F1114">
        <w:rPr>
          <w:rFonts w:ascii="Arial" w:eastAsia="Times New Roman" w:hAnsi="Arial" w:cs="Arial"/>
          <w:i/>
        </w:rPr>
        <w:t>min.cells.group</w:t>
      </w:r>
      <w:proofErr w:type="spellEnd"/>
      <w:r w:rsidRPr="009F1114">
        <w:rPr>
          <w:rFonts w:ascii="Arial" w:eastAsia="Times New Roman" w:hAnsi="Arial" w:cs="Arial"/>
          <w:i/>
        </w:rPr>
        <w:t xml:space="preserve"> = 0</w:t>
      </w:r>
      <w:r w:rsidRPr="007C6747">
        <w:rPr>
          <w:rFonts w:ascii="Arial" w:eastAsia="Times New Roman" w:hAnsi="Arial" w:cs="Arial"/>
        </w:rPr>
        <w:t>" lead to the inclusion of more genes? In that case.  Would there be more genes detected by Wilcoxon?</w:t>
      </w:r>
    </w:p>
    <w:p w14:paraId="3C8C0704" w14:textId="77777777" w:rsidR="002274A5" w:rsidRPr="007C6747" w:rsidRDefault="002274A5" w:rsidP="002274A5">
      <w:pPr>
        <w:rPr>
          <w:rFonts w:ascii="Arial" w:eastAsia="Times New Roman" w:hAnsi="Arial" w:cs="Arial"/>
        </w:rPr>
      </w:pPr>
    </w:p>
    <w:p w14:paraId="62F609E7" w14:textId="77777777" w:rsidR="002274A5" w:rsidRDefault="002274A5" w:rsidP="002274A5">
      <w:pPr>
        <w:jc w:val="both"/>
        <w:rPr>
          <w:rFonts w:ascii="Arial" w:eastAsia="Times New Roman" w:hAnsi="Arial" w:cs="Arial"/>
        </w:rPr>
      </w:pPr>
      <w:r w:rsidRPr="27E1536C">
        <w:rPr>
          <w:rFonts w:ascii="Arial" w:eastAsia="Times New Roman" w:hAnsi="Arial" w:cs="Arial"/>
          <w:color w:val="77206D" w:themeColor="accent5" w:themeShade="BF"/>
        </w:rPr>
        <w:t xml:space="preserve">Thank you for the comment. We used the default setting for the Seurat package because scientists usually utilize the tool in that way. The original result was based on a previous version (v4), but as we mentioned in the major changes, a newer version (v5) has been released in the past few months. The formula for log2fc has changed and the default parameters were loosened. As a result, the latest version does not exclude many genes. </w:t>
      </w:r>
      <w:r>
        <w:br/>
      </w:r>
      <w:r>
        <w:br/>
      </w:r>
      <w:r w:rsidRPr="27E1536C">
        <w:rPr>
          <w:rFonts w:ascii="Arial" w:eastAsia="Times New Roman" w:hAnsi="Arial" w:cs="Arial"/>
        </w:rPr>
        <w:t xml:space="preserve">6. Another related question is, the code seems to use the RNA assay " </w:t>
      </w:r>
      <w:proofErr w:type="spellStart"/>
      <w:r w:rsidRPr="009F1114">
        <w:rPr>
          <w:rFonts w:ascii="Arial" w:eastAsia="Times New Roman" w:hAnsi="Arial" w:cs="Arial"/>
          <w:i/>
        </w:rPr>
        <w:t>Seurat_subgroup_int</w:t>
      </w:r>
      <w:proofErr w:type="spellEnd"/>
      <w:r w:rsidRPr="009F1114">
        <w:rPr>
          <w:rFonts w:ascii="Arial" w:eastAsia="Times New Roman" w:hAnsi="Arial" w:cs="Arial"/>
          <w:i/>
        </w:rPr>
        <w:t xml:space="preserve"> = </w:t>
      </w:r>
      <w:proofErr w:type="spellStart"/>
      <w:r w:rsidRPr="009F1114">
        <w:rPr>
          <w:rFonts w:ascii="Arial" w:eastAsia="Times New Roman" w:hAnsi="Arial" w:cs="Arial"/>
          <w:i/>
        </w:rPr>
        <w:t>CreateSeuratObject</w:t>
      </w:r>
      <w:proofErr w:type="spellEnd"/>
      <w:r w:rsidRPr="009F1114">
        <w:rPr>
          <w:rFonts w:ascii="Arial" w:eastAsia="Times New Roman" w:hAnsi="Arial" w:cs="Arial"/>
          <w:i/>
        </w:rPr>
        <w:t>(counts(</w:t>
      </w:r>
      <w:proofErr w:type="spellStart"/>
      <w:r w:rsidRPr="009F1114">
        <w:rPr>
          <w:rFonts w:ascii="Arial" w:eastAsia="Times New Roman" w:hAnsi="Arial" w:cs="Arial"/>
          <w:i/>
        </w:rPr>
        <w:t>subgroupsce_integrated</w:t>
      </w:r>
      <w:proofErr w:type="spellEnd"/>
      <w:r w:rsidRPr="009F1114">
        <w:rPr>
          <w:rFonts w:ascii="Arial" w:eastAsia="Times New Roman" w:hAnsi="Arial" w:cs="Arial"/>
          <w:i/>
        </w:rPr>
        <w:t xml:space="preserve">), project = </w:t>
      </w:r>
      <w:proofErr w:type="spellStart"/>
      <w:proofErr w:type="gramStart"/>
      <w:r w:rsidRPr="009F1114">
        <w:rPr>
          <w:rFonts w:ascii="Arial" w:eastAsia="Times New Roman" w:hAnsi="Arial" w:cs="Arial"/>
          <w:i/>
        </w:rPr>
        <w:t>as.character</w:t>
      </w:r>
      <w:proofErr w:type="spellEnd"/>
      <w:proofErr w:type="gramEnd"/>
      <w:r w:rsidRPr="009F1114">
        <w:rPr>
          <w:rFonts w:ascii="Arial" w:eastAsia="Times New Roman" w:hAnsi="Arial" w:cs="Arial"/>
          <w:i/>
        </w:rPr>
        <w:t>(</w:t>
      </w:r>
      <w:proofErr w:type="spellStart"/>
      <w:r w:rsidRPr="009F1114">
        <w:rPr>
          <w:rFonts w:ascii="Arial" w:eastAsia="Times New Roman" w:hAnsi="Arial" w:cs="Arial"/>
          <w:i/>
        </w:rPr>
        <w:t>subgroupsce$hippo_cluster</w:t>
      </w:r>
      <w:proofErr w:type="spellEnd"/>
      <w:r w:rsidRPr="009F1114">
        <w:rPr>
          <w:rFonts w:ascii="Arial" w:eastAsia="Times New Roman" w:hAnsi="Arial" w:cs="Arial"/>
          <w:i/>
        </w:rPr>
        <w:t xml:space="preserve">), assay = "RNA", </w:t>
      </w:r>
      <w:proofErr w:type="spellStart"/>
      <w:r w:rsidRPr="009F1114">
        <w:rPr>
          <w:rFonts w:ascii="Arial" w:eastAsia="Times New Roman" w:hAnsi="Arial" w:cs="Arial"/>
          <w:i/>
        </w:rPr>
        <w:t>meta.data</w:t>
      </w:r>
      <w:proofErr w:type="spellEnd"/>
      <w:r w:rsidRPr="009F1114">
        <w:rPr>
          <w:rFonts w:ascii="Arial" w:eastAsia="Times New Roman" w:hAnsi="Arial" w:cs="Arial"/>
          <w:i/>
        </w:rPr>
        <w:t xml:space="preserve"> = </w:t>
      </w:r>
      <w:proofErr w:type="spellStart"/>
      <w:r w:rsidRPr="009F1114">
        <w:rPr>
          <w:rFonts w:ascii="Arial" w:eastAsia="Times New Roman" w:hAnsi="Arial" w:cs="Arial"/>
          <w:i/>
        </w:rPr>
        <w:lastRenderedPageBreak/>
        <w:t>data.frame</w:t>
      </w:r>
      <w:proofErr w:type="spellEnd"/>
      <w:r w:rsidRPr="009F1114">
        <w:rPr>
          <w:rFonts w:ascii="Arial" w:eastAsia="Times New Roman" w:hAnsi="Arial" w:cs="Arial"/>
          <w:i/>
        </w:rPr>
        <w:t>(</w:t>
      </w:r>
      <w:proofErr w:type="spellStart"/>
      <w:r w:rsidRPr="009F1114">
        <w:rPr>
          <w:rFonts w:ascii="Arial" w:eastAsia="Times New Roman" w:hAnsi="Arial" w:cs="Arial"/>
          <w:i/>
        </w:rPr>
        <w:t>colData</w:t>
      </w:r>
      <w:proofErr w:type="spellEnd"/>
      <w:r w:rsidRPr="009F1114">
        <w:rPr>
          <w:rFonts w:ascii="Arial" w:eastAsia="Times New Roman" w:hAnsi="Arial" w:cs="Arial"/>
          <w:i/>
        </w:rPr>
        <w:t>(</w:t>
      </w:r>
      <w:proofErr w:type="spellStart"/>
      <w:r w:rsidRPr="009F1114">
        <w:rPr>
          <w:rFonts w:ascii="Arial" w:eastAsia="Times New Roman" w:hAnsi="Arial" w:cs="Arial"/>
          <w:i/>
        </w:rPr>
        <w:t>subgroupsce</w:t>
      </w:r>
      <w:proofErr w:type="spellEnd"/>
      <w:r w:rsidRPr="009F1114">
        <w:rPr>
          <w:rFonts w:ascii="Arial" w:eastAsia="Times New Roman" w:hAnsi="Arial" w:cs="Arial"/>
          <w:i/>
        </w:rPr>
        <w:t>)))"</w:t>
      </w:r>
      <w:r w:rsidRPr="27E1536C">
        <w:rPr>
          <w:rFonts w:ascii="Arial" w:eastAsia="Times New Roman" w:hAnsi="Arial" w:cs="Arial"/>
        </w:rPr>
        <w:t xml:space="preserve"> - does not that mean that it actually uses </w:t>
      </w:r>
      <w:proofErr w:type="spellStart"/>
      <w:r w:rsidRPr="27E1536C">
        <w:rPr>
          <w:rFonts w:ascii="Arial" w:eastAsia="Times New Roman" w:hAnsi="Arial" w:cs="Arial"/>
        </w:rPr>
        <w:t>non integrated</w:t>
      </w:r>
      <w:proofErr w:type="spellEnd"/>
      <w:r w:rsidRPr="27E1536C">
        <w:rPr>
          <w:rFonts w:ascii="Arial" w:eastAsia="Times New Roman" w:hAnsi="Arial" w:cs="Arial"/>
        </w:rPr>
        <w:t xml:space="preserve"> data in essence?</w:t>
      </w:r>
    </w:p>
    <w:p w14:paraId="13E6E0E0" w14:textId="77777777" w:rsidR="002274A5" w:rsidRPr="007C6747" w:rsidRDefault="002274A5" w:rsidP="002274A5">
      <w:pPr>
        <w:jc w:val="both"/>
        <w:rPr>
          <w:rFonts w:ascii="Arial" w:eastAsia="Times New Roman" w:hAnsi="Arial" w:cs="Arial"/>
        </w:rPr>
      </w:pPr>
      <w:r w:rsidRPr="007C6747">
        <w:rPr>
          <w:rFonts w:ascii="Arial" w:eastAsia="Times New Roman" w:hAnsi="Arial" w:cs="Arial"/>
        </w:rPr>
        <w:t xml:space="preserve">   </w:t>
      </w:r>
    </w:p>
    <w:p w14:paraId="1B4DB1D1" w14:textId="77777777" w:rsidR="002274A5" w:rsidRPr="008E207A" w:rsidRDefault="002274A5" w:rsidP="002274A5">
      <w:pPr>
        <w:jc w:val="both"/>
        <w:rPr>
          <w:rFonts w:ascii="Arial" w:eastAsia="Times New Roman" w:hAnsi="Arial" w:cs="Arial"/>
          <w:color w:val="77206D" w:themeColor="accent5" w:themeShade="BF"/>
        </w:rPr>
      </w:pPr>
      <w:r w:rsidRPr="008E207A">
        <w:rPr>
          <w:rFonts w:ascii="Arial" w:eastAsia="Times New Roman" w:hAnsi="Arial" w:cs="Arial"/>
          <w:color w:val="77206D" w:themeColor="accent5" w:themeShade="BF"/>
        </w:rPr>
        <w:t xml:space="preserve">Thank you for your comments. In the previous version, we stored the integrated counts in the “RNA” slot of the </w:t>
      </w:r>
      <w:proofErr w:type="spellStart"/>
      <w:r w:rsidRPr="008E207A">
        <w:rPr>
          <w:rFonts w:ascii="Arial" w:eastAsia="Times New Roman" w:hAnsi="Arial" w:cs="Arial"/>
          <w:color w:val="77206D" w:themeColor="accent5" w:themeShade="BF"/>
        </w:rPr>
        <w:t>subgroupsce_integrated</w:t>
      </w:r>
      <w:proofErr w:type="spellEnd"/>
      <w:r w:rsidRPr="008E207A">
        <w:rPr>
          <w:rFonts w:ascii="Arial" w:eastAsia="Times New Roman" w:hAnsi="Arial" w:cs="Arial"/>
          <w:color w:val="77206D" w:themeColor="accent5" w:themeShade="BF"/>
        </w:rPr>
        <w:t xml:space="preserve"> object. The code you referenced was indeed using the integrated counts to create the Seurat object. To clarify this, we have now named the Seurat object </w:t>
      </w:r>
      <w:proofErr w:type="spellStart"/>
      <w:r w:rsidRPr="008E207A">
        <w:rPr>
          <w:rFonts w:ascii="Arial" w:eastAsia="Times New Roman" w:hAnsi="Arial" w:cs="Arial"/>
          <w:color w:val="77206D" w:themeColor="accent5" w:themeShade="BF"/>
        </w:rPr>
        <w:t>Seurat_fallopian_tubes</w:t>
      </w:r>
      <w:proofErr w:type="spellEnd"/>
      <w:r w:rsidRPr="008E207A">
        <w:rPr>
          <w:rFonts w:ascii="Arial" w:eastAsia="Times New Roman" w:hAnsi="Arial" w:cs="Arial"/>
          <w:color w:val="77206D" w:themeColor="accent5" w:themeShade="BF"/>
        </w:rPr>
        <w:t xml:space="preserve"> and stored the integrated counts in the “integrated” slot. This should help avoid confusion moving forward.</w:t>
      </w:r>
    </w:p>
    <w:p w14:paraId="0EAB5A7F" w14:textId="77777777" w:rsidR="002274A5" w:rsidRDefault="002274A5" w:rsidP="002274A5">
      <w:pPr>
        <w:rPr>
          <w:rFonts w:ascii="Arial" w:eastAsia="Times New Roman" w:hAnsi="Arial" w:cs="Arial"/>
        </w:rPr>
      </w:pPr>
      <w:r w:rsidRPr="007C6747">
        <w:rPr>
          <w:rFonts w:ascii="Arial" w:eastAsia="Times New Roman" w:hAnsi="Arial" w:cs="Arial"/>
        </w:rPr>
        <w:br/>
        <w:t>7. I have similar feedback as described in point 6 about Figure 5d</w:t>
      </w:r>
    </w:p>
    <w:p w14:paraId="5EBB7D1F" w14:textId="77777777" w:rsidR="002274A5" w:rsidRDefault="002274A5" w:rsidP="002274A5">
      <w:pPr>
        <w:rPr>
          <w:rFonts w:ascii="Arial" w:eastAsia="Times New Roman" w:hAnsi="Arial" w:cs="Arial"/>
        </w:rPr>
      </w:pPr>
    </w:p>
    <w:p w14:paraId="59BBF6EF" w14:textId="77777777" w:rsidR="002274A5" w:rsidRDefault="002274A5" w:rsidP="002274A5">
      <w:pPr>
        <w:jc w:val="both"/>
      </w:pPr>
      <w:r w:rsidRPr="27E1536C">
        <w:rPr>
          <w:rFonts w:ascii="Arial" w:eastAsia="Times New Roman" w:hAnsi="Arial" w:cs="Arial"/>
          <w:color w:val="77206D" w:themeColor="accent5" w:themeShade="BF"/>
        </w:rPr>
        <w:t>Thanks for your comments. The response is provided in the previous question.</w:t>
      </w:r>
      <w:r>
        <w:br/>
      </w:r>
      <w:r>
        <w:br/>
      </w:r>
      <w:r w:rsidRPr="27E1536C">
        <w:rPr>
          <w:rFonts w:ascii="Arial" w:eastAsia="Times New Roman" w:hAnsi="Arial" w:cs="Arial"/>
        </w:rPr>
        <w:t>8. The manuscript addresses the problem of false discoveries in an analytical way by using permutations and then observing a flat distribution of p-values. While this provides some confidence, the method needs substantially more validation (beyond showing relevant GO pathways). Especially since LEMUR produces such different results from many other tools. </w:t>
      </w:r>
    </w:p>
    <w:p w14:paraId="1AFD2583" w14:textId="77777777" w:rsidR="002274A5" w:rsidRDefault="002274A5" w:rsidP="002274A5">
      <w:pPr>
        <w:jc w:val="both"/>
      </w:pPr>
      <w:r>
        <w:br/>
      </w:r>
      <w:r w:rsidRPr="27E1536C">
        <w:rPr>
          <w:rFonts w:ascii="Arial" w:eastAsia="Times New Roman" w:hAnsi="Arial" w:cs="Arial"/>
        </w:rPr>
        <w:t>One good example - </w:t>
      </w:r>
      <w:hyperlink r:id="rId31">
        <w:r w:rsidRPr="27E1536C">
          <w:rPr>
            <w:rFonts w:ascii="Arial" w:eastAsia="Times New Roman" w:hAnsi="Arial" w:cs="Arial"/>
            <w:color w:val="0000FF"/>
            <w:u w:val="single"/>
          </w:rPr>
          <w:t>https://www.nature.com/articles/s41467-021-25960-2</w:t>
        </w:r>
      </w:hyperlink>
      <w:r w:rsidRPr="27E1536C">
        <w:rPr>
          <w:rFonts w:ascii="Arial" w:eastAsia="Times New Roman" w:hAnsi="Arial" w:cs="Arial"/>
        </w:rPr>
        <w:t xml:space="preserve"> paper cited in the manuscript described some tangible use cases where existing DE methods perform </w:t>
      </w:r>
      <w:proofErr w:type="spellStart"/>
      <w:r w:rsidRPr="27E1536C">
        <w:rPr>
          <w:rFonts w:ascii="Arial" w:eastAsia="Times New Roman" w:hAnsi="Arial" w:cs="Arial"/>
        </w:rPr>
        <w:t>suboptimally</w:t>
      </w:r>
      <w:proofErr w:type="spellEnd"/>
      <w:r w:rsidRPr="27E1536C">
        <w:rPr>
          <w:rFonts w:ascii="Arial" w:eastAsia="Times New Roman" w:hAnsi="Arial" w:cs="Arial"/>
        </w:rPr>
        <w:t xml:space="preserve">. For example, a dataset containing spinal cord injury (SCI), the authors of the paper had curated "ground truth" for the same. I feel LEMUR is perfect for testing its ability to detect ground truth in such a dataset. </w:t>
      </w:r>
      <w:proofErr w:type="gramStart"/>
      <w:r w:rsidRPr="27E1536C">
        <w:rPr>
          <w:rFonts w:ascii="Arial" w:eastAsia="Times New Roman" w:hAnsi="Arial" w:cs="Arial"/>
        </w:rPr>
        <w:t>Moreover</w:t>
      </w:r>
      <w:proofErr w:type="gramEnd"/>
      <w:r w:rsidRPr="27E1536C">
        <w:rPr>
          <w:rFonts w:ascii="Arial" w:eastAsia="Times New Roman" w:hAnsi="Arial" w:cs="Arial"/>
        </w:rPr>
        <w:t xml:space="preserve"> this paper presented 18 ground truth dataset. I would recommend the authors to take some of the single-cell datasets to show to what extent LEMUR recovers the DE genes in comparison to the other contemporary methods. </w:t>
      </w:r>
    </w:p>
    <w:p w14:paraId="7C94E1A3" w14:textId="77777777" w:rsidR="002274A5" w:rsidRDefault="002274A5" w:rsidP="002274A5">
      <w:pPr>
        <w:jc w:val="both"/>
        <w:rPr>
          <w:rFonts w:ascii="Arial" w:eastAsia="Times New Roman" w:hAnsi="Arial" w:cs="Arial"/>
        </w:rPr>
      </w:pPr>
    </w:p>
    <w:p w14:paraId="76A11C41" w14:textId="77777777" w:rsidR="002274A5" w:rsidRDefault="002274A5" w:rsidP="002274A5">
      <w:pPr>
        <w:jc w:val="both"/>
        <w:rPr>
          <w:rFonts w:ascii="Arial" w:eastAsia="Times New Roman" w:hAnsi="Arial" w:cs="Arial"/>
          <w:color w:val="77206D" w:themeColor="accent5" w:themeShade="BF"/>
          <w:highlight w:val="yellow"/>
        </w:rPr>
      </w:pPr>
      <w:r w:rsidRPr="27E1536C">
        <w:rPr>
          <w:rFonts w:ascii="Arial" w:eastAsia="Times New Roman" w:hAnsi="Arial" w:cs="Arial"/>
          <w:color w:val="77206D" w:themeColor="accent5" w:themeShade="BF"/>
        </w:rPr>
        <w:t xml:space="preserve">Thank you for the comments. To provide more validation, we have added case study 2 (human spinal cord dataset) which contains reliable region annotations. The results are shown </w:t>
      </w:r>
      <w:r>
        <w:rPr>
          <w:rFonts w:ascii="Arial" w:eastAsia="Times New Roman" w:hAnsi="Arial" w:cs="Arial"/>
          <w:color w:val="77206D" w:themeColor="accent5" w:themeShade="BF"/>
        </w:rPr>
        <w:t>in “</w:t>
      </w:r>
      <w:r w:rsidRPr="001B64B6">
        <w:rPr>
          <w:rFonts w:ascii="Arial" w:eastAsia="Times New Roman" w:hAnsi="Arial" w:cs="Arial"/>
          <w:color w:val="77206D" w:themeColor="accent5" w:themeShade="BF"/>
        </w:rPr>
        <w:t>Case study 2: DE analysis on different regions of human spinal cord cells</w:t>
      </w:r>
      <w:r>
        <w:rPr>
          <w:rFonts w:ascii="Arial" w:eastAsia="Times New Roman" w:hAnsi="Arial" w:cs="Arial"/>
          <w:color w:val="77206D" w:themeColor="accent5" w:themeShade="BF"/>
        </w:rPr>
        <w:t xml:space="preserve">”. </w:t>
      </w:r>
      <w:r w:rsidRPr="27E1536C">
        <w:rPr>
          <w:rFonts w:ascii="Arial" w:eastAsia="Times New Roman" w:hAnsi="Arial" w:cs="Arial"/>
          <w:color w:val="77206D" w:themeColor="accent5" w:themeShade="BF"/>
        </w:rPr>
        <w:t>Besides the real data, we also added the simulated dataset from Splatter. This tool provides us the ground truth, indicating whether a gene is DE, so we can compute power and FDR easily. Most methods have well controlled FDR. In terms of power, Poisson-</w:t>
      </w:r>
      <w:proofErr w:type="spellStart"/>
      <w:r w:rsidRPr="27E1536C">
        <w:rPr>
          <w:rFonts w:ascii="Arial" w:eastAsia="Times New Roman" w:hAnsi="Arial" w:cs="Arial"/>
          <w:color w:val="77206D" w:themeColor="accent5" w:themeShade="BF"/>
        </w:rPr>
        <w:t>glmm</w:t>
      </w:r>
      <w:proofErr w:type="spellEnd"/>
      <w:r w:rsidRPr="27E1536C">
        <w:rPr>
          <w:rFonts w:ascii="Arial" w:eastAsia="Times New Roman" w:hAnsi="Arial" w:cs="Arial"/>
          <w:color w:val="77206D" w:themeColor="accent5" w:themeShade="BF"/>
        </w:rPr>
        <w:t xml:space="preserve">, MAST, and Wilcox perform well across all configurations. Pb-DESeq2, </w:t>
      </w:r>
      <w:proofErr w:type="spellStart"/>
      <w:r w:rsidRPr="27E1536C">
        <w:rPr>
          <w:rFonts w:ascii="Arial" w:eastAsia="Times New Roman" w:hAnsi="Arial" w:cs="Arial"/>
          <w:color w:val="77206D" w:themeColor="accent5" w:themeShade="BF"/>
        </w:rPr>
        <w:t>MMvst</w:t>
      </w:r>
      <w:proofErr w:type="spellEnd"/>
      <w:r w:rsidRPr="27E1536C">
        <w:rPr>
          <w:rFonts w:ascii="Arial" w:eastAsia="Times New Roman" w:hAnsi="Arial" w:cs="Arial"/>
          <w:color w:val="77206D" w:themeColor="accent5" w:themeShade="BF"/>
        </w:rPr>
        <w:t xml:space="preserve">, and </w:t>
      </w:r>
      <w:proofErr w:type="spellStart"/>
      <w:r w:rsidRPr="27E1536C">
        <w:rPr>
          <w:rFonts w:ascii="Arial" w:eastAsia="Times New Roman" w:hAnsi="Arial" w:cs="Arial"/>
          <w:color w:val="77206D" w:themeColor="accent5" w:themeShade="BF"/>
        </w:rPr>
        <w:t>MMpoisson</w:t>
      </w:r>
      <w:proofErr w:type="spellEnd"/>
      <w:r w:rsidRPr="27E1536C">
        <w:rPr>
          <w:rFonts w:ascii="Arial" w:eastAsia="Times New Roman" w:hAnsi="Arial" w:cs="Arial"/>
          <w:color w:val="77206D" w:themeColor="accent5" w:themeShade="BF"/>
        </w:rPr>
        <w:t xml:space="preserve"> show moderate power in the (0.5, 1) setting but perform poorly in other settings. Binomial-</w:t>
      </w:r>
      <w:proofErr w:type="spellStart"/>
      <w:r w:rsidRPr="27E1536C">
        <w:rPr>
          <w:rFonts w:ascii="Arial" w:eastAsia="Times New Roman" w:hAnsi="Arial" w:cs="Arial"/>
          <w:color w:val="77206D" w:themeColor="accent5" w:themeShade="BF"/>
        </w:rPr>
        <w:t>glmm</w:t>
      </w:r>
      <w:proofErr w:type="spellEnd"/>
      <w:r w:rsidRPr="27E1536C">
        <w:rPr>
          <w:rFonts w:ascii="Arial" w:eastAsia="Times New Roman" w:hAnsi="Arial" w:cs="Arial"/>
          <w:color w:val="77206D" w:themeColor="accent5" w:themeShade="BF"/>
        </w:rPr>
        <w:t xml:space="preserve"> and pb-</w:t>
      </w:r>
      <w:proofErr w:type="spellStart"/>
      <w:r w:rsidRPr="27E1536C">
        <w:rPr>
          <w:rFonts w:ascii="Arial" w:eastAsia="Times New Roman" w:hAnsi="Arial" w:cs="Arial"/>
          <w:color w:val="77206D" w:themeColor="accent5" w:themeShade="BF"/>
        </w:rPr>
        <w:t>edgeR</w:t>
      </w:r>
      <w:proofErr w:type="spellEnd"/>
      <w:r w:rsidRPr="27E1536C">
        <w:rPr>
          <w:rFonts w:ascii="Arial" w:eastAsia="Times New Roman" w:hAnsi="Arial" w:cs="Arial"/>
          <w:color w:val="77206D" w:themeColor="accent5" w:themeShade="BF"/>
        </w:rPr>
        <w:t xml:space="preserve"> demonstrate consistently lower power across all settings. More results and details can be found</w:t>
      </w:r>
      <w:r>
        <w:rPr>
          <w:rFonts w:ascii="Arial" w:eastAsia="Times New Roman" w:hAnsi="Arial" w:cs="Arial"/>
          <w:color w:val="77206D" w:themeColor="accent5" w:themeShade="BF"/>
        </w:rPr>
        <w:t xml:space="preserve"> in “</w:t>
      </w:r>
      <w:r w:rsidRPr="001B64B6">
        <w:rPr>
          <w:rFonts w:ascii="Arial" w:eastAsia="Times New Roman" w:hAnsi="Arial" w:cs="Arial"/>
          <w:i/>
          <w:color w:val="77206D" w:themeColor="accent5" w:themeShade="BF"/>
        </w:rPr>
        <w:t>False discovery rates and power assessment</w:t>
      </w:r>
      <w:r>
        <w:rPr>
          <w:rFonts w:ascii="Arial" w:eastAsia="Times New Roman" w:hAnsi="Arial" w:cs="Arial"/>
          <w:color w:val="77206D" w:themeColor="accent5" w:themeShade="BF"/>
        </w:rPr>
        <w:t>”.</w:t>
      </w:r>
    </w:p>
    <w:p w14:paraId="1DC5D523" w14:textId="77777777" w:rsidR="002274A5" w:rsidRDefault="002274A5" w:rsidP="002274A5">
      <w:pPr>
        <w:jc w:val="both"/>
        <w:rPr>
          <w:rFonts w:ascii="Arial" w:eastAsia="Times New Roman" w:hAnsi="Arial" w:cs="Arial"/>
          <w:color w:val="77206D" w:themeColor="accent5" w:themeShade="BF"/>
          <w:highlight w:val="yellow"/>
        </w:rPr>
      </w:pPr>
    </w:p>
    <w:p w14:paraId="498E6C5E" w14:textId="77777777" w:rsidR="002274A5" w:rsidRPr="006767F5" w:rsidRDefault="002274A5" w:rsidP="002274A5">
      <w:pPr>
        <w:jc w:val="center"/>
        <w:rPr>
          <w:rFonts w:ascii="Arial" w:eastAsia="Times New Roman" w:hAnsi="Arial" w:cs="Arial"/>
          <w:color w:val="77206D" w:themeColor="accent5" w:themeShade="BF"/>
        </w:rPr>
      </w:pPr>
      <w:r w:rsidRPr="004223C7">
        <w:rPr>
          <w:rFonts w:ascii="Arial" w:eastAsia="Times New Roman" w:hAnsi="Arial" w:cs="Arial"/>
          <w:noProof/>
        </w:rPr>
        <w:drawing>
          <wp:inline distT="0" distB="0" distL="0" distR="0" wp14:anchorId="041C3F89" wp14:editId="0B35A01F">
            <wp:extent cx="5943600" cy="2679065"/>
            <wp:effectExtent l="0" t="0" r="0" b="635"/>
            <wp:docPr id="13" name="Picture 13" descr="A graph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graph with different colored dots&#10;&#10;AI-generated content may be incorrect."/>
                    <pic:cNvPicPr/>
                  </pic:nvPicPr>
                  <pic:blipFill>
                    <a:blip r:embed="rId18"/>
                    <a:stretch>
                      <a:fillRect/>
                    </a:stretch>
                  </pic:blipFill>
                  <pic:spPr>
                    <a:xfrm>
                      <a:off x="0" y="0"/>
                      <a:ext cx="5943600" cy="2679065"/>
                    </a:xfrm>
                    <a:prstGeom prst="rect">
                      <a:avLst/>
                    </a:prstGeom>
                  </pic:spPr>
                </pic:pic>
              </a:graphicData>
            </a:graphic>
          </wp:inline>
        </w:drawing>
      </w:r>
    </w:p>
    <w:p w14:paraId="77E02504" w14:textId="77777777" w:rsidR="002274A5" w:rsidRDefault="002274A5" w:rsidP="002274A5">
      <w:pPr>
        <w:jc w:val="both"/>
        <w:rPr>
          <w:rFonts w:ascii="Arial" w:eastAsia="Times New Roman" w:hAnsi="Arial" w:cs="Arial"/>
        </w:rPr>
      </w:pPr>
      <w:r w:rsidRPr="007C6747">
        <w:rPr>
          <w:rFonts w:ascii="Arial" w:eastAsia="Times New Roman" w:hAnsi="Arial" w:cs="Arial"/>
        </w:rPr>
        <w:br/>
        <w:t xml:space="preserve">9. The result section should include </w:t>
      </w:r>
      <w:r w:rsidRPr="00D52AB2">
        <w:rPr>
          <w:rFonts w:ascii="Arial" w:eastAsia="Times New Roman" w:hAnsi="Arial" w:cs="Arial"/>
        </w:rPr>
        <w:t>an "upset" plot</w:t>
      </w:r>
      <w:r w:rsidRPr="007C6747">
        <w:rPr>
          <w:rFonts w:ascii="Arial" w:eastAsia="Times New Roman" w:hAnsi="Arial" w:cs="Arial"/>
        </w:rPr>
        <w:t xml:space="preserve"> or multi-set intersection plot to show the intersection between the methods. Such results would highlight to what extent the methods overlap. </w:t>
      </w:r>
    </w:p>
    <w:p w14:paraId="6CF9069B" w14:textId="77777777" w:rsidR="002274A5" w:rsidRDefault="002274A5" w:rsidP="002274A5">
      <w:pPr>
        <w:jc w:val="both"/>
        <w:rPr>
          <w:rFonts w:ascii="Arial" w:eastAsia="Times New Roman" w:hAnsi="Arial" w:cs="Arial"/>
        </w:rPr>
      </w:pPr>
    </w:p>
    <w:p w14:paraId="287F67C3" w14:textId="77777777" w:rsidR="002274A5" w:rsidRPr="00DA2E1A" w:rsidRDefault="002274A5" w:rsidP="002274A5">
      <w:pPr>
        <w:jc w:val="both"/>
        <w:rPr>
          <w:rFonts w:ascii="Arial" w:eastAsia="Times New Roman" w:hAnsi="Arial" w:cs="Arial"/>
          <w:color w:val="77206D" w:themeColor="accent5" w:themeShade="BF"/>
        </w:rPr>
      </w:pPr>
      <w:r w:rsidRPr="27E1536C">
        <w:rPr>
          <w:rFonts w:ascii="Arial" w:eastAsia="Times New Roman" w:hAnsi="Arial" w:cs="Arial"/>
          <w:color w:val="77206D" w:themeColor="accent5" w:themeShade="BF"/>
        </w:rPr>
        <w:t xml:space="preserve">Thank you for the suggestions. We have added the upset for each comparison in the supplementary materials. Your suggestion allowed us </w:t>
      </w:r>
      <w:proofErr w:type="gramStart"/>
      <w:r w:rsidRPr="27E1536C">
        <w:rPr>
          <w:rFonts w:ascii="Arial" w:eastAsia="Times New Roman" w:hAnsi="Arial" w:cs="Arial"/>
          <w:color w:val="77206D" w:themeColor="accent5" w:themeShade="BF"/>
        </w:rPr>
        <w:t>uncover</w:t>
      </w:r>
      <w:proofErr w:type="gramEnd"/>
      <w:r w:rsidRPr="27E1536C">
        <w:rPr>
          <w:rFonts w:ascii="Arial" w:eastAsia="Times New Roman" w:hAnsi="Arial" w:cs="Arial"/>
          <w:color w:val="77206D" w:themeColor="accent5" w:themeShade="BF"/>
        </w:rPr>
        <w:t xml:space="preserve"> uniquely identified DEGs for each method.</w:t>
      </w:r>
    </w:p>
    <w:p w14:paraId="3ABC7CA1" w14:textId="77777777" w:rsidR="002274A5" w:rsidRDefault="002274A5" w:rsidP="002274A5">
      <w:pPr>
        <w:rPr>
          <w:rFonts w:ascii="Arial" w:eastAsia="Times New Roman" w:hAnsi="Arial" w:cs="Arial"/>
        </w:rPr>
      </w:pPr>
      <w:r w:rsidRPr="007C6747">
        <w:rPr>
          <w:rFonts w:ascii="Arial" w:eastAsia="Times New Roman" w:hAnsi="Arial" w:cs="Arial"/>
        </w:rPr>
        <w:br/>
        <w:t>Minor comments</w:t>
      </w:r>
      <w:r w:rsidRPr="007C6747">
        <w:rPr>
          <w:rFonts w:ascii="Arial" w:eastAsia="Times New Roman" w:hAnsi="Arial" w:cs="Arial"/>
        </w:rPr>
        <w:br/>
      </w:r>
    </w:p>
    <w:p w14:paraId="6C060FB1" w14:textId="77777777" w:rsidR="002274A5" w:rsidRDefault="002274A5" w:rsidP="002274A5">
      <w:pPr>
        <w:rPr>
          <w:rFonts w:ascii="Arial" w:eastAsia="Times New Roman" w:hAnsi="Arial" w:cs="Arial"/>
        </w:rPr>
      </w:pPr>
      <w:r w:rsidRPr="007C6747">
        <w:rPr>
          <w:rFonts w:ascii="Arial" w:eastAsia="Times New Roman" w:hAnsi="Arial" w:cs="Arial"/>
        </w:rPr>
        <w:t>1. Figure 1a-b is incomplete without explaining the cell-type abbreviations and this should be added to the legend of the corresponding figures. </w:t>
      </w:r>
    </w:p>
    <w:p w14:paraId="3F94E606" w14:textId="77777777" w:rsidR="002274A5" w:rsidRDefault="002274A5" w:rsidP="002274A5">
      <w:pPr>
        <w:rPr>
          <w:rFonts w:ascii="Arial" w:eastAsia="Times New Roman" w:hAnsi="Arial" w:cs="Arial"/>
          <w:color w:val="77206D" w:themeColor="accent5" w:themeShade="BF"/>
        </w:rPr>
      </w:pPr>
    </w:p>
    <w:p w14:paraId="4E493D3C" w14:textId="77777777" w:rsidR="002274A5" w:rsidRDefault="002274A5" w:rsidP="002274A5">
      <w:pPr>
        <w:rPr>
          <w:rFonts w:ascii="Arial" w:eastAsia="Times New Roman" w:hAnsi="Arial" w:cs="Arial"/>
        </w:rPr>
      </w:pPr>
      <w:r w:rsidRPr="27E1536C">
        <w:rPr>
          <w:rFonts w:ascii="Arial" w:eastAsia="Times New Roman" w:hAnsi="Arial" w:cs="Arial"/>
          <w:color w:val="77206D" w:themeColor="accent5" w:themeShade="BF"/>
        </w:rPr>
        <w:t>Thanks for your comments. We have added an explanation for the abbreviations.</w:t>
      </w:r>
      <w:r>
        <w:br/>
      </w:r>
    </w:p>
    <w:p w14:paraId="6ABF0474" w14:textId="77777777" w:rsidR="002274A5" w:rsidRDefault="002274A5" w:rsidP="002274A5">
      <w:pPr>
        <w:jc w:val="both"/>
        <w:rPr>
          <w:rFonts w:ascii="Arial" w:eastAsia="Times New Roman" w:hAnsi="Arial" w:cs="Arial"/>
        </w:rPr>
      </w:pPr>
      <w:r w:rsidRPr="007C6747">
        <w:rPr>
          <w:rFonts w:ascii="Arial" w:eastAsia="Times New Roman" w:hAnsi="Arial" w:cs="Arial"/>
        </w:rPr>
        <w:t xml:space="preserve">2. On page 6, there is </w:t>
      </w:r>
      <w:proofErr w:type="spellStart"/>
      <w:r w:rsidRPr="007C6747">
        <w:rPr>
          <w:rFonts w:ascii="Arial" w:eastAsia="Times New Roman" w:hAnsi="Arial" w:cs="Arial"/>
        </w:rPr>
        <w:t>not</w:t>
      </w:r>
      <w:proofErr w:type="spellEnd"/>
      <w:r w:rsidRPr="007C6747">
        <w:rPr>
          <w:rFonts w:ascii="Arial" w:eastAsia="Times New Roman" w:hAnsi="Arial" w:cs="Arial"/>
        </w:rPr>
        <w:t xml:space="preserve"> reference to sentence in the line 9 "While single-cell studies that contain multiple samples will perform batch correction as pre-processing, they usually do not correct for donor effects when performing DE tests in the downstream analysis"</w:t>
      </w:r>
    </w:p>
    <w:p w14:paraId="3D1AD84B" w14:textId="77777777" w:rsidR="002274A5" w:rsidRDefault="002274A5" w:rsidP="002274A5">
      <w:pPr>
        <w:rPr>
          <w:rFonts w:ascii="Arial" w:eastAsia="Times New Roman" w:hAnsi="Arial" w:cs="Arial"/>
          <w:color w:val="77206D" w:themeColor="accent5" w:themeShade="BF"/>
        </w:rPr>
      </w:pPr>
    </w:p>
    <w:p w14:paraId="49E87C47" w14:textId="77777777" w:rsidR="002274A5" w:rsidRPr="00F2314C" w:rsidRDefault="002274A5" w:rsidP="002274A5">
      <w:pPr>
        <w:rPr>
          <w:rFonts w:ascii="Arial" w:eastAsia="Times New Roman" w:hAnsi="Arial" w:cs="Arial"/>
          <w:color w:val="156082" w:themeColor="accent1"/>
        </w:rPr>
      </w:pPr>
      <w:r w:rsidRPr="00F2314C">
        <w:rPr>
          <w:rFonts w:ascii="Arial" w:eastAsia="Times New Roman" w:hAnsi="Arial" w:cs="Arial"/>
          <w:color w:val="156082" w:themeColor="accent1"/>
        </w:rPr>
        <w:t>Thank you for pointing out. We have added the references in our manuscript.</w:t>
      </w:r>
    </w:p>
    <w:p w14:paraId="76F4911F" w14:textId="77777777" w:rsidR="002274A5" w:rsidRDefault="002274A5" w:rsidP="002274A5">
      <w:pPr>
        <w:rPr>
          <w:rFonts w:ascii="Arial" w:eastAsia="Times New Roman" w:hAnsi="Arial" w:cs="Arial"/>
          <w:color w:val="77206D" w:themeColor="accent5" w:themeShade="BF"/>
        </w:rPr>
      </w:pPr>
    </w:p>
    <w:p w14:paraId="1F705098" w14:textId="77777777" w:rsidR="002274A5" w:rsidRDefault="002274A5" w:rsidP="002274A5">
      <w:pPr>
        <w:rPr>
          <w:rFonts w:ascii="Arial" w:eastAsia="Times New Roman" w:hAnsi="Arial" w:cs="Arial"/>
          <w:color w:val="77206D" w:themeColor="accent5" w:themeShade="BF"/>
        </w:rPr>
      </w:pPr>
      <w:r w:rsidRPr="002C0DD3">
        <w:rPr>
          <w:rFonts w:ascii="Arial" w:eastAsia="Times New Roman" w:hAnsi="Arial" w:cs="Arial"/>
          <w:color w:val="77206D" w:themeColor="accent5" w:themeShade="BF"/>
        </w:rPr>
        <w:lastRenderedPageBreak/>
        <w:t xml:space="preserve">Stuart T, Butler A, Hoffman P, Hafemeister C, </w:t>
      </w:r>
      <w:proofErr w:type="spellStart"/>
      <w:r w:rsidRPr="002C0DD3">
        <w:rPr>
          <w:rFonts w:ascii="Arial" w:eastAsia="Times New Roman" w:hAnsi="Arial" w:cs="Arial"/>
          <w:color w:val="77206D" w:themeColor="accent5" w:themeShade="BF"/>
        </w:rPr>
        <w:t>Papalexi</w:t>
      </w:r>
      <w:proofErr w:type="spellEnd"/>
      <w:r w:rsidRPr="002C0DD3">
        <w:rPr>
          <w:rFonts w:ascii="Arial" w:eastAsia="Times New Roman" w:hAnsi="Arial" w:cs="Arial"/>
          <w:color w:val="77206D" w:themeColor="accent5" w:themeShade="BF"/>
        </w:rPr>
        <w:t xml:space="preserve"> E, Mauck WM 3rd, Hao Y, </w:t>
      </w:r>
      <w:proofErr w:type="spellStart"/>
      <w:r w:rsidRPr="002C0DD3">
        <w:rPr>
          <w:rFonts w:ascii="Arial" w:eastAsia="Times New Roman" w:hAnsi="Arial" w:cs="Arial"/>
          <w:color w:val="77206D" w:themeColor="accent5" w:themeShade="BF"/>
        </w:rPr>
        <w:t>Stoeckius</w:t>
      </w:r>
      <w:proofErr w:type="spellEnd"/>
      <w:r w:rsidRPr="002C0DD3">
        <w:rPr>
          <w:rFonts w:ascii="Arial" w:eastAsia="Times New Roman" w:hAnsi="Arial" w:cs="Arial"/>
          <w:color w:val="77206D" w:themeColor="accent5" w:themeShade="BF"/>
        </w:rPr>
        <w:t xml:space="preserve"> M, Smibert P, Satija R. Comprehensive Integration of Single-Cell Data. Cell. 2019 Jun 13;177(7):1888-1902.e21. </w:t>
      </w:r>
      <w:proofErr w:type="spellStart"/>
      <w:r w:rsidRPr="002C0DD3">
        <w:rPr>
          <w:rFonts w:ascii="Arial" w:eastAsia="Times New Roman" w:hAnsi="Arial" w:cs="Arial"/>
          <w:color w:val="77206D" w:themeColor="accent5" w:themeShade="BF"/>
        </w:rPr>
        <w:t>doi</w:t>
      </w:r>
      <w:proofErr w:type="spellEnd"/>
      <w:r w:rsidRPr="002C0DD3">
        <w:rPr>
          <w:rFonts w:ascii="Arial" w:eastAsia="Times New Roman" w:hAnsi="Arial" w:cs="Arial"/>
          <w:color w:val="77206D" w:themeColor="accent5" w:themeShade="BF"/>
        </w:rPr>
        <w:t xml:space="preserve">: 10.1016/j.cell.2019.05.031. </w:t>
      </w:r>
      <w:proofErr w:type="spellStart"/>
      <w:r w:rsidRPr="002C0DD3">
        <w:rPr>
          <w:rFonts w:ascii="Arial" w:eastAsia="Times New Roman" w:hAnsi="Arial" w:cs="Arial"/>
          <w:color w:val="77206D" w:themeColor="accent5" w:themeShade="BF"/>
        </w:rPr>
        <w:t>Epub</w:t>
      </w:r>
      <w:proofErr w:type="spellEnd"/>
      <w:r w:rsidRPr="002C0DD3">
        <w:rPr>
          <w:rFonts w:ascii="Arial" w:eastAsia="Times New Roman" w:hAnsi="Arial" w:cs="Arial"/>
          <w:color w:val="77206D" w:themeColor="accent5" w:themeShade="BF"/>
        </w:rPr>
        <w:t xml:space="preserve"> 2019 Jun 6. PMID: 31178118; PMCID: PMC6687398. </w:t>
      </w:r>
    </w:p>
    <w:p w14:paraId="32D09449" w14:textId="77777777" w:rsidR="002274A5" w:rsidRDefault="002274A5" w:rsidP="002274A5">
      <w:pPr>
        <w:rPr>
          <w:rFonts w:ascii="Arial" w:eastAsia="Times New Roman" w:hAnsi="Arial" w:cs="Arial"/>
          <w:color w:val="77206D" w:themeColor="accent5" w:themeShade="BF"/>
        </w:rPr>
      </w:pPr>
    </w:p>
    <w:p w14:paraId="06D58FC9" w14:textId="77777777" w:rsidR="002274A5" w:rsidRDefault="002274A5" w:rsidP="002274A5">
      <w:pPr>
        <w:rPr>
          <w:rFonts w:ascii="Arial" w:eastAsia="Times New Roman" w:hAnsi="Arial" w:cs="Arial"/>
          <w:color w:val="77206D" w:themeColor="accent5" w:themeShade="BF"/>
        </w:rPr>
      </w:pPr>
      <w:r w:rsidRPr="002C0DD3">
        <w:rPr>
          <w:rFonts w:ascii="Arial" w:eastAsia="Times New Roman" w:hAnsi="Arial" w:cs="Arial"/>
          <w:color w:val="77206D" w:themeColor="accent5" w:themeShade="BF"/>
        </w:rPr>
        <w:t xml:space="preserve">Tian L, Dong X, Freytag S, Lê Cao KA, Su S, </w:t>
      </w:r>
      <w:proofErr w:type="spellStart"/>
      <w:r w:rsidRPr="002C0DD3">
        <w:rPr>
          <w:rFonts w:ascii="Arial" w:eastAsia="Times New Roman" w:hAnsi="Arial" w:cs="Arial"/>
          <w:color w:val="77206D" w:themeColor="accent5" w:themeShade="BF"/>
        </w:rPr>
        <w:t>JalalAbadi</w:t>
      </w:r>
      <w:proofErr w:type="spellEnd"/>
      <w:r w:rsidRPr="002C0DD3">
        <w:rPr>
          <w:rFonts w:ascii="Arial" w:eastAsia="Times New Roman" w:hAnsi="Arial" w:cs="Arial"/>
          <w:color w:val="77206D" w:themeColor="accent5" w:themeShade="BF"/>
        </w:rPr>
        <w:t xml:space="preserve"> A, Amann-</w:t>
      </w:r>
      <w:proofErr w:type="spellStart"/>
      <w:r w:rsidRPr="002C0DD3">
        <w:rPr>
          <w:rFonts w:ascii="Arial" w:eastAsia="Times New Roman" w:hAnsi="Arial" w:cs="Arial"/>
          <w:color w:val="77206D" w:themeColor="accent5" w:themeShade="BF"/>
        </w:rPr>
        <w:t>Zalcenstein</w:t>
      </w:r>
      <w:proofErr w:type="spellEnd"/>
      <w:r w:rsidRPr="002C0DD3">
        <w:rPr>
          <w:rFonts w:ascii="Arial" w:eastAsia="Times New Roman" w:hAnsi="Arial" w:cs="Arial"/>
          <w:color w:val="77206D" w:themeColor="accent5" w:themeShade="BF"/>
        </w:rPr>
        <w:t xml:space="preserve"> D, Weber TS, Seidi A, Jabbari JS, Naik SH, Ritchie ME. Benchmarking single cell RNA-sequencing analysis pipelines using mixture control experiments. Nat Methods. 2019 Jun;16(6):479-487. </w:t>
      </w:r>
      <w:proofErr w:type="spellStart"/>
      <w:r w:rsidRPr="002C0DD3">
        <w:rPr>
          <w:rFonts w:ascii="Arial" w:eastAsia="Times New Roman" w:hAnsi="Arial" w:cs="Arial"/>
          <w:color w:val="77206D" w:themeColor="accent5" w:themeShade="BF"/>
        </w:rPr>
        <w:t>doi</w:t>
      </w:r>
      <w:proofErr w:type="spellEnd"/>
      <w:r w:rsidRPr="002C0DD3">
        <w:rPr>
          <w:rFonts w:ascii="Arial" w:eastAsia="Times New Roman" w:hAnsi="Arial" w:cs="Arial"/>
          <w:color w:val="77206D" w:themeColor="accent5" w:themeShade="BF"/>
        </w:rPr>
        <w:t xml:space="preserve">: 10.1038/s41592-019-0425-8. </w:t>
      </w:r>
      <w:proofErr w:type="spellStart"/>
      <w:r w:rsidRPr="002C0DD3">
        <w:rPr>
          <w:rFonts w:ascii="Arial" w:eastAsia="Times New Roman" w:hAnsi="Arial" w:cs="Arial"/>
          <w:color w:val="77206D" w:themeColor="accent5" w:themeShade="BF"/>
        </w:rPr>
        <w:t>Epub</w:t>
      </w:r>
      <w:proofErr w:type="spellEnd"/>
      <w:r w:rsidRPr="002C0DD3">
        <w:rPr>
          <w:rFonts w:ascii="Arial" w:eastAsia="Times New Roman" w:hAnsi="Arial" w:cs="Arial"/>
          <w:color w:val="77206D" w:themeColor="accent5" w:themeShade="BF"/>
        </w:rPr>
        <w:t xml:space="preserve"> 2019 May 27. PMID: 31133762.</w:t>
      </w:r>
    </w:p>
    <w:p w14:paraId="49F9CEA3" w14:textId="77777777" w:rsidR="002274A5" w:rsidRDefault="002274A5" w:rsidP="002274A5">
      <w:pPr>
        <w:rPr>
          <w:rFonts w:ascii="Arial" w:eastAsia="Times New Roman" w:hAnsi="Arial" w:cs="Arial"/>
        </w:rPr>
      </w:pPr>
      <w:r w:rsidRPr="007C6747">
        <w:rPr>
          <w:rFonts w:ascii="Arial" w:eastAsia="Times New Roman" w:hAnsi="Arial" w:cs="Arial"/>
        </w:rPr>
        <w:br/>
      </w:r>
    </w:p>
    <w:p w14:paraId="0F791B09" w14:textId="77777777" w:rsidR="002274A5" w:rsidRDefault="002274A5" w:rsidP="002274A5">
      <w:pPr>
        <w:jc w:val="both"/>
        <w:rPr>
          <w:rFonts w:ascii="Arial" w:eastAsia="Times New Roman" w:hAnsi="Arial" w:cs="Arial"/>
        </w:rPr>
      </w:pPr>
      <w:r w:rsidRPr="007C6747">
        <w:rPr>
          <w:rFonts w:ascii="Arial" w:eastAsia="Times New Roman" w:hAnsi="Arial" w:cs="Arial"/>
        </w:rPr>
        <w:t>3. Lack of reference in line 50/51 of page 6 - "Such cumulative biases can ultimately diminish the power to detect differentially expressed genes."</w:t>
      </w:r>
    </w:p>
    <w:p w14:paraId="340ED740" w14:textId="77777777" w:rsidR="002274A5" w:rsidRDefault="002274A5" w:rsidP="002274A5">
      <w:pPr>
        <w:rPr>
          <w:rFonts w:ascii="Arial" w:eastAsia="Times New Roman" w:hAnsi="Arial" w:cs="Arial"/>
          <w:highlight w:val="yellow"/>
        </w:rPr>
      </w:pPr>
    </w:p>
    <w:p w14:paraId="386487D2" w14:textId="77777777" w:rsidR="002274A5" w:rsidRPr="00F2314C" w:rsidRDefault="002274A5" w:rsidP="002274A5">
      <w:pPr>
        <w:rPr>
          <w:rFonts w:ascii="Arial" w:eastAsia="Times New Roman" w:hAnsi="Arial" w:cs="Arial"/>
          <w:color w:val="156082" w:themeColor="accent1"/>
        </w:rPr>
      </w:pPr>
      <w:r w:rsidRPr="00F2314C">
        <w:rPr>
          <w:rFonts w:ascii="Arial" w:eastAsia="Times New Roman" w:hAnsi="Arial" w:cs="Arial"/>
          <w:color w:val="156082" w:themeColor="accent1"/>
        </w:rPr>
        <w:t>Thank you for pointing out. We have added the references in our manuscript.</w:t>
      </w:r>
    </w:p>
    <w:p w14:paraId="03BB4767" w14:textId="77777777" w:rsidR="002274A5" w:rsidRDefault="002274A5" w:rsidP="002274A5">
      <w:pPr>
        <w:rPr>
          <w:rFonts w:ascii="Arial" w:eastAsia="Times New Roman" w:hAnsi="Arial" w:cs="Arial"/>
          <w:color w:val="77206D" w:themeColor="accent5" w:themeShade="BF"/>
        </w:rPr>
      </w:pPr>
    </w:p>
    <w:p w14:paraId="42AEF22A" w14:textId="77777777" w:rsidR="002274A5" w:rsidRPr="00075963" w:rsidRDefault="002274A5" w:rsidP="002274A5">
      <w:pPr>
        <w:rPr>
          <w:rFonts w:ascii="Arial" w:eastAsia="Times New Roman" w:hAnsi="Arial" w:cs="Arial"/>
          <w:color w:val="77206D" w:themeColor="accent5" w:themeShade="BF"/>
        </w:rPr>
      </w:pPr>
      <w:r w:rsidRPr="002C0DD3">
        <w:rPr>
          <w:rFonts w:ascii="Arial" w:eastAsia="Times New Roman" w:hAnsi="Arial" w:cs="Arial"/>
          <w:color w:val="77206D" w:themeColor="accent5" w:themeShade="BF"/>
        </w:rPr>
        <w:t>Nguyen, H.C.T., Baik, B., Yoon, S. et al. Benchmarking integration of single-cell differential expression. Nat Commun 14, 1570 (2023). https://doi.org/10.1038/s41467-023-37126-3</w:t>
      </w:r>
      <w:r w:rsidRPr="002C0DD3">
        <w:rPr>
          <w:rFonts w:ascii="Arial" w:eastAsia="Times New Roman" w:hAnsi="Arial" w:cs="Arial"/>
          <w:color w:val="77206D" w:themeColor="accent5" w:themeShade="BF"/>
        </w:rPr>
        <w:br/>
      </w:r>
      <w:r w:rsidRPr="007C6747">
        <w:rPr>
          <w:rFonts w:ascii="Arial" w:eastAsia="Times New Roman" w:hAnsi="Arial" w:cs="Arial"/>
        </w:rPr>
        <w:br/>
      </w:r>
    </w:p>
    <w:p w14:paraId="4C8D147E" w14:textId="77777777" w:rsidR="002274A5" w:rsidRDefault="002274A5" w:rsidP="002274A5">
      <w:pPr>
        <w:jc w:val="both"/>
        <w:rPr>
          <w:rFonts w:ascii="Arial" w:eastAsia="Times New Roman" w:hAnsi="Arial" w:cs="Arial"/>
        </w:rPr>
      </w:pPr>
      <w:r w:rsidRPr="007C6747">
        <w:rPr>
          <w:rFonts w:ascii="Arial" w:eastAsia="Times New Roman" w:hAnsi="Arial" w:cs="Arial"/>
        </w:rPr>
        <w:t>4. Make sure to include the x axis and y axis labels to all figures. If there is not enough space in the figure itself, this should be included in the figure legend. </w:t>
      </w:r>
    </w:p>
    <w:p w14:paraId="5B57FA71" w14:textId="77777777" w:rsidR="002274A5" w:rsidRDefault="002274A5" w:rsidP="002274A5">
      <w:pPr>
        <w:jc w:val="both"/>
        <w:rPr>
          <w:rFonts w:ascii="Arial" w:eastAsia="Times New Roman" w:hAnsi="Arial" w:cs="Arial"/>
        </w:rPr>
      </w:pPr>
    </w:p>
    <w:p w14:paraId="592FA4A1" w14:textId="77777777" w:rsidR="002274A5" w:rsidRDefault="002274A5" w:rsidP="002274A5">
      <w:pPr>
        <w:rPr>
          <w:rFonts w:ascii="Arial" w:eastAsia="Times New Roman" w:hAnsi="Arial" w:cs="Arial"/>
        </w:rPr>
      </w:pPr>
      <w:r w:rsidRPr="00F64B70">
        <w:rPr>
          <w:rFonts w:ascii="Arial" w:eastAsia="Times New Roman" w:hAnsi="Arial" w:cs="Arial"/>
          <w:color w:val="156082" w:themeColor="accent1"/>
        </w:rPr>
        <w:t>Thank you for the suggestions. We have made sure the figures are readable and understandable.</w:t>
      </w:r>
      <w:r w:rsidRPr="00CD246F">
        <w:rPr>
          <w:rFonts w:ascii="Arial" w:eastAsia="Times New Roman" w:hAnsi="Arial" w:cs="Arial"/>
        </w:rPr>
        <w:t xml:space="preserve"> </w:t>
      </w:r>
    </w:p>
    <w:p w14:paraId="13CB9DB1" w14:textId="77777777" w:rsidR="002274A5" w:rsidRDefault="002274A5" w:rsidP="002274A5">
      <w:pPr>
        <w:rPr>
          <w:rFonts w:ascii="Arial" w:eastAsia="Times New Roman" w:hAnsi="Arial" w:cs="Arial"/>
        </w:rPr>
      </w:pPr>
    </w:p>
    <w:p w14:paraId="056D43AE" w14:textId="77777777" w:rsidR="002274A5" w:rsidRDefault="002274A5" w:rsidP="002274A5">
      <w:pPr>
        <w:rPr>
          <w:rFonts w:ascii="Arial" w:eastAsia="Times New Roman" w:hAnsi="Arial" w:cs="Arial"/>
        </w:rPr>
      </w:pPr>
      <w:r w:rsidRPr="007C6747">
        <w:rPr>
          <w:rFonts w:ascii="Arial" w:eastAsia="Times New Roman" w:hAnsi="Arial" w:cs="Arial"/>
        </w:rPr>
        <w:t>5. The legend sizes of Figure 7a are not visible. </w:t>
      </w:r>
    </w:p>
    <w:p w14:paraId="4BCA1C6A" w14:textId="77777777" w:rsidR="002274A5" w:rsidRDefault="002274A5" w:rsidP="002274A5">
      <w:pPr>
        <w:rPr>
          <w:rFonts w:ascii="Arial" w:eastAsia="Times New Roman" w:hAnsi="Arial" w:cs="Arial"/>
          <w:color w:val="77206D" w:themeColor="accent5" w:themeShade="BF"/>
        </w:rPr>
      </w:pPr>
    </w:p>
    <w:p w14:paraId="23B0DCCF" w14:textId="77777777" w:rsidR="002274A5" w:rsidRDefault="002274A5" w:rsidP="002274A5">
      <w:pPr>
        <w:rPr>
          <w:rFonts w:ascii="Arial" w:eastAsia="Times New Roman" w:hAnsi="Arial" w:cs="Arial"/>
        </w:rPr>
      </w:pPr>
      <w:r w:rsidRPr="0083366E">
        <w:rPr>
          <w:rFonts w:ascii="Arial" w:eastAsia="Times New Roman" w:hAnsi="Arial" w:cs="Arial"/>
          <w:color w:val="77206D" w:themeColor="accent5" w:themeShade="BF"/>
        </w:rPr>
        <w:t>Thank you for the comments. We have adjusted the legend size.</w:t>
      </w:r>
      <w:r w:rsidRPr="0083366E">
        <w:rPr>
          <w:rFonts w:ascii="Arial" w:eastAsia="Times New Roman" w:hAnsi="Arial" w:cs="Arial"/>
          <w:color w:val="77206D" w:themeColor="accent5" w:themeShade="BF"/>
        </w:rPr>
        <w:br/>
      </w:r>
    </w:p>
    <w:p w14:paraId="5313C3EB" w14:textId="77777777" w:rsidR="002274A5" w:rsidRDefault="002274A5" w:rsidP="002274A5">
      <w:pPr>
        <w:jc w:val="both"/>
        <w:rPr>
          <w:rFonts w:ascii="Arial" w:eastAsia="Times New Roman" w:hAnsi="Arial" w:cs="Arial"/>
        </w:rPr>
      </w:pPr>
      <w:r w:rsidRPr="007C6747">
        <w:rPr>
          <w:rFonts w:ascii="Arial" w:eastAsia="Times New Roman" w:hAnsi="Arial" w:cs="Arial"/>
        </w:rPr>
        <w:t xml:space="preserve">6. I commend the authors for putting the analysis pipeline on </w:t>
      </w:r>
      <w:proofErr w:type="spellStart"/>
      <w:r w:rsidRPr="007C6747">
        <w:rPr>
          <w:rFonts w:ascii="Arial" w:eastAsia="Times New Roman" w:hAnsi="Arial" w:cs="Arial"/>
        </w:rPr>
        <w:t>github</w:t>
      </w:r>
      <w:proofErr w:type="spellEnd"/>
      <w:r w:rsidRPr="007C6747">
        <w:rPr>
          <w:rFonts w:ascii="Arial" w:eastAsia="Times New Roman" w:hAnsi="Arial" w:cs="Arial"/>
        </w:rPr>
        <w:t xml:space="preserve">, although I did not find the exact processed data in the </w:t>
      </w:r>
      <w:proofErr w:type="spellStart"/>
      <w:r w:rsidRPr="007C6747">
        <w:rPr>
          <w:rFonts w:ascii="Arial" w:eastAsia="Times New Roman" w:hAnsi="Arial" w:cs="Arial"/>
        </w:rPr>
        <w:t>github</w:t>
      </w:r>
      <w:proofErr w:type="spellEnd"/>
      <w:r w:rsidRPr="007C6747">
        <w:rPr>
          <w:rFonts w:ascii="Arial" w:eastAsia="Times New Roman" w:hAnsi="Arial" w:cs="Arial"/>
        </w:rPr>
        <w:t xml:space="preserve"> "data" subdirectory. It would be easier to </w:t>
      </w:r>
      <w:r w:rsidRPr="007C6747">
        <w:rPr>
          <w:rFonts w:ascii="Arial" w:eastAsia="Times New Roman" w:hAnsi="Arial" w:cs="Arial"/>
        </w:rPr>
        <w:lastRenderedPageBreak/>
        <w:t xml:space="preserve">put the data in the </w:t>
      </w:r>
      <w:proofErr w:type="spellStart"/>
      <w:r w:rsidRPr="007C6747">
        <w:rPr>
          <w:rFonts w:ascii="Arial" w:eastAsia="Times New Roman" w:hAnsi="Arial" w:cs="Arial"/>
        </w:rPr>
        <w:t>zenodo</w:t>
      </w:r>
      <w:proofErr w:type="spellEnd"/>
      <w:r w:rsidRPr="007C6747">
        <w:rPr>
          <w:rFonts w:ascii="Arial" w:eastAsia="Times New Roman" w:hAnsi="Arial" w:cs="Arial"/>
        </w:rPr>
        <w:t xml:space="preserve"> to aid reproducibility. For example, I could not test how the result change if I tweak the parameters.</w:t>
      </w:r>
    </w:p>
    <w:p w14:paraId="384FFC97" w14:textId="77777777" w:rsidR="002274A5" w:rsidRDefault="002274A5" w:rsidP="002274A5">
      <w:pPr>
        <w:rPr>
          <w:rFonts w:ascii="Arial" w:eastAsia="Times New Roman" w:hAnsi="Arial" w:cs="Arial"/>
        </w:rPr>
      </w:pPr>
    </w:p>
    <w:p w14:paraId="6F9A0E1C" w14:textId="77777777" w:rsidR="002274A5" w:rsidRPr="00F2314C" w:rsidRDefault="002274A5" w:rsidP="002274A5">
      <w:pPr>
        <w:rPr>
          <w:rFonts w:ascii="Arial" w:eastAsia="Times New Roman" w:hAnsi="Arial" w:cs="Arial"/>
          <w:color w:val="156082" w:themeColor="accent1"/>
        </w:rPr>
      </w:pPr>
      <w:r w:rsidRPr="00F2314C">
        <w:rPr>
          <w:rFonts w:ascii="Arial" w:eastAsia="Times New Roman" w:hAnsi="Arial" w:cs="Arial"/>
          <w:color w:val="156082" w:themeColor="accent1"/>
        </w:rPr>
        <w:t xml:space="preserve">Thank you for the suggestion. We have uploaded the data and related </w:t>
      </w:r>
      <w:proofErr w:type="spellStart"/>
      <w:r w:rsidRPr="00F2314C">
        <w:rPr>
          <w:rFonts w:ascii="Arial" w:eastAsia="Times New Roman" w:hAnsi="Arial" w:cs="Arial"/>
          <w:color w:val="156082" w:themeColor="accent1"/>
        </w:rPr>
        <w:t>Rmd</w:t>
      </w:r>
      <w:proofErr w:type="spellEnd"/>
      <w:r w:rsidRPr="00F2314C">
        <w:rPr>
          <w:rFonts w:ascii="Arial" w:eastAsia="Times New Roman" w:hAnsi="Arial" w:cs="Arial"/>
          <w:color w:val="156082" w:themeColor="accent1"/>
        </w:rPr>
        <w:t xml:space="preserve"> files on </w:t>
      </w:r>
      <w:proofErr w:type="spellStart"/>
      <w:r w:rsidRPr="00F2314C">
        <w:rPr>
          <w:rFonts w:ascii="Arial" w:eastAsia="Times New Roman" w:hAnsi="Arial" w:cs="Arial"/>
          <w:color w:val="156082" w:themeColor="accent1"/>
        </w:rPr>
        <w:t>Zenodo</w:t>
      </w:r>
      <w:proofErr w:type="spellEnd"/>
      <w:r w:rsidRPr="00F2314C">
        <w:rPr>
          <w:rFonts w:ascii="Arial" w:eastAsia="Times New Roman" w:hAnsi="Arial" w:cs="Arial"/>
          <w:color w:val="156082" w:themeColor="accent1"/>
        </w:rPr>
        <w:t xml:space="preserve"> at DOI:10.5281/zenodo.14279028</w:t>
      </w:r>
    </w:p>
    <w:p w14:paraId="602BFB19" w14:textId="3258C5DC" w:rsidR="002274A5" w:rsidRDefault="00606F85" w:rsidP="00BE1069">
      <w:pPr>
        <w:spacing w:after="0" w:line="240" w:lineRule="auto"/>
        <w:rPr>
          <w:b/>
          <w:bCs/>
          <w:u w:val="single"/>
        </w:rPr>
      </w:pPr>
      <w:r>
        <w:rPr>
          <w:b/>
          <w:bCs/>
          <w:u w:val="single"/>
        </w:rPr>
        <w:t>2</w:t>
      </w:r>
      <w:r w:rsidRPr="00606F85">
        <w:rPr>
          <w:b/>
          <w:bCs/>
          <w:u w:val="single"/>
          <w:vertAlign w:val="superscript"/>
        </w:rPr>
        <w:t>nd</w:t>
      </w:r>
      <w:r>
        <w:rPr>
          <w:b/>
          <w:bCs/>
          <w:u w:val="single"/>
        </w:rPr>
        <w:t xml:space="preserve"> round</w:t>
      </w:r>
    </w:p>
    <w:p w14:paraId="548E34CA" w14:textId="3CA350D7" w:rsidR="00606F85" w:rsidRDefault="00606F85" w:rsidP="00BE1069">
      <w:pPr>
        <w:spacing w:after="0" w:line="240" w:lineRule="auto"/>
        <w:rPr>
          <w:b/>
          <w:bCs/>
        </w:rPr>
      </w:pPr>
      <w:r>
        <w:rPr>
          <w:b/>
          <w:bCs/>
        </w:rPr>
        <w:t>Reviewer 1</w:t>
      </w:r>
    </w:p>
    <w:p w14:paraId="0AD00209" w14:textId="22A2BB12" w:rsidR="00606F85" w:rsidRDefault="00606F85" w:rsidP="00BE1069">
      <w:pPr>
        <w:spacing w:after="0" w:line="240" w:lineRule="auto"/>
      </w:pPr>
      <w:r w:rsidRPr="00606F85">
        <w:t xml:space="preserve">The authors addressed all of my </w:t>
      </w:r>
      <w:proofErr w:type="gramStart"/>
      <w:r w:rsidRPr="00606F85">
        <w:t>questions,</w:t>
      </w:r>
      <w:proofErr w:type="gramEnd"/>
      <w:r w:rsidRPr="00606F85">
        <w:t xml:space="preserve"> thus I possess no extra questions except one concerns. </w:t>
      </w:r>
      <w:r w:rsidRPr="00606F85">
        <w:br/>
      </w:r>
      <w:r w:rsidRPr="00606F85">
        <w:br/>
        <w:t xml:space="preserve">In the paper, the authors utilized the number of differentially expressed genes as an evaluation criterion. However, the number of genes input for different methods varies, which gives an impression of being somewhat tricky. For example, while the default approach in Seurat is based on fold - change, the authors could employed Wilcox directly for comparison (or used the </w:t>
      </w:r>
      <w:proofErr w:type="gramStart"/>
      <w:r w:rsidRPr="00606F85">
        <w:t>presto::</w:t>
      </w:r>
      <w:proofErr w:type="spellStart"/>
      <w:proofErr w:type="gramEnd"/>
      <w:r w:rsidRPr="00606F85">
        <w:t>wilcoxauc</w:t>
      </w:r>
      <w:proofErr w:type="spellEnd"/>
      <w:r w:rsidRPr="00606F85">
        <w:t xml:space="preserve"> function built into Seurat for comparison)</w:t>
      </w:r>
    </w:p>
    <w:p w14:paraId="2390E473" w14:textId="77777777" w:rsidR="00606F85" w:rsidRDefault="00606F85" w:rsidP="00BE1069">
      <w:pPr>
        <w:spacing w:after="0" w:line="240" w:lineRule="auto"/>
      </w:pPr>
    </w:p>
    <w:p w14:paraId="6ACBE0A6" w14:textId="3F69C50A" w:rsidR="00606F85" w:rsidRDefault="00606F85" w:rsidP="00BE1069">
      <w:pPr>
        <w:spacing w:after="0" w:line="240" w:lineRule="auto"/>
        <w:rPr>
          <w:b/>
          <w:bCs/>
        </w:rPr>
      </w:pPr>
      <w:r>
        <w:rPr>
          <w:b/>
          <w:bCs/>
        </w:rPr>
        <w:t>Reviewer 2</w:t>
      </w:r>
    </w:p>
    <w:p w14:paraId="6C97AF29" w14:textId="2DBA0BF1" w:rsidR="00606F85" w:rsidRDefault="00B37202" w:rsidP="00BE1069">
      <w:pPr>
        <w:spacing w:after="0" w:line="240" w:lineRule="auto"/>
      </w:pPr>
      <w:r>
        <w:t>T</w:t>
      </w:r>
      <w:r w:rsidRPr="00B37202">
        <w:t>he authors have addressed my concerns and added additional study and simulation (using Splatter) to validate the claims.</w:t>
      </w:r>
      <w:r w:rsidRPr="00B37202">
        <w:t xml:space="preserve"> </w:t>
      </w:r>
      <w:r w:rsidRPr="00B37202">
        <w:t>I have no further concerns about the manuscripts.</w:t>
      </w:r>
    </w:p>
    <w:p w14:paraId="5D3AEB3D" w14:textId="77777777" w:rsidR="004D75ED" w:rsidRDefault="004D75ED" w:rsidP="00BE1069">
      <w:pPr>
        <w:spacing w:after="0" w:line="240" w:lineRule="auto"/>
      </w:pPr>
    </w:p>
    <w:p w14:paraId="40C4150A" w14:textId="42E2D43C" w:rsidR="004D75ED" w:rsidRDefault="004D75ED" w:rsidP="00BE1069">
      <w:pPr>
        <w:spacing w:after="0" w:line="240" w:lineRule="auto"/>
        <w:rPr>
          <w:b/>
          <w:bCs/>
        </w:rPr>
      </w:pPr>
      <w:r>
        <w:rPr>
          <w:b/>
          <w:bCs/>
        </w:rPr>
        <w:t>Authors’ response</w:t>
      </w:r>
    </w:p>
    <w:p w14:paraId="33800B6F" w14:textId="77777777" w:rsidR="004D75ED" w:rsidRDefault="004D75ED" w:rsidP="004D75ED">
      <w:pPr>
        <w:spacing w:after="0" w:line="240" w:lineRule="auto"/>
      </w:pPr>
      <w:r>
        <w:t xml:space="preserve">Reviewer #1: The authors addressed all of my </w:t>
      </w:r>
      <w:proofErr w:type="gramStart"/>
      <w:r>
        <w:t>questions,</w:t>
      </w:r>
      <w:proofErr w:type="gramEnd"/>
      <w:r>
        <w:t xml:space="preserve"> thus I possess no extra</w:t>
      </w:r>
    </w:p>
    <w:p w14:paraId="52438248" w14:textId="77777777" w:rsidR="004D75ED" w:rsidRDefault="004D75ED" w:rsidP="004D75ED">
      <w:pPr>
        <w:spacing w:after="0" w:line="240" w:lineRule="auto"/>
      </w:pPr>
      <w:r>
        <w:t>questions except one concern.</w:t>
      </w:r>
    </w:p>
    <w:p w14:paraId="02E9DFA6" w14:textId="77777777" w:rsidR="004D75ED" w:rsidRDefault="004D75ED" w:rsidP="004D75ED">
      <w:pPr>
        <w:spacing w:after="0" w:line="240" w:lineRule="auto"/>
      </w:pPr>
      <w:r>
        <w:t>In the paper, the authors utilized the number of differentially expressed genes as an</w:t>
      </w:r>
    </w:p>
    <w:p w14:paraId="61358E76" w14:textId="77777777" w:rsidR="004D75ED" w:rsidRDefault="004D75ED" w:rsidP="004D75ED">
      <w:pPr>
        <w:spacing w:after="0" w:line="240" w:lineRule="auto"/>
      </w:pPr>
      <w:r>
        <w:t>evaluation criterion. However, the number of genes input for different methods varies,</w:t>
      </w:r>
    </w:p>
    <w:p w14:paraId="5EA736AF" w14:textId="77777777" w:rsidR="004D75ED" w:rsidRDefault="004D75ED" w:rsidP="004D75ED">
      <w:pPr>
        <w:spacing w:after="0" w:line="240" w:lineRule="auto"/>
      </w:pPr>
      <w:r>
        <w:t>which gives an impression of being somewhat tricky. For example, while the default</w:t>
      </w:r>
    </w:p>
    <w:p w14:paraId="4FE9C50B" w14:textId="77777777" w:rsidR="004D75ED" w:rsidRDefault="004D75ED" w:rsidP="004D75ED">
      <w:pPr>
        <w:spacing w:after="0" w:line="240" w:lineRule="auto"/>
      </w:pPr>
      <w:r>
        <w:t>approach in Seurat is based on fold - change, the authors could employed Wilcox</w:t>
      </w:r>
    </w:p>
    <w:p w14:paraId="56391F4C" w14:textId="77777777" w:rsidR="004D75ED" w:rsidRDefault="004D75ED" w:rsidP="004D75ED">
      <w:pPr>
        <w:spacing w:after="0" w:line="240" w:lineRule="auto"/>
      </w:pPr>
      <w:r>
        <w:t xml:space="preserve">directly for comparison (or used the </w:t>
      </w:r>
      <w:proofErr w:type="gramStart"/>
      <w:r>
        <w:t>presto::</w:t>
      </w:r>
      <w:proofErr w:type="spellStart"/>
      <w:proofErr w:type="gramEnd"/>
      <w:r>
        <w:t>wilcoxauc</w:t>
      </w:r>
      <w:proofErr w:type="spellEnd"/>
      <w:r>
        <w:t xml:space="preserve"> function built into Seurat for</w:t>
      </w:r>
    </w:p>
    <w:p w14:paraId="68727A74" w14:textId="77777777" w:rsidR="004D75ED" w:rsidRDefault="004D75ED" w:rsidP="004D75ED">
      <w:pPr>
        <w:spacing w:after="0" w:line="240" w:lineRule="auto"/>
      </w:pPr>
      <w:r>
        <w:t>comparison)</w:t>
      </w:r>
    </w:p>
    <w:p w14:paraId="0AD097CC"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Response:</w:t>
      </w:r>
    </w:p>
    <w:p w14:paraId="7F5C36E9"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Thank you for your thoughtful and constructive feedback. In our study, we reported the</w:t>
      </w:r>
    </w:p>
    <w:p w14:paraId="0FB385A1"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number of input genes and differentially expressed genes (DEGs) for each method as</w:t>
      </w:r>
    </w:p>
    <w:p w14:paraId="751A2410"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part of our results, as this information is both valuable for readers and indicative of the</w:t>
      </w:r>
    </w:p>
    <w:p w14:paraId="06E66AF5"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statistical power of the test. However, our conclusions were not based solely on the</w:t>
      </w:r>
    </w:p>
    <w:p w14:paraId="50A1F745"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number of DEGs. To ensure a more comprehensive evaluation of each method’s</w:t>
      </w:r>
    </w:p>
    <w:p w14:paraId="7097E9BB"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performance, we conducted additional analyses, including heatmaps and Gene</w:t>
      </w:r>
    </w:p>
    <w:p w14:paraId="0EEE98B5"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Ontology (GO) analysis.</w:t>
      </w:r>
    </w:p>
    <w:p w14:paraId="72650F46"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We chose to report the number of input genes for each method because users</w:t>
      </w:r>
    </w:p>
    <w:p w14:paraId="2A07E120"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commonly rely on default settings in widely used tools for single-cell differential</w:t>
      </w:r>
    </w:p>
    <w:p w14:paraId="0B54434C"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expression (DE) analysis. This provides practical insight into how these methods</w:t>
      </w:r>
    </w:p>
    <w:p w14:paraId="3AA676B4"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perform under typical usage conditions.</w:t>
      </w:r>
    </w:p>
    <w:p w14:paraId="1F24A4CB"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Regarding the Wilcoxon method, we opted not to implement it independently for</w:t>
      </w:r>
    </w:p>
    <w:p w14:paraId="5BD2CB92"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comparison. Instead, we relied on Seurat’s implementation, as it is widely used in the</w:t>
      </w:r>
    </w:p>
    <w:p w14:paraId="40D89959"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lastRenderedPageBreak/>
        <w:t>field and serves as a more meaningful benchmark. Given Seurat’s extensive adoption,</w:t>
      </w:r>
    </w:p>
    <w:p w14:paraId="507FC818" w14:textId="77777777" w:rsidR="004D75ED" w:rsidRPr="004D75ED" w:rsidRDefault="004D75ED" w:rsidP="004D75ED">
      <w:pPr>
        <w:spacing w:after="0" w:line="240" w:lineRule="auto"/>
        <w:rPr>
          <w:color w:val="77206D" w:themeColor="accent5" w:themeShade="BF"/>
        </w:rPr>
      </w:pPr>
      <w:r w:rsidRPr="004D75ED">
        <w:rPr>
          <w:color w:val="77206D" w:themeColor="accent5" w:themeShade="BF"/>
        </w:rPr>
        <w:t>including it in our analysis was essential for ensuring a relevant and representative</w:t>
      </w:r>
    </w:p>
    <w:p w14:paraId="57A621DC" w14:textId="512C159D" w:rsidR="004D75ED" w:rsidRPr="004D75ED" w:rsidRDefault="004D75ED" w:rsidP="004D75ED">
      <w:pPr>
        <w:spacing w:after="0" w:line="240" w:lineRule="auto"/>
        <w:rPr>
          <w:color w:val="77206D" w:themeColor="accent5" w:themeShade="BF"/>
        </w:rPr>
      </w:pPr>
      <w:r w:rsidRPr="004D75ED">
        <w:rPr>
          <w:color w:val="77206D" w:themeColor="accent5" w:themeShade="BF"/>
        </w:rPr>
        <w:t>comparison.</w:t>
      </w:r>
    </w:p>
    <w:sectPr w:rsidR="004D75ED" w:rsidRPr="004D75ED">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E39730" w14:textId="77777777" w:rsidR="00507D84" w:rsidRDefault="00507D84" w:rsidP="002274A5">
      <w:pPr>
        <w:spacing w:after="0" w:line="240" w:lineRule="auto"/>
      </w:pPr>
      <w:r>
        <w:separator/>
      </w:r>
    </w:p>
  </w:endnote>
  <w:endnote w:type="continuationSeparator" w:id="0">
    <w:p w14:paraId="3F72D4DA" w14:textId="77777777" w:rsidR="00507D84" w:rsidRDefault="00507D84" w:rsidP="002274A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07C3A4D" w14:textId="77777777" w:rsidR="00507D84" w:rsidRDefault="00507D84" w:rsidP="002274A5">
      <w:pPr>
        <w:spacing w:after="0" w:line="240" w:lineRule="auto"/>
      </w:pPr>
      <w:r>
        <w:separator/>
      </w:r>
    </w:p>
  </w:footnote>
  <w:footnote w:type="continuationSeparator" w:id="0">
    <w:p w14:paraId="79CBC6A7" w14:textId="77777777" w:rsidR="00507D84" w:rsidRDefault="00507D84" w:rsidP="002274A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7906903"/>
    <w:multiLevelType w:val="hybridMultilevel"/>
    <w:tmpl w:val="29C85D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804755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1069"/>
    <w:rsid w:val="002274A5"/>
    <w:rsid w:val="004D75ED"/>
    <w:rsid w:val="00507D84"/>
    <w:rsid w:val="00606F85"/>
    <w:rsid w:val="009E1843"/>
    <w:rsid w:val="00B37202"/>
    <w:rsid w:val="00B9271F"/>
    <w:rsid w:val="00BE106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6C5E68"/>
  <w15:chartTrackingRefBased/>
  <w15:docId w15:val="{73D62AD3-146F-4D86-8942-DEF0811C68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E106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E106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E106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E106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E106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E106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E106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E106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E106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106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E106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E106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E106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E106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E106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E106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E106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E1069"/>
    <w:rPr>
      <w:rFonts w:eastAsiaTheme="majorEastAsia" w:cstheme="majorBidi"/>
      <w:color w:val="272727" w:themeColor="text1" w:themeTint="D8"/>
    </w:rPr>
  </w:style>
  <w:style w:type="paragraph" w:styleId="Title">
    <w:name w:val="Title"/>
    <w:basedOn w:val="Normal"/>
    <w:next w:val="Normal"/>
    <w:link w:val="TitleChar"/>
    <w:uiPriority w:val="10"/>
    <w:qFormat/>
    <w:rsid w:val="00BE106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E106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E106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E106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E1069"/>
    <w:pPr>
      <w:spacing w:before="160"/>
      <w:jc w:val="center"/>
    </w:pPr>
    <w:rPr>
      <w:i/>
      <w:iCs/>
      <w:color w:val="404040" w:themeColor="text1" w:themeTint="BF"/>
    </w:rPr>
  </w:style>
  <w:style w:type="character" w:customStyle="1" w:styleId="QuoteChar">
    <w:name w:val="Quote Char"/>
    <w:basedOn w:val="DefaultParagraphFont"/>
    <w:link w:val="Quote"/>
    <w:uiPriority w:val="29"/>
    <w:rsid w:val="00BE1069"/>
    <w:rPr>
      <w:i/>
      <w:iCs/>
      <w:color w:val="404040" w:themeColor="text1" w:themeTint="BF"/>
    </w:rPr>
  </w:style>
  <w:style w:type="paragraph" w:styleId="ListParagraph">
    <w:name w:val="List Paragraph"/>
    <w:basedOn w:val="Normal"/>
    <w:uiPriority w:val="34"/>
    <w:qFormat/>
    <w:rsid w:val="00BE1069"/>
    <w:pPr>
      <w:ind w:left="720"/>
      <w:contextualSpacing/>
    </w:pPr>
  </w:style>
  <w:style w:type="character" w:styleId="IntenseEmphasis">
    <w:name w:val="Intense Emphasis"/>
    <w:basedOn w:val="DefaultParagraphFont"/>
    <w:uiPriority w:val="21"/>
    <w:qFormat/>
    <w:rsid w:val="00BE1069"/>
    <w:rPr>
      <w:i/>
      <w:iCs/>
      <w:color w:val="0F4761" w:themeColor="accent1" w:themeShade="BF"/>
    </w:rPr>
  </w:style>
  <w:style w:type="paragraph" w:styleId="IntenseQuote">
    <w:name w:val="Intense Quote"/>
    <w:basedOn w:val="Normal"/>
    <w:next w:val="Normal"/>
    <w:link w:val="IntenseQuoteChar"/>
    <w:uiPriority w:val="30"/>
    <w:qFormat/>
    <w:rsid w:val="00BE106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E1069"/>
    <w:rPr>
      <w:i/>
      <w:iCs/>
      <w:color w:val="0F4761" w:themeColor="accent1" w:themeShade="BF"/>
    </w:rPr>
  </w:style>
  <w:style w:type="character" w:styleId="IntenseReference">
    <w:name w:val="Intense Reference"/>
    <w:basedOn w:val="DefaultParagraphFont"/>
    <w:uiPriority w:val="32"/>
    <w:qFormat/>
    <w:rsid w:val="00BE1069"/>
    <w:rPr>
      <w:b/>
      <w:bCs/>
      <w:smallCaps/>
      <w:color w:val="0F4761" w:themeColor="accent1" w:themeShade="BF"/>
      <w:spacing w:val="5"/>
    </w:rPr>
  </w:style>
  <w:style w:type="character" w:styleId="Hyperlink">
    <w:name w:val="Hyperlink"/>
    <w:basedOn w:val="DefaultParagraphFont"/>
    <w:uiPriority w:val="99"/>
    <w:unhideWhenUsed/>
    <w:rsid w:val="009E1843"/>
    <w:rPr>
      <w:color w:val="0000FF"/>
      <w:u w:val="single"/>
    </w:rPr>
  </w:style>
  <w:style w:type="paragraph" w:styleId="Header">
    <w:name w:val="header"/>
    <w:basedOn w:val="Normal"/>
    <w:link w:val="HeaderChar"/>
    <w:uiPriority w:val="99"/>
    <w:unhideWhenUsed/>
    <w:rsid w:val="002274A5"/>
    <w:pPr>
      <w:tabs>
        <w:tab w:val="center" w:pos="4513"/>
        <w:tab w:val="right" w:pos="9026"/>
      </w:tabs>
      <w:spacing w:after="0" w:line="240" w:lineRule="auto"/>
    </w:pPr>
  </w:style>
  <w:style w:type="character" w:customStyle="1" w:styleId="HeaderChar">
    <w:name w:val="Header Char"/>
    <w:basedOn w:val="DefaultParagraphFont"/>
    <w:link w:val="Header"/>
    <w:uiPriority w:val="99"/>
    <w:rsid w:val="002274A5"/>
  </w:style>
  <w:style w:type="paragraph" w:styleId="Footer">
    <w:name w:val="footer"/>
    <w:basedOn w:val="Normal"/>
    <w:link w:val="FooterChar"/>
    <w:uiPriority w:val="99"/>
    <w:unhideWhenUsed/>
    <w:rsid w:val="002274A5"/>
    <w:pPr>
      <w:tabs>
        <w:tab w:val="center" w:pos="4513"/>
        <w:tab w:val="right" w:pos="9026"/>
      </w:tabs>
      <w:spacing w:after="0" w:line="240" w:lineRule="auto"/>
    </w:pPr>
  </w:style>
  <w:style w:type="character" w:customStyle="1" w:styleId="FooterChar">
    <w:name w:val="Footer Char"/>
    <w:basedOn w:val="DefaultParagraphFont"/>
    <w:link w:val="Footer"/>
    <w:uiPriority w:val="99"/>
    <w:rsid w:val="002274A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hyperlink" Target="https://www.sciencedirect.com/science/article/pii/S2666634022001842" TargetMode="External"/><Relationship Id="rId3" Type="http://schemas.openxmlformats.org/officeDocument/2006/relationships/settings" Target="settings.xml"/><Relationship Id="rId21" Type="http://schemas.openxmlformats.org/officeDocument/2006/relationships/hyperlink" Target="https://www.nature.com/articles/s41467-023-37126-3" TargetMode="External"/><Relationship Id="rId34" Type="http://schemas.openxmlformats.org/officeDocument/2006/relationships/customXml" Target="../customXml/item1.xml"/><Relationship Id="rId7" Type="http://schemas.openxmlformats.org/officeDocument/2006/relationships/hyperlink" Target="https://satijalab.org/seurat/articles/seurat5_integration" TargetMode="Externa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hyperlink" Target="https://www.ncbi.nlm.nih.gov/pmc/articles/PMC6448773/"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24" Type="http://schemas.openxmlformats.org/officeDocument/2006/relationships/hyperlink" Target="https://www.nature.com/articles/s41592-023-01814-1"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s://genomebiology.biomedcentral.com/articles/10.1186/s13059-023-02978-x" TargetMode="External"/><Relationship Id="rId28" Type="http://schemas.openxmlformats.org/officeDocument/2006/relationships/image" Target="media/image13.png"/><Relationship Id="rId36" Type="http://schemas.openxmlformats.org/officeDocument/2006/relationships/customXml" Target="../customXml/item3.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hyperlink" Target="https://www.nature.com/articles/s41467-021-25960-2" TargetMode="External"/><Relationship Id="rId4" Type="http://schemas.openxmlformats.org/officeDocument/2006/relationships/webSettings" Target="webSettings.xml"/><Relationship Id="rId9" Type="http://schemas.openxmlformats.org/officeDocument/2006/relationships/hyperlink" Target="https://satijalab.org/seurat/reference/findmarkers" TargetMode="External"/><Relationship Id="rId14" Type="http://schemas.openxmlformats.org/officeDocument/2006/relationships/image" Target="media/image5.png"/><Relationship Id="rId22" Type="http://schemas.openxmlformats.org/officeDocument/2006/relationships/hyperlink" Target="https://genomebiology.biomedcentral.com/articles/10.1186/s13059-019-1850-9"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customXml" Target="../customXml/item2.xml"/><Relationship Id="rId8" Type="http://schemas.openxmlformats.org/officeDocument/2006/relationships/hyperlink" Target="https://satijalab.org/seurat/archive/v4.3/integration_introduction"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66594EFBB8D2244B554AD35C20D3D1A" ma:contentTypeVersion="4" ma:contentTypeDescription="Create a new document." ma:contentTypeScope="" ma:versionID="adacf839d8ab79153e66a80281a7928c">
  <xsd:schema xmlns:xsd="http://www.w3.org/2001/XMLSchema" xmlns:xs="http://www.w3.org/2001/XMLSchema" xmlns:p="http://schemas.microsoft.com/office/2006/metadata/properties" xmlns:ns2="4217fc3e-e639-4999-baa6-e37f258a06e0" targetNamespace="http://schemas.microsoft.com/office/2006/metadata/properties" ma:root="true" ma:fieldsID="b5794324cb8cd0accf02dd492021ce55" ns2:_="">
    <xsd:import namespace="4217fc3e-e639-4999-baa6-e37f258a06e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217fc3e-e639-4999-baa6-e37f258a06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A05D78A7-E517-409E-A570-9D5E9B5BE41D}"/>
</file>

<file path=customXml/itemProps2.xml><?xml version="1.0" encoding="utf-8"?>
<ds:datastoreItem xmlns:ds="http://schemas.openxmlformats.org/officeDocument/2006/customXml" ds:itemID="{2E0855B2-606A-43B2-B2CF-D61101AE88C9}"/>
</file>

<file path=customXml/itemProps3.xml><?xml version="1.0" encoding="utf-8"?>
<ds:datastoreItem xmlns:ds="http://schemas.openxmlformats.org/officeDocument/2006/customXml" ds:itemID="{F8E8B95C-9EE1-4F58-AD3A-C84E4AD27AD9}"/>
</file>

<file path=docProps/app.xml><?xml version="1.0" encoding="utf-8"?>
<Properties xmlns="http://schemas.openxmlformats.org/officeDocument/2006/extended-properties" xmlns:vt="http://schemas.openxmlformats.org/officeDocument/2006/docPropsVTypes">
  <Template>Normal.dotm</Template>
  <TotalTime>28</TotalTime>
  <Pages>28</Pages>
  <Words>7942</Words>
  <Characters>45273</Characters>
  <Application>Microsoft Office Word</Application>
  <DocSecurity>0</DocSecurity>
  <Lines>377</Lines>
  <Paragraphs>106</Paragraphs>
  <ScaleCrop>false</ScaleCrop>
  <HeadingPairs>
    <vt:vector size="2" baseType="variant">
      <vt:variant>
        <vt:lpstr>Title</vt:lpstr>
      </vt:variant>
      <vt:variant>
        <vt:i4>1</vt:i4>
      </vt:variant>
    </vt:vector>
  </HeadingPairs>
  <TitlesOfParts>
    <vt:vector size="1" baseType="lpstr">
      <vt:lpstr/>
    </vt:vector>
  </TitlesOfParts>
  <Company>Springer Nature</Company>
  <LinksUpToDate>false</LinksUpToDate>
  <CharactersWithSpaces>53109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Andrew Cosgrove</dc:creator>
  <cp:keywords/>
  <dc:description/>
  <cp:lastModifiedBy>Andrew Cosgrove</cp:lastModifiedBy>
  <cp:revision>4</cp:revision>
  <dcterms:created xsi:type="dcterms:W3CDTF">2025-02-27T16:54:00Z</dcterms:created>
  <dcterms:modified xsi:type="dcterms:W3CDTF">2025-02-27T17:58:00Z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0x010100166594EFBB8D2244B554AD35C20D3D1A</vt:lpwstr>
  </property>
</Properties>
</file>