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ook w:val="04A0" w:firstRow="1" w:lastRow="0" w:firstColumn="1" w:lastColumn="0" w:noHBand="0" w:noVBand="1"/>
      </w:tblPr>
      <w:tblGrid>
        <w:gridCol w:w="3505"/>
        <w:gridCol w:w="3870"/>
        <w:gridCol w:w="2700"/>
      </w:tblGrid>
      <w:tr w:rsidR="00F2624C" w:rsidRPr="00D76E17" w14:paraId="70A7E000" w14:textId="77777777" w:rsidTr="002C0FB9">
        <w:trPr>
          <w:cantSplit/>
          <w:trHeight w:val="660"/>
          <w:tblHeader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4A056" w14:textId="612CE511" w:rsidR="00F2624C" w:rsidRPr="00D76E17" w:rsidRDefault="00F2624C" w:rsidP="002C0FB9">
            <w:pPr>
              <w:pStyle w:val="SPIEtablecaption"/>
              <w:rPr>
                <w:sz w:val="24"/>
                <w:szCs w:val="24"/>
              </w:rPr>
            </w:pPr>
            <w:r w:rsidRPr="00D76E17">
              <w:rPr>
                <w:sz w:val="24"/>
                <w:szCs w:val="24"/>
              </w:rPr>
              <w:t xml:space="preserve">Table </w:t>
            </w:r>
            <w:r>
              <w:rPr>
                <w:sz w:val="24"/>
                <w:szCs w:val="24"/>
              </w:rPr>
              <w:t>S-</w:t>
            </w:r>
            <w:r w:rsidRPr="00D76E17">
              <w:rPr>
                <w:sz w:val="24"/>
                <w:szCs w:val="24"/>
              </w:rPr>
              <w:t xml:space="preserve">1: Radiomic feature names and descriptions. </w:t>
            </w:r>
          </w:p>
        </w:tc>
      </w:tr>
      <w:tr w:rsidR="00F2624C" w:rsidRPr="00D76E17" w14:paraId="393D58FF" w14:textId="77777777" w:rsidTr="002C0FB9">
        <w:trPr>
          <w:cantSplit/>
          <w:trHeight w:val="332"/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5B41" w14:textId="77777777" w:rsidR="00F2624C" w:rsidRPr="00D76E17" w:rsidRDefault="00F2624C" w:rsidP="002C0FB9">
            <w:pPr>
              <w:rPr>
                <w:b/>
                <w:bCs/>
                <w:iCs/>
                <w:color w:val="000000"/>
              </w:rPr>
            </w:pPr>
            <w:r w:rsidRPr="00D76E17">
              <w:rPr>
                <w:b/>
                <w:bCs/>
                <w:iCs/>
                <w:color w:val="000000"/>
              </w:rPr>
              <w:t>Image Feature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52C" w14:textId="77777777" w:rsidR="00F2624C" w:rsidRPr="00D76E17" w:rsidRDefault="00F2624C" w:rsidP="002C0FB9">
            <w:pPr>
              <w:rPr>
                <w:b/>
                <w:bCs/>
                <w:color w:val="000000"/>
              </w:rPr>
            </w:pPr>
            <w:r w:rsidRPr="00D76E17">
              <w:rPr>
                <w:b/>
                <w:bCs/>
                <w:color w:val="000000"/>
              </w:rPr>
              <w:t>Feature Description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1F0CDD" w14:textId="77777777" w:rsidR="00F2624C" w:rsidRPr="00D76E17" w:rsidRDefault="00F2624C" w:rsidP="002C0FB9">
            <w:pPr>
              <w:rPr>
                <w:b/>
                <w:bCs/>
                <w:color w:val="000000"/>
              </w:rPr>
            </w:pPr>
            <w:r w:rsidRPr="00D76E17">
              <w:rPr>
                <w:b/>
                <w:bCs/>
                <w:color w:val="000000"/>
              </w:rPr>
              <w:t>Reference</w:t>
            </w:r>
          </w:p>
        </w:tc>
      </w:tr>
      <w:tr w:rsidR="00F2624C" w:rsidRPr="00D76E17" w14:paraId="4B159745" w14:textId="77777777" w:rsidTr="002C0FB9">
        <w:trPr>
          <w:trHeight w:val="32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F8E5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Volume (mm</w:t>
            </w:r>
            <w:r w:rsidRPr="00D76E17">
              <w:rPr>
                <w:color w:val="000000"/>
                <w:vertAlign w:val="superscript"/>
              </w:rPr>
              <w:t>3</w:t>
            </w:r>
            <w:r w:rsidRPr="00D76E17">
              <w:rPr>
                <w:color w:val="000000"/>
              </w:rPr>
              <w:t>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1CE4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Volume of lesion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D93D69" w14:textId="77777777" w:rsidR="00F2624C" w:rsidRPr="00D76E17" w:rsidRDefault="00F2624C" w:rsidP="002C0FB9">
            <w:pPr>
              <w:rPr>
                <w:bCs/>
                <w:color w:val="000000"/>
              </w:rPr>
            </w:pPr>
            <w:r w:rsidRPr="00D76E17">
              <w:rPr>
                <w:bCs/>
                <w:noProof/>
                <w:color w:val="000000" w:themeColor="text1"/>
              </w:rPr>
              <w:t>Gilhuijs, K. G., Giger, M. L. and Bick, U., “Computerized analysis of breast lesions in three dimensions using dynamic magnetic-resonance imaging,” Med. Phys. 25(9), 1647–1654 (1998).</w:t>
            </w:r>
          </w:p>
        </w:tc>
      </w:tr>
      <w:tr w:rsidR="00F2624C" w:rsidRPr="00D76E17" w14:paraId="716EBCDD" w14:textId="77777777" w:rsidTr="002C0FB9">
        <w:trPr>
          <w:trHeight w:val="32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1FC4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 xml:space="preserve">Effective </w:t>
            </w:r>
            <w:r w:rsidRPr="00D76E17">
              <w:rPr>
                <w:bCs/>
                <w:color w:val="000000" w:themeColor="text1"/>
              </w:rPr>
              <w:t>diameter</w:t>
            </w:r>
            <w:r w:rsidRPr="00D76E17">
              <w:rPr>
                <w:color w:val="000000" w:themeColor="text1"/>
              </w:rPr>
              <w:t xml:space="preserve"> (</w:t>
            </w:r>
            <w:r w:rsidRPr="00D76E17">
              <w:rPr>
                <w:color w:val="000000"/>
              </w:rPr>
              <w:t>mm)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52A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Greatest dimension of a sphere with the same volume as the lesion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CB0F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7924C00E" w14:textId="77777777" w:rsidTr="002C0FB9">
        <w:trPr>
          <w:trHeight w:val="32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4FE3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Surface area (mm</w:t>
            </w:r>
            <w:r w:rsidRPr="00D76E17">
              <w:rPr>
                <w:color w:val="000000"/>
                <w:vertAlign w:val="superscript"/>
              </w:rPr>
              <w:t>2</w:t>
            </w:r>
            <w:r w:rsidRPr="00D76E17">
              <w:rPr>
                <w:color w:val="000000"/>
              </w:rPr>
              <w:t>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9CF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Lesion surface area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9AD6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1E28B0F6" w14:textId="77777777" w:rsidTr="002C0FB9">
        <w:trPr>
          <w:trHeight w:val="32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E1C2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Maximum linear size (mm)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8EF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Maximum distance between any 2 voxels in the lesion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87A0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4E032AC9" w14:textId="77777777" w:rsidTr="002C0FB9">
        <w:trPr>
          <w:trHeight w:val="32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AD0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Sphericity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FEF0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Similarity of the lesion shape to a sphere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731ED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5FEF3DE5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B1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Irregularity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9F88" w14:textId="77777777" w:rsidR="00F2624C" w:rsidRPr="00D76E17" w:rsidRDefault="00F2624C" w:rsidP="002C0FB9">
            <w:pPr>
              <w:rPr>
                <w:color w:val="FFFFFF"/>
              </w:rPr>
            </w:pPr>
            <w:r w:rsidRPr="00D76E17">
              <w:rPr>
                <w:color w:val="000000"/>
              </w:rPr>
              <w:t>Deviation of the lesion surface from the surface of a sphere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FF1E1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7A45CA0A" w14:textId="77777777" w:rsidTr="002C0FB9">
        <w:trPr>
          <w:trHeight w:val="34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F73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Surface area/volume (1/mm)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93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Ratio of surface area to volume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D322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1DA05562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A3A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Margin sharpness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20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Mean of the image gradient at the lesion margin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00F85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142475B5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5204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Variance of margin sharpness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CE3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Variance of the image gradient at the lesion margin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B43E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44B392D2" w14:textId="77777777" w:rsidTr="002C0FB9">
        <w:trPr>
          <w:trHeight w:val="34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9A8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Variance of radial gradient histogram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481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Degree to which the enhancement structure extends in a radial pattern originating from the center of the lesion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AED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6BAD529F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B45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Contrast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CC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Location image variations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E62" w14:textId="77777777" w:rsidR="00F2624C" w:rsidRPr="00D76E17" w:rsidRDefault="00F2624C" w:rsidP="002C0FB9">
            <w:pPr>
              <w:rPr>
                <w:bCs/>
                <w:color w:val="000000"/>
              </w:rPr>
            </w:pPr>
            <w:r w:rsidRPr="00D76E17">
              <w:rPr>
                <w:bCs/>
                <w:noProof/>
                <w:color w:val="000000" w:themeColor="text1"/>
              </w:rPr>
              <w:t>Chen, W., Giger, M. L., Li, H., Bick, U. and Newstead, G. M., “Volumetric texture analysis of breast lesions on contrast-enhanced magnetic resonance images,” Magn. Reson. Med. 58(3), 562–571 (2007).</w:t>
            </w:r>
          </w:p>
        </w:tc>
      </w:tr>
      <w:tr w:rsidR="00F2624C" w:rsidRPr="00D76E17" w14:paraId="1CC5CF4A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29D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Correlation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D9C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Image linearity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F4CB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361C11A4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E8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Difference entropy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8207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Randomness of the difference of neighboring voxels’ gray-levels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45D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7B6028B8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A0B5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Difference variance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1AD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Variations of difference of gray-levels between voxel-pairs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8B4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27B0049E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80D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Energy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248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Image homogeneity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98A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6D7FD49E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0F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Entropy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3239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Randomness of the gray-levels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926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2FBF8467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ABFB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Inverse difference moment (homogeneity)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C50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Image homogeneity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AFD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4B319BCF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ABF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Information measure of correlation 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E99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Nonlinear gray-level dependence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4B3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0C13E811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2A7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Information measure of correlation 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D83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Nonlinear gray-level dependence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9F8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32679DFE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926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 xml:space="preserve">Maximum correlation coefficient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0C0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Nonlinear gray-level dependence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FCF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497430F0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24A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 xml:space="preserve">Sum average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2A1" w14:textId="77777777" w:rsidR="00F2624C" w:rsidRPr="00D76E17" w:rsidRDefault="00F2624C" w:rsidP="002C0FB9">
            <w:pPr>
              <w:rPr>
                <w:color w:val="FFFFFF"/>
              </w:rPr>
            </w:pPr>
            <w:r w:rsidRPr="00D76E17">
              <w:rPr>
                <w:color w:val="000000"/>
              </w:rPr>
              <w:t>Overall brightness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AD9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79D1A3A1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35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Sum entropy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2E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Randomness of the sum of gray-levels of neighboring voxels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31461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0A52EF00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1E2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Sum variance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789A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Spread in the sum of the gray-levels of voxel-pairs distribution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B5BE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60278793" w14:textId="77777777" w:rsidTr="002C0FB9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696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Sum of squares (variance)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CC2F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Spread in the gray-level distribution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328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5D5815E1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EA2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lastRenderedPageBreak/>
              <w:t>Maximum enhancement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3CD7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Maximum contrast enhancement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5E" w14:textId="77777777" w:rsidR="00F2624C" w:rsidRPr="00D76E17" w:rsidRDefault="00F2624C" w:rsidP="002C0FB9">
            <w:pPr>
              <w:rPr>
                <w:bCs/>
                <w:color w:val="000000"/>
              </w:rPr>
            </w:pPr>
            <w:r w:rsidRPr="00D76E17">
              <w:rPr>
                <w:bCs/>
                <w:noProof/>
                <w:color w:val="000000" w:themeColor="text1"/>
              </w:rPr>
              <w:t>Chen, W., Giger, M. L., Lan, L. and Bick, U., “Computerized interpretation of breast MRI: investigation of enhancement-variance dynamics.,” Med. Phys. 31(5), 1076–1082 (2004).</w:t>
            </w:r>
          </w:p>
        </w:tc>
      </w:tr>
      <w:tr w:rsidR="00F2624C" w:rsidRPr="00D76E17" w14:paraId="3B2DBC32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5B0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Time to peak (s)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875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Time at which the maximum enhancement occurs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132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09693EF1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C9E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Uptake rate (1/s)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D29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Uptake speed of the contrast enhancement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016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65B19EA5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9F3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Washout rate (1/s)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942D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Washout speed of the contrast enhancement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E1C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7CD5D1FA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FBCD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Curve shape index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BD6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Difference between late and early enhancement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DF4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434B9FBC" w14:textId="77777777" w:rsidTr="002C0FB9">
        <w:trPr>
          <w:trHeight w:val="3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9F1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Enhancement at first postcontrast time point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21A2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Enhancement at first post-contrast time point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0F3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D76E17" w14:paraId="5E7598D2" w14:textId="77777777" w:rsidTr="002C0FB9">
        <w:trPr>
          <w:trHeight w:val="32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D7BF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Signal enhancement ratio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9C2B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Ratio of initial enhancement to overall enhancement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909" w14:textId="77777777" w:rsidR="00F2624C" w:rsidRPr="00D76E17" w:rsidRDefault="00F2624C" w:rsidP="002C0FB9">
            <w:pPr>
              <w:rPr>
                <w:color w:val="000000"/>
              </w:rPr>
            </w:pPr>
          </w:p>
        </w:tc>
      </w:tr>
      <w:tr w:rsidR="00F2624C" w:rsidRPr="00295E36" w14:paraId="7E5A3247" w14:textId="77777777" w:rsidTr="002C0FB9">
        <w:trPr>
          <w:trHeight w:val="36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A639" w14:textId="77777777" w:rsidR="00F2624C" w:rsidRPr="00D76E17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Volume of most enhancing voxels (mm</w:t>
            </w:r>
            <w:r w:rsidRPr="00D76E17">
              <w:rPr>
                <w:color w:val="000000"/>
                <w:vertAlign w:val="superscript"/>
              </w:rPr>
              <w:t>3</w:t>
            </w:r>
            <w:r w:rsidRPr="00D76E17">
              <w:rPr>
                <w:color w:val="000000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529" w14:textId="77777777" w:rsidR="00F2624C" w:rsidRPr="00295E36" w:rsidRDefault="00F2624C" w:rsidP="002C0FB9">
            <w:pPr>
              <w:rPr>
                <w:color w:val="000000"/>
              </w:rPr>
            </w:pPr>
            <w:r w:rsidRPr="00D76E17">
              <w:rPr>
                <w:color w:val="000000"/>
              </w:rPr>
              <w:t>Volume of the most enhancing voxels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AC8" w14:textId="77777777" w:rsidR="00F2624C" w:rsidRPr="00295E36" w:rsidRDefault="00F2624C" w:rsidP="002C0FB9">
            <w:pPr>
              <w:rPr>
                <w:color w:val="000000"/>
              </w:rPr>
            </w:pPr>
          </w:p>
        </w:tc>
      </w:tr>
    </w:tbl>
    <w:p w14:paraId="0B8B2171" w14:textId="77777777" w:rsidR="00211617" w:rsidRDefault="00211617"/>
    <w:sectPr w:rsidR="00211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C"/>
    <w:rsid w:val="0001093D"/>
    <w:rsid w:val="000E25F8"/>
    <w:rsid w:val="00107137"/>
    <w:rsid w:val="00131CC9"/>
    <w:rsid w:val="001A0F69"/>
    <w:rsid w:val="001C7B54"/>
    <w:rsid w:val="001F4D09"/>
    <w:rsid w:val="00211617"/>
    <w:rsid w:val="00217D03"/>
    <w:rsid w:val="00255A3D"/>
    <w:rsid w:val="002F7E98"/>
    <w:rsid w:val="0030170E"/>
    <w:rsid w:val="003530FF"/>
    <w:rsid w:val="003637A2"/>
    <w:rsid w:val="003D2317"/>
    <w:rsid w:val="004F1117"/>
    <w:rsid w:val="004F1D77"/>
    <w:rsid w:val="004F2D13"/>
    <w:rsid w:val="005038FE"/>
    <w:rsid w:val="00513E11"/>
    <w:rsid w:val="00544453"/>
    <w:rsid w:val="005539B7"/>
    <w:rsid w:val="00582B96"/>
    <w:rsid w:val="00591FE6"/>
    <w:rsid w:val="00644A57"/>
    <w:rsid w:val="006705EF"/>
    <w:rsid w:val="00763021"/>
    <w:rsid w:val="007F4B04"/>
    <w:rsid w:val="0088468C"/>
    <w:rsid w:val="008C026A"/>
    <w:rsid w:val="008E07EC"/>
    <w:rsid w:val="00911C95"/>
    <w:rsid w:val="0091269B"/>
    <w:rsid w:val="009870D9"/>
    <w:rsid w:val="009A57FD"/>
    <w:rsid w:val="00A76913"/>
    <w:rsid w:val="00A96D3C"/>
    <w:rsid w:val="00B45668"/>
    <w:rsid w:val="00C02868"/>
    <w:rsid w:val="00C91923"/>
    <w:rsid w:val="00D46BE5"/>
    <w:rsid w:val="00DC2B00"/>
    <w:rsid w:val="00E14C47"/>
    <w:rsid w:val="00E41306"/>
    <w:rsid w:val="00E97B58"/>
    <w:rsid w:val="00EB3D76"/>
    <w:rsid w:val="00F0405A"/>
    <w:rsid w:val="00F2624C"/>
    <w:rsid w:val="00F44588"/>
    <w:rsid w:val="00F87AA6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EC34D"/>
  <w15:chartTrackingRefBased/>
  <w15:docId w15:val="{793875AC-4989-4B4F-8A12-052371A6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4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IEtablecaption">
    <w:name w:val="SPIE table caption"/>
    <w:basedOn w:val="Normal"/>
    <w:link w:val="SPIEtablecaptionChar"/>
    <w:qFormat/>
    <w:rsid w:val="00F2624C"/>
    <w:pPr>
      <w:spacing w:after="120"/>
      <w:ind w:left="360" w:right="360"/>
    </w:pPr>
    <w:rPr>
      <w:rFonts w:eastAsia="Calibri"/>
      <w:sz w:val="18"/>
      <w:szCs w:val="20"/>
    </w:rPr>
  </w:style>
  <w:style w:type="character" w:customStyle="1" w:styleId="SPIEtablecaptionChar">
    <w:name w:val="SPIE table caption Char"/>
    <w:link w:val="SPIEtablecaption"/>
    <w:rsid w:val="00F2624C"/>
    <w:rPr>
      <w:rFonts w:ascii="Times New Roman" w:eastAsia="Calibri" w:hAnsi="Times New Roman" w:cs="Times New Roman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Whitney</dc:creator>
  <cp:keywords/>
  <dc:description/>
  <cp:lastModifiedBy>Heather Whitney</cp:lastModifiedBy>
  <cp:revision>1</cp:revision>
  <dcterms:created xsi:type="dcterms:W3CDTF">2023-08-01T13:56:00Z</dcterms:created>
  <dcterms:modified xsi:type="dcterms:W3CDTF">2023-08-01T13:57:00Z</dcterms:modified>
</cp:coreProperties>
</file>