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B78A6" w14:textId="77777777" w:rsidR="00735F29" w:rsidRDefault="005D5A46" w:rsidP="005D5A46">
      <w:pPr>
        <w:widowControl w:val="0"/>
        <w:spacing w:line="480" w:lineRule="atLeast"/>
        <w:jc w:val="center"/>
        <w:rPr>
          <w:rFonts w:ascii="Arial" w:hAnsi="Arial" w:cs="Arial"/>
          <w:sz w:val="24"/>
          <w:szCs w:val="24"/>
        </w:rPr>
      </w:pPr>
      <w:bookmarkStart w:id="0" w:name="_GoBack"/>
      <w:bookmarkEnd w:id="0"/>
      <w:r>
        <w:rPr>
          <w:rFonts w:ascii="Arial" w:hAnsi="Arial" w:cs="Arial"/>
          <w:sz w:val="24"/>
          <w:szCs w:val="24"/>
        </w:rPr>
        <w:t>THE UNIVERSITY OF CHICAGO</w:t>
      </w:r>
    </w:p>
    <w:p w14:paraId="17E01FF2" w14:textId="77777777" w:rsidR="005D5A46" w:rsidRDefault="005D5A46" w:rsidP="005D5A46">
      <w:pPr>
        <w:widowControl w:val="0"/>
        <w:spacing w:line="480" w:lineRule="atLeast"/>
        <w:jc w:val="center"/>
        <w:rPr>
          <w:rFonts w:ascii="Arial" w:hAnsi="Arial" w:cs="Arial"/>
          <w:sz w:val="24"/>
          <w:szCs w:val="24"/>
        </w:rPr>
      </w:pPr>
    </w:p>
    <w:p w14:paraId="0C363DC4" w14:textId="77777777" w:rsidR="005D5A46" w:rsidRDefault="005D5A46" w:rsidP="005D5A46">
      <w:pPr>
        <w:widowControl w:val="0"/>
        <w:spacing w:line="480" w:lineRule="atLeast"/>
        <w:jc w:val="center"/>
        <w:rPr>
          <w:rFonts w:ascii="Arial" w:hAnsi="Arial" w:cs="Arial"/>
          <w:sz w:val="24"/>
          <w:szCs w:val="24"/>
        </w:rPr>
      </w:pPr>
      <w:r>
        <w:rPr>
          <w:rFonts w:ascii="Arial" w:hAnsi="Arial" w:cs="Arial"/>
          <w:sz w:val="24"/>
          <w:szCs w:val="24"/>
        </w:rPr>
        <w:t xml:space="preserve">AN EXAMINATION OF THE CONTROVERSY CONCERNING THE </w:t>
      </w:r>
    </w:p>
    <w:p w14:paraId="17EC3A2F" w14:textId="77777777" w:rsidR="005D5A46" w:rsidRDefault="005D5A46" w:rsidP="005D5A46">
      <w:pPr>
        <w:widowControl w:val="0"/>
        <w:spacing w:line="480" w:lineRule="atLeast"/>
        <w:jc w:val="center"/>
        <w:rPr>
          <w:rFonts w:ascii="Arial" w:hAnsi="Arial" w:cs="Arial"/>
          <w:sz w:val="24"/>
          <w:szCs w:val="24"/>
        </w:rPr>
      </w:pPr>
      <w:r>
        <w:rPr>
          <w:rFonts w:ascii="Arial" w:hAnsi="Arial" w:cs="Arial"/>
          <w:sz w:val="24"/>
          <w:szCs w:val="24"/>
        </w:rPr>
        <w:t>GRANTING OF PATENTS ON HUMAN GENES AND GENE FRAGMENTS</w:t>
      </w:r>
    </w:p>
    <w:p w14:paraId="5C80D678" w14:textId="77777777" w:rsidR="005D5A46" w:rsidRDefault="005D5A46" w:rsidP="005D5A46">
      <w:pPr>
        <w:widowControl w:val="0"/>
        <w:spacing w:line="480" w:lineRule="atLeast"/>
        <w:jc w:val="center"/>
        <w:rPr>
          <w:rFonts w:ascii="Arial" w:hAnsi="Arial" w:cs="Arial"/>
          <w:sz w:val="24"/>
          <w:szCs w:val="24"/>
        </w:rPr>
      </w:pPr>
    </w:p>
    <w:p w14:paraId="55B098AD" w14:textId="77777777" w:rsidR="005D5A46" w:rsidRDefault="005D5A46" w:rsidP="005D5A46">
      <w:pPr>
        <w:widowControl w:val="0"/>
        <w:spacing w:line="480" w:lineRule="atLeast"/>
        <w:jc w:val="center"/>
        <w:rPr>
          <w:rFonts w:ascii="Arial" w:hAnsi="Arial" w:cs="Arial"/>
          <w:sz w:val="24"/>
          <w:szCs w:val="24"/>
        </w:rPr>
      </w:pPr>
    </w:p>
    <w:p w14:paraId="72DE11F1" w14:textId="77777777" w:rsidR="005D5A46" w:rsidRDefault="005D5A46" w:rsidP="005D5A46">
      <w:pPr>
        <w:widowControl w:val="0"/>
        <w:spacing w:line="480" w:lineRule="atLeast"/>
        <w:jc w:val="center"/>
        <w:rPr>
          <w:rFonts w:ascii="Arial" w:hAnsi="Arial" w:cs="Arial"/>
          <w:sz w:val="24"/>
          <w:szCs w:val="24"/>
        </w:rPr>
      </w:pPr>
      <w:r>
        <w:rPr>
          <w:rFonts w:ascii="Arial" w:hAnsi="Arial" w:cs="Arial"/>
          <w:sz w:val="24"/>
          <w:szCs w:val="24"/>
        </w:rPr>
        <w:t>A THESIS SUBMITTED TO</w:t>
      </w:r>
    </w:p>
    <w:p w14:paraId="4C63365F" w14:textId="77777777" w:rsidR="005D5A46" w:rsidRDefault="005D5A46" w:rsidP="005D5A46">
      <w:pPr>
        <w:widowControl w:val="0"/>
        <w:spacing w:line="480" w:lineRule="atLeast"/>
        <w:jc w:val="center"/>
        <w:rPr>
          <w:rFonts w:ascii="Arial" w:hAnsi="Arial" w:cs="Arial"/>
          <w:sz w:val="24"/>
          <w:szCs w:val="24"/>
        </w:rPr>
      </w:pPr>
      <w:r>
        <w:rPr>
          <w:rFonts w:ascii="Arial" w:hAnsi="Arial" w:cs="Arial"/>
          <w:sz w:val="24"/>
          <w:szCs w:val="24"/>
        </w:rPr>
        <w:t>THE GRAHAM SCHOOL OF GENERAL STUDIES</w:t>
      </w:r>
    </w:p>
    <w:p w14:paraId="1529C30A" w14:textId="77777777" w:rsidR="005D5A46" w:rsidRDefault="005D5A46" w:rsidP="005D5A46">
      <w:pPr>
        <w:widowControl w:val="0"/>
        <w:spacing w:line="480" w:lineRule="atLeast"/>
        <w:jc w:val="center"/>
        <w:rPr>
          <w:rFonts w:ascii="Arial" w:hAnsi="Arial" w:cs="Arial"/>
          <w:sz w:val="24"/>
          <w:szCs w:val="24"/>
        </w:rPr>
      </w:pPr>
      <w:r>
        <w:rPr>
          <w:rFonts w:ascii="Arial" w:hAnsi="Arial" w:cs="Arial"/>
          <w:sz w:val="24"/>
          <w:szCs w:val="24"/>
        </w:rPr>
        <w:t>IN PARTIAL FULFILLMENT OF REQUIREMENTS</w:t>
      </w:r>
    </w:p>
    <w:p w14:paraId="7E2C1904" w14:textId="77777777" w:rsidR="005D5A46" w:rsidRDefault="005D5A46" w:rsidP="005D5A46">
      <w:pPr>
        <w:widowControl w:val="0"/>
        <w:spacing w:line="480" w:lineRule="atLeast"/>
        <w:jc w:val="center"/>
        <w:rPr>
          <w:rFonts w:ascii="Arial" w:hAnsi="Arial" w:cs="Arial"/>
          <w:sz w:val="24"/>
          <w:szCs w:val="24"/>
        </w:rPr>
      </w:pPr>
      <w:r>
        <w:rPr>
          <w:rFonts w:ascii="Arial" w:hAnsi="Arial" w:cs="Arial"/>
          <w:sz w:val="24"/>
          <w:szCs w:val="24"/>
        </w:rPr>
        <w:t>FOR THE DEGREE OF</w:t>
      </w:r>
    </w:p>
    <w:p w14:paraId="7CC8AC1B" w14:textId="77777777" w:rsidR="005D5A46" w:rsidRDefault="005D5A46" w:rsidP="005D5A46">
      <w:pPr>
        <w:widowControl w:val="0"/>
        <w:spacing w:line="480" w:lineRule="atLeast"/>
        <w:jc w:val="center"/>
        <w:rPr>
          <w:rFonts w:ascii="Arial" w:hAnsi="Arial" w:cs="Arial"/>
          <w:sz w:val="24"/>
          <w:szCs w:val="24"/>
        </w:rPr>
      </w:pPr>
      <w:r>
        <w:rPr>
          <w:rFonts w:ascii="Arial" w:hAnsi="Arial" w:cs="Arial"/>
          <w:sz w:val="24"/>
          <w:szCs w:val="24"/>
        </w:rPr>
        <w:t>MASTER OF LIBERAL ARTS</w:t>
      </w:r>
    </w:p>
    <w:p w14:paraId="397F792D" w14:textId="77777777" w:rsidR="00FA315D" w:rsidRDefault="00FA315D" w:rsidP="005D5A46">
      <w:pPr>
        <w:widowControl w:val="0"/>
        <w:spacing w:line="480" w:lineRule="atLeast"/>
        <w:jc w:val="center"/>
        <w:rPr>
          <w:rFonts w:ascii="Arial" w:hAnsi="Arial" w:cs="Arial"/>
          <w:sz w:val="24"/>
          <w:szCs w:val="24"/>
        </w:rPr>
      </w:pPr>
    </w:p>
    <w:p w14:paraId="6A588671" w14:textId="77777777" w:rsidR="00FA315D" w:rsidRDefault="00FA315D" w:rsidP="005D5A46">
      <w:pPr>
        <w:widowControl w:val="0"/>
        <w:spacing w:line="480" w:lineRule="atLeast"/>
        <w:jc w:val="center"/>
        <w:rPr>
          <w:rFonts w:ascii="Arial" w:hAnsi="Arial" w:cs="Arial"/>
          <w:sz w:val="24"/>
          <w:szCs w:val="24"/>
        </w:rPr>
      </w:pPr>
      <w:r>
        <w:rPr>
          <w:rFonts w:ascii="Arial" w:hAnsi="Arial" w:cs="Arial"/>
          <w:sz w:val="24"/>
          <w:szCs w:val="24"/>
        </w:rPr>
        <w:t>BY</w:t>
      </w:r>
    </w:p>
    <w:p w14:paraId="612A87BF" w14:textId="77777777" w:rsidR="00FA315D" w:rsidRDefault="00FA315D" w:rsidP="005D5A46">
      <w:pPr>
        <w:widowControl w:val="0"/>
        <w:spacing w:line="480" w:lineRule="atLeast"/>
        <w:jc w:val="center"/>
        <w:rPr>
          <w:rFonts w:ascii="Arial" w:hAnsi="Arial" w:cs="Arial"/>
          <w:sz w:val="24"/>
          <w:szCs w:val="24"/>
        </w:rPr>
      </w:pPr>
      <w:r>
        <w:rPr>
          <w:rFonts w:ascii="Arial" w:hAnsi="Arial" w:cs="Arial"/>
          <w:sz w:val="24"/>
          <w:szCs w:val="24"/>
        </w:rPr>
        <w:t>EDWARD WESTPHAL</w:t>
      </w:r>
    </w:p>
    <w:p w14:paraId="37A69D67" w14:textId="77777777" w:rsidR="00FA315D" w:rsidRDefault="00FA315D" w:rsidP="005D5A46">
      <w:pPr>
        <w:widowControl w:val="0"/>
        <w:spacing w:line="480" w:lineRule="atLeast"/>
        <w:jc w:val="center"/>
        <w:rPr>
          <w:rFonts w:ascii="Arial" w:hAnsi="Arial" w:cs="Arial"/>
          <w:sz w:val="24"/>
          <w:szCs w:val="24"/>
        </w:rPr>
      </w:pPr>
    </w:p>
    <w:p w14:paraId="0DF14B4B" w14:textId="77777777" w:rsidR="00FA315D" w:rsidRDefault="00FA315D" w:rsidP="005D5A46">
      <w:pPr>
        <w:widowControl w:val="0"/>
        <w:spacing w:line="480" w:lineRule="atLeast"/>
        <w:jc w:val="center"/>
        <w:rPr>
          <w:rFonts w:ascii="Arial" w:hAnsi="Arial" w:cs="Arial"/>
          <w:sz w:val="24"/>
          <w:szCs w:val="24"/>
        </w:rPr>
      </w:pPr>
      <w:r>
        <w:rPr>
          <w:rFonts w:ascii="Arial" w:hAnsi="Arial" w:cs="Arial"/>
          <w:sz w:val="24"/>
          <w:szCs w:val="24"/>
        </w:rPr>
        <w:t>ADVISOR:  PROFESSOR BERT COHLER</w:t>
      </w:r>
    </w:p>
    <w:p w14:paraId="7CE22BAC" w14:textId="77777777" w:rsidR="00FA315D" w:rsidRDefault="00FA315D" w:rsidP="005D5A46">
      <w:pPr>
        <w:widowControl w:val="0"/>
        <w:spacing w:line="480" w:lineRule="atLeast"/>
        <w:jc w:val="center"/>
        <w:rPr>
          <w:rFonts w:ascii="Arial" w:hAnsi="Arial" w:cs="Arial"/>
          <w:sz w:val="24"/>
          <w:szCs w:val="24"/>
        </w:rPr>
      </w:pPr>
    </w:p>
    <w:p w14:paraId="0BB264DE" w14:textId="77777777" w:rsidR="00FA315D" w:rsidRDefault="00FA315D" w:rsidP="005D5A46">
      <w:pPr>
        <w:widowControl w:val="0"/>
        <w:spacing w:line="480" w:lineRule="atLeast"/>
        <w:jc w:val="center"/>
        <w:rPr>
          <w:rFonts w:ascii="Arial" w:hAnsi="Arial" w:cs="Arial"/>
          <w:sz w:val="24"/>
          <w:szCs w:val="24"/>
        </w:rPr>
      </w:pPr>
    </w:p>
    <w:p w14:paraId="55D44408" w14:textId="77777777" w:rsidR="00FA315D" w:rsidRDefault="00FA315D" w:rsidP="005D5A46">
      <w:pPr>
        <w:widowControl w:val="0"/>
        <w:spacing w:line="480" w:lineRule="atLeast"/>
        <w:jc w:val="center"/>
        <w:rPr>
          <w:rFonts w:ascii="Arial" w:hAnsi="Arial" w:cs="Arial"/>
          <w:sz w:val="24"/>
          <w:szCs w:val="24"/>
        </w:rPr>
      </w:pPr>
      <w:r>
        <w:rPr>
          <w:rFonts w:ascii="Arial" w:hAnsi="Arial" w:cs="Arial"/>
          <w:sz w:val="24"/>
          <w:szCs w:val="24"/>
        </w:rPr>
        <w:t>CHICAGO, ILLINOIS</w:t>
      </w:r>
    </w:p>
    <w:p w14:paraId="4B42C743" w14:textId="77777777" w:rsidR="00FA315D" w:rsidRDefault="00FA315D" w:rsidP="005D5A46">
      <w:pPr>
        <w:widowControl w:val="0"/>
        <w:spacing w:line="480" w:lineRule="atLeast"/>
        <w:jc w:val="center"/>
        <w:rPr>
          <w:rFonts w:ascii="Arial" w:hAnsi="Arial" w:cs="Arial"/>
          <w:sz w:val="24"/>
          <w:szCs w:val="24"/>
        </w:rPr>
      </w:pPr>
      <w:r>
        <w:rPr>
          <w:rFonts w:ascii="Arial" w:hAnsi="Arial" w:cs="Arial"/>
          <w:sz w:val="24"/>
          <w:szCs w:val="24"/>
        </w:rPr>
        <w:t>FALL 2002</w:t>
      </w:r>
    </w:p>
    <w:p w14:paraId="5BE345CE" w14:textId="77777777" w:rsidR="00735F29" w:rsidRDefault="00735F29">
      <w:pPr>
        <w:widowControl w:val="0"/>
        <w:spacing w:line="480" w:lineRule="atLeast"/>
        <w:rPr>
          <w:rFonts w:ascii="Arial" w:hAnsi="Arial" w:cs="Arial"/>
          <w:sz w:val="24"/>
          <w:szCs w:val="24"/>
        </w:rPr>
      </w:pPr>
    </w:p>
    <w:p w14:paraId="38F9E254" w14:textId="77777777" w:rsidR="00FA315D" w:rsidRDefault="00FA315D" w:rsidP="00FA315D">
      <w:pPr>
        <w:widowControl w:val="0"/>
        <w:spacing w:line="240" w:lineRule="atLeast"/>
        <w:rPr>
          <w:rFonts w:ascii="Arial" w:hAnsi="Arial" w:cs="Arial"/>
          <w:sz w:val="24"/>
          <w:szCs w:val="24"/>
        </w:rPr>
      </w:pPr>
    </w:p>
    <w:p w14:paraId="656C78F8" w14:textId="77777777" w:rsidR="00735F29" w:rsidRDefault="00735F29" w:rsidP="00FA315D">
      <w:pPr>
        <w:widowControl w:val="0"/>
        <w:spacing w:line="240" w:lineRule="atLeast"/>
        <w:rPr>
          <w:rFonts w:ascii="Arial" w:hAnsi="Arial" w:cs="Arial"/>
          <w:sz w:val="24"/>
          <w:szCs w:val="24"/>
        </w:rPr>
      </w:pPr>
    </w:p>
    <w:p w14:paraId="0D69B4BD" w14:textId="77777777" w:rsidR="00FA315D" w:rsidRDefault="00FA315D" w:rsidP="00FA315D">
      <w:pPr>
        <w:widowControl w:val="0"/>
        <w:spacing w:line="240" w:lineRule="atLeast"/>
        <w:rPr>
          <w:rFonts w:ascii="Arial" w:hAnsi="Arial" w:cs="Arial"/>
          <w:sz w:val="24"/>
          <w:szCs w:val="24"/>
        </w:rPr>
      </w:pPr>
    </w:p>
    <w:p w14:paraId="2B4766B1" w14:textId="77777777" w:rsidR="005D5A46" w:rsidRDefault="005D5A46" w:rsidP="005D5A46">
      <w:pPr>
        <w:widowControl w:val="0"/>
        <w:spacing w:line="240" w:lineRule="atLeast"/>
        <w:jc w:val="center"/>
        <w:rPr>
          <w:rFonts w:ascii="Arial" w:hAnsi="Arial" w:cs="Arial"/>
          <w:sz w:val="24"/>
          <w:szCs w:val="24"/>
        </w:rPr>
      </w:pPr>
    </w:p>
    <w:p w14:paraId="6D3B5855" w14:textId="77777777" w:rsidR="00FA315D" w:rsidRDefault="00FA315D" w:rsidP="00FA315D">
      <w:pPr>
        <w:widowControl w:val="0"/>
        <w:spacing w:line="480" w:lineRule="auto"/>
        <w:ind w:firstLine="720"/>
        <w:rPr>
          <w:rFonts w:ascii="Arial" w:hAnsi="Arial" w:cs="Arial"/>
          <w:sz w:val="24"/>
          <w:szCs w:val="24"/>
        </w:rPr>
      </w:pPr>
    </w:p>
    <w:p w14:paraId="18B8B263" w14:textId="77777777" w:rsidR="00FA315D" w:rsidRDefault="00FA315D" w:rsidP="00FA315D">
      <w:pPr>
        <w:widowControl w:val="0"/>
        <w:spacing w:line="480" w:lineRule="auto"/>
        <w:ind w:firstLine="720"/>
        <w:rPr>
          <w:rFonts w:ascii="Arial" w:hAnsi="Arial" w:cs="Arial"/>
          <w:sz w:val="24"/>
          <w:szCs w:val="24"/>
        </w:rPr>
      </w:pPr>
    </w:p>
    <w:p w14:paraId="00A03D09" w14:textId="77777777" w:rsidR="00FA315D" w:rsidRDefault="00FA315D" w:rsidP="00FA315D">
      <w:pPr>
        <w:widowControl w:val="0"/>
        <w:spacing w:line="480" w:lineRule="auto"/>
        <w:ind w:firstLine="720"/>
        <w:rPr>
          <w:rFonts w:ascii="Arial" w:hAnsi="Arial" w:cs="Arial"/>
          <w:sz w:val="24"/>
          <w:szCs w:val="24"/>
        </w:rPr>
      </w:pPr>
    </w:p>
    <w:p w14:paraId="50C354F0" w14:textId="77777777" w:rsidR="0044297C" w:rsidRDefault="0044297C" w:rsidP="0044297C">
      <w:pPr>
        <w:widowControl w:val="0"/>
        <w:spacing w:line="240" w:lineRule="atLeast"/>
        <w:jc w:val="center"/>
        <w:rPr>
          <w:sz w:val="24"/>
        </w:rPr>
      </w:pPr>
      <w:r>
        <w:rPr>
          <w:sz w:val="24"/>
        </w:rPr>
        <w:lastRenderedPageBreak/>
        <w:t>Abstract</w:t>
      </w:r>
    </w:p>
    <w:p w14:paraId="1ADC6DAD" w14:textId="77777777" w:rsidR="0044297C" w:rsidRDefault="0044297C" w:rsidP="0044297C">
      <w:pPr>
        <w:widowControl w:val="0"/>
        <w:spacing w:line="480" w:lineRule="atLeast"/>
        <w:ind w:firstLine="720"/>
        <w:rPr>
          <w:sz w:val="24"/>
        </w:rPr>
      </w:pPr>
      <w:r>
        <w:rPr>
          <w:sz w:val="24"/>
        </w:rPr>
        <w:t xml:space="preserve">A revolution in genetics has been occurring since Watson and Crick discovered the structure of the double helical DNA molecule.  The explosion of knowledge about the human genome and the development of technology to clone human genes have raised issues concerning whether knowledge about genes can be owned and, thus, whether genes or information about them can be patented.  The main issues in the human genome controversy concern how much of the genome is subject to patent control and how this control will affect future research and the development of new products. </w:t>
      </w:r>
    </w:p>
    <w:p w14:paraId="15685413" w14:textId="77777777" w:rsidR="0044297C" w:rsidRDefault="0044297C" w:rsidP="0044297C">
      <w:pPr>
        <w:widowControl w:val="0"/>
        <w:spacing w:line="480" w:lineRule="atLeast"/>
        <w:ind w:firstLine="720"/>
        <w:rPr>
          <w:sz w:val="24"/>
        </w:rPr>
      </w:pPr>
      <w:r>
        <w:rPr>
          <w:sz w:val="24"/>
        </w:rPr>
        <w:t xml:space="preserve">In order to defeat patent law in the service of profit, biotech corporations have patented singular genes and gene fragments while acknowledging that DNA itself cannot be patented.  Proponents of patent protection believe that patents are the “engine” that drives great discoveries.  The defenders argue that it was costly for researchers to develop the data, and now they are merely recouping their initial investment.  The incentive to perform even the most basic research in genetics would not exist if the patent system were not available to provide the protection and nurturing that new inventions require. </w:t>
      </w:r>
    </w:p>
    <w:p w14:paraId="5E6E28A7" w14:textId="77777777" w:rsidR="0044297C" w:rsidRDefault="0044297C" w:rsidP="0044297C">
      <w:pPr>
        <w:widowControl w:val="0"/>
        <w:spacing w:line="480" w:lineRule="atLeast"/>
        <w:ind w:firstLine="720"/>
        <w:rPr>
          <w:sz w:val="24"/>
        </w:rPr>
      </w:pPr>
      <w:r>
        <w:rPr>
          <w:sz w:val="24"/>
        </w:rPr>
        <w:tab/>
        <w:t xml:space="preserve">On July 29, 2001, CBS television network broadcast on </w:t>
      </w:r>
      <w:r>
        <w:rPr>
          <w:i/>
          <w:sz w:val="24"/>
        </w:rPr>
        <w:t>Sixty Minutes</w:t>
      </w:r>
      <w:r>
        <w:rPr>
          <w:sz w:val="24"/>
        </w:rPr>
        <w:t xml:space="preserve"> an examination the controversy.  A biotech firm was attempting to patent naturally occurring genes.  When </w:t>
      </w:r>
      <w:r>
        <w:rPr>
          <w:i/>
          <w:sz w:val="24"/>
        </w:rPr>
        <w:t>60 Minutes</w:t>
      </w:r>
      <w:r>
        <w:rPr>
          <w:sz w:val="24"/>
        </w:rPr>
        <w:t xml:space="preserve"> sent a letter to the firm to clarify the issue, the firm claimed that ”…the patent has not resulted in any financial gain…” for the non-profit organization. The letter further stated that two subjects who contributed the genetic material were not considered as co-owners of the material because “…they did not contribute intellectually to the discovery…” of the genetic mutation. </w:t>
      </w:r>
    </w:p>
    <w:p w14:paraId="431A8102" w14:textId="77777777" w:rsidR="0044297C" w:rsidRDefault="0044297C" w:rsidP="0044297C">
      <w:pPr>
        <w:widowControl w:val="0"/>
        <w:spacing w:line="480" w:lineRule="atLeast"/>
        <w:rPr>
          <w:sz w:val="24"/>
        </w:rPr>
      </w:pPr>
      <w:r>
        <w:rPr>
          <w:sz w:val="24"/>
        </w:rPr>
        <w:tab/>
        <w:t xml:space="preserve">Laurie Anderson, a patent attorney and advisor to Congress, stated that doctors are searching world-wide and that they view their patients as treasure troves whose blood can be used to find lucrative genes.  She contended that patents should not be applied to the products of nature because these products are not inventions.  The United Stated Constitution established </w:t>
      </w:r>
      <w:r>
        <w:rPr>
          <w:sz w:val="24"/>
        </w:rPr>
        <w:lastRenderedPageBreak/>
        <w:t xml:space="preserve">the patent system to reward and protect inventors.  </w:t>
      </w:r>
    </w:p>
    <w:p w14:paraId="6AD40A9B" w14:textId="77777777" w:rsidR="0044297C" w:rsidRDefault="0044297C" w:rsidP="0044297C">
      <w:pPr>
        <w:widowControl w:val="0"/>
        <w:spacing w:line="480" w:lineRule="atLeast"/>
        <w:ind w:firstLine="720"/>
        <w:rPr>
          <w:sz w:val="24"/>
        </w:rPr>
      </w:pPr>
      <w:r>
        <w:rPr>
          <w:sz w:val="24"/>
        </w:rPr>
        <w:t>Until recently, the idea of scientific research products and results being viewed as private property, as opposed to openly shared public knowledge, would have appeared absurd.  After Jonas Salk discovered the polio vaccine, he was asked why he did not attempt to patent it.  In reply, he said, “Can you patent the sun?”  Ironically, today the Salk Institute holds hundreds of patents on the products of scientific investigations.  Science has changed from one of altruism to one of capitalism.  Greed is now a cultural value in the health care system, and that the system needs to return to that altruistic approach.</w:t>
      </w:r>
    </w:p>
    <w:p w14:paraId="63A7D730" w14:textId="77777777" w:rsidR="0044297C" w:rsidRDefault="0044297C" w:rsidP="0044297C">
      <w:pPr>
        <w:widowControl w:val="0"/>
        <w:spacing w:line="480" w:lineRule="atLeast"/>
        <w:rPr>
          <w:sz w:val="24"/>
        </w:rPr>
      </w:pPr>
      <w:r>
        <w:rPr>
          <w:sz w:val="24"/>
        </w:rPr>
        <w:tab/>
        <w:t xml:space="preserve">A return to an altruistic approach in genetic research, however, appears to be unlikely in an age in which a gene responsible for Epogen, a drug used in kidney treatment is worth more than a billion dollars in annual revenue for that holder of the patent and the manufacturer.  Even in less lucrative fields, the “gold rush” is on. </w:t>
      </w:r>
    </w:p>
    <w:p w14:paraId="38F74872" w14:textId="77777777" w:rsidR="0044297C" w:rsidRDefault="0044297C" w:rsidP="0044297C">
      <w:pPr>
        <w:widowControl w:val="0"/>
        <w:spacing w:line="480" w:lineRule="atLeast"/>
        <w:rPr>
          <w:sz w:val="24"/>
        </w:rPr>
      </w:pPr>
      <w:r>
        <w:rPr>
          <w:sz w:val="24"/>
        </w:rPr>
        <w:tab/>
        <w:t>Scientists had been doing pure research long before there were such lucrative economic incentives.  Allowing patents on genes has changed medicine forever and completely altered scientific thought.  Usually in scientific endeavors, researchers share scientific knowledge so that many independent and competent people may be working on a cure for a specific disease.  This is not now the case with the existence of overreaching gene patents, where the individual who identifies the gene controls subsequent research and marketing of that knowledge.</w:t>
      </w:r>
    </w:p>
    <w:p w14:paraId="01A3087F" w14:textId="77777777" w:rsidR="0044297C" w:rsidRDefault="0044297C" w:rsidP="0044297C">
      <w:pPr>
        <w:widowControl w:val="0"/>
        <w:spacing w:line="480" w:lineRule="atLeast"/>
        <w:ind w:firstLine="720"/>
        <w:rPr>
          <w:sz w:val="24"/>
        </w:rPr>
      </w:pPr>
      <w:r>
        <w:rPr>
          <w:sz w:val="24"/>
        </w:rPr>
        <w:t xml:space="preserve">The U.S. Patent and Trademark Office is violating its own guidelines and previous court decisions by granting patents to individuals and companies seeking to patent gene and partial gene sequences.  Genes are physical phenomena that the courts have defined as subject matter that is not patentable.  The only exception, which is patentable, is a novel gene sequence, including the processes and technology utilized in </w:t>
      </w:r>
      <w:proofErr w:type="spellStart"/>
      <w:proofErr w:type="gramStart"/>
      <w:r>
        <w:rPr>
          <w:sz w:val="24"/>
        </w:rPr>
        <w:t>it’s</w:t>
      </w:r>
      <w:proofErr w:type="spellEnd"/>
      <w:proofErr w:type="gramEnd"/>
      <w:r>
        <w:rPr>
          <w:sz w:val="24"/>
        </w:rPr>
        <w:t xml:space="preserve"> creation, where a human being actually intervenes to create or develop the new sequence or process.  That, however, is not what a number of biotech firms are attempting to patent.  The subject matter that they wish to monopolize is the mapping and descriptions of gene and partial gene sequences, which occur in </w:t>
      </w:r>
      <w:r>
        <w:rPr>
          <w:sz w:val="24"/>
        </w:rPr>
        <w:lastRenderedPageBreak/>
        <w:t xml:space="preserve">nature.   The most obvious solution is for the Patent Office to reject biotech firms patent applications on such subject matter, and, as an added safeguard, for active, involved citizens to petition their legislative representatives to pass laws preventing biotech firms from patenting naturally-occurring genes and partial gene sequences.  This may then reverse the recent trend toward scientific secrecy and restore the free flow of scientific knowledge between laboratories doing genetic research.  </w:t>
      </w:r>
    </w:p>
    <w:p w14:paraId="155DB1F2" w14:textId="77777777" w:rsidR="0044297C" w:rsidRDefault="0044297C" w:rsidP="00FA315D">
      <w:pPr>
        <w:widowControl w:val="0"/>
        <w:spacing w:line="480" w:lineRule="auto"/>
        <w:ind w:firstLine="720"/>
        <w:rPr>
          <w:rFonts w:ascii="Arial" w:hAnsi="Arial" w:cs="Arial"/>
          <w:sz w:val="24"/>
          <w:szCs w:val="24"/>
        </w:rPr>
      </w:pPr>
    </w:p>
    <w:p w14:paraId="4472E37B" w14:textId="77777777" w:rsidR="0044297C" w:rsidRDefault="0044297C" w:rsidP="00FA315D">
      <w:pPr>
        <w:widowControl w:val="0"/>
        <w:spacing w:line="480" w:lineRule="auto"/>
        <w:ind w:firstLine="720"/>
        <w:rPr>
          <w:rFonts w:ascii="Arial" w:hAnsi="Arial" w:cs="Arial"/>
          <w:sz w:val="24"/>
          <w:szCs w:val="24"/>
        </w:rPr>
      </w:pPr>
    </w:p>
    <w:p w14:paraId="04E2A169" w14:textId="77777777" w:rsidR="0044297C" w:rsidRDefault="0044297C" w:rsidP="00FA315D">
      <w:pPr>
        <w:widowControl w:val="0"/>
        <w:spacing w:line="480" w:lineRule="auto"/>
        <w:ind w:firstLine="720"/>
        <w:rPr>
          <w:rFonts w:ascii="Arial" w:hAnsi="Arial" w:cs="Arial"/>
          <w:sz w:val="24"/>
          <w:szCs w:val="24"/>
        </w:rPr>
      </w:pPr>
    </w:p>
    <w:p w14:paraId="72926380" w14:textId="77777777" w:rsidR="0044297C" w:rsidRDefault="0044297C" w:rsidP="00FA315D">
      <w:pPr>
        <w:widowControl w:val="0"/>
        <w:spacing w:line="480" w:lineRule="auto"/>
        <w:ind w:firstLine="720"/>
        <w:rPr>
          <w:rFonts w:ascii="Arial" w:hAnsi="Arial" w:cs="Arial"/>
          <w:sz w:val="24"/>
          <w:szCs w:val="24"/>
        </w:rPr>
      </w:pPr>
    </w:p>
    <w:p w14:paraId="20040F8A" w14:textId="77777777" w:rsidR="0044297C" w:rsidRDefault="0044297C" w:rsidP="00FA315D">
      <w:pPr>
        <w:widowControl w:val="0"/>
        <w:spacing w:line="480" w:lineRule="auto"/>
        <w:ind w:firstLine="720"/>
        <w:rPr>
          <w:rFonts w:ascii="Arial" w:hAnsi="Arial" w:cs="Arial"/>
          <w:sz w:val="24"/>
          <w:szCs w:val="24"/>
        </w:rPr>
      </w:pPr>
    </w:p>
    <w:p w14:paraId="3F90E376" w14:textId="77777777" w:rsidR="0044297C" w:rsidRDefault="0044297C" w:rsidP="00FA315D">
      <w:pPr>
        <w:widowControl w:val="0"/>
        <w:spacing w:line="480" w:lineRule="auto"/>
        <w:ind w:firstLine="720"/>
        <w:rPr>
          <w:rFonts w:ascii="Arial" w:hAnsi="Arial" w:cs="Arial"/>
          <w:sz w:val="24"/>
          <w:szCs w:val="24"/>
        </w:rPr>
      </w:pPr>
    </w:p>
    <w:p w14:paraId="3C890040" w14:textId="77777777" w:rsidR="0044297C" w:rsidRDefault="0044297C" w:rsidP="00FA315D">
      <w:pPr>
        <w:widowControl w:val="0"/>
        <w:spacing w:line="480" w:lineRule="auto"/>
        <w:ind w:firstLine="720"/>
        <w:rPr>
          <w:rFonts w:ascii="Arial" w:hAnsi="Arial" w:cs="Arial"/>
          <w:sz w:val="24"/>
          <w:szCs w:val="24"/>
        </w:rPr>
      </w:pPr>
    </w:p>
    <w:p w14:paraId="74E181C4" w14:textId="77777777" w:rsidR="0044297C" w:rsidRDefault="0044297C" w:rsidP="00FA315D">
      <w:pPr>
        <w:widowControl w:val="0"/>
        <w:spacing w:line="480" w:lineRule="auto"/>
        <w:ind w:firstLine="720"/>
        <w:rPr>
          <w:rFonts w:ascii="Arial" w:hAnsi="Arial" w:cs="Arial"/>
          <w:sz w:val="24"/>
          <w:szCs w:val="24"/>
        </w:rPr>
      </w:pPr>
    </w:p>
    <w:p w14:paraId="3FF2610D" w14:textId="77777777" w:rsidR="0044297C" w:rsidRDefault="0044297C" w:rsidP="00FA315D">
      <w:pPr>
        <w:widowControl w:val="0"/>
        <w:spacing w:line="480" w:lineRule="auto"/>
        <w:ind w:firstLine="720"/>
        <w:rPr>
          <w:rFonts w:ascii="Arial" w:hAnsi="Arial" w:cs="Arial"/>
          <w:sz w:val="24"/>
          <w:szCs w:val="24"/>
        </w:rPr>
      </w:pPr>
    </w:p>
    <w:p w14:paraId="279BCC26" w14:textId="77777777" w:rsidR="0044297C" w:rsidRDefault="0044297C" w:rsidP="00FA315D">
      <w:pPr>
        <w:widowControl w:val="0"/>
        <w:spacing w:line="480" w:lineRule="auto"/>
        <w:ind w:firstLine="720"/>
        <w:rPr>
          <w:rFonts w:ascii="Arial" w:hAnsi="Arial" w:cs="Arial"/>
          <w:sz w:val="24"/>
          <w:szCs w:val="24"/>
        </w:rPr>
      </w:pPr>
    </w:p>
    <w:p w14:paraId="04311997" w14:textId="77777777" w:rsidR="0044297C" w:rsidRDefault="0044297C" w:rsidP="00FA315D">
      <w:pPr>
        <w:widowControl w:val="0"/>
        <w:spacing w:line="480" w:lineRule="auto"/>
        <w:ind w:firstLine="720"/>
        <w:rPr>
          <w:rFonts w:ascii="Arial" w:hAnsi="Arial" w:cs="Arial"/>
          <w:sz w:val="24"/>
          <w:szCs w:val="24"/>
        </w:rPr>
      </w:pPr>
    </w:p>
    <w:p w14:paraId="690C3528" w14:textId="77777777" w:rsidR="0044297C" w:rsidRDefault="0044297C" w:rsidP="00FA315D">
      <w:pPr>
        <w:widowControl w:val="0"/>
        <w:spacing w:line="480" w:lineRule="auto"/>
        <w:ind w:firstLine="720"/>
        <w:rPr>
          <w:rFonts w:ascii="Arial" w:hAnsi="Arial" w:cs="Arial"/>
          <w:sz w:val="24"/>
          <w:szCs w:val="24"/>
        </w:rPr>
      </w:pPr>
    </w:p>
    <w:p w14:paraId="4A0151E9" w14:textId="77777777" w:rsidR="0044297C" w:rsidRDefault="0044297C" w:rsidP="00FA315D">
      <w:pPr>
        <w:widowControl w:val="0"/>
        <w:spacing w:line="480" w:lineRule="auto"/>
        <w:ind w:firstLine="720"/>
        <w:rPr>
          <w:rFonts w:ascii="Arial" w:hAnsi="Arial" w:cs="Arial"/>
          <w:sz w:val="24"/>
          <w:szCs w:val="24"/>
        </w:rPr>
      </w:pPr>
    </w:p>
    <w:p w14:paraId="15C04FB6" w14:textId="77777777" w:rsidR="0044297C" w:rsidRDefault="0044297C" w:rsidP="00FA315D">
      <w:pPr>
        <w:widowControl w:val="0"/>
        <w:spacing w:line="480" w:lineRule="auto"/>
        <w:ind w:firstLine="720"/>
        <w:rPr>
          <w:rFonts w:ascii="Arial" w:hAnsi="Arial" w:cs="Arial"/>
          <w:sz w:val="24"/>
          <w:szCs w:val="24"/>
        </w:rPr>
      </w:pPr>
    </w:p>
    <w:p w14:paraId="6AB8C94E" w14:textId="77777777" w:rsidR="0044297C" w:rsidRDefault="0044297C" w:rsidP="00FA315D">
      <w:pPr>
        <w:widowControl w:val="0"/>
        <w:spacing w:line="480" w:lineRule="auto"/>
        <w:ind w:firstLine="720"/>
        <w:rPr>
          <w:rFonts w:ascii="Arial" w:hAnsi="Arial" w:cs="Arial"/>
          <w:sz w:val="24"/>
          <w:szCs w:val="24"/>
        </w:rPr>
      </w:pPr>
    </w:p>
    <w:p w14:paraId="7A110E0E" w14:textId="77777777" w:rsidR="0044297C" w:rsidRDefault="0044297C" w:rsidP="0044297C">
      <w:pPr>
        <w:widowControl w:val="0"/>
        <w:spacing w:line="480" w:lineRule="auto"/>
        <w:rPr>
          <w:rFonts w:ascii="Arial" w:hAnsi="Arial" w:cs="Arial"/>
          <w:sz w:val="24"/>
          <w:szCs w:val="24"/>
        </w:rPr>
      </w:pPr>
    </w:p>
    <w:p w14:paraId="0EC1B319" w14:textId="77777777" w:rsidR="0044297C" w:rsidRDefault="0044297C" w:rsidP="0044297C">
      <w:pPr>
        <w:widowControl w:val="0"/>
        <w:spacing w:line="480" w:lineRule="auto"/>
        <w:rPr>
          <w:rFonts w:ascii="Arial" w:hAnsi="Arial" w:cs="Arial"/>
          <w:sz w:val="24"/>
          <w:szCs w:val="24"/>
        </w:rPr>
      </w:pPr>
    </w:p>
    <w:p w14:paraId="05BCEF31" w14:textId="77777777" w:rsidR="0044297C" w:rsidRDefault="0044297C" w:rsidP="0044297C">
      <w:pPr>
        <w:widowControl w:val="0"/>
        <w:spacing w:line="480" w:lineRule="auto"/>
        <w:rPr>
          <w:rFonts w:ascii="Arial" w:hAnsi="Arial" w:cs="Arial"/>
          <w:sz w:val="24"/>
          <w:szCs w:val="24"/>
        </w:rPr>
      </w:pPr>
    </w:p>
    <w:p w14:paraId="1E52372C" w14:textId="38007CB5" w:rsidR="00DC68E2" w:rsidRDefault="00735F29" w:rsidP="0044297C">
      <w:pPr>
        <w:widowControl w:val="0"/>
        <w:spacing w:line="480" w:lineRule="auto"/>
        <w:ind w:firstLine="720"/>
        <w:rPr>
          <w:rFonts w:ascii="Arial" w:hAnsi="Arial" w:cs="Arial"/>
          <w:sz w:val="24"/>
          <w:szCs w:val="24"/>
        </w:rPr>
      </w:pPr>
      <w:r>
        <w:rPr>
          <w:rFonts w:ascii="Arial" w:hAnsi="Arial" w:cs="Arial"/>
          <w:sz w:val="24"/>
          <w:szCs w:val="24"/>
        </w:rPr>
        <w:lastRenderedPageBreak/>
        <w:t>A revolution in genetics has been occurring since Watson and Crick discovered the structure of th</w:t>
      </w:r>
      <w:r w:rsidR="006A0095">
        <w:rPr>
          <w:rFonts w:ascii="Arial" w:hAnsi="Arial" w:cs="Arial"/>
          <w:sz w:val="24"/>
          <w:szCs w:val="24"/>
        </w:rPr>
        <w:t xml:space="preserve">e double helical DNA molecule.  </w:t>
      </w:r>
      <w:r>
        <w:rPr>
          <w:rFonts w:ascii="Arial" w:hAnsi="Arial" w:cs="Arial"/>
          <w:sz w:val="24"/>
          <w:szCs w:val="24"/>
        </w:rPr>
        <w:t>Today, scientists believe that the completion of the Human Genome Project, an ambitious decip</w:t>
      </w:r>
      <w:r w:rsidR="00FA12D6">
        <w:rPr>
          <w:rFonts w:ascii="Arial" w:hAnsi="Arial" w:cs="Arial"/>
          <w:sz w:val="24"/>
          <w:szCs w:val="24"/>
        </w:rPr>
        <w:t xml:space="preserve">hering of the human genome </w:t>
      </w:r>
      <w:r>
        <w:rPr>
          <w:rFonts w:ascii="Arial" w:hAnsi="Arial" w:cs="Arial"/>
          <w:sz w:val="24"/>
          <w:szCs w:val="24"/>
        </w:rPr>
        <w:t>cost</w:t>
      </w:r>
      <w:r w:rsidR="00FA12D6">
        <w:rPr>
          <w:rFonts w:ascii="Arial" w:hAnsi="Arial" w:cs="Arial"/>
          <w:sz w:val="24"/>
          <w:szCs w:val="24"/>
        </w:rPr>
        <w:t>ing</w:t>
      </w:r>
      <w:r>
        <w:rPr>
          <w:rFonts w:ascii="Arial" w:hAnsi="Arial" w:cs="Arial"/>
          <w:sz w:val="24"/>
          <w:szCs w:val="24"/>
        </w:rPr>
        <w:t xml:space="preserve"> over 250 million dollars, </w:t>
      </w:r>
      <w:r w:rsidRPr="008F266A">
        <w:rPr>
          <w:rFonts w:ascii="Arial" w:hAnsi="Arial" w:cs="Arial"/>
          <w:color w:val="000000" w:themeColor="text1"/>
          <w:sz w:val="24"/>
          <w:szCs w:val="24"/>
        </w:rPr>
        <w:t xml:space="preserve">will revolutionize </w:t>
      </w:r>
      <w:r w:rsidR="00170C65" w:rsidRPr="008F266A">
        <w:rPr>
          <w:rFonts w:ascii="Arial" w:hAnsi="Arial" w:cs="Arial"/>
          <w:color w:val="000000" w:themeColor="text1"/>
          <w:sz w:val="24"/>
          <w:szCs w:val="24"/>
        </w:rPr>
        <w:t>the practice of medicine.</w:t>
      </w:r>
      <w:r w:rsidR="00064B40" w:rsidRPr="008F266A">
        <w:rPr>
          <w:rFonts w:ascii="Arial" w:hAnsi="Arial" w:cs="Arial"/>
          <w:color w:val="000000" w:themeColor="text1"/>
          <w:sz w:val="24"/>
          <w:szCs w:val="24"/>
        </w:rPr>
        <w:t xml:space="preserve">  Researchers believe </w:t>
      </w:r>
      <w:r w:rsidR="00DC68E2" w:rsidRPr="008F266A">
        <w:rPr>
          <w:rFonts w:ascii="Arial" w:hAnsi="Arial" w:cs="Arial"/>
          <w:color w:val="000000" w:themeColor="text1"/>
          <w:sz w:val="24"/>
          <w:szCs w:val="24"/>
        </w:rPr>
        <w:t xml:space="preserve">that the Human Genome Project will lead to breakthroughs in </w:t>
      </w:r>
      <w:r w:rsidRPr="008F266A">
        <w:rPr>
          <w:rFonts w:ascii="Arial" w:hAnsi="Arial" w:cs="Arial"/>
          <w:color w:val="000000" w:themeColor="text1"/>
          <w:sz w:val="24"/>
          <w:szCs w:val="24"/>
        </w:rPr>
        <w:t>the detection, prevention</w:t>
      </w:r>
      <w:r w:rsidR="00FA12D6" w:rsidRPr="008F266A">
        <w:rPr>
          <w:rFonts w:ascii="Arial" w:hAnsi="Arial" w:cs="Arial"/>
          <w:color w:val="000000" w:themeColor="text1"/>
          <w:sz w:val="24"/>
          <w:szCs w:val="24"/>
        </w:rPr>
        <w:t>,</w:t>
      </w:r>
      <w:r w:rsidRPr="008F266A">
        <w:rPr>
          <w:rFonts w:ascii="Arial" w:hAnsi="Arial" w:cs="Arial"/>
          <w:color w:val="000000" w:themeColor="text1"/>
          <w:sz w:val="24"/>
          <w:szCs w:val="24"/>
        </w:rPr>
        <w:t xml:space="preserve"> and treatme</w:t>
      </w:r>
      <w:r w:rsidR="00FA12D6" w:rsidRPr="008F266A">
        <w:rPr>
          <w:rFonts w:ascii="Arial" w:hAnsi="Arial" w:cs="Arial"/>
          <w:color w:val="000000" w:themeColor="text1"/>
          <w:sz w:val="24"/>
          <w:szCs w:val="24"/>
        </w:rPr>
        <w:t xml:space="preserve">nt of </w:t>
      </w:r>
      <w:r w:rsidR="002D68CE" w:rsidRPr="008F266A">
        <w:rPr>
          <w:rFonts w:ascii="Arial" w:hAnsi="Arial" w:cs="Arial"/>
          <w:color w:val="000000" w:themeColor="text1"/>
          <w:sz w:val="24"/>
          <w:szCs w:val="24"/>
        </w:rPr>
        <w:t>a wide range of medical conditions</w:t>
      </w:r>
      <w:r w:rsidR="00DC68E2" w:rsidRPr="008F266A">
        <w:rPr>
          <w:rFonts w:ascii="Arial" w:hAnsi="Arial" w:cs="Arial"/>
          <w:color w:val="000000" w:themeColor="text1"/>
          <w:sz w:val="24"/>
          <w:szCs w:val="24"/>
        </w:rPr>
        <w:t>, such as</w:t>
      </w:r>
      <w:r w:rsidRPr="008F266A">
        <w:rPr>
          <w:rFonts w:ascii="Arial" w:hAnsi="Arial" w:cs="Arial"/>
          <w:color w:val="000000" w:themeColor="text1"/>
          <w:sz w:val="24"/>
          <w:szCs w:val="24"/>
        </w:rPr>
        <w:t xml:space="preserve"> heritable genetic disorders</w:t>
      </w:r>
      <w:r w:rsidR="00DC68E2" w:rsidRPr="008F266A">
        <w:rPr>
          <w:rFonts w:ascii="Arial" w:hAnsi="Arial" w:cs="Arial"/>
          <w:color w:val="000000" w:themeColor="text1"/>
          <w:sz w:val="24"/>
          <w:szCs w:val="24"/>
        </w:rPr>
        <w:t xml:space="preserve">, </w:t>
      </w:r>
      <w:r w:rsidRPr="008F266A">
        <w:rPr>
          <w:rFonts w:ascii="Arial" w:hAnsi="Arial" w:cs="Arial"/>
          <w:color w:val="000000" w:themeColor="text1"/>
          <w:sz w:val="24"/>
          <w:szCs w:val="24"/>
        </w:rPr>
        <w:t>disease</w:t>
      </w:r>
      <w:r w:rsidR="00563759" w:rsidRPr="008F266A">
        <w:rPr>
          <w:rFonts w:ascii="Arial" w:hAnsi="Arial" w:cs="Arial"/>
          <w:color w:val="000000" w:themeColor="text1"/>
          <w:sz w:val="24"/>
          <w:szCs w:val="24"/>
        </w:rPr>
        <w:t>s</w:t>
      </w:r>
      <w:r w:rsidR="00DC68E2" w:rsidRPr="008F266A">
        <w:rPr>
          <w:rFonts w:ascii="Arial" w:hAnsi="Arial" w:cs="Arial"/>
          <w:color w:val="000000" w:themeColor="text1"/>
          <w:sz w:val="24"/>
          <w:szCs w:val="24"/>
        </w:rPr>
        <w:t xml:space="preserve"> with a genetic component, and cancer.  It is even hoped that this research will someday lead to a reversal of the</w:t>
      </w:r>
      <w:r w:rsidR="00563759" w:rsidRPr="008F266A">
        <w:rPr>
          <w:rFonts w:ascii="Arial" w:hAnsi="Arial" w:cs="Arial"/>
          <w:color w:val="000000" w:themeColor="text1"/>
          <w:sz w:val="24"/>
          <w:szCs w:val="24"/>
        </w:rPr>
        <w:t xml:space="preserve"> effects of aging</w:t>
      </w:r>
      <w:r w:rsidRPr="008F266A">
        <w:rPr>
          <w:rFonts w:ascii="Arial" w:hAnsi="Arial" w:cs="Arial"/>
          <w:color w:val="000000" w:themeColor="text1"/>
          <w:sz w:val="24"/>
          <w:szCs w:val="24"/>
        </w:rPr>
        <w:t>.</w:t>
      </w:r>
      <w:r w:rsidRPr="008F266A">
        <w:rPr>
          <w:rStyle w:val="FootnoteReference"/>
          <w:rFonts w:ascii="Arial" w:hAnsi="Arial" w:cs="Arial"/>
          <w:color w:val="000000" w:themeColor="text1"/>
          <w:sz w:val="24"/>
          <w:szCs w:val="24"/>
        </w:rPr>
        <w:footnoteReference w:id="1"/>
      </w:r>
      <w:r>
        <w:rPr>
          <w:rFonts w:ascii="Arial" w:hAnsi="Arial" w:cs="Arial"/>
          <w:sz w:val="24"/>
          <w:szCs w:val="24"/>
        </w:rPr>
        <w:t xml:space="preserve">  </w:t>
      </w:r>
    </w:p>
    <w:p w14:paraId="531B4F9A" w14:textId="77777777" w:rsidR="00735F29" w:rsidRDefault="00735F29" w:rsidP="00DC68E2">
      <w:pPr>
        <w:widowControl w:val="0"/>
        <w:spacing w:line="480" w:lineRule="auto"/>
        <w:ind w:firstLine="720"/>
        <w:rPr>
          <w:rFonts w:ascii="Arial" w:hAnsi="Arial" w:cs="Arial"/>
          <w:sz w:val="24"/>
          <w:szCs w:val="24"/>
        </w:rPr>
      </w:pPr>
      <w:r>
        <w:rPr>
          <w:rFonts w:ascii="Arial" w:hAnsi="Arial" w:cs="Arial"/>
          <w:sz w:val="24"/>
          <w:szCs w:val="24"/>
        </w:rPr>
        <w:t>Widespread technological advances in the field of genetics have led to methods of sequencing DNA, which in turn have led to research focusing upon identifying the nucleotide sequences of genomes in order to understand the structure and function of DNA, RNA</w:t>
      </w:r>
      <w:r w:rsidR="00564293">
        <w:rPr>
          <w:rFonts w:ascii="Arial" w:hAnsi="Arial" w:cs="Arial"/>
          <w:sz w:val="24"/>
          <w:szCs w:val="24"/>
        </w:rPr>
        <w:t>,</w:t>
      </w:r>
      <w:r>
        <w:rPr>
          <w:rFonts w:ascii="Arial" w:hAnsi="Arial" w:cs="Arial"/>
          <w:sz w:val="24"/>
          <w:szCs w:val="24"/>
        </w:rPr>
        <w:t xml:space="preserve"> and proteins.</w:t>
      </w:r>
      <w:r>
        <w:rPr>
          <w:rStyle w:val="FootnoteReference"/>
          <w:rFonts w:ascii="Arial" w:hAnsi="Arial" w:cs="Arial"/>
          <w:sz w:val="24"/>
          <w:szCs w:val="24"/>
        </w:rPr>
        <w:footnoteReference w:id="2"/>
      </w:r>
      <w:r w:rsidR="00DC68E2">
        <w:rPr>
          <w:rFonts w:ascii="Arial" w:hAnsi="Arial" w:cs="Arial"/>
          <w:sz w:val="24"/>
          <w:szCs w:val="24"/>
        </w:rPr>
        <w:t xml:space="preserve">  </w:t>
      </w:r>
      <w:r>
        <w:rPr>
          <w:rFonts w:ascii="Arial" w:hAnsi="Arial" w:cs="Arial"/>
          <w:sz w:val="24"/>
          <w:szCs w:val="24"/>
        </w:rPr>
        <w:t xml:space="preserve">This research has been </w:t>
      </w:r>
      <w:r w:rsidR="006A0095">
        <w:rPr>
          <w:rFonts w:ascii="Arial" w:hAnsi="Arial" w:cs="Arial"/>
          <w:sz w:val="24"/>
          <w:szCs w:val="24"/>
        </w:rPr>
        <w:t xml:space="preserve">responsible for the technology </w:t>
      </w:r>
      <w:r>
        <w:rPr>
          <w:rFonts w:ascii="Arial" w:hAnsi="Arial" w:cs="Arial"/>
          <w:sz w:val="24"/>
          <w:szCs w:val="24"/>
        </w:rPr>
        <w:t>of “cloning” genes, in which genes can be isolated and replicated in vitro.</w:t>
      </w:r>
      <w:r>
        <w:rPr>
          <w:rStyle w:val="FootnoteReference"/>
          <w:rFonts w:ascii="Arial" w:hAnsi="Arial" w:cs="Arial"/>
          <w:sz w:val="24"/>
          <w:szCs w:val="24"/>
        </w:rPr>
        <w:footnoteReference w:id="3"/>
      </w:r>
      <w:r>
        <w:rPr>
          <w:rFonts w:ascii="Arial" w:hAnsi="Arial" w:cs="Arial"/>
          <w:sz w:val="24"/>
          <w:szCs w:val="24"/>
        </w:rPr>
        <w:t xml:space="preserve">  </w:t>
      </w:r>
      <w:r w:rsidR="00584BEE">
        <w:rPr>
          <w:rFonts w:ascii="Arial" w:hAnsi="Arial" w:cs="Arial"/>
          <w:sz w:val="24"/>
          <w:szCs w:val="24"/>
        </w:rPr>
        <w:t xml:space="preserve">Also, </w:t>
      </w:r>
      <w:r w:rsidR="00591C2D">
        <w:rPr>
          <w:rFonts w:ascii="Arial" w:hAnsi="Arial" w:cs="Arial"/>
          <w:sz w:val="24"/>
          <w:szCs w:val="24"/>
        </w:rPr>
        <w:t xml:space="preserve">due to an improvement in the diagnosis of genetic disorders, </w:t>
      </w:r>
      <w:r w:rsidR="00584BEE">
        <w:rPr>
          <w:rFonts w:ascii="Arial" w:hAnsi="Arial" w:cs="Arial"/>
          <w:sz w:val="24"/>
          <w:szCs w:val="24"/>
        </w:rPr>
        <w:t>s</w:t>
      </w:r>
      <w:r>
        <w:rPr>
          <w:rFonts w:ascii="Arial" w:hAnsi="Arial" w:cs="Arial"/>
          <w:sz w:val="24"/>
          <w:szCs w:val="24"/>
        </w:rPr>
        <w:t>pecific genes</w:t>
      </w:r>
      <w:r w:rsidR="00591C2D">
        <w:rPr>
          <w:rFonts w:ascii="Arial" w:hAnsi="Arial" w:cs="Arial"/>
          <w:sz w:val="24"/>
          <w:szCs w:val="24"/>
        </w:rPr>
        <w:t xml:space="preserve"> </w:t>
      </w:r>
      <w:r>
        <w:rPr>
          <w:rFonts w:ascii="Arial" w:hAnsi="Arial" w:cs="Arial"/>
          <w:sz w:val="24"/>
          <w:szCs w:val="24"/>
        </w:rPr>
        <w:t xml:space="preserve">have been linked to certain diseases that can </w:t>
      </w:r>
      <w:r w:rsidR="00591C2D">
        <w:rPr>
          <w:rFonts w:ascii="Arial" w:hAnsi="Arial" w:cs="Arial"/>
          <w:sz w:val="24"/>
          <w:szCs w:val="24"/>
        </w:rPr>
        <w:t xml:space="preserve">now </w:t>
      </w:r>
      <w:r>
        <w:rPr>
          <w:rFonts w:ascii="Arial" w:hAnsi="Arial" w:cs="Arial"/>
          <w:sz w:val="24"/>
          <w:szCs w:val="24"/>
        </w:rPr>
        <w:t>be treated by gene therapy.</w:t>
      </w:r>
      <w:r>
        <w:rPr>
          <w:rStyle w:val="FootnoteReference"/>
          <w:rFonts w:ascii="Arial" w:hAnsi="Arial" w:cs="Arial"/>
          <w:sz w:val="24"/>
          <w:szCs w:val="24"/>
        </w:rPr>
        <w:footnoteReference w:id="4"/>
      </w:r>
      <w:r>
        <w:rPr>
          <w:rFonts w:ascii="Arial" w:hAnsi="Arial" w:cs="Arial"/>
          <w:sz w:val="24"/>
          <w:szCs w:val="24"/>
        </w:rPr>
        <w:t xml:space="preserve">  The explosion of knowledge about the human genome and the development of technology to clone human genes has raised issues concerning whether knowledge about genes can be owned and, thus, whether genes or information about them can be patented.   </w:t>
      </w:r>
    </w:p>
    <w:p w14:paraId="59C9AA43" w14:textId="77777777" w:rsidR="00735F29" w:rsidRDefault="00735F29">
      <w:pPr>
        <w:widowControl w:val="0"/>
        <w:spacing w:line="480" w:lineRule="atLeast"/>
        <w:jc w:val="center"/>
        <w:rPr>
          <w:rFonts w:ascii="Arial" w:hAnsi="Arial" w:cs="Arial"/>
          <w:sz w:val="24"/>
          <w:szCs w:val="24"/>
        </w:rPr>
      </w:pPr>
      <w:r>
        <w:rPr>
          <w:rFonts w:ascii="Arial" w:hAnsi="Arial" w:cs="Arial"/>
          <w:i/>
          <w:iCs/>
          <w:sz w:val="24"/>
          <w:szCs w:val="24"/>
        </w:rPr>
        <w:t>The U.S. Patent and Trademark Office and Court Decisions</w:t>
      </w:r>
    </w:p>
    <w:p w14:paraId="2895B04C"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The main issues in the human genome c</w:t>
      </w:r>
      <w:r w:rsidR="006A0095">
        <w:rPr>
          <w:rFonts w:ascii="Arial" w:hAnsi="Arial" w:cs="Arial"/>
          <w:sz w:val="24"/>
          <w:szCs w:val="24"/>
        </w:rPr>
        <w:t>ontroversy concern whether</w:t>
      </w:r>
      <w:r>
        <w:rPr>
          <w:rFonts w:ascii="Arial" w:hAnsi="Arial" w:cs="Arial"/>
          <w:sz w:val="24"/>
          <w:szCs w:val="24"/>
        </w:rPr>
        <w:t xml:space="preserve"> the </w:t>
      </w:r>
      <w:r>
        <w:rPr>
          <w:rFonts w:ascii="Arial" w:hAnsi="Arial" w:cs="Arial"/>
          <w:sz w:val="24"/>
          <w:szCs w:val="24"/>
        </w:rPr>
        <w:lastRenderedPageBreak/>
        <w:t>genome</w:t>
      </w:r>
      <w:r w:rsidR="00495BF2">
        <w:rPr>
          <w:rFonts w:ascii="Arial" w:hAnsi="Arial" w:cs="Arial"/>
          <w:sz w:val="24"/>
          <w:szCs w:val="24"/>
        </w:rPr>
        <w:t xml:space="preserve">, </w:t>
      </w:r>
      <w:r w:rsidR="007C5C13">
        <w:rPr>
          <w:rFonts w:ascii="Arial" w:hAnsi="Arial" w:cs="Arial"/>
          <w:sz w:val="24"/>
          <w:szCs w:val="24"/>
        </w:rPr>
        <w:t>a</w:t>
      </w:r>
      <w:r w:rsidR="00495BF2">
        <w:rPr>
          <w:rFonts w:ascii="Arial" w:hAnsi="Arial" w:cs="Arial"/>
          <w:sz w:val="24"/>
          <w:szCs w:val="24"/>
        </w:rPr>
        <w:t xml:space="preserve"> complete set of genes</w:t>
      </w:r>
      <w:r w:rsidR="007C5C13">
        <w:rPr>
          <w:rFonts w:ascii="Arial" w:hAnsi="Arial" w:cs="Arial"/>
          <w:sz w:val="24"/>
          <w:szCs w:val="24"/>
        </w:rPr>
        <w:t>,</w:t>
      </w:r>
      <w:r w:rsidR="00495BF2">
        <w:rPr>
          <w:rFonts w:ascii="Arial" w:hAnsi="Arial" w:cs="Arial"/>
          <w:sz w:val="24"/>
          <w:szCs w:val="24"/>
        </w:rPr>
        <w:t xml:space="preserve"> </w:t>
      </w:r>
      <w:r w:rsidR="007C5C13">
        <w:rPr>
          <w:rFonts w:ascii="Arial" w:hAnsi="Arial" w:cs="Arial"/>
          <w:sz w:val="24"/>
          <w:szCs w:val="24"/>
        </w:rPr>
        <w:t xml:space="preserve">gene sequences, </w:t>
      </w:r>
      <w:r w:rsidR="00495BF2">
        <w:rPr>
          <w:rFonts w:ascii="Arial" w:hAnsi="Arial" w:cs="Arial"/>
          <w:sz w:val="24"/>
          <w:szCs w:val="24"/>
        </w:rPr>
        <w:t>or genetic material in a cell or organism,</w:t>
      </w:r>
      <w:r>
        <w:rPr>
          <w:rFonts w:ascii="Arial" w:hAnsi="Arial" w:cs="Arial"/>
          <w:sz w:val="24"/>
          <w:szCs w:val="24"/>
        </w:rPr>
        <w:t xml:space="preserve"> </w:t>
      </w:r>
      <w:r w:rsidR="007C5C13">
        <w:rPr>
          <w:rFonts w:ascii="Arial" w:hAnsi="Arial" w:cs="Arial"/>
          <w:sz w:val="24"/>
          <w:szCs w:val="24"/>
        </w:rPr>
        <w:t>are</w:t>
      </w:r>
      <w:r>
        <w:rPr>
          <w:rFonts w:ascii="Arial" w:hAnsi="Arial" w:cs="Arial"/>
          <w:sz w:val="24"/>
          <w:szCs w:val="24"/>
        </w:rPr>
        <w:t xml:space="preserve"> subject to patent control and</w:t>
      </w:r>
      <w:r w:rsidR="006A0095">
        <w:rPr>
          <w:rFonts w:ascii="Arial" w:hAnsi="Arial" w:cs="Arial"/>
          <w:sz w:val="24"/>
          <w:szCs w:val="24"/>
        </w:rPr>
        <w:t>, if so,</w:t>
      </w:r>
      <w:r>
        <w:rPr>
          <w:rFonts w:ascii="Arial" w:hAnsi="Arial" w:cs="Arial"/>
          <w:sz w:val="24"/>
          <w:szCs w:val="24"/>
        </w:rPr>
        <w:t xml:space="preserve"> how this control will affect future research and the development of new </w:t>
      </w:r>
      <w:r w:rsidR="006A0095">
        <w:rPr>
          <w:rFonts w:ascii="Arial" w:hAnsi="Arial" w:cs="Arial"/>
          <w:sz w:val="24"/>
          <w:szCs w:val="24"/>
        </w:rPr>
        <w:t xml:space="preserve">gene-related </w:t>
      </w:r>
      <w:r>
        <w:rPr>
          <w:rFonts w:ascii="Arial" w:hAnsi="Arial" w:cs="Arial"/>
          <w:sz w:val="24"/>
          <w:szCs w:val="24"/>
        </w:rPr>
        <w:t>products.  The most crucial question for the U.S. Patent and Trade</w:t>
      </w:r>
      <w:r w:rsidR="00495BF2">
        <w:rPr>
          <w:rFonts w:ascii="Arial" w:hAnsi="Arial" w:cs="Arial"/>
          <w:sz w:val="24"/>
          <w:szCs w:val="24"/>
        </w:rPr>
        <w:t>mark</w:t>
      </w:r>
      <w:r>
        <w:rPr>
          <w:rFonts w:ascii="Arial" w:hAnsi="Arial" w:cs="Arial"/>
          <w:sz w:val="24"/>
          <w:szCs w:val="24"/>
        </w:rPr>
        <w:t xml:space="preserve"> Office (PTO) concerns whether the system developed to protect the rights of mech</w:t>
      </w:r>
      <w:r w:rsidR="00495BF2">
        <w:rPr>
          <w:rFonts w:ascii="Arial" w:hAnsi="Arial" w:cs="Arial"/>
          <w:sz w:val="24"/>
          <w:szCs w:val="24"/>
        </w:rPr>
        <w:t>anical inventions is also suitable for determining</w:t>
      </w:r>
      <w:r>
        <w:rPr>
          <w:rFonts w:ascii="Arial" w:hAnsi="Arial" w:cs="Arial"/>
          <w:sz w:val="24"/>
          <w:szCs w:val="24"/>
        </w:rPr>
        <w:t xml:space="preserve"> the rights of competing claimants to the human genome, while respecting the interests of the scientific community and the public.</w:t>
      </w:r>
      <w:r>
        <w:rPr>
          <w:rStyle w:val="FootnoteReference"/>
          <w:rFonts w:ascii="Arial" w:hAnsi="Arial" w:cs="Arial"/>
          <w:sz w:val="24"/>
          <w:szCs w:val="24"/>
        </w:rPr>
        <w:footnoteReference w:id="5"/>
      </w:r>
      <w:r>
        <w:rPr>
          <w:rFonts w:ascii="Arial" w:hAnsi="Arial" w:cs="Arial"/>
          <w:sz w:val="24"/>
          <w:szCs w:val="24"/>
        </w:rPr>
        <w:t xml:space="preserve"> </w:t>
      </w:r>
      <w:r w:rsidR="006F4956">
        <w:rPr>
          <w:rFonts w:ascii="Arial" w:hAnsi="Arial" w:cs="Arial"/>
          <w:sz w:val="24"/>
          <w:szCs w:val="24"/>
        </w:rPr>
        <w:t xml:space="preserve"> This is the question that the Patent O</w:t>
      </w:r>
      <w:r>
        <w:rPr>
          <w:rFonts w:ascii="Arial" w:hAnsi="Arial" w:cs="Arial"/>
          <w:sz w:val="24"/>
          <w:szCs w:val="24"/>
        </w:rPr>
        <w:t>ffice is currently atte</w:t>
      </w:r>
      <w:r w:rsidR="006A0095">
        <w:rPr>
          <w:rFonts w:ascii="Arial" w:hAnsi="Arial" w:cs="Arial"/>
          <w:sz w:val="24"/>
          <w:szCs w:val="24"/>
        </w:rPr>
        <w:t>mpting to answer</w:t>
      </w:r>
      <w:r>
        <w:rPr>
          <w:rFonts w:ascii="Arial" w:hAnsi="Arial" w:cs="Arial"/>
          <w:sz w:val="24"/>
          <w:szCs w:val="24"/>
        </w:rPr>
        <w:t xml:space="preserve">.  </w:t>
      </w:r>
    </w:p>
    <w:p w14:paraId="119912ED"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Traditionally, science has relied upon the free flow of ideas and information for its advance</w:t>
      </w:r>
      <w:r w:rsidR="00CF2391">
        <w:rPr>
          <w:rFonts w:ascii="Arial" w:hAnsi="Arial" w:cs="Arial"/>
          <w:sz w:val="24"/>
          <w:szCs w:val="24"/>
        </w:rPr>
        <w:t>ment</w:t>
      </w:r>
      <w:r>
        <w:rPr>
          <w:rFonts w:ascii="Arial" w:hAnsi="Arial" w:cs="Arial"/>
          <w:sz w:val="24"/>
          <w:szCs w:val="24"/>
        </w:rPr>
        <w:t>.</w:t>
      </w:r>
      <w:r>
        <w:rPr>
          <w:rStyle w:val="FootnoteReference"/>
          <w:rFonts w:ascii="Arial" w:hAnsi="Arial" w:cs="Arial"/>
          <w:sz w:val="24"/>
          <w:szCs w:val="24"/>
        </w:rPr>
        <w:footnoteReference w:id="6"/>
      </w:r>
      <w:r>
        <w:rPr>
          <w:rFonts w:ascii="Arial" w:hAnsi="Arial" w:cs="Arial"/>
          <w:sz w:val="24"/>
          <w:szCs w:val="24"/>
        </w:rPr>
        <w:t xml:space="preserve">  In recent years, this tradition has begun to change as biotech firms, seeking to commercially monopolize and exploit scientific knowledge</w:t>
      </w:r>
      <w:r w:rsidR="00CF2391">
        <w:rPr>
          <w:rFonts w:ascii="Arial" w:hAnsi="Arial" w:cs="Arial"/>
          <w:sz w:val="24"/>
          <w:szCs w:val="24"/>
        </w:rPr>
        <w:t>,</w:t>
      </w:r>
      <w:r>
        <w:rPr>
          <w:rFonts w:ascii="Arial" w:hAnsi="Arial" w:cs="Arial"/>
          <w:sz w:val="24"/>
          <w:szCs w:val="24"/>
        </w:rPr>
        <w:t xml:space="preserve"> have sought patents to stop this free exchange.</w:t>
      </w:r>
      <w:r>
        <w:rPr>
          <w:rStyle w:val="FootnoteReference"/>
          <w:rFonts w:ascii="Arial" w:hAnsi="Arial" w:cs="Arial"/>
          <w:sz w:val="24"/>
          <w:szCs w:val="24"/>
        </w:rPr>
        <w:footnoteReference w:id="7"/>
      </w:r>
      <w:r w:rsidR="00E960C4">
        <w:rPr>
          <w:rFonts w:ascii="Arial" w:hAnsi="Arial" w:cs="Arial"/>
          <w:sz w:val="24"/>
          <w:szCs w:val="24"/>
        </w:rPr>
        <w:t xml:space="preserve">  </w:t>
      </w:r>
      <w:r w:rsidR="007C5C13">
        <w:rPr>
          <w:rFonts w:ascii="Arial" w:hAnsi="Arial" w:cs="Arial"/>
          <w:sz w:val="24"/>
          <w:szCs w:val="24"/>
        </w:rPr>
        <w:t>Some</w:t>
      </w:r>
      <w:r w:rsidR="00C116D4">
        <w:rPr>
          <w:rFonts w:ascii="Arial" w:hAnsi="Arial" w:cs="Arial"/>
          <w:sz w:val="24"/>
          <w:szCs w:val="24"/>
        </w:rPr>
        <w:t xml:space="preserve"> </w:t>
      </w:r>
      <w:r>
        <w:rPr>
          <w:rFonts w:ascii="Arial" w:hAnsi="Arial" w:cs="Arial"/>
          <w:sz w:val="24"/>
          <w:szCs w:val="24"/>
        </w:rPr>
        <w:t xml:space="preserve">biotech corporations </w:t>
      </w:r>
      <w:r w:rsidR="00495BF2">
        <w:rPr>
          <w:rFonts w:ascii="Arial" w:hAnsi="Arial" w:cs="Arial"/>
          <w:sz w:val="24"/>
          <w:szCs w:val="24"/>
        </w:rPr>
        <w:t xml:space="preserve">have </w:t>
      </w:r>
      <w:r w:rsidR="007C5C13">
        <w:rPr>
          <w:rFonts w:ascii="Arial" w:hAnsi="Arial" w:cs="Arial"/>
          <w:sz w:val="24"/>
          <w:szCs w:val="24"/>
        </w:rPr>
        <w:t xml:space="preserve">actually </w:t>
      </w:r>
      <w:r w:rsidR="00495BF2">
        <w:rPr>
          <w:rFonts w:ascii="Arial" w:hAnsi="Arial" w:cs="Arial"/>
          <w:sz w:val="24"/>
          <w:szCs w:val="24"/>
        </w:rPr>
        <w:t>patented</w:t>
      </w:r>
      <w:r>
        <w:rPr>
          <w:rFonts w:ascii="Arial" w:hAnsi="Arial" w:cs="Arial"/>
          <w:sz w:val="24"/>
          <w:szCs w:val="24"/>
        </w:rPr>
        <w:t xml:space="preserve"> genes and gene fragments</w:t>
      </w:r>
      <w:r w:rsidR="00495BF2">
        <w:rPr>
          <w:rFonts w:ascii="Arial" w:hAnsi="Arial" w:cs="Arial"/>
          <w:sz w:val="24"/>
          <w:szCs w:val="24"/>
        </w:rPr>
        <w:t>,</w:t>
      </w:r>
      <w:r>
        <w:rPr>
          <w:rFonts w:ascii="Arial" w:hAnsi="Arial" w:cs="Arial"/>
          <w:sz w:val="24"/>
          <w:szCs w:val="24"/>
        </w:rPr>
        <w:t xml:space="preserve"> while acknowledging tha</w:t>
      </w:r>
      <w:r w:rsidR="00CF2391">
        <w:rPr>
          <w:rFonts w:ascii="Arial" w:hAnsi="Arial" w:cs="Arial"/>
          <w:sz w:val="24"/>
          <w:szCs w:val="24"/>
        </w:rPr>
        <w:t>t DNA itself cannot be patented</w:t>
      </w:r>
      <w:r>
        <w:rPr>
          <w:rFonts w:ascii="Arial" w:hAnsi="Arial" w:cs="Arial"/>
          <w:sz w:val="24"/>
          <w:szCs w:val="24"/>
        </w:rPr>
        <w:t>.</w:t>
      </w:r>
      <w:r>
        <w:rPr>
          <w:rStyle w:val="FootnoteReference"/>
          <w:rFonts w:ascii="Arial" w:hAnsi="Arial" w:cs="Arial"/>
          <w:sz w:val="24"/>
          <w:szCs w:val="24"/>
        </w:rPr>
        <w:footnoteReference w:id="8"/>
      </w:r>
    </w:p>
    <w:p w14:paraId="3877D43B" w14:textId="77777777" w:rsidR="00735F29" w:rsidRDefault="00495BF2">
      <w:pPr>
        <w:widowControl w:val="0"/>
        <w:spacing w:line="480" w:lineRule="atLeast"/>
        <w:ind w:firstLine="720"/>
        <w:rPr>
          <w:rFonts w:ascii="Arial" w:hAnsi="Arial" w:cs="Arial"/>
          <w:sz w:val="24"/>
          <w:szCs w:val="24"/>
        </w:rPr>
      </w:pPr>
      <w:r>
        <w:rPr>
          <w:rFonts w:ascii="Arial" w:hAnsi="Arial" w:cs="Arial"/>
          <w:sz w:val="24"/>
          <w:szCs w:val="24"/>
        </w:rPr>
        <w:t>Despite this</w:t>
      </w:r>
      <w:r w:rsidR="00735F29">
        <w:rPr>
          <w:rFonts w:ascii="Arial" w:hAnsi="Arial" w:cs="Arial"/>
          <w:sz w:val="24"/>
          <w:szCs w:val="24"/>
        </w:rPr>
        <w:t xml:space="preserve"> </w:t>
      </w:r>
      <w:r w:rsidR="00C116D4">
        <w:rPr>
          <w:rFonts w:ascii="Arial" w:hAnsi="Arial" w:cs="Arial"/>
          <w:sz w:val="24"/>
          <w:szCs w:val="24"/>
        </w:rPr>
        <w:t xml:space="preserve">recent, highly visible </w:t>
      </w:r>
      <w:r w:rsidR="00735F29">
        <w:rPr>
          <w:rFonts w:ascii="Arial" w:hAnsi="Arial" w:cs="Arial"/>
          <w:sz w:val="24"/>
          <w:szCs w:val="24"/>
        </w:rPr>
        <w:t>controversy, the issue of patenting DNA sequences is not new.  The PTO has been granting patents on this subject matter for over twenty years.</w:t>
      </w:r>
      <w:r w:rsidR="00735F29">
        <w:rPr>
          <w:rStyle w:val="FootnoteReference"/>
          <w:rFonts w:ascii="Arial" w:hAnsi="Arial" w:cs="Arial"/>
          <w:sz w:val="24"/>
          <w:szCs w:val="24"/>
        </w:rPr>
        <w:footnoteReference w:id="9"/>
      </w:r>
      <w:r w:rsidR="00735F29">
        <w:rPr>
          <w:rFonts w:ascii="Arial" w:hAnsi="Arial" w:cs="Arial"/>
          <w:sz w:val="24"/>
          <w:szCs w:val="24"/>
        </w:rPr>
        <w:t xml:space="preserve">  The discovery of gene sequences, however, and the subsequent rush to patent them</w:t>
      </w:r>
      <w:r w:rsidR="00051BE3">
        <w:rPr>
          <w:rFonts w:ascii="Arial" w:hAnsi="Arial" w:cs="Arial"/>
          <w:sz w:val="24"/>
          <w:szCs w:val="24"/>
        </w:rPr>
        <w:t>,</w:t>
      </w:r>
      <w:r w:rsidR="00735F29">
        <w:rPr>
          <w:rFonts w:ascii="Arial" w:hAnsi="Arial" w:cs="Arial"/>
          <w:sz w:val="24"/>
          <w:szCs w:val="24"/>
        </w:rPr>
        <w:t xml:space="preserve"> have highlighted the inadequacies of patent law.  The expectation exists among claimants that biotechnology patent law has entered a mature phase where the fundamental questions have been answered and all that remains for resolution are tangential issue</w:t>
      </w:r>
      <w:r w:rsidR="00051BE3">
        <w:rPr>
          <w:rFonts w:ascii="Arial" w:hAnsi="Arial" w:cs="Arial"/>
          <w:sz w:val="24"/>
          <w:szCs w:val="24"/>
        </w:rPr>
        <w:t>s.  However</w:t>
      </w:r>
      <w:r w:rsidR="00735F29">
        <w:rPr>
          <w:rFonts w:ascii="Arial" w:hAnsi="Arial" w:cs="Arial"/>
          <w:sz w:val="24"/>
          <w:szCs w:val="24"/>
        </w:rPr>
        <w:t xml:space="preserve">, the PTO and the courts have not resolved the basic legal issues involved in obtaining </w:t>
      </w:r>
      <w:r w:rsidR="00C116D4">
        <w:rPr>
          <w:rFonts w:ascii="Arial" w:hAnsi="Arial" w:cs="Arial"/>
          <w:sz w:val="24"/>
          <w:szCs w:val="24"/>
        </w:rPr>
        <w:t>biotechnology patents</w:t>
      </w:r>
      <w:r w:rsidR="00735F29">
        <w:rPr>
          <w:rFonts w:ascii="Arial" w:hAnsi="Arial" w:cs="Arial"/>
          <w:sz w:val="24"/>
          <w:szCs w:val="24"/>
        </w:rPr>
        <w:t xml:space="preserve">.  The PTO is still struggling to establish ground rules for patenting biotechnology while the patent </w:t>
      </w:r>
      <w:r w:rsidR="00735F29">
        <w:rPr>
          <w:rFonts w:ascii="Arial" w:hAnsi="Arial" w:cs="Arial"/>
          <w:sz w:val="24"/>
          <w:szCs w:val="24"/>
        </w:rPr>
        <w:lastRenderedPageBreak/>
        <w:t>applications accumulate in their office.</w:t>
      </w:r>
      <w:r w:rsidR="00735F29">
        <w:rPr>
          <w:rStyle w:val="FootnoteReference"/>
          <w:rFonts w:ascii="Arial" w:hAnsi="Arial" w:cs="Arial"/>
          <w:sz w:val="24"/>
          <w:szCs w:val="24"/>
        </w:rPr>
        <w:footnoteReference w:id="10"/>
      </w:r>
      <w:r w:rsidR="00735F29">
        <w:rPr>
          <w:rFonts w:ascii="Arial" w:hAnsi="Arial" w:cs="Arial"/>
          <w:sz w:val="24"/>
          <w:szCs w:val="24"/>
        </w:rPr>
        <w:t xml:space="preserve">  </w:t>
      </w:r>
    </w:p>
    <w:p w14:paraId="6815B5DF"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New biotechnologies are redefining the very nature of discovery in the field of genetics.  When </w:t>
      </w:r>
      <w:r w:rsidR="00C116D4">
        <w:rPr>
          <w:rFonts w:ascii="Arial" w:hAnsi="Arial" w:cs="Arial"/>
          <w:sz w:val="24"/>
          <w:szCs w:val="24"/>
        </w:rPr>
        <w:t>these new technologies interact</w:t>
      </w:r>
      <w:r>
        <w:rPr>
          <w:rFonts w:ascii="Arial" w:hAnsi="Arial" w:cs="Arial"/>
          <w:sz w:val="24"/>
          <w:szCs w:val="24"/>
        </w:rPr>
        <w:t xml:space="preserve"> with the PTO, a traditional organization which typically requires years to resolve even routine matters, significant problems and conflicts arise.  Patents were originally</w:t>
      </w:r>
      <w:r w:rsidR="00051BE3">
        <w:rPr>
          <w:rFonts w:ascii="Arial" w:hAnsi="Arial" w:cs="Arial"/>
          <w:sz w:val="24"/>
          <w:szCs w:val="24"/>
        </w:rPr>
        <w:t xml:space="preserve"> granted for inventions like</w:t>
      </w:r>
      <w:r>
        <w:rPr>
          <w:rFonts w:ascii="Arial" w:hAnsi="Arial" w:cs="Arial"/>
          <w:sz w:val="24"/>
          <w:szCs w:val="24"/>
        </w:rPr>
        <w:t xml:space="preserve"> the light bulb or the cotton gin.</w:t>
      </w:r>
      <w:r>
        <w:rPr>
          <w:rStyle w:val="FootnoteReference"/>
          <w:rFonts w:ascii="Arial" w:hAnsi="Arial" w:cs="Arial"/>
          <w:sz w:val="24"/>
          <w:szCs w:val="24"/>
        </w:rPr>
        <w:footnoteReference w:id="11"/>
      </w:r>
      <w:r>
        <w:rPr>
          <w:rFonts w:ascii="Arial" w:hAnsi="Arial" w:cs="Arial"/>
          <w:sz w:val="24"/>
          <w:szCs w:val="24"/>
        </w:rPr>
        <w:t xml:space="preserve">  This all changed in 1980, when the United States Supreme Court held that a life form could be granted a patent.</w:t>
      </w:r>
      <w:r>
        <w:rPr>
          <w:rStyle w:val="FootnoteReference"/>
          <w:rFonts w:ascii="Arial" w:hAnsi="Arial" w:cs="Arial"/>
          <w:sz w:val="24"/>
          <w:szCs w:val="24"/>
        </w:rPr>
        <w:footnoteReference w:id="12"/>
      </w:r>
      <w:r>
        <w:rPr>
          <w:rFonts w:ascii="Arial" w:hAnsi="Arial" w:cs="Arial"/>
          <w:sz w:val="24"/>
          <w:szCs w:val="24"/>
        </w:rPr>
        <w:t xml:space="preserve">  The life form was a genetically altered bacteria that was used to clean</w:t>
      </w:r>
      <w:r w:rsidR="00846983">
        <w:rPr>
          <w:rFonts w:ascii="Arial" w:hAnsi="Arial" w:cs="Arial"/>
          <w:sz w:val="24"/>
          <w:szCs w:val="24"/>
        </w:rPr>
        <w:t xml:space="preserve"> </w:t>
      </w:r>
      <w:r>
        <w:rPr>
          <w:rFonts w:ascii="Arial" w:hAnsi="Arial" w:cs="Arial"/>
          <w:sz w:val="24"/>
          <w:szCs w:val="24"/>
        </w:rPr>
        <w:t>up oil spills.</w:t>
      </w:r>
      <w:r>
        <w:rPr>
          <w:rStyle w:val="FootnoteReference"/>
          <w:rFonts w:ascii="Arial" w:hAnsi="Arial" w:cs="Arial"/>
          <w:sz w:val="24"/>
          <w:szCs w:val="24"/>
        </w:rPr>
        <w:footnoteReference w:id="13"/>
      </w:r>
      <w:r>
        <w:rPr>
          <w:rFonts w:ascii="Arial" w:hAnsi="Arial" w:cs="Arial"/>
          <w:sz w:val="24"/>
          <w:szCs w:val="24"/>
        </w:rPr>
        <w:t xml:space="preserve">  The PTO granted a patent for the cloned genes</w:t>
      </w:r>
      <w:r w:rsidR="00051BE3">
        <w:rPr>
          <w:rFonts w:ascii="Arial" w:hAnsi="Arial" w:cs="Arial"/>
          <w:sz w:val="24"/>
          <w:szCs w:val="24"/>
        </w:rPr>
        <w:t>,</w:t>
      </w:r>
      <w:r>
        <w:rPr>
          <w:rFonts w:ascii="Arial" w:hAnsi="Arial" w:cs="Arial"/>
          <w:sz w:val="24"/>
          <w:szCs w:val="24"/>
        </w:rPr>
        <w:t xml:space="preserve"> which enabled the prod</w:t>
      </w:r>
      <w:r w:rsidR="00051BE3">
        <w:rPr>
          <w:rFonts w:ascii="Arial" w:hAnsi="Arial" w:cs="Arial"/>
          <w:sz w:val="24"/>
          <w:szCs w:val="24"/>
        </w:rPr>
        <w:t>uction of certain proteins that</w:t>
      </w:r>
      <w:r>
        <w:rPr>
          <w:rFonts w:ascii="Arial" w:hAnsi="Arial" w:cs="Arial"/>
          <w:sz w:val="24"/>
          <w:szCs w:val="24"/>
        </w:rPr>
        <w:t xml:space="preserve"> were important to the biological process of the cloned genes.</w:t>
      </w:r>
      <w:r>
        <w:rPr>
          <w:rStyle w:val="FootnoteReference"/>
          <w:rFonts w:ascii="Arial" w:hAnsi="Arial" w:cs="Arial"/>
          <w:sz w:val="24"/>
          <w:szCs w:val="24"/>
        </w:rPr>
        <w:footnoteReference w:id="14"/>
      </w:r>
      <w:r>
        <w:rPr>
          <w:rFonts w:ascii="Arial" w:hAnsi="Arial" w:cs="Arial"/>
          <w:sz w:val="24"/>
          <w:szCs w:val="24"/>
        </w:rPr>
        <w:t xml:space="preserve"> The PTO justified granting exclusive rights over cloned genes which encoded certain proteins by stating that this situation was equivalent to the previously decided</w:t>
      </w:r>
      <w:r w:rsidR="00476368">
        <w:rPr>
          <w:rFonts w:ascii="Arial" w:hAnsi="Arial" w:cs="Arial"/>
          <w:sz w:val="24"/>
          <w:szCs w:val="24"/>
        </w:rPr>
        <w:t xml:space="preserve"> and well-settled situation of</w:t>
      </w:r>
      <w:r>
        <w:rPr>
          <w:rFonts w:ascii="Arial" w:hAnsi="Arial" w:cs="Arial"/>
          <w:sz w:val="24"/>
          <w:szCs w:val="24"/>
        </w:rPr>
        <w:t xml:space="preserve"> </w:t>
      </w:r>
      <w:r w:rsidR="00476368">
        <w:rPr>
          <w:rFonts w:ascii="Arial" w:hAnsi="Arial" w:cs="Arial"/>
          <w:sz w:val="24"/>
          <w:szCs w:val="24"/>
        </w:rPr>
        <w:t xml:space="preserve">a </w:t>
      </w:r>
      <w:r>
        <w:rPr>
          <w:rFonts w:ascii="Arial" w:hAnsi="Arial" w:cs="Arial"/>
          <w:sz w:val="24"/>
          <w:szCs w:val="24"/>
        </w:rPr>
        <w:t xml:space="preserve">pharmaceutical firm which </w:t>
      </w:r>
      <w:r w:rsidR="00476368">
        <w:rPr>
          <w:rFonts w:ascii="Arial" w:hAnsi="Arial" w:cs="Arial"/>
          <w:sz w:val="24"/>
          <w:szCs w:val="24"/>
        </w:rPr>
        <w:t xml:space="preserve">had </w:t>
      </w:r>
      <w:r>
        <w:rPr>
          <w:rFonts w:ascii="Arial" w:hAnsi="Arial" w:cs="Arial"/>
          <w:sz w:val="24"/>
          <w:szCs w:val="24"/>
        </w:rPr>
        <w:t>develop</w:t>
      </w:r>
      <w:r w:rsidR="00476368">
        <w:rPr>
          <w:rFonts w:ascii="Arial" w:hAnsi="Arial" w:cs="Arial"/>
          <w:sz w:val="24"/>
          <w:szCs w:val="24"/>
        </w:rPr>
        <w:t>ed a new chemical compound</w:t>
      </w:r>
      <w:r>
        <w:rPr>
          <w:rFonts w:ascii="Arial" w:hAnsi="Arial" w:cs="Arial"/>
          <w:sz w:val="24"/>
          <w:szCs w:val="24"/>
        </w:rPr>
        <w:t xml:space="preserve"> used in a drug.</w:t>
      </w:r>
      <w:r>
        <w:rPr>
          <w:rStyle w:val="FootnoteReference"/>
          <w:rFonts w:ascii="Arial" w:hAnsi="Arial" w:cs="Arial"/>
          <w:sz w:val="24"/>
          <w:szCs w:val="24"/>
        </w:rPr>
        <w:footnoteReference w:id="15"/>
      </w:r>
      <w:r>
        <w:rPr>
          <w:rFonts w:ascii="Arial" w:hAnsi="Arial" w:cs="Arial"/>
          <w:sz w:val="24"/>
          <w:szCs w:val="24"/>
        </w:rPr>
        <w:t xml:space="preserve">  This allowed DNA sequences to be basically considered equivalent to drug compounds.  The Court of Appeals accordingly followed suit and utilized prior cases involving chemical compounds to resolve new issues concerning ownership of DNA sequences.</w:t>
      </w:r>
      <w:r>
        <w:rPr>
          <w:rStyle w:val="FootnoteReference"/>
          <w:rFonts w:ascii="Arial" w:hAnsi="Arial" w:cs="Arial"/>
          <w:sz w:val="24"/>
          <w:szCs w:val="24"/>
        </w:rPr>
        <w:footnoteReference w:id="16"/>
      </w:r>
      <w:r>
        <w:rPr>
          <w:rFonts w:ascii="Arial" w:hAnsi="Arial" w:cs="Arial"/>
          <w:sz w:val="24"/>
          <w:szCs w:val="24"/>
        </w:rPr>
        <w:t xml:space="preserve">  </w:t>
      </w:r>
    </w:p>
    <w:p w14:paraId="23EF0F12"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As gene research developed further and researchers began to sequence the human genome, they began to view the 1980 Supreme Court decision as a license to patent discoveries of genetic sequences.</w:t>
      </w:r>
      <w:r>
        <w:rPr>
          <w:rStyle w:val="FootnoteReference"/>
          <w:rFonts w:ascii="Arial" w:hAnsi="Arial" w:cs="Arial"/>
          <w:sz w:val="24"/>
          <w:szCs w:val="24"/>
        </w:rPr>
        <w:footnoteReference w:id="17"/>
      </w:r>
      <w:r>
        <w:rPr>
          <w:rFonts w:ascii="Arial" w:hAnsi="Arial" w:cs="Arial"/>
          <w:sz w:val="24"/>
          <w:szCs w:val="24"/>
        </w:rPr>
        <w:t xml:space="preserve">  The first attempt to file for a patent on the genome of a living person occurred in 1993, when the U.S. Secretary of Commerce filed a patent application on the cell line of a 26-year-old </w:t>
      </w:r>
      <w:proofErr w:type="spellStart"/>
      <w:r>
        <w:rPr>
          <w:rFonts w:ascii="Arial" w:hAnsi="Arial" w:cs="Arial"/>
          <w:sz w:val="24"/>
          <w:szCs w:val="24"/>
        </w:rPr>
        <w:t>Guayami</w:t>
      </w:r>
      <w:proofErr w:type="spellEnd"/>
      <w:r>
        <w:rPr>
          <w:rFonts w:ascii="Arial" w:hAnsi="Arial" w:cs="Arial"/>
          <w:sz w:val="24"/>
          <w:szCs w:val="24"/>
        </w:rPr>
        <w:t xml:space="preserve"> Indian woman from </w:t>
      </w:r>
      <w:r>
        <w:rPr>
          <w:rFonts w:ascii="Arial" w:hAnsi="Arial" w:cs="Arial"/>
          <w:sz w:val="24"/>
          <w:szCs w:val="24"/>
        </w:rPr>
        <w:lastRenderedPageBreak/>
        <w:t>Panama.</w:t>
      </w:r>
      <w:r>
        <w:rPr>
          <w:rStyle w:val="FootnoteReference"/>
          <w:rFonts w:ascii="Arial" w:hAnsi="Arial" w:cs="Arial"/>
          <w:sz w:val="24"/>
          <w:szCs w:val="24"/>
        </w:rPr>
        <w:footnoteReference w:id="18"/>
      </w:r>
      <w:r>
        <w:rPr>
          <w:rFonts w:ascii="Arial" w:hAnsi="Arial" w:cs="Arial"/>
          <w:sz w:val="24"/>
          <w:szCs w:val="24"/>
        </w:rPr>
        <w:t xml:space="preserve">  The application stated that the cell line was believed to contain anti-viral properties.</w:t>
      </w:r>
      <w:r>
        <w:rPr>
          <w:rStyle w:val="FootnoteReference"/>
          <w:rFonts w:ascii="Arial" w:hAnsi="Arial" w:cs="Arial"/>
          <w:sz w:val="24"/>
          <w:szCs w:val="24"/>
        </w:rPr>
        <w:footnoteReference w:id="19"/>
      </w:r>
      <w:r>
        <w:rPr>
          <w:rFonts w:ascii="Arial" w:hAnsi="Arial" w:cs="Arial"/>
          <w:sz w:val="24"/>
          <w:szCs w:val="24"/>
        </w:rPr>
        <w:t xml:space="preserve">  Once the </w:t>
      </w:r>
      <w:proofErr w:type="spellStart"/>
      <w:r>
        <w:rPr>
          <w:rFonts w:ascii="Arial" w:hAnsi="Arial" w:cs="Arial"/>
          <w:sz w:val="24"/>
          <w:szCs w:val="24"/>
        </w:rPr>
        <w:t>Guayami</w:t>
      </w:r>
      <w:proofErr w:type="spellEnd"/>
      <w:r>
        <w:rPr>
          <w:rFonts w:ascii="Arial" w:hAnsi="Arial" w:cs="Arial"/>
          <w:sz w:val="24"/>
          <w:szCs w:val="24"/>
        </w:rPr>
        <w:t xml:space="preserve"> tribe learned of the patent application, they demanded its withdrawal and the return of the woman’s cells to the tribe.</w:t>
      </w:r>
      <w:r>
        <w:rPr>
          <w:rStyle w:val="FootnoteReference"/>
          <w:rFonts w:ascii="Arial" w:hAnsi="Arial" w:cs="Arial"/>
          <w:sz w:val="24"/>
          <w:szCs w:val="24"/>
        </w:rPr>
        <w:footnoteReference w:id="20"/>
      </w:r>
      <w:r>
        <w:rPr>
          <w:rFonts w:ascii="Arial" w:hAnsi="Arial" w:cs="Arial"/>
          <w:sz w:val="24"/>
          <w:szCs w:val="24"/>
        </w:rPr>
        <w:t xml:space="preserve">  The tribe argued that the patent violated the integrity of life, their view of nature</w:t>
      </w:r>
      <w:r w:rsidR="003F3B8F">
        <w:rPr>
          <w:rFonts w:ascii="Arial" w:hAnsi="Arial" w:cs="Arial"/>
          <w:sz w:val="24"/>
          <w:szCs w:val="24"/>
        </w:rPr>
        <w:t xml:space="preserve">, </w:t>
      </w:r>
      <w:r>
        <w:rPr>
          <w:rFonts w:ascii="Arial" w:hAnsi="Arial" w:cs="Arial"/>
          <w:sz w:val="24"/>
          <w:szCs w:val="24"/>
        </w:rPr>
        <w:t>and their sense of morality.</w:t>
      </w:r>
      <w:r>
        <w:rPr>
          <w:rStyle w:val="FootnoteReference"/>
          <w:rFonts w:ascii="Arial" w:hAnsi="Arial" w:cs="Arial"/>
          <w:sz w:val="24"/>
          <w:szCs w:val="24"/>
        </w:rPr>
        <w:footnoteReference w:id="21"/>
      </w:r>
      <w:r>
        <w:rPr>
          <w:rFonts w:ascii="Arial" w:hAnsi="Arial" w:cs="Arial"/>
          <w:sz w:val="24"/>
          <w:szCs w:val="24"/>
        </w:rPr>
        <w:t xml:space="preserve">  After a number of world-wide protests, the U.S. government withdrew the application.</w:t>
      </w:r>
      <w:r>
        <w:rPr>
          <w:rStyle w:val="FootnoteReference"/>
          <w:rFonts w:ascii="Arial" w:hAnsi="Arial" w:cs="Arial"/>
          <w:sz w:val="24"/>
          <w:szCs w:val="24"/>
        </w:rPr>
        <w:footnoteReference w:id="22"/>
      </w:r>
      <w:r>
        <w:rPr>
          <w:rFonts w:ascii="Arial" w:hAnsi="Arial" w:cs="Arial"/>
          <w:sz w:val="24"/>
          <w:szCs w:val="24"/>
        </w:rPr>
        <w:t xml:space="preserve"> </w:t>
      </w:r>
    </w:p>
    <w:p w14:paraId="2521DDF6"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As the technology moved from the cloning of DNA sequences to examining the sequence of entire ge</w:t>
      </w:r>
      <w:r w:rsidR="00495BF2">
        <w:rPr>
          <w:rFonts w:ascii="Arial" w:hAnsi="Arial" w:cs="Arial"/>
          <w:sz w:val="24"/>
          <w:szCs w:val="24"/>
        </w:rPr>
        <w:t xml:space="preserve">nomes, new </w:t>
      </w:r>
      <w:r w:rsidR="00051BE3">
        <w:rPr>
          <w:rFonts w:ascii="Arial" w:hAnsi="Arial" w:cs="Arial"/>
          <w:sz w:val="24"/>
          <w:szCs w:val="24"/>
        </w:rPr>
        <w:t>questions</w:t>
      </w:r>
      <w:r w:rsidR="00495BF2">
        <w:rPr>
          <w:rFonts w:ascii="Arial" w:hAnsi="Arial" w:cs="Arial"/>
          <w:sz w:val="24"/>
          <w:szCs w:val="24"/>
        </w:rPr>
        <w:t xml:space="preserve"> arose which</w:t>
      </w:r>
      <w:r>
        <w:rPr>
          <w:rFonts w:ascii="Arial" w:hAnsi="Arial" w:cs="Arial"/>
          <w:sz w:val="24"/>
          <w:szCs w:val="24"/>
        </w:rPr>
        <w:t xml:space="preserve"> made the comparison between genes and drug compounds inappropriate.  This is because the new technology looks less like chemical compounds and more like scientific information.  For the PTO and the courts, therefore, the strained chemical analogy cannot </w:t>
      </w:r>
      <w:proofErr w:type="gramStart"/>
      <w:r>
        <w:rPr>
          <w:rFonts w:ascii="Arial" w:hAnsi="Arial" w:cs="Arial"/>
          <w:sz w:val="24"/>
          <w:szCs w:val="24"/>
        </w:rPr>
        <w:t>adequately resolve</w:t>
      </w:r>
      <w:proofErr w:type="gramEnd"/>
      <w:r>
        <w:rPr>
          <w:rFonts w:ascii="Arial" w:hAnsi="Arial" w:cs="Arial"/>
          <w:sz w:val="24"/>
          <w:szCs w:val="24"/>
        </w:rPr>
        <w:t xml:space="preserve"> these new issues.</w:t>
      </w:r>
      <w:r>
        <w:rPr>
          <w:rStyle w:val="FootnoteReference"/>
          <w:rFonts w:ascii="Arial" w:hAnsi="Arial" w:cs="Arial"/>
          <w:sz w:val="24"/>
          <w:szCs w:val="24"/>
        </w:rPr>
        <w:footnoteReference w:id="23"/>
      </w:r>
      <w:r>
        <w:rPr>
          <w:rFonts w:ascii="Arial" w:hAnsi="Arial" w:cs="Arial"/>
          <w:sz w:val="24"/>
          <w:szCs w:val="24"/>
        </w:rPr>
        <w:t xml:space="preserve">  The result is that the PTO is uncertain </w:t>
      </w:r>
      <w:r w:rsidR="0098104B">
        <w:rPr>
          <w:rFonts w:ascii="Arial" w:hAnsi="Arial" w:cs="Arial"/>
          <w:sz w:val="24"/>
          <w:szCs w:val="24"/>
        </w:rPr>
        <w:t>concerning</w:t>
      </w:r>
      <w:r>
        <w:rPr>
          <w:rFonts w:ascii="Arial" w:hAnsi="Arial" w:cs="Arial"/>
          <w:sz w:val="24"/>
          <w:szCs w:val="24"/>
        </w:rPr>
        <w:t xml:space="preserve"> how to apply current patent law </w:t>
      </w:r>
      <w:r w:rsidR="0098104B">
        <w:rPr>
          <w:rFonts w:ascii="Arial" w:hAnsi="Arial" w:cs="Arial"/>
          <w:sz w:val="24"/>
          <w:szCs w:val="24"/>
        </w:rPr>
        <w:t>to</w:t>
      </w:r>
      <w:r>
        <w:rPr>
          <w:rFonts w:ascii="Arial" w:hAnsi="Arial" w:cs="Arial"/>
          <w:sz w:val="24"/>
          <w:szCs w:val="24"/>
        </w:rPr>
        <w:t xml:space="preserve"> deter</w:t>
      </w:r>
      <w:r w:rsidR="0098104B">
        <w:rPr>
          <w:rFonts w:ascii="Arial" w:hAnsi="Arial" w:cs="Arial"/>
          <w:sz w:val="24"/>
          <w:szCs w:val="24"/>
        </w:rPr>
        <w:t>mine</w:t>
      </w:r>
      <w:r>
        <w:rPr>
          <w:rFonts w:ascii="Arial" w:hAnsi="Arial" w:cs="Arial"/>
          <w:sz w:val="24"/>
          <w:szCs w:val="24"/>
        </w:rPr>
        <w:t xml:space="preserve"> what can be patented and where to draw the line between the rights of inventors and the rights of the public.</w:t>
      </w:r>
      <w:r>
        <w:rPr>
          <w:rStyle w:val="FootnoteReference"/>
          <w:rFonts w:ascii="Arial" w:hAnsi="Arial" w:cs="Arial"/>
          <w:sz w:val="24"/>
          <w:szCs w:val="24"/>
        </w:rPr>
        <w:footnoteReference w:id="24"/>
      </w:r>
    </w:p>
    <w:p w14:paraId="1F4CF797"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The most basic issue facing the PTO is whether human genome sequences are appropriate subject matter for patent protection.  The federal statute states that subject matter that is eligible for patent protection is “any…process, machine, manufacture, or composition of matter.”</w:t>
      </w:r>
      <w:r>
        <w:rPr>
          <w:rStyle w:val="FootnoteReference"/>
          <w:rFonts w:ascii="Arial" w:hAnsi="Arial" w:cs="Arial"/>
          <w:sz w:val="24"/>
          <w:szCs w:val="24"/>
        </w:rPr>
        <w:footnoteReference w:id="25"/>
      </w:r>
      <w:r>
        <w:rPr>
          <w:rFonts w:ascii="Arial" w:hAnsi="Arial" w:cs="Arial"/>
          <w:sz w:val="24"/>
          <w:szCs w:val="24"/>
        </w:rPr>
        <w:t xml:space="preserve">  The Supreme Court has interpreted this language broadly to encompass “anything under the sun that is made by man.”</w:t>
      </w:r>
      <w:r>
        <w:rPr>
          <w:rStyle w:val="FootnoteReference"/>
          <w:rFonts w:ascii="Arial" w:hAnsi="Arial" w:cs="Arial"/>
          <w:sz w:val="24"/>
          <w:szCs w:val="24"/>
        </w:rPr>
        <w:footnoteReference w:id="26"/>
      </w:r>
      <w:r>
        <w:rPr>
          <w:rFonts w:ascii="Arial" w:hAnsi="Arial" w:cs="Arial"/>
          <w:sz w:val="24"/>
          <w:szCs w:val="24"/>
        </w:rPr>
        <w:t xml:space="preserve">  Although some cases have held that “products of nature” are not subject to patent protection, this has not been a problem concerning the patenting of DNA sequences that were developed in the </w:t>
      </w:r>
      <w:r>
        <w:rPr>
          <w:rFonts w:ascii="Arial" w:hAnsi="Arial" w:cs="Arial"/>
          <w:sz w:val="24"/>
          <w:szCs w:val="24"/>
        </w:rPr>
        <w:lastRenderedPageBreak/>
        <w:t>laboratory and are not found in nature.</w:t>
      </w:r>
      <w:r>
        <w:rPr>
          <w:rStyle w:val="FootnoteReference"/>
          <w:rFonts w:ascii="Arial" w:hAnsi="Arial" w:cs="Arial"/>
          <w:sz w:val="24"/>
          <w:szCs w:val="24"/>
        </w:rPr>
        <w:footnoteReference w:id="27"/>
      </w:r>
      <w:r>
        <w:rPr>
          <w:rFonts w:ascii="Arial" w:hAnsi="Arial" w:cs="Arial"/>
          <w:sz w:val="24"/>
          <w:szCs w:val="24"/>
        </w:rPr>
        <w:t xml:space="preserve">  These sequences are referred to as new “compositions of matter.”</w:t>
      </w:r>
      <w:r>
        <w:rPr>
          <w:rStyle w:val="FootnoteReference"/>
          <w:rFonts w:ascii="Arial" w:hAnsi="Arial" w:cs="Arial"/>
          <w:sz w:val="24"/>
          <w:szCs w:val="24"/>
        </w:rPr>
        <w:footnoteReference w:id="28"/>
      </w:r>
      <w:r>
        <w:rPr>
          <w:rFonts w:ascii="Arial" w:hAnsi="Arial" w:cs="Arial"/>
          <w:sz w:val="24"/>
          <w:szCs w:val="24"/>
        </w:rPr>
        <w:t xml:space="preserve">  In these cases, the chemical compound analogy was used to resolve these issues and allow patent protection.  </w:t>
      </w:r>
    </w:p>
    <w:p w14:paraId="66C331CC"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The PTO </w:t>
      </w:r>
      <w:r w:rsidR="00442A4A">
        <w:rPr>
          <w:rFonts w:ascii="Arial" w:hAnsi="Arial" w:cs="Arial"/>
          <w:sz w:val="24"/>
          <w:szCs w:val="24"/>
        </w:rPr>
        <w:t xml:space="preserve">has </w:t>
      </w:r>
      <w:r>
        <w:rPr>
          <w:rFonts w:ascii="Arial" w:hAnsi="Arial" w:cs="Arial"/>
          <w:sz w:val="24"/>
          <w:szCs w:val="24"/>
        </w:rPr>
        <w:t>published guidelines int</w:t>
      </w:r>
      <w:r w:rsidR="00236D82">
        <w:rPr>
          <w:rFonts w:ascii="Arial" w:hAnsi="Arial" w:cs="Arial"/>
          <w:sz w:val="24"/>
          <w:szCs w:val="24"/>
        </w:rPr>
        <w:t>erpret</w:t>
      </w:r>
      <w:r w:rsidR="00442A4A">
        <w:rPr>
          <w:rFonts w:ascii="Arial" w:hAnsi="Arial" w:cs="Arial"/>
          <w:sz w:val="24"/>
          <w:szCs w:val="24"/>
        </w:rPr>
        <w:t>ing</w:t>
      </w:r>
      <w:r w:rsidR="00236D82">
        <w:rPr>
          <w:rFonts w:ascii="Arial" w:hAnsi="Arial" w:cs="Arial"/>
          <w:sz w:val="24"/>
          <w:szCs w:val="24"/>
        </w:rPr>
        <w:t xml:space="preserve"> the statute and specify</w:t>
      </w:r>
      <w:r w:rsidR="00442A4A">
        <w:rPr>
          <w:rFonts w:ascii="Arial" w:hAnsi="Arial" w:cs="Arial"/>
          <w:sz w:val="24"/>
          <w:szCs w:val="24"/>
        </w:rPr>
        <w:t>ing</w:t>
      </w:r>
      <w:r>
        <w:rPr>
          <w:rFonts w:ascii="Arial" w:hAnsi="Arial" w:cs="Arial"/>
          <w:sz w:val="24"/>
          <w:szCs w:val="24"/>
        </w:rPr>
        <w:t xml:space="preserve"> general </w:t>
      </w:r>
      <w:r w:rsidR="00DD0A40">
        <w:rPr>
          <w:rFonts w:ascii="Arial" w:hAnsi="Arial" w:cs="Arial"/>
          <w:sz w:val="24"/>
          <w:szCs w:val="24"/>
        </w:rPr>
        <w:t xml:space="preserve">patentable </w:t>
      </w:r>
      <w:r>
        <w:rPr>
          <w:rFonts w:ascii="Arial" w:hAnsi="Arial" w:cs="Arial"/>
          <w:sz w:val="24"/>
          <w:szCs w:val="24"/>
        </w:rPr>
        <w:t>subject matt</w:t>
      </w:r>
      <w:r w:rsidR="00DD0A40">
        <w:rPr>
          <w:rFonts w:ascii="Arial" w:hAnsi="Arial" w:cs="Arial"/>
          <w:sz w:val="24"/>
          <w:szCs w:val="24"/>
        </w:rPr>
        <w:t>er</w:t>
      </w:r>
      <w:r>
        <w:rPr>
          <w:rFonts w:ascii="Arial" w:hAnsi="Arial" w:cs="Arial"/>
          <w:sz w:val="24"/>
          <w:szCs w:val="24"/>
        </w:rPr>
        <w:t>.</w:t>
      </w:r>
      <w:r>
        <w:rPr>
          <w:rStyle w:val="FootnoteReference"/>
          <w:rFonts w:ascii="Arial" w:hAnsi="Arial" w:cs="Arial"/>
          <w:sz w:val="24"/>
          <w:szCs w:val="24"/>
        </w:rPr>
        <w:footnoteReference w:id="29"/>
      </w:r>
      <w:r>
        <w:rPr>
          <w:rFonts w:ascii="Arial" w:hAnsi="Arial" w:cs="Arial"/>
          <w:sz w:val="24"/>
          <w:szCs w:val="24"/>
        </w:rPr>
        <w:t xml:space="preserve">  According to the guidelines, any person who invents or discovers any new or useful process or improvement </w:t>
      </w:r>
      <w:r w:rsidR="00DD0A40">
        <w:rPr>
          <w:rFonts w:ascii="Arial" w:hAnsi="Arial" w:cs="Arial"/>
          <w:sz w:val="24"/>
          <w:szCs w:val="24"/>
        </w:rPr>
        <w:t xml:space="preserve">of that process </w:t>
      </w:r>
      <w:r>
        <w:rPr>
          <w:rFonts w:ascii="Arial" w:hAnsi="Arial" w:cs="Arial"/>
          <w:sz w:val="24"/>
          <w:szCs w:val="24"/>
        </w:rPr>
        <w:t>can receive a patent.</w:t>
      </w:r>
      <w:r>
        <w:rPr>
          <w:rStyle w:val="FootnoteReference"/>
          <w:rFonts w:ascii="Arial" w:hAnsi="Arial" w:cs="Arial"/>
          <w:sz w:val="24"/>
          <w:szCs w:val="24"/>
        </w:rPr>
        <w:footnoteReference w:id="30"/>
      </w:r>
      <w:r>
        <w:rPr>
          <w:rFonts w:ascii="Arial" w:hAnsi="Arial" w:cs="Arial"/>
          <w:sz w:val="24"/>
          <w:szCs w:val="24"/>
        </w:rPr>
        <w:t xml:space="preserve">  The statute includes within its subject matter chemical compositions, mixtures of ingredients</w:t>
      </w:r>
      <w:r w:rsidR="00DD0A40">
        <w:rPr>
          <w:rFonts w:ascii="Arial" w:hAnsi="Arial" w:cs="Arial"/>
          <w:sz w:val="24"/>
          <w:szCs w:val="24"/>
        </w:rPr>
        <w:t>,</w:t>
      </w:r>
      <w:r>
        <w:rPr>
          <w:rFonts w:ascii="Arial" w:hAnsi="Arial" w:cs="Arial"/>
          <w:sz w:val="24"/>
          <w:szCs w:val="24"/>
        </w:rPr>
        <w:t xml:space="preserve"> and new chemical compounds.</w:t>
      </w:r>
      <w:r>
        <w:rPr>
          <w:rStyle w:val="FootnoteReference"/>
          <w:rFonts w:ascii="Arial" w:hAnsi="Arial" w:cs="Arial"/>
          <w:sz w:val="24"/>
          <w:szCs w:val="24"/>
        </w:rPr>
        <w:footnoteReference w:id="31"/>
      </w:r>
      <w:r>
        <w:rPr>
          <w:rFonts w:ascii="Arial" w:hAnsi="Arial" w:cs="Arial"/>
          <w:sz w:val="24"/>
          <w:szCs w:val="24"/>
        </w:rPr>
        <w:t xml:space="preserve">  The guidelines reiterate that the laws of nature and physical phenomena cannot be patented.</w:t>
      </w:r>
      <w:r>
        <w:rPr>
          <w:rStyle w:val="FootnoteReference"/>
          <w:rFonts w:ascii="Arial" w:hAnsi="Arial" w:cs="Arial"/>
          <w:sz w:val="24"/>
          <w:szCs w:val="24"/>
        </w:rPr>
        <w:footnoteReference w:id="32"/>
      </w:r>
      <w:r>
        <w:rPr>
          <w:rFonts w:ascii="Arial" w:hAnsi="Arial" w:cs="Arial"/>
          <w:sz w:val="24"/>
          <w:szCs w:val="24"/>
        </w:rPr>
        <w:t xml:space="preserve">  </w:t>
      </w:r>
    </w:p>
    <w:p w14:paraId="695A460F" w14:textId="77777777" w:rsidR="00735F29" w:rsidRDefault="00442A4A">
      <w:pPr>
        <w:widowControl w:val="0"/>
        <w:spacing w:line="480" w:lineRule="atLeast"/>
        <w:ind w:firstLine="720"/>
        <w:rPr>
          <w:rFonts w:ascii="Arial" w:hAnsi="Arial" w:cs="Arial"/>
          <w:sz w:val="24"/>
          <w:szCs w:val="24"/>
        </w:rPr>
      </w:pPr>
      <w:r>
        <w:rPr>
          <w:rFonts w:ascii="Arial" w:hAnsi="Arial" w:cs="Arial"/>
          <w:sz w:val="24"/>
          <w:szCs w:val="24"/>
        </w:rPr>
        <w:t>P</w:t>
      </w:r>
      <w:r w:rsidR="00735F29">
        <w:rPr>
          <w:rFonts w:ascii="Arial" w:hAnsi="Arial" w:cs="Arial"/>
          <w:sz w:val="24"/>
          <w:szCs w:val="24"/>
        </w:rPr>
        <w:t>atent attorneys treat the “products of nat</w:t>
      </w:r>
      <w:r w:rsidR="00DD0A40">
        <w:rPr>
          <w:rFonts w:ascii="Arial" w:hAnsi="Arial" w:cs="Arial"/>
          <w:sz w:val="24"/>
          <w:szCs w:val="24"/>
        </w:rPr>
        <w:t>ure” issue as a technical</w:t>
      </w:r>
      <w:r w:rsidR="00735F29">
        <w:rPr>
          <w:rFonts w:ascii="Arial" w:hAnsi="Arial" w:cs="Arial"/>
          <w:sz w:val="24"/>
          <w:szCs w:val="24"/>
        </w:rPr>
        <w:t xml:space="preserve"> drafting problem</w:t>
      </w:r>
      <w:r w:rsidRPr="00442A4A">
        <w:rPr>
          <w:rFonts w:ascii="Arial" w:hAnsi="Arial" w:cs="Arial"/>
          <w:sz w:val="24"/>
          <w:szCs w:val="24"/>
        </w:rPr>
        <w:t xml:space="preserve"> </w:t>
      </w:r>
      <w:r>
        <w:rPr>
          <w:rFonts w:ascii="Arial" w:hAnsi="Arial" w:cs="Arial"/>
          <w:sz w:val="24"/>
          <w:szCs w:val="24"/>
        </w:rPr>
        <w:t>to bypass this issue</w:t>
      </w:r>
      <w:r w:rsidR="00735F29">
        <w:rPr>
          <w:rFonts w:ascii="Arial" w:hAnsi="Arial" w:cs="Arial"/>
          <w:sz w:val="24"/>
          <w:szCs w:val="24"/>
        </w:rPr>
        <w:t>.</w:t>
      </w:r>
      <w:r w:rsidR="00735F29">
        <w:rPr>
          <w:rStyle w:val="FootnoteReference"/>
          <w:rFonts w:ascii="Arial" w:hAnsi="Arial" w:cs="Arial"/>
          <w:sz w:val="24"/>
          <w:szCs w:val="24"/>
        </w:rPr>
        <w:footnoteReference w:id="33"/>
      </w:r>
      <w:r w:rsidR="00735F29">
        <w:rPr>
          <w:rFonts w:ascii="Arial" w:hAnsi="Arial" w:cs="Arial"/>
          <w:sz w:val="24"/>
          <w:szCs w:val="24"/>
        </w:rPr>
        <w:t xml:space="preserve">  </w:t>
      </w:r>
      <w:r>
        <w:rPr>
          <w:rFonts w:ascii="Arial" w:hAnsi="Arial" w:cs="Arial"/>
          <w:sz w:val="24"/>
          <w:szCs w:val="24"/>
        </w:rPr>
        <w:t>They</w:t>
      </w:r>
      <w:r w:rsidR="00735F29">
        <w:rPr>
          <w:rFonts w:ascii="Arial" w:hAnsi="Arial" w:cs="Arial"/>
          <w:sz w:val="24"/>
          <w:szCs w:val="24"/>
        </w:rPr>
        <w:t xml:space="preserve"> argue that only DNA sequences in naturally occ</w:t>
      </w:r>
      <w:r w:rsidR="00DD0A40">
        <w:rPr>
          <w:rFonts w:ascii="Arial" w:hAnsi="Arial" w:cs="Arial"/>
          <w:sz w:val="24"/>
          <w:szCs w:val="24"/>
        </w:rPr>
        <w:t xml:space="preserve">urring form </w:t>
      </w:r>
      <w:r w:rsidR="00735F29">
        <w:rPr>
          <w:rFonts w:ascii="Arial" w:hAnsi="Arial" w:cs="Arial"/>
          <w:sz w:val="24"/>
          <w:szCs w:val="24"/>
        </w:rPr>
        <w:t>cannot be patented</w:t>
      </w:r>
      <w:r w:rsidR="006E53FD">
        <w:rPr>
          <w:rFonts w:ascii="Arial" w:hAnsi="Arial" w:cs="Arial"/>
          <w:sz w:val="24"/>
          <w:szCs w:val="24"/>
        </w:rPr>
        <w:t>, but sequences that were changed by human intervention can be patented</w:t>
      </w:r>
      <w:r w:rsidR="00735F29">
        <w:rPr>
          <w:rFonts w:ascii="Arial" w:hAnsi="Arial" w:cs="Arial"/>
          <w:sz w:val="24"/>
          <w:szCs w:val="24"/>
        </w:rPr>
        <w:t>.</w:t>
      </w:r>
      <w:r w:rsidR="00735F29">
        <w:rPr>
          <w:rStyle w:val="FootnoteReference"/>
          <w:rFonts w:ascii="Arial" w:hAnsi="Arial" w:cs="Arial"/>
          <w:sz w:val="24"/>
          <w:szCs w:val="24"/>
        </w:rPr>
        <w:footnoteReference w:id="34"/>
      </w:r>
      <w:r w:rsidR="00735F29">
        <w:rPr>
          <w:rFonts w:ascii="Arial" w:hAnsi="Arial" w:cs="Arial"/>
          <w:sz w:val="24"/>
          <w:szCs w:val="24"/>
        </w:rPr>
        <w:t xml:space="preserve">  The PTO does not grant patents for broadly drafted claims on DNA sequences, but</w:t>
      </w:r>
      <w:r w:rsidR="00165F44">
        <w:rPr>
          <w:rFonts w:ascii="Arial" w:hAnsi="Arial" w:cs="Arial"/>
          <w:sz w:val="24"/>
          <w:szCs w:val="24"/>
        </w:rPr>
        <w:t xml:space="preserve"> in</w:t>
      </w:r>
      <w:r w:rsidR="00735F29">
        <w:rPr>
          <w:rFonts w:ascii="Arial" w:hAnsi="Arial" w:cs="Arial"/>
          <w:sz w:val="24"/>
          <w:szCs w:val="24"/>
        </w:rPr>
        <w:t xml:space="preserve"> a more narrowly drafted claim, the same DNA sequence can </w:t>
      </w:r>
      <w:r>
        <w:rPr>
          <w:rFonts w:ascii="Arial" w:hAnsi="Arial" w:cs="Arial"/>
          <w:sz w:val="24"/>
          <w:szCs w:val="24"/>
        </w:rPr>
        <w:t>receive</w:t>
      </w:r>
      <w:r w:rsidR="00735F29">
        <w:rPr>
          <w:rFonts w:ascii="Arial" w:hAnsi="Arial" w:cs="Arial"/>
          <w:sz w:val="24"/>
          <w:szCs w:val="24"/>
        </w:rPr>
        <w:t xml:space="preserve"> a patent if the PTO </w:t>
      </w:r>
      <w:r w:rsidR="00C84028">
        <w:rPr>
          <w:rFonts w:ascii="Arial" w:hAnsi="Arial" w:cs="Arial"/>
          <w:sz w:val="24"/>
          <w:szCs w:val="24"/>
        </w:rPr>
        <w:t xml:space="preserve">can be convinced that potential </w:t>
      </w:r>
      <w:r w:rsidR="00735F29">
        <w:rPr>
          <w:rFonts w:ascii="Arial" w:hAnsi="Arial" w:cs="Arial"/>
          <w:sz w:val="24"/>
          <w:szCs w:val="24"/>
        </w:rPr>
        <w:t xml:space="preserve">infringers would have to intervene in the </w:t>
      </w:r>
      <w:r w:rsidR="00C84028">
        <w:rPr>
          <w:rFonts w:ascii="Arial" w:hAnsi="Arial" w:cs="Arial"/>
          <w:sz w:val="24"/>
          <w:szCs w:val="24"/>
        </w:rPr>
        <w:t xml:space="preserve">patented </w:t>
      </w:r>
      <w:r w:rsidR="00735F29">
        <w:rPr>
          <w:rFonts w:ascii="Arial" w:hAnsi="Arial" w:cs="Arial"/>
          <w:sz w:val="24"/>
          <w:szCs w:val="24"/>
        </w:rPr>
        <w:t>sequence using biotechnology</w:t>
      </w:r>
      <w:r>
        <w:rPr>
          <w:rFonts w:ascii="Arial" w:hAnsi="Arial" w:cs="Arial"/>
          <w:sz w:val="24"/>
          <w:szCs w:val="24"/>
        </w:rPr>
        <w:t xml:space="preserve"> in order to use it</w:t>
      </w:r>
      <w:r w:rsidR="00735F29">
        <w:rPr>
          <w:rFonts w:ascii="Arial" w:hAnsi="Arial" w:cs="Arial"/>
          <w:sz w:val="24"/>
          <w:szCs w:val="24"/>
        </w:rPr>
        <w:t>.</w:t>
      </w:r>
      <w:r w:rsidR="00735F29">
        <w:rPr>
          <w:rStyle w:val="FootnoteReference"/>
          <w:rFonts w:ascii="Arial" w:hAnsi="Arial" w:cs="Arial"/>
          <w:sz w:val="24"/>
          <w:szCs w:val="24"/>
        </w:rPr>
        <w:footnoteReference w:id="35"/>
      </w:r>
      <w:r w:rsidR="00735F29">
        <w:rPr>
          <w:rFonts w:ascii="Arial" w:hAnsi="Arial" w:cs="Arial"/>
          <w:sz w:val="24"/>
          <w:szCs w:val="24"/>
        </w:rPr>
        <w:t xml:space="preserve">  Isolated and purified DNA sequences and spliced DNA sequences that have been placed into recombinant cells are two examples of patented sequences that do not occur in nature.</w:t>
      </w:r>
      <w:r w:rsidR="00735F29">
        <w:rPr>
          <w:rStyle w:val="FootnoteReference"/>
          <w:rFonts w:ascii="Arial" w:hAnsi="Arial" w:cs="Arial"/>
          <w:sz w:val="24"/>
          <w:szCs w:val="24"/>
        </w:rPr>
        <w:footnoteReference w:id="36"/>
      </w:r>
      <w:r w:rsidR="00735F29">
        <w:rPr>
          <w:rFonts w:ascii="Arial" w:hAnsi="Arial" w:cs="Arial"/>
          <w:sz w:val="24"/>
          <w:szCs w:val="24"/>
        </w:rPr>
        <w:t xml:space="preserve">  This type of reasoning by analogy followed PTO’s long-standing practice of allowing patents on purified chemical compounds that are only found in </w:t>
      </w:r>
      <w:r w:rsidR="00735F29">
        <w:rPr>
          <w:rFonts w:ascii="Arial" w:hAnsi="Arial" w:cs="Arial"/>
          <w:sz w:val="24"/>
          <w:szCs w:val="24"/>
        </w:rPr>
        <w:lastRenderedPageBreak/>
        <w:t>nature in impure form.</w:t>
      </w:r>
      <w:r w:rsidR="00735F29">
        <w:rPr>
          <w:rStyle w:val="FootnoteReference"/>
          <w:rFonts w:ascii="Arial" w:hAnsi="Arial" w:cs="Arial"/>
          <w:sz w:val="24"/>
          <w:szCs w:val="24"/>
        </w:rPr>
        <w:footnoteReference w:id="37"/>
      </w:r>
      <w:r w:rsidR="00735F29">
        <w:rPr>
          <w:rFonts w:ascii="Arial" w:hAnsi="Arial" w:cs="Arial"/>
          <w:sz w:val="24"/>
          <w:szCs w:val="24"/>
        </w:rPr>
        <w:t xml:space="preserve">  </w:t>
      </w:r>
      <w:r w:rsidR="00165F44">
        <w:rPr>
          <w:rFonts w:ascii="Arial" w:hAnsi="Arial" w:cs="Arial"/>
          <w:sz w:val="24"/>
          <w:szCs w:val="24"/>
        </w:rPr>
        <w:t>The PTO applied t</w:t>
      </w:r>
      <w:r w:rsidR="00735F29">
        <w:rPr>
          <w:rFonts w:ascii="Arial" w:hAnsi="Arial" w:cs="Arial"/>
          <w:sz w:val="24"/>
          <w:szCs w:val="24"/>
        </w:rPr>
        <w:t xml:space="preserve">his analogy </w:t>
      </w:r>
      <w:r w:rsidR="00165F44">
        <w:rPr>
          <w:rFonts w:ascii="Arial" w:hAnsi="Arial" w:cs="Arial"/>
          <w:sz w:val="24"/>
          <w:szCs w:val="24"/>
        </w:rPr>
        <w:t>to</w:t>
      </w:r>
      <w:r w:rsidR="00735F29">
        <w:rPr>
          <w:rFonts w:ascii="Arial" w:hAnsi="Arial" w:cs="Arial"/>
          <w:sz w:val="24"/>
          <w:szCs w:val="24"/>
        </w:rPr>
        <w:t xml:space="preserve"> rationaliz</w:t>
      </w:r>
      <w:r w:rsidR="00165F44">
        <w:rPr>
          <w:rFonts w:ascii="Arial" w:hAnsi="Arial" w:cs="Arial"/>
          <w:sz w:val="24"/>
          <w:szCs w:val="24"/>
        </w:rPr>
        <w:t>e</w:t>
      </w:r>
      <w:r w:rsidR="00735F29">
        <w:rPr>
          <w:rFonts w:ascii="Arial" w:hAnsi="Arial" w:cs="Arial"/>
          <w:sz w:val="24"/>
          <w:szCs w:val="24"/>
        </w:rPr>
        <w:t xml:space="preserve"> t</w:t>
      </w:r>
      <w:r w:rsidR="00165F44">
        <w:rPr>
          <w:rFonts w:ascii="Arial" w:hAnsi="Arial" w:cs="Arial"/>
          <w:sz w:val="24"/>
          <w:szCs w:val="24"/>
        </w:rPr>
        <w:t>he granting of</w:t>
      </w:r>
      <w:r w:rsidR="00735F29">
        <w:rPr>
          <w:rFonts w:ascii="Arial" w:hAnsi="Arial" w:cs="Arial"/>
          <w:sz w:val="24"/>
          <w:szCs w:val="24"/>
        </w:rPr>
        <w:t xml:space="preserve"> patents on DNA sequences</w:t>
      </w:r>
      <w:r w:rsidR="00846983">
        <w:rPr>
          <w:rFonts w:ascii="Arial" w:hAnsi="Arial" w:cs="Arial"/>
          <w:sz w:val="24"/>
          <w:szCs w:val="24"/>
        </w:rPr>
        <w:t xml:space="preserve"> only when human intervention</w:t>
      </w:r>
      <w:r w:rsidR="00735F29">
        <w:rPr>
          <w:rFonts w:ascii="Arial" w:hAnsi="Arial" w:cs="Arial"/>
          <w:sz w:val="24"/>
          <w:szCs w:val="24"/>
        </w:rPr>
        <w:t xml:space="preserve"> occurred.  Human manipulations of nature were allowed patents, but naturally</w:t>
      </w:r>
      <w:r w:rsidR="00C84028">
        <w:rPr>
          <w:rFonts w:ascii="Arial" w:hAnsi="Arial" w:cs="Arial"/>
          <w:sz w:val="24"/>
          <w:szCs w:val="24"/>
        </w:rPr>
        <w:t xml:space="preserve"> </w:t>
      </w:r>
      <w:r w:rsidR="00735F29">
        <w:rPr>
          <w:rFonts w:ascii="Arial" w:hAnsi="Arial" w:cs="Arial"/>
          <w:sz w:val="24"/>
          <w:szCs w:val="24"/>
        </w:rPr>
        <w:t>occurring products, such as DNA that resides in human cells, wer</w:t>
      </w:r>
      <w:r w:rsidR="00C84028">
        <w:rPr>
          <w:rFonts w:ascii="Arial" w:hAnsi="Arial" w:cs="Arial"/>
          <w:sz w:val="24"/>
          <w:szCs w:val="24"/>
        </w:rPr>
        <w:t>e not.  The issue of patenting</w:t>
      </w:r>
      <w:r w:rsidR="00735F29">
        <w:rPr>
          <w:rFonts w:ascii="Arial" w:hAnsi="Arial" w:cs="Arial"/>
          <w:sz w:val="24"/>
          <w:szCs w:val="24"/>
        </w:rPr>
        <w:t xml:space="preserve"> DNA sequences</w:t>
      </w:r>
      <w:r w:rsidR="00AC28D0">
        <w:rPr>
          <w:rFonts w:ascii="Arial" w:hAnsi="Arial" w:cs="Arial"/>
          <w:sz w:val="24"/>
          <w:szCs w:val="24"/>
        </w:rPr>
        <w:t xml:space="preserve"> that only came </w:t>
      </w:r>
      <w:r w:rsidR="00735F29">
        <w:rPr>
          <w:rFonts w:ascii="Arial" w:hAnsi="Arial" w:cs="Arial"/>
          <w:sz w:val="24"/>
          <w:szCs w:val="24"/>
        </w:rPr>
        <w:t xml:space="preserve">into existence because of human intervention </w:t>
      </w:r>
      <w:r w:rsidR="00165F44">
        <w:rPr>
          <w:rFonts w:ascii="Arial" w:hAnsi="Arial" w:cs="Arial"/>
          <w:sz w:val="24"/>
          <w:szCs w:val="24"/>
        </w:rPr>
        <w:t>was considered</w:t>
      </w:r>
      <w:r w:rsidR="00735F29">
        <w:rPr>
          <w:rFonts w:ascii="Arial" w:hAnsi="Arial" w:cs="Arial"/>
          <w:sz w:val="24"/>
          <w:szCs w:val="24"/>
        </w:rPr>
        <w:t xml:space="preserve"> </w:t>
      </w:r>
      <w:r w:rsidR="00C84028">
        <w:rPr>
          <w:rFonts w:ascii="Arial" w:hAnsi="Arial" w:cs="Arial"/>
          <w:sz w:val="24"/>
          <w:szCs w:val="24"/>
        </w:rPr>
        <w:t xml:space="preserve">a legally </w:t>
      </w:r>
      <w:r w:rsidR="00735F29">
        <w:rPr>
          <w:rFonts w:ascii="Arial" w:hAnsi="Arial" w:cs="Arial"/>
          <w:sz w:val="24"/>
          <w:szCs w:val="24"/>
        </w:rPr>
        <w:t>settled question.</w:t>
      </w:r>
      <w:r w:rsidR="00735F29">
        <w:rPr>
          <w:rStyle w:val="FootnoteReference"/>
          <w:rFonts w:ascii="Arial" w:hAnsi="Arial" w:cs="Arial"/>
          <w:sz w:val="24"/>
          <w:szCs w:val="24"/>
        </w:rPr>
        <w:footnoteReference w:id="38"/>
      </w:r>
    </w:p>
    <w:p w14:paraId="473E9D51" w14:textId="77777777" w:rsidR="00A27F75" w:rsidRDefault="00735F29">
      <w:pPr>
        <w:widowControl w:val="0"/>
        <w:spacing w:line="480" w:lineRule="atLeast"/>
        <w:ind w:firstLine="720"/>
        <w:rPr>
          <w:rFonts w:ascii="Arial" w:hAnsi="Arial" w:cs="Arial"/>
          <w:sz w:val="24"/>
          <w:szCs w:val="24"/>
        </w:rPr>
      </w:pPr>
      <w:r>
        <w:rPr>
          <w:rFonts w:ascii="Arial" w:hAnsi="Arial" w:cs="Arial"/>
          <w:sz w:val="24"/>
          <w:szCs w:val="24"/>
        </w:rPr>
        <w:t>The latest controversy ar</w:t>
      </w:r>
      <w:r w:rsidR="00165F44">
        <w:rPr>
          <w:rFonts w:ascii="Arial" w:hAnsi="Arial" w:cs="Arial"/>
          <w:sz w:val="24"/>
          <w:szCs w:val="24"/>
        </w:rPr>
        <w:t>ose</w:t>
      </w:r>
      <w:r>
        <w:rPr>
          <w:rFonts w:ascii="Arial" w:hAnsi="Arial" w:cs="Arial"/>
          <w:sz w:val="24"/>
          <w:szCs w:val="24"/>
        </w:rPr>
        <w:t xml:space="preserve"> because DNA contains not only a molec</w:t>
      </w:r>
      <w:r w:rsidR="00A13702">
        <w:rPr>
          <w:rFonts w:ascii="Arial" w:hAnsi="Arial" w:cs="Arial"/>
          <w:sz w:val="24"/>
          <w:szCs w:val="24"/>
        </w:rPr>
        <w:t>ular structure, but information</w:t>
      </w:r>
      <w:r>
        <w:rPr>
          <w:rFonts w:ascii="Arial" w:hAnsi="Arial" w:cs="Arial"/>
          <w:sz w:val="24"/>
          <w:szCs w:val="24"/>
        </w:rPr>
        <w:t xml:space="preserve"> that the biotechnology corporations are attempting to control in order to make huge profits.  Knowledge of the DNA sequence of a genome is very valuable information </w:t>
      </w:r>
      <w:r w:rsidR="00165F44">
        <w:rPr>
          <w:rFonts w:ascii="Arial" w:hAnsi="Arial" w:cs="Arial"/>
          <w:sz w:val="24"/>
          <w:szCs w:val="24"/>
        </w:rPr>
        <w:t>because it</w:t>
      </w:r>
      <w:r>
        <w:rPr>
          <w:rFonts w:ascii="Arial" w:hAnsi="Arial" w:cs="Arial"/>
          <w:sz w:val="24"/>
          <w:szCs w:val="24"/>
        </w:rPr>
        <w:t xml:space="preserve"> can lead to further discoveries</w:t>
      </w:r>
      <w:r w:rsidR="00846983">
        <w:rPr>
          <w:rFonts w:ascii="Arial" w:hAnsi="Arial" w:cs="Arial"/>
          <w:sz w:val="24"/>
          <w:szCs w:val="24"/>
        </w:rPr>
        <w:t xml:space="preserve"> and development of new products</w:t>
      </w:r>
      <w:r w:rsidR="00165F44">
        <w:rPr>
          <w:rFonts w:ascii="Arial" w:hAnsi="Arial" w:cs="Arial"/>
          <w:sz w:val="24"/>
          <w:szCs w:val="24"/>
        </w:rPr>
        <w:t>.  V</w:t>
      </w:r>
      <w:r>
        <w:rPr>
          <w:rFonts w:ascii="Arial" w:hAnsi="Arial" w:cs="Arial"/>
          <w:sz w:val="24"/>
          <w:szCs w:val="24"/>
        </w:rPr>
        <w:t>arious individuals and entities</w:t>
      </w:r>
      <w:r w:rsidR="00165F44">
        <w:rPr>
          <w:rFonts w:ascii="Arial" w:hAnsi="Arial" w:cs="Arial"/>
          <w:sz w:val="24"/>
          <w:szCs w:val="24"/>
        </w:rPr>
        <w:t>,</w:t>
      </w:r>
      <w:r w:rsidR="00A27F75">
        <w:rPr>
          <w:rFonts w:ascii="Arial" w:hAnsi="Arial" w:cs="Arial"/>
          <w:sz w:val="24"/>
          <w:szCs w:val="24"/>
        </w:rPr>
        <w:t xml:space="preserve"> </w:t>
      </w:r>
      <w:r w:rsidR="00165F44">
        <w:rPr>
          <w:rFonts w:ascii="Arial" w:hAnsi="Arial" w:cs="Arial"/>
          <w:sz w:val="24"/>
          <w:szCs w:val="24"/>
        </w:rPr>
        <w:t>therefore</w:t>
      </w:r>
      <w:r w:rsidR="00A27F75">
        <w:rPr>
          <w:rFonts w:ascii="Arial" w:hAnsi="Arial" w:cs="Arial"/>
          <w:sz w:val="24"/>
          <w:szCs w:val="24"/>
        </w:rPr>
        <w:t>,</w:t>
      </w:r>
      <w:r>
        <w:rPr>
          <w:rFonts w:ascii="Arial" w:hAnsi="Arial" w:cs="Arial"/>
          <w:sz w:val="24"/>
          <w:szCs w:val="24"/>
        </w:rPr>
        <w:t xml:space="preserve"> have at</w:t>
      </w:r>
      <w:r w:rsidR="00846983">
        <w:rPr>
          <w:rFonts w:ascii="Arial" w:hAnsi="Arial" w:cs="Arial"/>
          <w:sz w:val="24"/>
          <w:szCs w:val="24"/>
        </w:rPr>
        <w:t xml:space="preserve">tempted to control access to </w:t>
      </w:r>
      <w:r>
        <w:rPr>
          <w:rFonts w:ascii="Arial" w:hAnsi="Arial" w:cs="Arial"/>
          <w:sz w:val="24"/>
          <w:szCs w:val="24"/>
        </w:rPr>
        <w:t>th</w:t>
      </w:r>
      <w:r w:rsidR="00165F44">
        <w:rPr>
          <w:rFonts w:ascii="Arial" w:hAnsi="Arial" w:cs="Arial"/>
          <w:sz w:val="24"/>
          <w:szCs w:val="24"/>
        </w:rPr>
        <w:t>is</w:t>
      </w:r>
      <w:r>
        <w:rPr>
          <w:rFonts w:ascii="Arial" w:hAnsi="Arial" w:cs="Arial"/>
          <w:sz w:val="24"/>
          <w:szCs w:val="24"/>
        </w:rPr>
        <w:t xml:space="preserve"> D</w:t>
      </w:r>
      <w:r w:rsidR="00846983">
        <w:rPr>
          <w:rFonts w:ascii="Arial" w:hAnsi="Arial" w:cs="Arial"/>
          <w:sz w:val="24"/>
          <w:szCs w:val="24"/>
        </w:rPr>
        <w:t>NA informatio</w:t>
      </w:r>
      <w:r w:rsidR="00321E64">
        <w:rPr>
          <w:rFonts w:ascii="Arial" w:hAnsi="Arial" w:cs="Arial"/>
          <w:sz w:val="24"/>
          <w:szCs w:val="24"/>
        </w:rPr>
        <w:t>n</w:t>
      </w:r>
      <w:r w:rsidR="00846983">
        <w:rPr>
          <w:rFonts w:ascii="Arial" w:hAnsi="Arial" w:cs="Arial"/>
          <w:sz w:val="24"/>
          <w:szCs w:val="24"/>
        </w:rPr>
        <w:t xml:space="preserve"> by obtaining</w:t>
      </w:r>
      <w:r>
        <w:rPr>
          <w:rFonts w:ascii="Arial" w:hAnsi="Arial" w:cs="Arial"/>
          <w:sz w:val="24"/>
          <w:szCs w:val="24"/>
        </w:rPr>
        <w:t xml:space="preserve"> patents.</w:t>
      </w:r>
      <w:r>
        <w:rPr>
          <w:rStyle w:val="FootnoteReference"/>
          <w:rFonts w:ascii="Arial" w:hAnsi="Arial" w:cs="Arial"/>
          <w:sz w:val="24"/>
          <w:szCs w:val="24"/>
        </w:rPr>
        <w:footnoteReference w:id="39"/>
      </w:r>
      <w:r>
        <w:rPr>
          <w:rFonts w:ascii="Arial" w:hAnsi="Arial" w:cs="Arial"/>
          <w:sz w:val="24"/>
          <w:szCs w:val="24"/>
        </w:rPr>
        <w:t xml:space="preserve">  </w:t>
      </w:r>
    </w:p>
    <w:p w14:paraId="48260D88"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One </w:t>
      </w:r>
      <w:r w:rsidR="00A27F75">
        <w:rPr>
          <w:rFonts w:ascii="Arial" w:hAnsi="Arial" w:cs="Arial"/>
          <w:sz w:val="24"/>
          <w:szCs w:val="24"/>
        </w:rPr>
        <w:t xml:space="preserve">initial </w:t>
      </w:r>
      <w:r>
        <w:rPr>
          <w:rFonts w:ascii="Arial" w:hAnsi="Arial" w:cs="Arial"/>
          <w:sz w:val="24"/>
          <w:szCs w:val="24"/>
        </w:rPr>
        <w:t>problem that the patent claimants face</w:t>
      </w:r>
      <w:r w:rsidR="00321E64">
        <w:rPr>
          <w:rFonts w:ascii="Arial" w:hAnsi="Arial" w:cs="Arial"/>
          <w:sz w:val="24"/>
          <w:szCs w:val="24"/>
        </w:rPr>
        <w:t>, however,</w:t>
      </w:r>
      <w:r>
        <w:rPr>
          <w:rFonts w:ascii="Arial" w:hAnsi="Arial" w:cs="Arial"/>
          <w:sz w:val="24"/>
          <w:szCs w:val="24"/>
        </w:rPr>
        <w:t xml:space="preserve"> </w:t>
      </w:r>
      <w:r w:rsidR="006E53FD">
        <w:rPr>
          <w:rFonts w:ascii="Arial" w:hAnsi="Arial" w:cs="Arial"/>
          <w:sz w:val="24"/>
          <w:szCs w:val="24"/>
        </w:rPr>
        <w:t xml:space="preserve">is </w:t>
      </w:r>
      <w:r>
        <w:rPr>
          <w:rFonts w:ascii="Arial" w:hAnsi="Arial" w:cs="Arial"/>
          <w:sz w:val="24"/>
          <w:szCs w:val="24"/>
        </w:rPr>
        <w:t>that the subject matter of the patent statutes is traditionally limited to tangi</w:t>
      </w:r>
      <w:r w:rsidR="006E53FD">
        <w:rPr>
          <w:rFonts w:ascii="Arial" w:hAnsi="Arial" w:cs="Arial"/>
          <w:sz w:val="24"/>
          <w:szCs w:val="24"/>
        </w:rPr>
        <w:t>ble things, such as products or</w:t>
      </w:r>
      <w:r>
        <w:rPr>
          <w:rFonts w:ascii="Arial" w:hAnsi="Arial" w:cs="Arial"/>
          <w:sz w:val="24"/>
          <w:szCs w:val="24"/>
        </w:rPr>
        <w:t xml:space="preserve"> processes</w:t>
      </w:r>
      <w:r w:rsidR="00A27F75">
        <w:rPr>
          <w:rFonts w:ascii="Arial" w:hAnsi="Arial" w:cs="Arial"/>
          <w:sz w:val="24"/>
          <w:szCs w:val="24"/>
        </w:rPr>
        <w:t>.  I</w:t>
      </w:r>
      <w:r>
        <w:rPr>
          <w:rFonts w:ascii="Arial" w:hAnsi="Arial" w:cs="Arial"/>
          <w:sz w:val="24"/>
          <w:szCs w:val="24"/>
        </w:rPr>
        <w:t>nformation about nature</w:t>
      </w:r>
      <w:r w:rsidR="00321E64">
        <w:rPr>
          <w:rFonts w:ascii="Arial" w:hAnsi="Arial" w:cs="Arial"/>
          <w:sz w:val="24"/>
          <w:szCs w:val="24"/>
        </w:rPr>
        <w:t xml:space="preserve"> is not afforded patent protection</w:t>
      </w:r>
      <w:r>
        <w:rPr>
          <w:rFonts w:ascii="Arial" w:hAnsi="Arial" w:cs="Arial"/>
          <w:sz w:val="24"/>
          <w:szCs w:val="24"/>
        </w:rPr>
        <w:t>.</w:t>
      </w:r>
      <w:r>
        <w:rPr>
          <w:rStyle w:val="FootnoteReference"/>
          <w:rFonts w:ascii="Arial" w:hAnsi="Arial" w:cs="Arial"/>
          <w:sz w:val="24"/>
          <w:szCs w:val="24"/>
        </w:rPr>
        <w:footnoteReference w:id="40"/>
      </w:r>
      <w:r>
        <w:rPr>
          <w:rFonts w:ascii="Arial" w:hAnsi="Arial" w:cs="Arial"/>
          <w:sz w:val="24"/>
          <w:szCs w:val="24"/>
        </w:rPr>
        <w:t xml:space="preserve">  Despite finding the word “tangible” in cases defining the boundaries of patent law, neither the statutory language nor case law has explicitly excluded information from patent protection.</w:t>
      </w:r>
      <w:r>
        <w:rPr>
          <w:rStyle w:val="FootnoteReference"/>
          <w:rFonts w:ascii="Arial" w:hAnsi="Arial" w:cs="Arial"/>
          <w:sz w:val="24"/>
          <w:szCs w:val="24"/>
        </w:rPr>
        <w:footnoteReference w:id="41"/>
      </w:r>
      <w:r>
        <w:rPr>
          <w:rFonts w:ascii="Arial" w:hAnsi="Arial" w:cs="Arial"/>
          <w:sz w:val="24"/>
          <w:szCs w:val="24"/>
        </w:rPr>
        <w:t xml:space="preserve">  In cases that have denied patent protection to printed matter,</w:t>
      </w:r>
      <w:r w:rsidR="006E53FD">
        <w:rPr>
          <w:rFonts w:ascii="Arial" w:hAnsi="Arial" w:cs="Arial"/>
          <w:sz w:val="24"/>
          <w:szCs w:val="24"/>
        </w:rPr>
        <w:t xml:space="preserve"> the implication is that</w:t>
      </w:r>
      <w:r>
        <w:rPr>
          <w:rFonts w:ascii="Arial" w:hAnsi="Arial" w:cs="Arial"/>
          <w:sz w:val="24"/>
          <w:szCs w:val="24"/>
        </w:rPr>
        <w:t xml:space="preserve"> information cannot be granted patent protection.</w:t>
      </w:r>
      <w:r>
        <w:rPr>
          <w:rStyle w:val="FootnoteReference"/>
          <w:rFonts w:ascii="Arial" w:hAnsi="Arial" w:cs="Arial"/>
          <w:sz w:val="24"/>
          <w:szCs w:val="24"/>
        </w:rPr>
        <w:footnoteReference w:id="42"/>
      </w:r>
      <w:r>
        <w:rPr>
          <w:rFonts w:ascii="Arial" w:hAnsi="Arial" w:cs="Arial"/>
          <w:sz w:val="24"/>
          <w:szCs w:val="24"/>
        </w:rPr>
        <w:t xml:space="preserve">  </w:t>
      </w:r>
    </w:p>
    <w:p w14:paraId="76E203D4"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lastRenderedPageBreak/>
        <w:t>The exclusion of information from patent protection can also be inferred from the statutory requirement for inventors to fully disclose all information concerning their inventions once the patents have been issued.</w:t>
      </w:r>
      <w:r>
        <w:rPr>
          <w:rStyle w:val="FootnoteReference"/>
          <w:rFonts w:ascii="Arial" w:hAnsi="Arial" w:cs="Arial"/>
          <w:sz w:val="24"/>
          <w:szCs w:val="24"/>
        </w:rPr>
        <w:footnoteReference w:id="43"/>
      </w:r>
      <w:r>
        <w:rPr>
          <w:rFonts w:ascii="Arial" w:hAnsi="Arial" w:cs="Arial"/>
          <w:sz w:val="24"/>
          <w:szCs w:val="24"/>
        </w:rPr>
        <w:t xml:space="preserve">  The statute also requires full public access to this information without restriction.</w:t>
      </w:r>
      <w:r>
        <w:rPr>
          <w:rStyle w:val="FootnoteReference"/>
          <w:rFonts w:ascii="Arial" w:hAnsi="Arial" w:cs="Arial"/>
          <w:sz w:val="24"/>
          <w:szCs w:val="24"/>
        </w:rPr>
        <w:footnoteReference w:id="44"/>
      </w:r>
      <w:r>
        <w:rPr>
          <w:rFonts w:ascii="Arial" w:hAnsi="Arial" w:cs="Arial"/>
          <w:sz w:val="24"/>
          <w:szCs w:val="24"/>
        </w:rPr>
        <w:t xml:space="preserve">  These statutory requirements allow the public to freely utilize the inventions once patent protection expires.  One noted legal commentator, Professor Donald S.</w:t>
      </w:r>
      <w:r w:rsidR="00321E64">
        <w:rPr>
          <w:rFonts w:ascii="Arial" w:hAnsi="Arial" w:cs="Arial"/>
          <w:sz w:val="24"/>
          <w:szCs w:val="24"/>
        </w:rPr>
        <w:t xml:space="preserve"> Chisum, in his</w:t>
      </w:r>
      <w:r>
        <w:rPr>
          <w:rFonts w:ascii="Arial" w:hAnsi="Arial" w:cs="Arial"/>
          <w:sz w:val="24"/>
          <w:szCs w:val="24"/>
        </w:rPr>
        <w:t xml:space="preserve"> treatise on patent law, has stated that “full disclosure…on the issuance of the patent immediately increases the storehouse of public information available for further research and innovation.”</w:t>
      </w:r>
      <w:r>
        <w:rPr>
          <w:rStyle w:val="FootnoteReference"/>
          <w:rFonts w:ascii="Arial" w:hAnsi="Arial" w:cs="Arial"/>
          <w:sz w:val="24"/>
          <w:szCs w:val="24"/>
        </w:rPr>
        <w:footnoteReference w:id="45"/>
      </w:r>
      <w:r>
        <w:rPr>
          <w:rFonts w:ascii="Arial" w:hAnsi="Arial" w:cs="Arial"/>
          <w:sz w:val="24"/>
          <w:szCs w:val="24"/>
        </w:rPr>
        <w:t xml:space="preserve"> </w:t>
      </w:r>
    </w:p>
    <w:p w14:paraId="57B9CBA8"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The PTO’s granting of patents on DNA sequences gives the holders exclusionary rights both over the actual DNA molecules and their constructs.</w:t>
      </w:r>
      <w:r>
        <w:rPr>
          <w:rStyle w:val="FootnoteReference"/>
          <w:rFonts w:ascii="Arial" w:hAnsi="Arial" w:cs="Arial"/>
          <w:sz w:val="24"/>
          <w:szCs w:val="24"/>
        </w:rPr>
        <w:footnoteReference w:id="46"/>
      </w:r>
      <w:r>
        <w:rPr>
          <w:rFonts w:ascii="Arial" w:hAnsi="Arial" w:cs="Arial"/>
          <w:sz w:val="24"/>
          <w:szCs w:val="24"/>
        </w:rPr>
        <w:t xml:space="preserve">  The patent protection does not prevent others from perceiving, using or analyzing information concerning the composition of the protected DNA sequence.</w:t>
      </w:r>
      <w:r>
        <w:rPr>
          <w:rStyle w:val="FootnoteReference"/>
          <w:rFonts w:ascii="Arial" w:hAnsi="Arial" w:cs="Arial"/>
          <w:sz w:val="24"/>
          <w:szCs w:val="24"/>
        </w:rPr>
        <w:footnoteReference w:id="47"/>
      </w:r>
      <w:r>
        <w:rPr>
          <w:rFonts w:ascii="Arial" w:hAnsi="Arial" w:cs="Arial"/>
          <w:sz w:val="24"/>
          <w:szCs w:val="24"/>
        </w:rPr>
        <w:t xml:space="preserve">  Once the PTO issues the patent, the holder’s information is then freely available.  The patent holder, however, has the right to prevent others from making, using</w:t>
      </w:r>
      <w:r w:rsidR="00AC28D0">
        <w:rPr>
          <w:rFonts w:ascii="Arial" w:hAnsi="Arial" w:cs="Arial"/>
          <w:sz w:val="24"/>
          <w:szCs w:val="24"/>
        </w:rPr>
        <w:t>,</w:t>
      </w:r>
      <w:r>
        <w:rPr>
          <w:rFonts w:ascii="Arial" w:hAnsi="Arial" w:cs="Arial"/>
          <w:sz w:val="24"/>
          <w:szCs w:val="24"/>
        </w:rPr>
        <w:t xml:space="preserve"> or selling the protected material.</w:t>
      </w:r>
      <w:r>
        <w:rPr>
          <w:rStyle w:val="FootnoteReference"/>
          <w:rFonts w:ascii="Arial" w:hAnsi="Arial" w:cs="Arial"/>
          <w:sz w:val="24"/>
          <w:szCs w:val="24"/>
        </w:rPr>
        <w:footnoteReference w:id="48"/>
      </w:r>
      <w:r w:rsidR="007760C0">
        <w:rPr>
          <w:rFonts w:ascii="Arial" w:hAnsi="Arial" w:cs="Arial"/>
          <w:sz w:val="24"/>
          <w:szCs w:val="24"/>
        </w:rPr>
        <w:t xml:space="preserve">  Certain</w:t>
      </w:r>
      <w:r>
        <w:rPr>
          <w:rFonts w:ascii="Arial" w:hAnsi="Arial" w:cs="Arial"/>
          <w:sz w:val="24"/>
          <w:szCs w:val="24"/>
        </w:rPr>
        <w:t xml:space="preserve"> patents </w:t>
      </w:r>
      <w:r w:rsidR="007760C0">
        <w:rPr>
          <w:rFonts w:ascii="Arial" w:hAnsi="Arial" w:cs="Arial"/>
          <w:sz w:val="24"/>
          <w:szCs w:val="24"/>
        </w:rPr>
        <w:t xml:space="preserve">have been </w:t>
      </w:r>
      <w:r>
        <w:rPr>
          <w:rFonts w:ascii="Arial" w:hAnsi="Arial" w:cs="Arial"/>
          <w:sz w:val="24"/>
          <w:szCs w:val="24"/>
        </w:rPr>
        <w:t>issued for</w:t>
      </w:r>
      <w:r w:rsidR="007760C0">
        <w:rPr>
          <w:rFonts w:ascii="Arial" w:hAnsi="Arial" w:cs="Arial"/>
          <w:sz w:val="24"/>
          <w:szCs w:val="24"/>
        </w:rPr>
        <w:t xml:space="preserve"> genes that encode proteins which can have potentially therapeutic uses.  In these situations, t</w:t>
      </w:r>
      <w:r>
        <w:rPr>
          <w:rFonts w:ascii="Arial" w:hAnsi="Arial" w:cs="Arial"/>
          <w:sz w:val="24"/>
          <w:szCs w:val="24"/>
        </w:rPr>
        <w:t xml:space="preserve">he value of the patent holder’s exclusionary rights </w:t>
      </w:r>
      <w:r w:rsidR="00321E64">
        <w:rPr>
          <w:rFonts w:ascii="Arial" w:hAnsi="Arial" w:cs="Arial"/>
          <w:sz w:val="24"/>
          <w:szCs w:val="24"/>
        </w:rPr>
        <w:t xml:space="preserve">over this material is </w:t>
      </w:r>
      <w:r w:rsidR="007760C0">
        <w:rPr>
          <w:rFonts w:ascii="Arial" w:hAnsi="Arial" w:cs="Arial"/>
          <w:sz w:val="24"/>
          <w:szCs w:val="24"/>
        </w:rPr>
        <w:t xml:space="preserve">much </w:t>
      </w:r>
      <w:r w:rsidR="00321E64">
        <w:rPr>
          <w:rFonts w:ascii="Arial" w:hAnsi="Arial" w:cs="Arial"/>
          <w:sz w:val="24"/>
          <w:szCs w:val="24"/>
        </w:rPr>
        <w:t>great</w:t>
      </w:r>
      <w:r w:rsidR="007760C0">
        <w:rPr>
          <w:rFonts w:ascii="Arial" w:hAnsi="Arial" w:cs="Arial"/>
          <w:sz w:val="24"/>
          <w:szCs w:val="24"/>
        </w:rPr>
        <w:t>er in comparison to the value the public receives through</w:t>
      </w:r>
      <w:r>
        <w:rPr>
          <w:rFonts w:ascii="Arial" w:hAnsi="Arial" w:cs="Arial"/>
          <w:sz w:val="24"/>
          <w:szCs w:val="24"/>
        </w:rPr>
        <w:t xml:space="preserve"> information disclosure.</w:t>
      </w:r>
      <w:r>
        <w:rPr>
          <w:rStyle w:val="FootnoteReference"/>
          <w:rFonts w:ascii="Arial" w:hAnsi="Arial" w:cs="Arial"/>
          <w:sz w:val="24"/>
          <w:szCs w:val="24"/>
        </w:rPr>
        <w:footnoteReference w:id="49"/>
      </w:r>
      <w:r>
        <w:rPr>
          <w:rFonts w:ascii="Arial" w:hAnsi="Arial" w:cs="Arial"/>
          <w:sz w:val="24"/>
          <w:szCs w:val="24"/>
        </w:rPr>
        <w:t xml:space="preserve">  The value of these exclusionary rights has </w:t>
      </w:r>
      <w:r w:rsidR="007760C0">
        <w:rPr>
          <w:rFonts w:ascii="Arial" w:hAnsi="Arial" w:cs="Arial"/>
          <w:sz w:val="24"/>
          <w:szCs w:val="24"/>
        </w:rPr>
        <w:t xml:space="preserve">also </w:t>
      </w:r>
      <w:r>
        <w:rPr>
          <w:rFonts w:ascii="Arial" w:hAnsi="Arial" w:cs="Arial"/>
          <w:sz w:val="24"/>
          <w:szCs w:val="24"/>
        </w:rPr>
        <w:t>motivated many inventors to file patent a</w:t>
      </w:r>
      <w:r w:rsidR="007760C0">
        <w:rPr>
          <w:rFonts w:ascii="Arial" w:hAnsi="Arial" w:cs="Arial"/>
          <w:sz w:val="24"/>
          <w:szCs w:val="24"/>
        </w:rPr>
        <w:t>pplications</w:t>
      </w:r>
      <w:r w:rsidR="00321E64">
        <w:rPr>
          <w:rFonts w:ascii="Arial" w:hAnsi="Arial" w:cs="Arial"/>
          <w:sz w:val="24"/>
          <w:szCs w:val="24"/>
        </w:rPr>
        <w:t xml:space="preserve"> rather than keep</w:t>
      </w:r>
      <w:r>
        <w:rPr>
          <w:rFonts w:ascii="Arial" w:hAnsi="Arial" w:cs="Arial"/>
          <w:sz w:val="24"/>
          <w:szCs w:val="24"/>
        </w:rPr>
        <w:t xml:space="preserve"> the </w:t>
      </w:r>
      <w:r w:rsidR="00321E64">
        <w:rPr>
          <w:rFonts w:ascii="Arial" w:hAnsi="Arial" w:cs="Arial"/>
          <w:sz w:val="24"/>
          <w:szCs w:val="24"/>
        </w:rPr>
        <w:t xml:space="preserve">discovered </w:t>
      </w:r>
      <w:r>
        <w:rPr>
          <w:rFonts w:ascii="Arial" w:hAnsi="Arial" w:cs="Arial"/>
          <w:sz w:val="24"/>
          <w:szCs w:val="24"/>
        </w:rPr>
        <w:t>DNA sequences secret.</w:t>
      </w:r>
      <w:r>
        <w:rPr>
          <w:rStyle w:val="FootnoteReference"/>
          <w:rFonts w:ascii="Arial" w:hAnsi="Arial" w:cs="Arial"/>
          <w:sz w:val="24"/>
          <w:szCs w:val="24"/>
        </w:rPr>
        <w:footnoteReference w:id="50"/>
      </w:r>
      <w:r>
        <w:rPr>
          <w:rFonts w:ascii="Arial" w:hAnsi="Arial" w:cs="Arial"/>
          <w:sz w:val="24"/>
          <w:szCs w:val="24"/>
        </w:rPr>
        <w:t xml:space="preserve">  The commercially exploitable aspect of earlier patents wa</w:t>
      </w:r>
      <w:r w:rsidR="003F4FDD">
        <w:rPr>
          <w:rFonts w:ascii="Arial" w:hAnsi="Arial" w:cs="Arial"/>
          <w:sz w:val="24"/>
          <w:szCs w:val="24"/>
        </w:rPr>
        <w:t xml:space="preserve">s not the </w:t>
      </w:r>
      <w:r w:rsidR="007760C0">
        <w:rPr>
          <w:rFonts w:ascii="Arial" w:hAnsi="Arial" w:cs="Arial"/>
          <w:sz w:val="24"/>
          <w:szCs w:val="24"/>
        </w:rPr>
        <w:t>actual DNA sequence</w:t>
      </w:r>
      <w:r w:rsidR="003F4FDD">
        <w:rPr>
          <w:rFonts w:ascii="Arial" w:hAnsi="Arial" w:cs="Arial"/>
          <w:sz w:val="24"/>
          <w:szCs w:val="24"/>
        </w:rPr>
        <w:t xml:space="preserve"> information</w:t>
      </w:r>
      <w:r>
        <w:rPr>
          <w:rFonts w:ascii="Arial" w:hAnsi="Arial" w:cs="Arial"/>
          <w:sz w:val="24"/>
          <w:szCs w:val="24"/>
        </w:rPr>
        <w:t xml:space="preserve">, but the use of the DNA </w:t>
      </w:r>
      <w:r>
        <w:rPr>
          <w:rFonts w:ascii="Arial" w:hAnsi="Arial" w:cs="Arial"/>
          <w:sz w:val="24"/>
          <w:szCs w:val="24"/>
        </w:rPr>
        <w:lastRenderedPageBreak/>
        <w:t>molecules in recombinant ways in order to offer therapeutic proteins for sale.</w:t>
      </w:r>
      <w:r>
        <w:rPr>
          <w:rStyle w:val="FootnoteReference"/>
          <w:rFonts w:ascii="Arial" w:hAnsi="Arial" w:cs="Arial"/>
          <w:sz w:val="24"/>
          <w:szCs w:val="24"/>
        </w:rPr>
        <w:footnoteReference w:id="51"/>
      </w:r>
      <w:r>
        <w:rPr>
          <w:rFonts w:ascii="Arial" w:hAnsi="Arial" w:cs="Arial"/>
          <w:sz w:val="24"/>
          <w:szCs w:val="24"/>
        </w:rPr>
        <w:t xml:space="preserve">  Since these patents protected this commercial value, there was no need to withhold sequence information from the public.</w:t>
      </w:r>
    </w:p>
    <w:p w14:paraId="0DC6DEC0"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The United States Patent Office has received over 10,000 applications for patents on parts</w:t>
      </w:r>
      <w:r w:rsidR="007760C0">
        <w:rPr>
          <w:rFonts w:ascii="Arial" w:hAnsi="Arial" w:cs="Arial"/>
          <w:sz w:val="24"/>
          <w:szCs w:val="24"/>
        </w:rPr>
        <w:t xml:space="preserve"> of the human genetic code that</w:t>
      </w:r>
      <w:r>
        <w:rPr>
          <w:rFonts w:ascii="Arial" w:hAnsi="Arial" w:cs="Arial"/>
          <w:sz w:val="24"/>
          <w:szCs w:val="24"/>
        </w:rPr>
        <w:t xml:space="preserve"> range from simple gene descriptions to extremely complex descriptions which project only potential uses.</w:t>
      </w:r>
      <w:r>
        <w:rPr>
          <w:rStyle w:val="FootnoteReference"/>
          <w:rFonts w:ascii="Arial" w:hAnsi="Arial" w:cs="Arial"/>
          <w:sz w:val="24"/>
          <w:szCs w:val="24"/>
        </w:rPr>
        <w:footnoteReference w:id="52"/>
      </w:r>
      <w:r>
        <w:rPr>
          <w:rFonts w:ascii="Arial" w:hAnsi="Arial" w:cs="Arial"/>
          <w:sz w:val="24"/>
          <w:szCs w:val="24"/>
        </w:rPr>
        <w:t xml:space="preserve">  By patenting genes or gene fragments, the patent holders can potentially receive huge sums of</w:t>
      </w:r>
      <w:r w:rsidR="007760C0">
        <w:rPr>
          <w:rFonts w:ascii="Arial" w:hAnsi="Arial" w:cs="Arial"/>
          <w:sz w:val="24"/>
          <w:szCs w:val="24"/>
        </w:rPr>
        <w:t xml:space="preserve"> </w:t>
      </w:r>
      <w:r>
        <w:rPr>
          <w:rFonts w:ascii="Arial" w:hAnsi="Arial" w:cs="Arial"/>
          <w:sz w:val="24"/>
          <w:szCs w:val="24"/>
        </w:rPr>
        <w:t xml:space="preserve">money in the form of royalties if any successful treatment is subsequently developed </w:t>
      </w:r>
      <w:r w:rsidR="003F4FDD">
        <w:rPr>
          <w:rFonts w:ascii="Arial" w:hAnsi="Arial" w:cs="Arial"/>
          <w:sz w:val="24"/>
          <w:szCs w:val="24"/>
        </w:rPr>
        <w:t>from</w:t>
      </w:r>
      <w:r>
        <w:rPr>
          <w:rFonts w:ascii="Arial" w:hAnsi="Arial" w:cs="Arial"/>
          <w:sz w:val="24"/>
          <w:szCs w:val="24"/>
        </w:rPr>
        <w:t xml:space="preserve"> th</w:t>
      </w:r>
      <w:r w:rsidR="006F4956">
        <w:rPr>
          <w:rFonts w:ascii="Arial" w:hAnsi="Arial" w:cs="Arial"/>
          <w:sz w:val="24"/>
          <w:szCs w:val="24"/>
        </w:rPr>
        <w:t>e patented data.  Although the Patent O</w:t>
      </w:r>
      <w:r>
        <w:rPr>
          <w:rFonts w:ascii="Arial" w:hAnsi="Arial" w:cs="Arial"/>
          <w:sz w:val="24"/>
          <w:szCs w:val="24"/>
        </w:rPr>
        <w:t>ffice has granted hundreds of applications for patents on genes or</w:t>
      </w:r>
      <w:r w:rsidR="003F4FDD">
        <w:rPr>
          <w:rFonts w:ascii="Arial" w:hAnsi="Arial" w:cs="Arial"/>
          <w:sz w:val="24"/>
          <w:szCs w:val="24"/>
        </w:rPr>
        <w:t xml:space="preserve"> gene-related products, </w:t>
      </w:r>
      <w:r>
        <w:rPr>
          <w:rFonts w:ascii="Arial" w:hAnsi="Arial" w:cs="Arial"/>
          <w:sz w:val="24"/>
          <w:szCs w:val="24"/>
        </w:rPr>
        <w:t xml:space="preserve">more stringent requirements have been adopted for </w:t>
      </w:r>
      <w:r w:rsidR="003F4FDD">
        <w:rPr>
          <w:rFonts w:ascii="Arial" w:hAnsi="Arial" w:cs="Arial"/>
          <w:sz w:val="24"/>
          <w:szCs w:val="24"/>
        </w:rPr>
        <w:t xml:space="preserve">new </w:t>
      </w:r>
      <w:r>
        <w:rPr>
          <w:rFonts w:ascii="Arial" w:hAnsi="Arial" w:cs="Arial"/>
          <w:sz w:val="24"/>
          <w:szCs w:val="24"/>
        </w:rPr>
        <w:t>applicants</w:t>
      </w:r>
      <w:r w:rsidR="003F4FDD">
        <w:rPr>
          <w:rFonts w:ascii="Arial" w:hAnsi="Arial" w:cs="Arial"/>
          <w:sz w:val="24"/>
          <w:szCs w:val="24"/>
        </w:rPr>
        <w:t xml:space="preserve"> in response to the huge increase of gene-related patent applications</w:t>
      </w:r>
      <w:r>
        <w:rPr>
          <w:rFonts w:ascii="Arial" w:hAnsi="Arial" w:cs="Arial"/>
          <w:sz w:val="24"/>
          <w:szCs w:val="24"/>
        </w:rPr>
        <w:t>.</w:t>
      </w:r>
      <w:r>
        <w:rPr>
          <w:rStyle w:val="FootnoteReference"/>
          <w:rFonts w:ascii="Arial" w:hAnsi="Arial" w:cs="Arial"/>
          <w:sz w:val="24"/>
          <w:szCs w:val="24"/>
        </w:rPr>
        <w:footnoteReference w:id="53"/>
      </w:r>
      <w:r>
        <w:rPr>
          <w:rFonts w:ascii="Arial" w:hAnsi="Arial" w:cs="Arial"/>
          <w:sz w:val="24"/>
          <w:szCs w:val="24"/>
        </w:rPr>
        <w:t xml:space="preserve">  This is an effort to</w:t>
      </w:r>
      <w:r w:rsidR="007760C0">
        <w:rPr>
          <w:rFonts w:ascii="Arial" w:hAnsi="Arial" w:cs="Arial"/>
          <w:sz w:val="24"/>
          <w:szCs w:val="24"/>
        </w:rPr>
        <w:t xml:space="preserve"> stem what</w:t>
      </w:r>
      <w:r w:rsidR="006F4956">
        <w:rPr>
          <w:rFonts w:ascii="Arial" w:hAnsi="Arial" w:cs="Arial"/>
          <w:sz w:val="24"/>
          <w:szCs w:val="24"/>
        </w:rPr>
        <w:t xml:space="preserve"> some Patent O</w:t>
      </w:r>
      <w:r>
        <w:rPr>
          <w:rFonts w:ascii="Arial" w:hAnsi="Arial" w:cs="Arial"/>
          <w:sz w:val="24"/>
          <w:szCs w:val="24"/>
        </w:rPr>
        <w:t xml:space="preserve">ffice workers </w:t>
      </w:r>
      <w:r w:rsidR="007760C0">
        <w:rPr>
          <w:rFonts w:ascii="Arial" w:hAnsi="Arial" w:cs="Arial"/>
          <w:sz w:val="24"/>
          <w:szCs w:val="24"/>
        </w:rPr>
        <w:t>describe as</w:t>
      </w:r>
      <w:r>
        <w:rPr>
          <w:rFonts w:ascii="Arial" w:hAnsi="Arial" w:cs="Arial"/>
          <w:sz w:val="24"/>
          <w:szCs w:val="24"/>
        </w:rPr>
        <w:t xml:space="preserve"> a</w:t>
      </w:r>
      <w:r w:rsidR="007760C0">
        <w:rPr>
          <w:rFonts w:ascii="Arial" w:hAnsi="Arial" w:cs="Arial"/>
          <w:sz w:val="24"/>
          <w:szCs w:val="24"/>
        </w:rPr>
        <w:t xml:space="preserve"> genetic “land grab,</w:t>
      </w:r>
      <w:r>
        <w:rPr>
          <w:rFonts w:ascii="Arial" w:hAnsi="Arial" w:cs="Arial"/>
          <w:sz w:val="24"/>
          <w:szCs w:val="24"/>
        </w:rPr>
        <w:t>”</w:t>
      </w:r>
      <w:r w:rsidR="007760C0">
        <w:rPr>
          <w:rFonts w:ascii="Arial" w:hAnsi="Arial" w:cs="Arial"/>
          <w:sz w:val="24"/>
          <w:szCs w:val="24"/>
        </w:rPr>
        <w:t xml:space="preserve"> </w:t>
      </w:r>
      <w:r w:rsidR="0098104B">
        <w:rPr>
          <w:rFonts w:ascii="Arial" w:hAnsi="Arial" w:cs="Arial"/>
          <w:sz w:val="24"/>
          <w:szCs w:val="24"/>
        </w:rPr>
        <w:t>by</w:t>
      </w:r>
      <w:r w:rsidR="007760C0">
        <w:rPr>
          <w:rFonts w:ascii="Arial" w:hAnsi="Arial" w:cs="Arial"/>
          <w:sz w:val="24"/>
          <w:szCs w:val="24"/>
        </w:rPr>
        <w:t xml:space="preserve"> preventing access to genetic information.</w:t>
      </w:r>
      <w:r>
        <w:rPr>
          <w:rStyle w:val="FootnoteReference"/>
          <w:rFonts w:ascii="Arial" w:hAnsi="Arial" w:cs="Arial"/>
          <w:sz w:val="24"/>
          <w:szCs w:val="24"/>
        </w:rPr>
        <w:footnoteReference w:id="54"/>
      </w:r>
    </w:p>
    <w:p w14:paraId="215C22C0" w14:textId="77777777" w:rsidR="00BF4D65" w:rsidRDefault="00BF4D65" w:rsidP="00BF4D65">
      <w:pPr>
        <w:widowControl w:val="0"/>
        <w:spacing w:line="480" w:lineRule="atLeast"/>
        <w:jc w:val="center"/>
        <w:rPr>
          <w:rFonts w:ascii="Arial" w:hAnsi="Arial" w:cs="Arial"/>
          <w:sz w:val="24"/>
          <w:szCs w:val="24"/>
        </w:rPr>
      </w:pPr>
      <w:r>
        <w:rPr>
          <w:rFonts w:ascii="Arial" w:hAnsi="Arial" w:cs="Arial"/>
          <w:i/>
          <w:iCs/>
          <w:sz w:val="24"/>
          <w:szCs w:val="24"/>
        </w:rPr>
        <w:t>Arguments for Providing Patent Protection</w:t>
      </w:r>
    </w:p>
    <w:p w14:paraId="66ADDFA9" w14:textId="77777777" w:rsidR="00735F29" w:rsidRDefault="00735F29" w:rsidP="00BF4D65">
      <w:pPr>
        <w:widowControl w:val="0"/>
        <w:spacing w:line="480" w:lineRule="atLeast"/>
        <w:ind w:firstLine="720"/>
        <w:rPr>
          <w:rFonts w:ascii="Arial" w:hAnsi="Arial" w:cs="Arial"/>
          <w:sz w:val="24"/>
          <w:szCs w:val="24"/>
        </w:rPr>
      </w:pPr>
      <w:r>
        <w:rPr>
          <w:rFonts w:ascii="Arial" w:hAnsi="Arial" w:cs="Arial"/>
          <w:sz w:val="24"/>
          <w:szCs w:val="24"/>
        </w:rPr>
        <w:t xml:space="preserve">Addressing the </w:t>
      </w:r>
      <w:r w:rsidR="001076A3">
        <w:rPr>
          <w:rFonts w:ascii="Arial" w:hAnsi="Arial" w:cs="Arial"/>
          <w:sz w:val="24"/>
          <w:szCs w:val="24"/>
        </w:rPr>
        <w:t xml:space="preserve">genome patent protection </w:t>
      </w:r>
      <w:r>
        <w:rPr>
          <w:rFonts w:ascii="Arial" w:hAnsi="Arial" w:cs="Arial"/>
          <w:sz w:val="24"/>
          <w:szCs w:val="24"/>
        </w:rPr>
        <w:t xml:space="preserve">controversy, Todd Dickinson, former head of the United States Patent Office, stated that patents are the </w:t>
      </w:r>
      <w:r w:rsidR="001076A3">
        <w:rPr>
          <w:rFonts w:ascii="Arial" w:hAnsi="Arial" w:cs="Arial"/>
          <w:sz w:val="24"/>
          <w:szCs w:val="24"/>
        </w:rPr>
        <w:t>engine that drive</w:t>
      </w:r>
      <w:r w:rsidR="004637C0">
        <w:rPr>
          <w:rFonts w:ascii="Arial" w:hAnsi="Arial" w:cs="Arial"/>
          <w:sz w:val="24"/>
          <w:szCs w:val="24"/>
        </w:rPr>
        <w:t>s</w:t>
      </w:r>
      <w:r>
        <w:rPr>
          <w:rFonts w:ascii="Arial" w:hAnsi="Arial" w:cs="Arial"/>
          <w:sz w:val="24"/>
          <w:szCs w:val="24"/>
        </w:rPr>
        <w:t xml:space="preserve"> great discoveries.</w:t>
      </w:r>
      <w:r>
        <w:rPr>
          <w:rStyle w:val="FootnoteReference"/>
          <w:rFonts w:ascii="Arial" w:hAnsi="Arial" w:cs="Arial"/>
          <w:sz w:val="24"/>
          <w:szCs w:val="24"/>
        </w:rPr>
        <w:footnoteReference w:id="55"/>
      </w:r>
      <w:r w:rsidR="001076A3">
        <w:rPr>
          <w:rFonts w:ascii="Arial" w:hAnsi="Arial" w:cs="Arial"/>
          <w:sz w:val="24"/>
          <w:szCs w:val="24"/>
        </w:rPr>
        <w:t xml:space="preserve">  He said</w:t>
      </w:r>
      <w:r>
        <w:rPr>
          <w:rFonts w:ascii="Arial" w:hAnsi="Arial" w:cs="Arial"/>
          <w:sz w:val="24"/>
          <w:szCs w:val="24"/>
        </w:rPr>
        <w:t xml:space="preserve"> that it was costly for researchers to develop the data, and now they are merely recouping their initial investment.</w:t>
      </w:r>
      <w:r>
        <w:rPr>
          <w:rStyle w:val="FootnoteReference"/>
          <w:rFonts w:ascii="Arial" w:hAnsi="Arial" w:cs="Arial"/>
          <w:sz w:val="24"/>
          <w:szCs w:val="24"/>
        </w:rPr>
        <w:footnoteReference w:id="56"/>
      </w:r>
      <w:r w:rsidR="001076A3">
        <w:rPr>
          <w:rFonts w:ascii="Arial" w:hAnsi="Arial" w:cs="Arial"/>
          <w:sz w:val="24"/>
          <w:szCs w:val="24"/>
        </w:rPr>
        <w:t xml:space="preserve">  He argued</w:t>
      </w:r>
      <w:r>
        <w:rPr>
          <w:rFonts w:ascii="Arial" w:hAnsi="Arial" w:cs="Arial"/>
          <w:sz w:val="24"/>
          <w:szCs w:val="24"/>
        </w:rPr>
        <w:t xml:space="preserve"> that the incentive to perform even the most basic research in genetics would not exist if the patent system were not availabl</w:t>
      </w:r>
      <w:r w:rsidR="004637C0">
        <w:rPr>
          <w:rFonts w:ascii="Arial" w:hAnsi="Arial" w:cs="Arial"/>
          <w:sz w:val="24"/>
          <w:szCs w:val="24"/>
        </w:rPr>
        <w:t>e to provide the protection and</w:t>
      </w:r>
      <w:r w:rsidR="001076A3">
        <w:rPr>
          <w:rFonts w:ascii="Arial" w:hAnsi="Arial" w:cs="Arial"/>
          <w:sz w:val="24"/>
          <w:szCs w:val="24"/>
        </w:rPr>
        <w:t xml:space="preserve"> </w:t>
      </w:r>
      <w:r>
        <w:rPr>
          <w:rFonts w:ascii="Arial" w:hAnsi="Arial" w:cs="Arial"/>
          <w:sz w:val="24"/>
          <w:szCs w:val="24"/>
        </w:rPr>
        <w:t>nurturing that new inventions require.</w:t>
      </w:r>
      <w:r>
        <w:rPr>
          <w:rStyle w:val="FootnoteReference"/>
          <w:rFonts w:ascii="Arial" w:hAnsi="Arial" w:cs="Arial"/>
          <w:sz w:val="24"/>
          <w:szCs w:val="24"/>
        </w:rPr>
        <w:footnoteReference w:id="57"/>
      </w:r>
      <w:r>
        <w:rPr>
          <w:rFonts w:ascii="Arial" w:hAnsi="Arial" w:cs="Arial"/>
          <w:sz w:val="24"/>
          <w:szCs w:val="24"/>
        </w:rPr>
        <w:t xml:space="preserve">  In response to the contention that </w:t>
      </w:r>
      <w:r w:rsidR="001076A3">
        <w:rPr>
          <w:rFonts w:ascii="Arial" w:hAnsi="Arial" w:cs="Arial"/>
          <w:sz w:val="24"/>
          <w:szCs w:val="24"/>
        </w:rPr>
        <w:t xml:space="preserve">merely </w:t>
      </w:r>
      <w:r>
        <w:rPr>
          <w:rFonts w:ascii="Arial" w:hAnsi="Arial" w:cs="Arial"/>
          <w:sz w:val="24"/>
          <w:szCs w:val="24"/>
        </w:rPr>
        <w:t xml:space="preserve">identifying the particular chemical processes that occur in genes is not an invention, </w:t>
      </w:r>
      <w:r w:rsidR="001B5644">
        <w:rPr>
          <w:rFonts w:ascii="Arial" w:hAnsi="Arial" w:cs="Arial"/>
          <w:sz w:val="24"/>
          <w:szCs w:val="24"/>
        </w:rPr>
        <w:t xml:space="preserve">Dickinson said researchers have </w:t>
      </w:r>
      <w:r>
        <w:rPr>
          <w:rFonts w:ascii="Arial" w:hAnsi="Arial" w:cs="Arial"/>
          <w:sz w:val="24"/>
          <w:szCs w:val="24"/>
        </w:rPr>
        <w:t xml:space="preserve">discovered </w:t>
      </w:r>
      <w:r>
        <w:rPr>
          <w:rFonts w:ascii="Arial" w:hAnsi="Arial" w:cs="Arial"/>
          <w:sz w:val="24"/>
          <w:szCs w:val="24"/>
        </w:rPr>
        <w:lastRenderedPageBreak/>
        <w:t>chem</w:t>
      </w:r>
      <w:r w:rsidR="004637C0">
        <w:rPr>
          <w:rFonts w:ascii="Arial" w:hAnsi="Arial" w:cs="Arial"/>
          <w:sz w:val="24"/>
          <w:szCs w:val="24"/>
        </w:rPr>
        <w:t xml:space="preserve">ical compositions of genes </w:t>
      </w:r>
      <w:r w:rsidR="00AC28D0">
        <w:rPr>
          <w:rFonts w:ascii="Arial" w:hAnsi="Arial" w:cs="Arial"/>
          <w:sz w:val="24"/>
          <w:szCs w:val="24"/>
        </w:rPr>
        <w:t xml:space="preserve">that </w:t>
      </w:r>
      <w:r w:rsidR="004637C0">
        <w:rPr>
          <w:rFonts w:ascii="Arial" w:hAnsi="Arial" w:cs="Arial"/>
          <w:sz w:val="24"/>
          <w:szCs w:val="24"/>
        </w:rPr>
        <w:t>were not</w:t>
      </w:r>
      <w:r>
        <w:rPr>
          <w:rFonts w:ascii="Arial" w:hAnsi="Arial" w:cs="Arial"/>
          <w:sz w:val="24"/>
          <w:szCs w:val="24"/>
        </w:rPr>
        <w:t xml:space="preserve"> previously k</w:t>
      </w:r>
      <w:r w:rsidR="004637C0">
        <w:rPr>
          <w:rFonts w:ascii="Arial" w:hAnsi="Arial" w:cs="Arial"/>
          <w:sz w:val="24"/>
          <w:szCs w:val="24"/>
        </w:rPr>
        <w:t>nown.  As these compositions are discovered</w:t>
      </w:r>
      <w:r w:rsidR="00BF4D65">
        <w:rPr>
          <w:rFonts w:ascii="Arial" w:hAnsi="Arial" w:cs="Arial"/>
          <w:sz w:val="24"/>
          <w:szCs w:val="24"/>
        </w:rPr>
        <w:t>, the process of discovery makes them</w:t>
      </w:r>
      <w:r w:rsidR="001076A3">
        <w:rPr>
          <w:rFonts w:ascii="Arial" w:hAnsi="Arial" w:cs="Arial"/>
          <w:sz w:val="24"/>
          <w:szCs w:val="24"/>
        </w:rPr>
        <w:t xml:space="preserve"> eligible for</w:t>
      </w:r>
      <w:r>
        <w:rPr>
          <w:rFonts w:ascii="Arial" w:hAnsi="Arial" w:cs="Arial"/>
          <w:sz w:val="24"/>
          <w:szCs w:val="24"/>
        </w:rPr>
        <w:t xml:space="preserve"> patent protection.</w:t>
      </w:r>
      <w:r>
        <w:rPr>
          <w:rStyle w:val="FootnoteReference"/>
          <w:rFonts w:ascii="Arial" w:hAnsi="Arial" w:cs="Arial"/>
          <w:sz w:val="24"/>
          <w:szCs w:val="24"/>
        </w:rPr>
        <w:footnoteReference w:id="58"/>
      </w:r>
      <w:r>
        <w:rPr>
          <w:rFonts w:ascii="Arial" w:hAnsi="Arial" w:cs="Arial"/>
          <w:sz w:val="24"/>
          <w:szCs w:val="24"/>
        </w:rPr>
        <w:t xml:space="preserve">  </w:t>
      </w:r>
    </w:p>
    <w:p w14:paraId="376A5446" w14:textId="77777777" w:rsidR="00735F29" w:rsidRDefault="00735F29" w:rsidP="007760C0">
      <w:pPr>
        <w:widowControl w:val="0"/>
        <w:spacing w:line="480" w:lineRule="atLeast"/>
        <w:ind w:firstLine="720"/>
        <w:rPr>
          <w:rFonts w:ascii="Arial" w:hAnsi="Arial" w:cs="Arial"/>
          <w:sz w:val="24"/>
          <w:szCs w:val="24"/>
        </w:rPr>
      </w:pPr>
      <w:r>
        <w:rPr>
          <w:rFonts w:ascii="Arial" w:hAnsi="Arial" w:cs="Arial"/>
          <w:sz w:val="24"/>
          <w:szCs w:val="24"/>
        </w:rPr>
        <w:t>The defenders of patent protection in the</w:t>
      </w:r>
      <w:r w:rsidR="007A4CCE">
        <w:rPr>
          <w:rFonts w:ascii="Arial" w:hAnsi="Arial" w:cs="Arial"/>
          <w:sz w:val="24"/>
          <w:szCs w:val="24"/>
        </w:rPr>
        <w:t xml:space="preserve"> academic community</w:t>
      </w:r>
      <w:r w:rsidR="00D95501">
        <w:rPr>
          <w:rFonts w:ascii="Arial" w:hAnsi="Arial" w:cs="Arial"/>
          <w:sz w:val="24"/>
          <w:szCs w:val="24"/>
        </w:rPr>
        <w:t xml:space="preserve"> </w:t>
      </w:r>
      <w:r w:rsidR="001B5644">
        <w:rPr>
          <w:rFonts w:ascii="Arial" w:hAnsi="Arial" w:cs="Arial"/>
          <w:sz w:val="24"/>
          <w:szCs w:val="24"/>
        </w:rPr>
        <w:t xml:space="preserve">have </w:t>
      </w:r>
      <w:r w:rsidR="001076A3">
        <w:rPr>
          <w:rFonts w:ascii="Arial" w:hAnsi="Arial" w:cs="Arial"/>
          <w:sz w:val="24"/>
          <w:szCs w:val="24"/>
        </w:rPr>
        <w:t xml:space="preserve">identified </w:t>
      </w:r>
      <w:r>
        <w:rPr>
          <w:rFonts w:ascii="Arial" w:hAnsi="Arial" w:cs="Arial"/>
          <w:sz w:val="24"/>
          <w:szCs w:val="24"/>
        </w:rPr>
        <w:t>two basic issues in biotechnologi</w:t>
      </w:r>
      <w:r w:rsidR="007A4CCE">
        <w:rPr>
          <w:rFonts w:ascii="Arial" w:hAnsi="Arial" w:cs="Arial"/>
          <w:sz w:val="24"/>
          <w:szCs w:val="24"/>
        </w:rPr>
        <w:t>c</w:t>
      </w:r>
      <w:r w:rsidR="001B5644">
        <w:rPr>
          <w:rFonts w:ascii="Arial" w:hAnsi="Arial" w:cs="Arial"/>
          <w:sz w:val="24"/>
          <w:szCs w:val="24"/>
        </w:rPr>
        <w:t>al research.  The first issue i</w:t>
      </w:r>
      <w:r>
        <w:rPr>
          <w:rFonts w:ascii="Arial" w:hAnsi="Arial" w:cs="Arial"/>
          <w:sz w:val="24"/>
          <w:szCs w:val="24"/>
        </w:rPr>
        <w:t xml:space="preserve">s whether the products of living material are patentable.  </w:t>
      </w:r>
      <w:r w:rsidR="001B5644">
        <w:rPr>
          <w:rFonts w:ascii="Arial" w:hAnsi="Arial" w:cs="Arial"/>
          <w:sz w:val="24"/>
          <w:szCs w:val="24"/>
        </w:rPr>
        <w:t>If they are, the second issue</w:t>
      </w:r>
      <w:r w:rsidR="00BF4D65">
        <w:rPr>
          <w:rFonts w:ascii="Arial" w:hAnsi="Arial" w:cs="Arial"/>
          <w:sz w:val="24"/>
          <w:szCs w:val="24"/>
        </w:rPr>
        <w:t xml:space="preserve"> </w:t>
      </w:r>
      <w:r w:rsidR="001B5644">
        <w:rPr>
          <w:rFonts w:ascii="Arial" w:hAnsi="Arial" w:cs="Arial"/>
          <w:sz w:val="24"/>
          <w:szCs w:val="24"/>
        </w:rPr>
        <w:t>asks</w:t>
      </w:r>
      <w:r>
        <w:rPr>
          <w:rFonts w:ascii="Arial" w:hAnsi="Arial" w:cs="Arial"/>
          <w:sz w:val="24"/>
          <w:szCs w:val="24"/>
        </w:rPr>
        <w:t xml:space="preserve"> whether patent protection is consistent with scientific norms.  One prominent aca</w:t>
      </w:r>
      <w:r w:rsidR="00D95501">
        <w:rPr>
          <w:rFonts w:ascii="Arial" w:hAnsi="Arial" w:cs="Arial"/>
          <w:sz w:val="24"/>
          <w:szCs w:val="24"/>
        </w:rPr>
        <w:t xml:space="preserve">demic, Professor </w:t>
      </w:r>
      <w:proofErr w:type="spellStart"/>
      <w:r w:rsidR="00D95501">
        <w:rPr>
          <w:rFonts w:ascii="Arial" w:hAnsi="Arial" w:cs="Arial"/>
          <w:sz w:val="24"/>
          <w:szCs w:val="24"/>
        </w:rPr>
        <w:t>Clarisa</w:t>
      </w:r>
      <w:proofErr w:type="spellEnd"/>
      <w:r w:rsidR="00D95501">
        <w:rPr>
          <w:rFonts w:ascii="Arial" w:hAnsi="Arial" w:cs="Arial"/>
          <w:sz w:val="24"/>
          <w:szCs w:val="24"/>
        </w:rPr>
        <w:t xml:space="preserve"> Long, </w:t>
      </w:r>
      <w:r w:rsidR="001B5644">
        <w:rPr>
          <w:rFonts w:ascii="Arial" w:hAnsi="Arial" w:cs="Arial"/>
          <w:sz w:val="24"/>
          <w:szCs w:val="24"/>
        </w:rPr>
        <w:t>believes</w:t>
      </w:r>
      <w:r>
        <w:rPr>
          <w:rFonts w:ascii="Arial" w:hAnsi="Arial" w:cs="Arial"/>
          <w:sz w:val="24"/>
          <w:szCs w:val="24"/>
        </w:rPr>
        <w:t xml:space="preserve"> that the first issue was definitively answered </w:t>
      </w:r>
      <w:r w:rsidR="00D95501">
        <w:rPr>
          <w:rFonts w:ascii="Arial" w:hAnsi="Arial" w:cs="Arial"/>
          <w:sz w:val="24"/>
          <w:szCs w:val="24"/>
        </w:rPr>
        <w:t xml:space="preserve">in 1980 </w:t>
      </w:r>
      <w:r>
        <w:rPr>
          <w:rFonts w:ascii="Arial" w:hAnsi="Arial" w:cs="Arial"/>
          <w:sz w:val="24"/>
          <w:szCs w:val="24"/>
        </w:rPr>
        <w:t>when the Supreme Court decided the case o</w:t>
      </w:r>
      <w:r w:rsidR="00D95501">
        <w:rPr>
          <w:rFonts w:ascii="Arial" w:hAnsi="Arial" w:cs="Arial"/>
          <w:sz w:val="24"/>
          <w:szCs w:val="24"/>
        </w:rPr>
        <w:t>f Diamond v. Chakrabarty</w:t>
      </w:r>
      <w:r w:rsidR="00CE2ED8">
        <w:rPr>
          <w:rFonts w:ascii="Arial" w:hAnsi="Arial" w:cs="Arial"/>
          <w:sz w:val="24"/>
          <w:szCs w:val="24"/>
        </w:rPr>
        <w:t>, where a live, man-made microorganism was granted a patent</w:t>
      </w:r>
      <w:r w:rsidR="00EA63FC">
        <w:rPr>
          <w:rFonts w:ascii="Arial" w:hAnsi="Arial" w:cs="Arial"/>
          <w:sz w:val="24"/>
          <w:szCs w:val="24"/>
        </w:rPr>
        <w:t>.</w:t>
      </w:r>
      <w:r w:rsidR="00CE2ED8">
        <w:rPr>
          <w:rFonts w:ascii="Arial" w:hAnsi="Arial" w:cs="Arial"/>
          <w:sz w:val="24"/>
          <w:szCs w:val="24"/>
        </w:rPr>
        <w:t xml:space="preserve">  </w:t>
      </w:r>
      <w:r w:rsidR="00EA63FC">
        <w:rPr>
          <w:rFonts w:ascii="Arial" w:hAnsi="Arial" w:cs="Arial"/>
          <w:sz w:val="24"/>
          <w:szCs w:val="24"/>
        </w:rPr>
        <w:t>Afte</w:t>
      </w:r>
      <w:r w:rsidR="001B5644">
        <w:rPr>
          <w:rFonts w:ascii="Arial" w:hAnsi="Arial" w:cs="Arial"/>
          <w:sz w:val="24"/>
          <w:szCs w:val="24"/>
        </w:rPr>
        <w:t>r the Court’s decision, she says</w:t>
      </w:r>
      <w:r w:rsidR="00EA63FC">
        <w:rPr>
          <w:rFonts w:ascii="Arial" w:hAnsi="Arial" w:cs="Arial"/>
          <w:sz w:val="24"/>
          <w:szCs w:val="24"/>
        </w:rPr>
        <w:t xml:space="preserve"> that </w:t>
      </w:r>
      <w:r>
        <w:rPr>
          <w:rFonts w:ascii="Arial" w:hAnsi="Arial" w:cs="Arial"/>
          <w:sz w:val="24"/>
          <w:szCs w:val="24"/>
        </w:rPr>
        <w:t xml:space="preserve">the </w:t>
      </w:r>
      <w:r w:rsidR="00BF4D65">
        <w:rPr>
          <w:rFonts w:ascii="Arial" w:hAnsi="Arial" w:cs="Arial"/>
          <w:sz w:val="24"/>
          <w:szCs w:val="24"/>
        </w:rPr>
        <w:t>scien</w:t>
      </w:r>
      <w:r w:rsidR="00EA63FC">
        <w:rPr>
          <w:rFonts w:ascii="Arial" w:hAnsi="Arial" w:cs="Arial"/>
          <w:sz w:val="24"/>
          <w:szCs w:val="24"/>
        </w:rPr>
        <w:t>tific community has</w:t>
      </w:r>
      <w:r w:rsidR="00BF4D65">
        <w:rPr>
          <w:rFonts w:ascii="Arial" w:hAnsi="Arial" w:cs="Arial"/>
          <w:sz w:val="24"/>
          <w:szCs w:val="24"/>
        </w:rPr>
        <w:t xml:space="preserve"> routinely affirmed the second issue</w:t>
      </w:r>
      <w:r w:rsidR="00CE2ED8">
        <w:rPr>
          <w:rFonts w:ascii="Arial" w:hAnsi="Arial" w:cs="Arial"/>
          <w:sz w:val="24"/>
          <w:szCs w:val="24"/>
        </w:rPr>
        <w:t xml:space="preserve"> </w:t>
      </w:r>
      <w:r w:rsidR="009D5BD6">
        <w:rPr>
          <w:rFonts w:ascii="Arial" w:hAnsi="Arial" w:cs="Arial"/>
          <w:sz w:val="24"/>
          <w:szCs w:val="24"/>
        </w:rPr>
        <w:t>asserting</w:t>
      </w:r>
      <w:r w:rsidR="00CE2ED8">
        <w:rPr>
          <w:rFonts w:ascii="Arial" w:hAnsi="Arial" w:cs="Arial"/>
          <w:sz w:val="24"/>
          <w:szCs w:val="24"/>
        </w:rPr>
        <w:t xml:space="preserve"> that patent protection is consistent with scientific</w:t>
      </w:r>
      <w:r w:rsidR="009D5BD6">
        <w:rPr>
          <w:rFonts w:ascii="Arial" w:hAnsi="Arial" w:cs="Arial"/>
          <w:sz w:val="24"/>
          <w:szCs w:val="24"/>
        </w:rPr>
        <w:t xml:space="preserve"> norms</w:t>
      </w:r>
      <w:r>
        <w:rPr>
          <w:rFonts w:ascii="Arial" w:hAnsi="Arial" w:cs="Arial"/>
          <w:sz w:val="24"/>
          <w:szCs w:val="24"/>
        </w:rPr>
        <w:t>.</w:t>
      </w:r>
      <w:r>
        <w:rPr>
          <w:rStyle w:val="FootnoteReference"/>
          <w:rFonts w:ascii="Arial" w:hAnsi="Arial" w:cs="Arial"/>
          <w:sz w:val="24"/>
          <w:szCs w:val="24"/>
        </w:rPr>
        <w:footnoteReference w:id="59"/>
      </w:r>
      <w:r>
        <w:rPr>
          <w:rFonts w:ascii="Arial" w:hAnsi="Arial" w:cs="Arial"/>
          <w:sz w:val="24"/>
          <w:szCs w:val="24"/>
        </w:rPr>
        <w:t xml:space="preserve">  </w:t>
      </w:r>
    </w:p>
    <w:p w14:paraId="052FE144" w14:textId="77777777" w:rsidR="001B5644" w:rsidRPr="001B5644" w:rsidRDefault="001B5644" w:rsidP="001B5644">
      <w:pPr>
        <w:widowControl w:val="0"/>
        <w:spacing w:line="480" w:lineRule="atLeast"/>
        <w:jc w:val="center"/>
        <w:rPr>
          <w:rFonts w:ascii="Arial" w:hAnsi="Arial" w:cs="Arial"/>
          <w:i/>
          <w:sz w:val="24"/>
          <w:szCs w:val="24"/>
        </w:rPr>
      </w:pPr>
      <w:r>
        <w:rPr>
          <w:rFonts w:ascii="Arial" w:hAnsi="Arial" w:cs="Arial"/>
          <w:i/>
          <w:sz w:val="24"/>
          <w:szCs w:val="24"/>
        </w:rPr>
        <w:t>DNA Sequencing and Patent Protection</w:t>
      </w:r>
    </w:p>
    <w:p w14:paraId="18E1AD65" w14:textId="77777777" w:rsidR="00735F29" w:rsidRDefault="00735F29" w:rsidP="001B5644">
      <w:pPr>
        <w:widowControl w:val="0"/>
        <w:spacing w:line="480" w:lineRule="atLeast"/>
        <w:ind w:firstLine="720"/>
        <w:rPr>
          <w:rFonts w:ascii="Arial" w:hAnsi="Arial" w:cs="Arial"/>
          <w:sz w:val="24"/>
          <w:szCs w:val="24"/>
        </w:rPr>
      </w:pPr>
      <w:r>
        <w:rPr>
          <w:rFonts w:ascii="Arial" w:hAnsi="Arial" w:cs="Arial"/>
          <w:sz w:val="24"/>
          <w:szCs w:val="24"/>
        </w:rPr>
        <w:t xml:space="preserve">The sequencing of DNA was first discovered in the 1970s.  </w:t>
      </w:r>
      <w:r w:rsidR="001B5644">
        <w:rPr>
          <w:rFonts w:ascii="Arial" w:hAnsi="Arial" w:cs="Arial"/>
          <w:sz w:val="24"/>
          <w:szCs w:val="24"/>
        </w:rPr>
        <w:t>Frederick Sanger and Allen Maxam</w:t>
      </w:r>
      <w:r w:rsidR="00740DE1">
        <w:rPr>
          <w:rFonts w:ascii="Arial" w:hAnsi="Arial" w:cs="Arial"/>
          <w:sz w:val="24"/>
          <w:szCs w:val="24"/>
        </w:rPr>
        <w:t>,</w:t>
      </w:r>
      <w:r w:rsidR="001B5644">
        <w:rPr>
          <w:rFonts w:ascii="Arial" w:hAnsi="Arial" w:cs="Arial"/>
          <w:sz w:val="24"/>
          <w:szCs w:val="24"/>
        </w:rPr>
        <w:t xml:space="preserve"> </w:t>
      </w:r>
      <w:r w:rsidR="00740DE1">
        <w:rPr>
          <w:rFonts w:ascii="Arial" w:hAnsi="Arial" w:cs="Arial"/>
          <w:sz w:val="24"/>
          <w:szCs w:val="24"/>
        </w:rPr>
        <w:t>two notable researchers</w:t>
      </w:r>
      <w:r>
        <w:rPr>
          <w:rFonts w:ascii="Arial" w:hAnsi="Arial" w:cs="Arial"/>
          <w:sz w:val="24"/>
          <w:szCs w:val="24"/>
        </w:rPr>
        <w:t xml:space="preserve"> who were considered leaders in this field of technology, did not attempt to patent the results of their research.</w:t>
      </w:r>
      <w:r>
        <w:rPr>
          <w:rStyle w:val="FootnoteReference"/>
          <w:rFonts w:ascii="Arial" w:hAnsi="Arial" w:cs="Arial"/>
          <w:sz w:val="24"/>
          <w:szCs w:val="24"/>
        </w:rPr>
        <w:footnoteReference w:id="60"/>
      </w:r>
      <w:r>
        <w:rPr>
          <w:rFonts w:ascii="Arial" w:hAnsi="Arial" w:cs="Arial"/>
          <w:sz w:val="24"/>
          <w:szCs w:val="24"/>
        </w:rPr>
        <w:t xml:space="preserve">  In 1980, however, Stanley Cohen and Herbert Boyer of </w:t>
      </w:r>
      <w:r w:rsidR="00EA63FC">
        <w:rPr>
          <w:rFonts w:ascii="Arial" w:hAnsi="Arial" w:cs="Arial"/>
          <w:sz w:val="24"/>
          <w:szCs w:val="24"/>
        </w:rPr>
        <w:t xml:space="preserve">Stanford University patented </w:t>
      </w:r>
      <w:r>
        <w:rPr>
          <w:rFonts w:ascii="Arial" w:hAnsi="Arial" w:cs="Arial"/>
          <w:sz w:val="24"/>
          <w:szCs w:val="24"/>
        </w:rPr>
        <w:t xml:space="preserve">recombinant DNA </w:t>
      </w:r>
      <w:r w:rsidR="00BF4D65">
        <w:rPr>
          <w:rFonts w:ascii="Arial" w:hAnsi="Arial" w:cs="Arial"/>
          <w:sz w:val="24"/>
          <w:szCs w:val="24"/>
        </w:rPr>
        <w:t>technology that</w:t>
      </w:r>
      <w:r>
        <w:rPr>
          <w:rFonts w:ascii="Arial" w:hAnsi="Arial" w:cs="Arial"/>
          <w:sz w:val="24"/>
          <w:szCs w:val="24"/>
        </w:rPr>
        <w:t xml:space="preserve"> they discovered.</w:t>
      </w:r>
      <w:r>
        <w:rPr>
          <w:rStyle w:val="FootnoteReference"/>
          <w:rFonts w:ascii="Arial" w:hAnsi="Arial" w:cs="Arial"/>
          <w:sz w:val="24"/>
          <w:szCs w:val="24"/>
        </w:rPr>
        <w:footnoteReference w:id="61"/>
      </w:r>
      <w:r w:rsidR="00D95501">
        <w:rPr>
          <w:rFonts w:ascii="Arial" w:hAnsi="Arial" w:cs="Arial"/>
          <w:sz w:val="24"/>
          <w:szCs w:val="24"/>
        </w:rPr>
        <w:t xml:space="preserve">  H</w:t>
      </w:r>
      <w:r w:rsidR="00EA63FC">
        <w:rPr>
          <w:rFonts w:ascii="Arial" w:hAnsi="Arial" w:cs="Arial"/>
          <w:sz w:val="24"/>
          <w:szCs w:val="24"/>
        </w:rPr>
        <w:t xml:space="preserve">owever, </w:t>
      </w:r>
      <w:r w:rsidR="00D95501">
        <w:rPr>
          <w:rFonts w:ascii="Arial" w:hAnsi="Arial" w:cs="Arial"/>
          <w:sz w:val="24"/>
          <w:szCs w:val="24"/>
        </w:rPr>
        <w:t>other scientists</w:t>
      </w:r>
      <w:r w:rsidR="00EA63FC">
        <w:rPr>
          <w:rFonts w:ascii="Arial" w:hAnsi="Arial" w:cs="Arial"/>
          <w:sz w:val="24"/>
          <w:szCs w:val="24"/>
        </w:rPr>
        <w:t>,</w:t>
      </w:r>
      <w:r w:rsidR="00D95501">
        <w:rPr>
          <w:rFonts w:ascii="Arial" w:hAnsi="Arial" w:cs="Arial"/>
          <w:sz w:val="24"/>
          <w:szCs w:val="24"/>
        </w:rPr>
        <w:t xml:space="preserve"> who </w:t>
      </w:r>
      <w:r>
        <w:rPr>
          <w:rFonts w:ascii="Arial" w:hAnsi="Arial" w:cs="Arial"/>
          <w:sz w:val="24"/>
          <w:szCs w:val="24"/>
        </w:rPr>
        <w:t>considered obtaining a patent a</w:t>
      </w:r>
      <w:r w:rsidR="00B675B3">
        <w:rPr>
          <w:rFonts w:ascii="Arial" w:hAnsi="Arial" w:cs="Arial"/>
          <w:sz w:val="24"/>
          <w:szCs w:val="24"/>
        </w:rPr>
        <w:t>s a</w:t>
      </w:r>
      <w:r>
        <w:rPr>
          <w:rFonts w:ascii="Arial" w:hAnsi="Arial" w:cs="Arial"/>
          <w:sz w:val="24"/>
          <w:szCs w:val="24"/>
        </w:rPr>
        <w:t xml:space="preserve"> radical departure from scientific and academic norms</w:t>
      </w:r>
      <w:r w:rsidR="00EA63FC">
        <w:rPr>
          <w:rFonts w:ascii="Arial" w:hAnsi="Arial" w:cs="Arial"/>
          <w:sz w:val="24"/>
          <w:szCs w:val="24"/>
        </w:rPr>
        <w:t>, criticized them</w:t>
      </w:r>
      <w:r>
        <w:rPr>
          <w:rFonts w:ascii="Arial" w:hAnsi="Arial" w:cs="Arial"/>
          <w:sz w:val="24"/>
          <w:szCs w:val="24"/>
        </w:rPr>
        <w:t>.  Additionally, the scope of the</w:t>
      </w:r>
      <w:r w:rsidR="00B675B3">
        <w:rPr>
          <w:rFonts w:ascii="Arial" w:hAnsi="Arial" w:cs="Arial"/>
          <w:sz w:val="24"/>
          <w:szCs w:val="24"/>
        </w:rPr>
        <w:t>ir</w:t>
      </w:r>
      <w:r>
        <w:rPr>
          <w:rFonts w:ascii="Arial" w:hAnsi="Arial" w:cs="Arial"/>
          <w:sz w:val="24"/>
          <w:szCs w:val="24"/>
        </w:rPr>
        <w:t xml:space="preserve"> patent was so broad that Cohen and Boyer could have </w:t>
      </w:r>
      <w:r w:rsidR="00EA63FC">
        <w:rPr>
          <w:rFonts w:ascii="Arial" w:hAnsi="Arial" w:cs="Arial"/>
          <w:sz w:val="24"/>
          <w:szCs w:val="24"/>
        </w:rPr>
        <w:t xml:space="preserve">potentially </w:t>
      </w:r>
      <w:r>
        <w:rPr>
          <w:rFonts w:ascii="Arial" w:hAnsi="Arial" w:cs="Arial"/>
          <w:sz w:val="24"/>
          <w:szCs w:val="24"/>
        </w:rPr>
        <w:t xml:space="preserve">controlled much of </w:t>
      </w:r>
      <w:r w:rsidR="006072BE">
        <w:rPr>
          <w:rFonts w:ascii="Arial" w:hAnsi="Arial" w:cs="Arial"/>
          <w:sz w:val="24"/>
          <w:szCs w:val="24"/>
        </w:rPr>
        <w:t xml:space="preserve">the </w:t>
      </w:r>
      <w:r w:rsidR="00EA63FC">
        <w:rPr>
          <w:rFonts w:ascii="Arial" w:hAnsi="Arial" w:cs="Arial"/>
          <w:sz w:val="24"/>
          <w:szCs w:val="24"/>
        </w:rPr>
        <w:t>biotechnology of that day.</w:t>
      </w:r>
      <w:r w:rsidR="00F45257">
        <w:rPr>
          <w:rFonts w:ascii="Arial" w:hAnsi="Arial" w:cs="Arial"/>
          <w:sz w:val="24"/>
          <w:szCs w:val="24"/>
        </w:rPr>
        <w:t xml:space="preserve"> E</w:t>
      </w:r>
      <w:r w:rsidR="00EA63FC">
        <w:rPr>
          <w:rFonts w:ascii="Arial" w:hAnsi="Arial" w:cs="Arial"/>
          <w:sz w:val="24"/>
          <w:szCs w:val="24"/>
        </w:rPr>
        <w:t>xercis</w:t>
      </w:r>
      <w:r w:rsidR="00F45257">
        <w:rPr>
          <w:rFonts w:ascii="Arial" w:hAnsi="Arial" w:cs="Arial"/>
          <w:sz w:val="24"/>
          <w:szCs w:val="24"/>
        </w:rPr>
        <w:t xml:space="preserve">e of their rights under the patent </w:t>
      </w:r>
      <w:r w:rsidR="00EA63FC">
        <w:rPr>
          <w:rFonts w:ascii="Arial" w:hAnsi="Arial" w:cs="Arial"/>
          <w:sz w:val="24"/>
          <w:szCs w:val="24"/>
        </w:rPr>
        <w:t>would have had</w:t>
      </w:r>
      <w:r>
        <w:rPr>
          <w:rFonts w:ascii="Arial" w:hAnsi="Arial" w:cs="Arial"/>
          <w:sz w:val="24"/>
          <w:szCs w:val="24"/>
        </w:rPr>
        <w:t xml:space="preserve"> a </w:t>
      </w:r>
      <w:r w:rsidR="00F45257">
        <w:rPr>
          <w:rFonts w:ascii="Arial" w:hAnsi="Arial" w:cs="Arial"/>
          <w:sz w:val="24"/>
          <w:szCs w:val="24"/>
        </w:rPr>
        <w:t xml:space="preserve">dramatic </w:t>
      </w:r>
      <w:r w:rsidR="009D5BD6">
        <w:rPr>
          <w:rFonts w:ascii="Arial" w:hAnsi="Arial" w:cs="Arial"/>
          <w:sz w:val="24"/>
          <w:szCs w:val="24"/>
        </w:rPr>
        <w:t xml:space="preserve">negative </w:t>
      </w:r>
      <w:r w:rsidR="00F45257">
        <w:rPr>
          <w:rFonts w:ascii="Arial" w:hAnsi="Arial" w:cs="Arial"/>
          <w:sz w:val="24"/>
          <w:szCs w:val="24"/>
        </w:rPr>
        <w:t>financial impact upon the field.</w:t>
      </w:r>
      <w:r>
        <w:rPr>
          <w:rStyle w:val="FootnoteReference"/>
          <w:rFonts w:ascii="Arial" w:hAnsi="Arial" w:cs="Arial"/>
          <w:sz w:val="24"/>
          <w:szCs w:val="24"/>
        </w:rPr>
        <w:footnoteReference w:id="62"/>
      </w:r>
      <w:r w:rsidR="00F45257">
        <w:rPr>
          <w:rFonts w:ascii="Arial" w:hAnsi="Arial" w:cs="Arial"/>
          <w:sz w:val="24"/>
          <w:szCs w:val="24"/>
        </w:rPr>
        <w:t xml:space="preserve">  </w:t>
      </w:r>
      <w:r w:rsidR="00F45257">
        <w:rPr>
          <w:rFonts w:ascii="Arial" w:hAnsi="Arial" w:cs="Arial"/>
          <w:sz w:val="24"/>
          <w:szCs w:val="24"/>
        </w:rPr>
        <w:lastRenderedPageBreak/>
        <w:t>Instead, t</w:t>
      </w:r>
      <w:r>
        <w:rPr>
          <w:rFonts w:ascii="Arial" w:hAnsi="Arial" w:cs="Arial"/>
          <w:sz w:val="24"/>
          <w:szCs w:val="24"/>
        </w:rPr>
        <w:t>hey li</w:t>
      </w:r>
      <w:r w:rsidR="00F45257">
        <w:rPr>
          <w:rFonts w:ascii="Arial" w:hAnsi="Arial" w:cs="Arial"/>
          <w:sz w:val="24"/>
          <w:szCs w:val="24"/>
        </w:rPr>
        <w:t>censed it for low fees,</w:t>
      </w:r>
      <w:r>
        <w:rPr>
          <w:rFonts w:ascii="Arial" w:hAnsi="Arial" w:cs="Arial"/>
          <w:sz w:val="24"/>
          <w:szCs w:val="24"/>
        </w:rPr>
        <w:t xml:space="preserve"> and the patent expired in 1997 without any disastrous scientific or financial consequences.</w:t>
      </w:r>
      <w:r>
        <w:rPr>
          <w:rStyle w:val="FootnoteReference"/>
          <w:rFonts w:ascii="Arial" w:hAnsi="Arial" w:cs="Arial"/>
          <w:sz w:val="24"/>
          <w:szCs w:val="24"/>
        </w:rPr>
        <w:footnoteReference w:id="63"/>
      </w:r>
    </w:p>
    <w:p w14:paraId="24C5BE4E"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Proponents of</w:t>
      </w:r>
      <w:r w:rsidR="00B64FB5">
        <w:rPr>
          <w:rFonts w:ascii="Arial" w:hAnsi="Arial" w:cs="Arial"/>
          <w:sz w:val="24"/>
          <w:szCs w:val="24"/>
        </w:rPr>
        <w:t xml:space="preserve"> patent protection believe that</w:t>
      </w:r>
      <w:r w:rsidR="00F45257">
        <w:rPr>
          <w:rFonts w:ascii="Arial" w:hAnsi="Arial" w:cs="Arial"/>
          <w:sz w:val="24"/>
          <w:szCs w:val="24"/>
        </w:rPr>
        <w:t xml:space="preserve"> </w:t>
      </w:r>
      <w:r>
        <w:rPr>
          <w:rFonts w:ascii="Arial" w:hAnsi="Arial" w:cs="Arial"/>
          <w:sz w:val="24"/>
          <w:szCs w:val="24"/>
        </w:rPr>
        <w:t xml:space="preserve">Cohen and Boyer’s </w:t>
      </w:r>
      <w:r w:rsidR="00B64FB5">
        <w:rPr>
          <w:rFonts w:ascii="Arial" w:hAnsi="Arial" w:cs="Arial"/>
          <w:sz w:val="24"/>
          <w:szCs w:val="24"/>
        </w:rPr>
        <w:t xml:space="preserve">alleged </w:t>
      </w:r>
      <w:r>
        <w:rPr>
          <w:rFonts w:ascii="Arial" w:hAnsi="Arial" w:cs="Arial"/>
          <w:sz w:val="24"/>
          <w:szCs w:val="24"/>
        </w:rPr>
        <w:t xml:space="preserve">departure from </w:t>
      </w:r>
      <w:r w:rsidR="00B64FB5">
        <w:rPr>
          <w:rFonts w:ascii="Arial" w:hAnsi="Arial" w:cs="Arial"/>
          <w:sz w:val="24"/>
          <w:szCs w:val="24"/>
        </w:rPr>
        <w:t>scientific and academic norms by</w:t>
      </w:r>
      <w:r>
        <w:rPr>
          <w:rFonts w:ascii="Arial" w:hAnsi="Arial" w:cs="Arial"/>
          <w:sz w:val="24"/>
          <w:szCs w:val="24"/>
        </w:rPr>
        <w:t xml:space="preserve"> patenting DNA te</w:t>
      </w:r>
      <w:r w:rsidR="00F45257">
        <w:rPr>
          <w:rFonts w:ascii="Arial" w:hAnsi="Arial" w:cs="Arial"/>
          <w:sz w:val="24"/>
          <w:szCs w:val="24"/>
        </w:rPr>
        <w:t>chnology has now become routine</w:t>
      </w:r>
      <w:r w:rsidR="00561EDC">
        <w:rPr>
          <w:rFonts w:ascii="Arial" w:hAnsi="Arial" w:cs="Arial"/>
          <w:sz w:val="24"/>
          <w:szCs w:val="24"/>
        </w:rPr>
        <w:t xml:space="preserve"> and is not a departure</w:t>
      </w:r>
      <w:r w:rsidR="00F45257">
        <w:rPr>
          <w:rFonts w:ascii="Arial" w:hAnsi="Arial" w:cs="Arial"/>
          <w:sz w:val="24"/>
          <w:szCs w:val="24"/>
        </w:rPr>
        <w:t>.  Today, a</w:t>
      </w:r>
      <w:r>
        <w:rPr>
          <w:rFonts w:ascii="Arial" w:hAnsi="Arial" w:cs="Arial"/>
          <w:sz w:val="24"/>
          <w:szCs w:val="24"/>
        </w:rPr>
        <w:t>cademic institutions either compete or collaborate with private sector entities</w:t>
      </w:r>
      <w:r w:rsidR="005D68E6">
        <w:rPr>
          <w:rFonts w:ascii="Arial" w:hAnsi="Arial" w:cs="Arial"/>
          <w:sz w:val="24"/>
          <w:szCs w:val="24"/>
        </w:rPr>
        <w:t xml:space="preserve"> to patent DNA technology</w:t>
      </w:r>
      <w:r>
        <w:rPr>
          <w:rFonts w:ascii="Arial" w:hAnsi="Arial" w:cs="Arial"/>
          <w:sz w:val="24"/>
          <w:szCs w:val="24"/>
        </w:rPr>
        <w:t>.</w:t>
      </w:r>
      <w:r>
        <w:rPr>
          <w:rStyle w:val="FootnoteReference"/>
          <w:rFonts w:ascii="Arial" w:hAnsi="Arial" w:cs="Arial"/>
          <w:sz w:val="24"/>
          <w:szCs w:val="24"/>
        </w:rPr>
        <w:footnoteReference w:id="64"/>
      </w:r>
      <w:r>
        <w:rPr>
          <w:rFonts w:ascii="Arial" w:hAnsi="Arial" w:cs="Arial"/>
          <w:sz w:val="24"/>
          <w:szCs w:val="24"/>
        </w:rPr>
        <w:t xml:space="preserve">  These biotechnological patents cover material </w:t>
      </w:r>
      <w:r w:rsidR="005D68E6">
        <w:rPr>
          <w:rFonts w:ascii="Arial" w:hAnsi="Arial" w:cs="Arial"/>
          <w:sz w:val="24"/>
          <w:szCs w:val="24"/>
        </w:rPr>
        <w:t>that ranges from research results that</w:t>
      </w:r>
      <w:r>
        <w:rPr>
          <w:rFonts w:ascii="Arial" w:hAnsi="Arial" w:cs="Arial"/>
          <w:sz w:val="24"/>
          <w:szCs w:val="24"/>
        </w:rPr>
        <w:t xml:space="preserve"> </w:t>
      </w:r>
      <w:r w:rsidR="005D68E6">
        <w:rPr>
          <w:rFonts w:ascii="Arial" w:hAnsi="Arial" w:cs="Arial"/>
          <w:sz w:val="24"/>
          <w:szCs w:val="24"/>
        </w:rPr>
        <w:t xml:space="preserve">can immediately be utilized to foster further </w:t>
      </w:r>
      <w:r>
        <w:rPr>
          <w:rFonts w:ascii="Arial" w:hAnsi="Arial" w:cs="Arial"/>
          <w:sz w:val="24"/>
          <w:szCs w:val="24"/>
        </w:rPr>
        <w:t>path-breaking research and inventions to basic research which has no foreseeable commercial use.</w:t>
      </w:r>
      <w:r>
        <w:rPr>
          <w:rStyle w:val="FootnoteReference"/>
          <w:rFonts w:ascii="Arial" w:hAnsi="Arial" w:cs="Arial"/>
          <w:sz w:val="24"/>
          <w:szCs w:val="24"/>
        </w:rPr>
        <w:footnoteReference w:id="65"/>
      </w:r>
      <w:r>
        <w:rPr>
          <w:rFonts w:ascii="Arial" w:hAnsi="Arial" w:cs="Arial"/>
          <w:sz w:val="24"/>
          <w:szCs w:val="24"/>
        </w:rPr>
        <w:t xml:space="preserve">  Frequently, the end product of biomedical research can</w:t>
      </w:r>
      <w:r w:rsidR="005D68E6">
        <w:rPr>
          <w:rFonts w:ascii="Arial" w:hAnsi="Arial" w:cs="Arial"/>
          <w:sz w:val="24"/>
          <w:szCs w:val="24"/>
        </w:rPr>
        <w:t xml:space="preserve"> be a commercial product that is also the subject of basic research.  For example, g</w:t>
      </w:r>
      <w:r>
        <w:rPr>
          <w:rFonts w:ascii="Arial" w:hAnsi="Arial" w:cs="Arial"/>
          <w:sz w:val="24"/>
          <w:szCs w:val="24"/>
        </w:rPr>
        <w:t>enes associated wi</w:t>
      </w:r>
      <w:r w:rsidR="00B64FB5">
        <w:rPr>
          <w:rFonts w:ascii="Arial" w:hAnsi="Arial" w:cs="Arial"/>
          <w:sz w:val="24"/>
          <w:szCs w:val="24"/>
        </w:rPr>
        <w:t>th a specific disease such as cancer have been</w:t>
      </w:r>
      <w:r w:rsidR="005D68E6">
        <w:rPr>
          <w:rFonts w:ascii="Arial" w:hAnsi="Arial" w:cs="Arial"/>
          <w:sz w:val="24"/>
          <w:szCs w:val="24"/>
        </w:rPr>
        <w:t xml:space="preserve"> used to develop</w:t>
      </w:r>
      <w:r>
        <w:rPr>
          <w:rFonts w:ascii="Arial" w:hAnsi="Arial" w:cs="Arial"/>
          <w:sz w:val="24"/>
          <w:szCs w:val="24"/>
        </w:rPr>
        <w:t xml:space="preserve"> lucra</w:t>
      </w:r>
      <w:r w:rsidR="006130E0">
        <w:rPr>
          <w:rFonts w:ascii="Arial" w:hAnsi="Arial" w:cs="Arial"/>
          <w:sz w:val="24"/>
          <w:szCs w:val="24"/>
        </w:rPr>
        <w:t xml:space="preserve">tive </w:t>
      </w:r>
      <w:r w:rsidR="0098104B">
        <w:rPr>
          <w:rFonts w:ascii="Arial" w:hAnsi="Arial" w:cs="Arial"/>
          <w:sz w:val="24"/>
          <w:szCs w:val="24"/>
        </w:rPr>
        <w:t>tests and</w:t>
      </w:r>
      <w:r w:rsidR="00740DE1">
        <w:rPr>
          <w:rFonts w:ascii="Arial" w:hAnsi="Arial" w:cs="Arial"/>
          <w:sz w:val="24"/>
          <w:szCs w:val="24"/>
        </w:rPr>
        <w:t xml:space="preserve"> have also been used</w:t>
      </w:r>
      <w:r w:rsidR="0005628A">
        <w:rPr>
          <w:rFonts w:ascii="Arial" w:hAnsi="Arial" w:cs="Arial"/>
          <w:sz w:val="24"/>
          <w:szCs w:val="24"/>
        </w:rPr>
        <w:t xml:space="preserve"> for basic research exploring</w:t>
      </w:r>
      <w:r>
        <w:rPr>
          <w:rFonts w:ascii="Arial" w:hAnsi="Arial" w:cs="Arial"/>
          <w:sz w:val="24"/>
          <w:szCs w:val="24"/>
        </w:rPr>
        <w:t xml:space="preserve"> the etiology of treatment of the disease.</w:t>
      </w:r>
      <w:r>
        <w:rPr>
          <w:rStyle w:val="FootnoteReference"/>
          <w:rFonts w:ascii="Arial" w:hAnsi="Arial" w:cs="Arial"/>
          <w:sz w:val="24"/>
          <w:szCs w:val="24"/>
        </w:rPr>
        <w:footnoteReference w:id="66"/>
      </w:r>
    </w:p>
    <w:p w14:paraId="51227C2B"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Acceptance of pat</w:t>
      </w:r>
      <w:r w:rsidR="0005628A">
        <w:rPr>
          <w:rFonts w:ascii="Arial" w:hAnsi="Arial" w:cs="Arial"/>
          <w:sz w:val="24"/>
          <w:szCs w:val="24"/>
        </w:rPr>
        <w:t>enting research material has grown</w:t>
      </w:r>
      <w:r>
        <w:rPr>
          <w:rFonts w:ascii="Arial" w:hAnsi="Arial" w:cs="Arial"/>
          <w:sz w:val="24"/>
          <w:szCs w:val="24"/>
        </w:rPr>
        <w:t xml:space="preserve"> in the scientific and the a</w:t>
      </w:r>
      <w:r w:rsidR="0005628A">
        <w:rPr>
          <w:rFonts w:ascii="Arial" w:hAnsi="Arial" w:cs="Arial"/>
          <w:sz w:val="24"/>
          <w:szCs w:val="24"/>
        </w:rPr>
        <w:t>cademic communities with the simultaneous broadening of</w:t>
      </w:r>
      <w:r>
        <w:rPr>
          <w:rFonts w:ascii="Arial" w:hAnsi="Arial" w:cs="Arial"/>
          <w:sz w:val="24"/>
          <w:szCs w:val="24"/>
        </w:rPr>
        <w:t xml:space="preserve"> subject matter that i</w:t>
      </w:r>
      <w:r w:rsidR="0005628A">
        <w:rPr>
          <w:rFonts w:ascii="Arial" w:hAnsi="Arial" w:cs="Arial"/>
          <w:sz w:val="24"/>
          <w:szCs w:val="24"/>
        </w:rPr>
        <w:t>s legally eligible for patent protection.  As patents have</w:t>
      </w:r>
      <w:r w:rsidR="001B3136">
        <w:rPr>
          <w:rFonts w:ascii="Arial" w:hAnsi="Arial" w:cs="Arial"/>
          <w:sz w:val="24"/>
          <w:szCs w:val="24"/>
        </w:rPr>
        <w:t xml:space="preserve"> begun to cover</w:t>
      </w:r>
      <w:r>
        <w:rPr>
          <w:rFonts w:ascii="Arial" w:hAnsi="Arial" w:cs="Arial"/>
          <w:sz w:val="24"/>
          <w:szCs w:val="24"/>
        </w:rPr>
        <w:t xml:space="preserve"> more and more basic research</w:t>
      </w:r>
      <w:r w:rsidR="001B3136">
        <w:rPr>
          <w:rFonts w:ascii="Arial" w:hAnsi="Arial" w:cs="Arial"/>
          <w:sz w:val="24"/>
          <w:szCs w:val="24"/>
        </w:rPr>
        <w:t xml:space="preserve">, </w:t>
      </w:r>
      <w:r>
        <w:rPr>
          <w:rFonts w:ascii="Arial" w:hAnsi="Arial" w:cs="Arial"/>
          <w:sz w:val="24"/>
          <w:szCs w:val="24"/>
        </w:rPr>
        <w:t xml:space="preserve">patent law </w:t>
      </w:r>
      <w:r w:rsidR="001B3136">
        <w:rPr>
          <w:rFonts w:ascii="Arial" w:hAnsi="Arial" w:cs="Arial"/>
          <w:sz w:val="24"/>
          <w:szCs w:val="24"/>
        </w:rPr>
        <w:t xml:space="preserve">was also expanded and </w:t>
      </w:r>
      <w:r w:rsidR="001D688E">
        <w:rPr>
          <w:rFonts w:ascii="Arial" w:hAnsi="Arial" w:cs="Arial"/>
          <w:sz w:val="24"/>
          <w:szCs w:val="24"/>
        </w:rPr>
        <w:t xml:space="preserve">strengthened.  The court system </w:t>
      </w:r>
      <w:r w:rsidR="009D5BD6">
        <w:rPr>
          <w:rFonts w:ascii="Arial" w:hAnsi="Arial" w:cs="Arial"/>
          <w:sz w:val="24"/>
          <w:szCs w:val="24"/>
        </w:rPr>
        <w:t>adapt</w:t>
      </w:r>
      <w:r w:rsidR="001D688E">
        <w:rPr>
          <w:rFonts w:ascii="Arial" w:hAnsi="Arial" w:cs="Arial"/>
          <w:sz w:val="24"/>
          <w:szCs w:val="24"/>
        </w:rPr>
        <w:t>ed to accommodate new patent law</w:t>
      </w:r>
      <w:r w:rsidR="00DE2654">
        <w:rPr>
          <w:rFonts w:ascii="Arial" w:hAnsi="Arial" w:cs="Arial"/>
          <w:sz w:val="24"/>
          <w:szCs w:val="24"/>
        </w:rPr>
        <w:t xml:space="preserve">.  As debate concerning </w:t>
      </w:r>
      <w:r w:rsidR="007A4CCE">
        <w:rPr>
          <w:rFonts w:ascii="Arial" w:hAnsi="Arial" w:cs="Arial"/>
          <w:sz w:val="24"/>
          <w:szCs w:val="24"/>
        </w:rPr>
        <w:t>patentable material continued, a number of new developments</w:t>
      </w:r>
      <w:r w:rsidR="008836D6">
        <w:rPr>
          <w:rFonts w:ascii="Arial" w:hAnsi="Arial" w:cs="Arial"/>
          <w:sz w:val="24"/>
          <w:szCs w:val="24"/>
        </w:rPr>
        <w:t xml:space="preserve"> </w:t>
      </w:r>
      <w:r w:rsidR="009D5BD6">
        <w:rPr>
          <w:rFonts w:ascii="Arial" w:hAnsi="Arial" w:cs="Arial"/>
          <w:sz w:val="24"/>
          <w:szCs w:val="24"/>
        </w:rPr>
        <w:t xml:space="preserve">profoundly </w:t>
      </w:r>
      <w:r w:rsidR="008836D6">
        <w:rPr>
          <w:rFonts w:ascii="Arial" w:hAnsi="Arial" w:cs="Arial"/>
          <w:sz w:val="24"/>
          <w:szCs w:val="24"/>
        </w:rPr>
        <w:t>affected</w:t>
      </w:r>
      <w:r w:rsidR="00BD3F33">
        <w:rPr>
          <w:rFonts w:ascii="Arial" w:hAnsi="Arial" w:cs="Arial"/>
          <w:sz w:val="24"/>
          <w:szCs w:val="24"/>
        </w:rPr>
        <w:t xml:space="preserve"> the</w:t>
      </w:r>
      <w:r w:rsidR="008836D6">
        <w:rPr>
          <w:rFonts w:ascii="Arial" w:hAnsi="Arial" w:cs="Arial"/>
          <w:sz w:val="24"/>
          <w:szCs w:val="24"/>
        </w:rPr>
        <w:t xml:space="preserve"> </w:t>
      </w:r>
      <w:r w:rsidR="00DE2654">
        <w:rPr>
          <w:rFonts w:ascii="Arial" w:hAnsi="Arial" w:cs="Arial"/>
          <w:sz w:val="24"/>
          <w:szCs w:val="24"/>
        </w:rPr>
        <w:t xml:space="preserve">patent </w:t>
      </w:r>
      <w:r w:rsidR="007A4CCE">
        <w:rPr>
          <w:rFonts w:ascii="Arial" w:hAnsi="Arial" w:cs="Arial"/>
          <w:sz w:val="24"/>
          <w:szCs w:val="24"/>
        </w:rPr>
        <w:t>ca</w:t>
      </w:r>
      <w:r w:rsidR="008836D6">
        <w:rPr>
          <w:rFonts w:ascii="Arial" w:hAnsi="Arial" w:cs="Arial"/>
          <w:sz w:val="24"/>
          <w:szCs w:val="24"/>
        </w:rPr>
        <w:t>se decision process</w:t>
      </w:r>
      <w:r w:rsidR="007A4CCE">
        <w:rPr>
          <w:rFonts w:ascii="Arial" w:hAnsi="Arial" w:cs="Arial"/>
          <w:sz w:val="24"/>
          <w:szCs w:val="24"/>
        </w:rPr>
        <w:t>.  The developments</w:t>
      </w:r>
      <w:r w:rsidR="00DE2654">
        <w:rPr>
          <w:rFonts w:ascii="Arial" w:hAnsi="Arial" w:cs="Arial"/>
          <w:sz w:val="24"/>
          <w:szCs w:val="24"/>
        </w:rPr>
        <w:t xml:space="preserve"> were:  </w:t>
      </w:r>
      <w:r>
        <w:rPr>
          <w:rFonts w:ascii="Arial" w:hAnsi="Arial" w:cs="Arial"/>
          <w:sz w:val="24"/>
          <w:szCs w:val="24"/>
        </w:rPr>
        <w:t xml:space="preserve">(1) the 1980 creation of the United States Court of Appeals for the Federal Circuit, which brought predictability and consistency to patent law; (2) this court’s willingness to enforce patent rights; (3) the expansion of patentable </w:t>
      </w:r>
      <w:r>
        <w:rPr>
          <w:rFonts w:ascii="Arial" w:hAnsi="Arial" w:cs="Arial"/>
          <w:sz w:val="24"/>
          <w:szCs w:val="24"/>
        </w:rPr>
        <w:lastRenderedPageBreak/>
        <w:t>proprietary rights to include life forms; (4) the rapidly expanding commercial potential for results on biomedical research; (5) the existence of a number of “players” in the biomedical research field, each with their own motivations and incentives; and (6) the passage of statutes to encourage the patenting of innovations produced by government sponsored research.</w:t>
      </w:r>
      <w:r>
        <w:rPr>
          <w:rStyle w:val="FootnoteReference"/>
          <w:rFonts w:ascii="Arial" w:hAnsi="Arial" w:cs="Arial"/>
          <w:sz w:val="24"/>
          <w:szCs w:val="24"/>
        </w:rPr>
        <w:footnoteReference w:id="67"/>
      </w:r>
    </w:p>
    <w:p w14:paraId="3302628D"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Patent proponents argue that</w:t>
      </w:r>
      <w:r w:rsidR="00BD3F33" w:rsidRPr="00BD3F33">
        <w:rPr>
          <w:rFonts w:ascii="Arial" w:hAnsi="Arial" w:cs="Arial"/>
          <w:sz w:val="24"/>
          <w:szCs w:val="24"/>
        </w:rPr>
        <w:t xml:space="preserve"> </w:t>
      </w:r>
      <w:r w:rsidR="00740DE1">
        <w:rPr>
          <w:rFonts w:ascii="Arial" w:hAnsi="Arial" w:cs="Arial"/>
          <w:sz w:val="24"/>
          <w:szCs w:val="24"/>
        </w:rPr>
        <w:t>not all holders of b</w:t>
      </w:r>
      <w:r w:rsidR="00BD3F33">
        <w:rPr>
          <w:rFonts w:ascii="Arial" w:hAnsi="Arial" w:cs="Arial"/>
          <w:sz w:val="24"/>
          <w:szCs w:val="24"/>
        </w:rPr>
        <w:t>asic research patent</w:t>
      </w:r>
      <w:r w:rsidR="00740DE1">
        <w:rPr>
          <w:rFonts w:ascii="Arial" w:hAnsi="Arial" w:cs="Arial"/>
          <w:sz w:val="24"/>
          <w:szCs w:val="24"/>
        </w:rPr>
        <w:t>s</w:t>
      </w:r>
      <w:r w:rsidR="00BD3F33">
        <w:rPr>
          <w:rFonts w:ascii="Arial" w:hAnsi="Arial" w:cs="Arial"/>
          <w:sz w:val="24"/>
          <w:szCs w:val="24"/>
        </w:rPr>
        <w:t xml:space="preserve"> will attempt to develop commercially viable products</w:t>
      </w:r>
      <w:r w:rsidR="00740DE1">
        <w:rPr>
          <w:rFonts w:ascii="Arial" w:hAnsi="Arial" w:cs="Arial"/>
          <w:sz w:val="24"/>
          <w:szCs w:val="24"/>
        </w:rPr>
        <w:t xml:space="preserve">.  This is </w:t>
      </w:r>
      <w:r>
        <w:rPr>
          <w:rFonts w:ascii="Arial" w:hAnsi="Arial" w:cs="Arial"/>
          <w:sz w:val="24"/>
          <w:szCs w:val="24"/>
        </w:rPr>
        <w:t>because the patent process</w:t>
      </w:r>
      <w:r w:rsidR="00740DE1">
        <w:rPr>
          <w:rFonts w:ascii="Arial" w:hAnsi="Arial" w:cs="Arial"/>
          <w:sz w:val="24"/>
          <w:szCs w:val="24"/>
        </w:rPr>
        <w:t xml:space="preserve"> is time-consuming</w:t>
      </w:r>
      <w:r>
        <w:rPr>
          <w:rFonts w:ascii="Arial" w:hAnsi="Arial" w:cs="Arial"/>
          <w:sz w:val="24"/>
          <w:szCs w:val="24"/>
        </w:rPr>
        <w:t xml:space="preserve"> and the costs of enforcing and defending a patent m</w:t>
      </w:r>
      <w:r w:rsidR="00BD3F33">
        <w:rPr>
          <w:rFonts w:ascii="Arial" w:hAnsi="Arial" w:cs="Arial"/>
          <w:sz w:val="24"/>
          <w:szCs w:val="24"/>
        </w:rPr>
        <w:t>ay run into millions of dollars</w:t>
      </w:r>
      <w:r>
        <w:rPr>
          <w:rFonts w:ascii="Arial" w:hAnsi="Arial" w:cs="Arial"/>
          <w:sz w:val="24"/>
          <w:szCs w:val="24"/>
        </w:rPr>
        <w:t>.</w:t>
      </w:r>
      <w:r>
        <w:rPr>
          <w:rStyle w:val="FootnoteReference"/>
          <w:rFonts w:ascii="Arial" w:hAnsi="Arial" w:cs="Arial"/>
          <w:sz w:val="24"/>
          <w:szCs w:val="24"/>
        </w:rPr>
        <w:footnoteReference w:id="68"/>
      </w:r>
      <w:r>
        <w:rPr>
          <w:rFonts w:ascii="Arial" w:hAnsi="Arial" w:cs="Arial"/>
          <w:sz w:val="24"/>
          <w:szCs w:val="24"/>
        </w:rPr>
        <w:t xml:space="preserve">  The United States Patent Office fol</w:t>
      </w:r>
      <w:r w:rsidR="00BD3F33">
        <w:rPr>
          <w:rFonts w:ascii="Arial" w:hAnsi="Arial" w:cs="Arial"/>
          <w:sz w:val="24"/>
          <w:szCs w:val="24"/>
        </w:rPr>
        <w:t>lows a “first to invent” system.  This means that</w:t>
      </w:r>
      <w:r>
        <w:rPr>
          <w:rFonts w:ascii="Arial" w:hAnsi="Arial" w:cs="Arial"/>
          <w:sz w:val="24"/>
          <w:szCs w:val="24"/>
        </w:rPr>
        <w:t xml:space="preserve"> patent rights are granted to those who can offer proof of prior invention, not </w:t>
      </w:r>
      <w:r w:rsidR="00BD3F33">
        <w:rPr>
          <w:rFonts w:ascii="Arial" w:hAnsi="Arial" w:cs="Arial"/>
          <w:sz w:val="24"/>
          <w:szCs w:val="24"/>
        </w:rPr>
        <w:t>to first</w:t>
      </w:r>
      <w:r w:rsidR="007A4CCE">
        <w:rPr>
          <w:rFonts w:ascii="Arial" w:hAnsi="Arial" w:cs="Arial"/>
          <w:sz w:val="24"/>
          <w:szCs w:val="24"/>
        </w:rPr>
        <w:t xml:space="preserve"> patent</w:t>
      </w:r>
      <w:r w:rsidR="00BD3F33">
        <w:rPr>
          <w:rFonts w:ascii="Arial" w:hAnsi="Arial" w:cs="Arial"/>
          <w:sz w:val="24"/>
          <w:szCs w:val="24"/>
        </w:rPr>
        <w:t xml:space="preserve"> applicants</w:t>
      </w:r>
      <w:r>
        <w:rPr>
          <w:rFonts w:ascii="Arial" w:hAnsi="Arial" w:cs="Arial"/>
          <w:sz w:val="24"/>
          <w:szCs w:val="24"/>
        </w:rPr>
        <w:t>.</w:t>
      </w:r>
      <w:r>
        <w:rPr>
          <w:rStyle w:val="FootnoteReference"/>
          <w:rFonts w:ascii="Arial" w:hAnsi="Arial" w:cs="Arial"/>
          <w:sz w:val="24"/>
          <w:szCs w:val="24"/>
        </w:rPr>
        <w:footnoteReference w:id="69"/>
      </w:r>
      <w:r>
        <w:rPr>
          <w:rFonts w:ascii="Arial" w:hAnsi="Arial" w:cs="Arial"/>
          <w:sz w:val="24"/>
          <w:szCs w:val="24"/>
        </w:rPr>
        <w:t xml:space="preserve">  An independent discovery by a rival does not preclude obtaining patent protection as long as </w:t>
      </w:r>
      <w:r w:rsidR="00BD3F33">
        <w:rPr>
          <w:rFonts w:ascii="Arial" w:hAnsi="Arial" w:cs="Arial"/>
          <w:sz w:val="24"/>
          <w:szCs w:val="24"/>
        </w:rPr>
        <w:t>the patent applicant can prove prior invention</w:t>
      </w:r>
      <w:r>
        <w:rPr>
          <w:rFonts w:ascii="Arial" w:hAnsi="Arial" w:cs="Arial"/>
          <w:sz w:val="24"/>
          <w:szCs w:val="24"/>
        </w:rPr>
        <w:t>.</w:t>
      </w:r>
      <w:r>
        <w:rPr>
          <w:rStyle w:val="FootnoteReference"/>
          <w:rFonts w:ascii="Arial" w:hAnsi="Arial" w:cs="Arial"/>
          <w:sz w:val="24"/>
          <w:szCs w:val="24"/>
        </w:rPr>
        <w:footnoteReference w:id="70"/>
      </w:r>
      <w:r>
        <w:rPr>
          <w:rFonts w:ascii="Arial" w:hAnsi="Arial" w:cs="Arial"/>
          <w:sz w:val="24"/>
          <w:szCs w:val="24"/>
        </w:rPr>
        <w:t xml:space="preserve">  Defending such a claim, however, may be very costly.</w:t>
      </w:r>
      <w:r>
        <w:rPr>
          <w:rStyle w:val="FootnoteReference"/>
          <w:rFonts w:ascii="Arial" w:hAnsi="Arial" w:cs="Arial"/>
          <w:sz w:val="24"/>
          <w:szCs w:val="24"/>
        </w:rPr>
        <w:footnoteReference w:id="71"/>
      </w:r>
    </w:p>
    <w:p w14:paraId="7D8B8865"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In order to receive a return upon their investment, basic research patent holders often license their patents to downstream innovators who then develop commercial products.  </w:t>
      </w:r>
      <w:r w:rsidR="002B0BF4">
        <w:rPr>
          <w:rFonts w:ascii="Arial" w:hAnsi="Arial" w:cs="Arial"/>
          <w:sz w:val="24"/>
          <w:szCs w:val="24"/>
        </w:rPr>
        <w:t xml:space="preserve">For example, </w:t>
      </w:r>
      <w:r>
        <w:rPr>
          <w:rFonts w:ascii="Arial" w:hAnsi="Arial" w:cs="Arial"/>
          <w:sz w:val="24"/>
          <w:szCs w:val="24"/>
        </w:rPr>
        <w:t>Human Genome Sciences, Inc. (HGS) is the patent holder for the gene coding on the CCR5 receptor.</w:t>
      </w:r>
      <w:r>
        <w:rPr>
          <w:rStyle w:val="FootnoteReference"/>
          <w:rFonts w:ascii="Arial" w:hAnsi="Arial" w:cs="Arial"/>
          <w:sz w:val="24"/>
          <w:szCs w:val="24"/>
        </w:rPr>
        <w:footnoteReference w:id="72"/>
      </w:r>
      <w:r>
        <w:rPr>
          <w:rFonts w:ascii="Arial" w:hAnsi="Arial" w:cs="Arial"/>
          <w:sz w:val="24"/>
          <w:szCs w:val="24"/>
        </w:rPr>
        <w:t xml:space="preserve"> This receptor is important in AIDS research because scientists believe that the AIDS virus enters human cells through this </w:t>
      </w:r>
      <w:r>
        <w:rPr>
          <w:rFonts w:ascii="Arial" w:hAnsi="Arial" w:cs="Arial"/>
          <w:sz w:val="24"/>
          <w:szCs w:val="24"/>
        </w:rPr>
        <w:lastRenderedPageBreak/>
        <w:t>receptor.</w:t>
      </w:r>
      <w:r>
        <w:rPr>
          <w:rStyle w:val="FootnoteReference"/>
          <w:rFonts w:ascii="Arial" w:hAnsi="Arial" w:cs="Arial"/>
          <w:sz w:val="24"/>
          <w:szCs w:val="24"/>
        </w:rPr>
        <w:footnoteReference w:id="73"/>
      </w:r>
      <w:r>
        <w:rPr>
          <w:rFonts w:ascii="Arial" w:hAnsi="Arial" w:cs="Arial"/>
          <w:sz w:val="24"/>
          <w:szCs w:val="24"/>
        </w:rPr>
        <w:t xml:space="preserve">  HGS has granted several downstream companies licenses on the rights to this patent so that they may further research and develop the subject matter into possible commercial AIDS therapies.</w:t>
      </w:r>
      <w:r>
        <w:rPr>
          <w:rStyle w:val="FootnoteReference"/>
          <w:rFonts w:ascii="Arial" w:hAnsi="Arial" w:cs="Arial"/>
          <w:sz w:val="24"/>
          <w:szCs w:val="24"/>
        </w:rPr>
        <w:footnoteReference w:id="74"/>
      </w:r>
    </w:p>
    <w:p w14:paraId="6CFC8E57" w14:textId="77777777" w:rsidR="00735F29" w:rsidRDefault="005C1090" w:rsidP="005C1090">
      <w:pPr>
        <w:widowControl w:val="0"/>
        <w:spacing w:line="480" w:lineRule="atLeast"/>
        <w:ind w:firstLine="720"/>
        <w:rPr>
          <w:rFonts w:ascii="Arial" w:hAnsi="Arial" w:cs="Arial"/>
          <w:sz w:val="24"/>
          <w:szCs w:val="24"/>
        </w:rPr>
      </w:pPr>
      <w:r>
        <w:rPr>
          <w:rFonts w:ascii="Arial" w:hAnsi="Arial" w:cs="Arial"/>
          <w:sz w:val="24"/>
          <w:szCs w:val="24"/>
        </w:rPr>
        <w:t>T</w:t>
      </w:r>
      <w:r w:rsidR="00735F29">
        <w:rPr>
          <w:rFonts w:ascii="Arial" w:hAnsi="Arial" w:cs="Arial"/>
          <w:sz w:val="24"/>
          <w:szCs w:val="24"/>
        </w:rPr>
        <w:t>he belief that there exists a market of downstream innovators who are willing to purchase licenses in order to develop commer</w:t>
      </w:r>
      <w:r w:rsidR="00FA2CD6">
        <w:rPr>
          <w:rFonts w:ascii="Arial" w:hAnsi="Arial" w:cs="Arial"/>
          <w:sz w:val="24"/>
          <w:szCs w:val="24"/>
        </w:rPr>
        <w:t>cial products</w:t>
      </w:r>
      <w:r w:rsidRPr="005C1090">
        <w:rPr>
          <w:rFonts w:ascii="Arial" w:hAnsi="Arial" w:cs="Arial"/>
          <w:sz w:val="24"/>
          <w:szCs w:val="24"/>
        </w:rPr>
        <w:t xml:space="preserve"> </w:t>
      </w:r>
      <w:r>
        <w:rPr>
          <w:rFonts w:ascii="Arial" w:hAnsi="Arial" w:cs="Arial"/>
          <w:sz w:val="24"/>
          <w:szCs w:val="24"/>
        </w:rPr>
        <w:t xml:space="preserve">is </w:t>
      </w:r>
      <w:r w:rsidR="00CF0FA1">
        <w:rPr>
          <w:rFonts w:ascii="Arial" w:hAnsi="Arial" w:cs="Arial"/>
          <w:sz w:val="24"/>
          <w:szCs w:val="24"/>
        </w:rPr>
        <w:t xml:space="preserve">an </w:t>
      </w:r>
      <w:r>
        <w:rPr>
          <w:rFonts w:ascii="Arial" w:hAnsi="Arial" w:cs="Arial"/>
          <w:sz w:val="24"/>
          <w:szCs w:val="24"/>
        </w:rPr>
        <w:t xml:space="preserve">important </w:t>
      </w:r>
      <w:r w:rsidR="006F4956">
        <w:rPr>
          <w:rFonts w:ascii="Arial" w:hAnsi="Arial" w:cs="Arial"/>
          <w:sz w:val="24"/>
          <w:szCs w:val="24"/>
        </w:rPr>
        <w:t>factor driving the race to the Patent O</w:t>
      </w:r>
      <w:r>
        <w:rPr>
          <w:rFonts w:ascii="Arial" w:hAnsi="Arial" w:cs="Arial"/>
          <w:sz w:val="24"/>
          <w:szCs w:val="24"/>
        </w:rPr>
        <w:t>ffice to patent results on basic research</w:t>
      </w:r>
      <w:r w:rsidR="00FA2CD6">
        <w:rPr>
          <w:rFonts w:ascii="Arial" w:hAnsi="Arial" w:cs="Arial"/>
          <w:sz w:val="24"/>
          <w:szCs w:val="24"/>
        </w:rPr>
        <w:t xml:space="preserve">.  The goal of </w:t>
      </w:r>
      <w:r w:rsidR="00735F29">
        <w:rPr>
          <w:rFonts w:ascii="Arial" w:hAnsi="Arial" w:cs="Arial"/>
          <w:sz w:val="24"/>
          <w:szCs w:val="24"/>
        </w:rPr>
        <w:t>the licensing procedure is to easily transfer the patent rights from the original holder to the downstream innovator.</w:t>
      </w:r>
      <w:r w:rsidR="00735F29">
        <w:rPr>
          <w:rStyle w:val="FootnoteReference"/>
          <w:rFonts w:ascii="Arial" w:hAnsi="Arial" w:cs="Arial"/>
          <w:sz w:val="24"/>
          <w:szCs w:val="24"/>
        </w:rPr>
        <w:footnoteReference w:id="75"/>
      </w:r>
      <w:r w:rsidR="00735F29">
        <w:rPr>
          <w:rFonts w:ascii="Arial" w:hAnsi="Arial" w:cs="Arial"/>
          <w:sz w:val="24"/>
          <w:szCs w:val="24"/>
        </w:rPr>
        <w:t xml:space="preserve">  Even though licenses are granted frequently, the process is not alway</w:t>
      </w:r>
      <w:r w:rsidR="00FA2CD6">
        <w:rPr>
          <w:rFonts w:ascii="Arial" w:hAnsi="Arial" w:cs="Arial"/>
          <w:sz w:val="24"/>
          <w:szCs w:val="24"/>
        </w:rPr>
        <w:t xml:space="preserve">s smooth nor easy.  Proponents </w:t>
      </w:r>
      <w:r w:rsidR="00735F29">
        <w:rPr>
          <w:rFonts w:ascii="Arial" w:hAnsi="Arial" w:cs="Arial"/>
          <w:sz w:val="24"/>
          <w:szCs w:val="24"/>
        </w:rPr>
        <w:t>of patent protection assert that the transaction costs of bargaining over the socially beneficial transfers of proprietary patent rights</w:t>
      </w:r>
      <w:r w:rsidR="00FA2CD6">
        <w:rPr>
          <w:rFonts w:ascii="Arial" w:hAnsi="Arial" w:cs="Arial"/>
          <w:sz w:val="24"/>
          <w:szCs w:val="24"/>
        </w:rPr>
        <w:t xml:space="preserve"> is the main reason why such failures of transfers happen</w:t>
      </w:r>
      <w:r w:rsidR="00735F29">
        <w:rPr>
          <w:rFonts w:ascii="Arial" w:hAnsi="Arial" w:cs="Arial"/>
          <w:sz w:val="24"/>
          <w:szCs w:val="24"/>
        </w:rPr>
        <w:t>, even when both par</w:t>
      </w:r>
      <w:r w:rsidR="009E3F56">
        <w:rPr>
          <w:rFonts w:ascii="Arial" w:hAnsi="Arial" w:cs="Arial"/>
          <w:sz w:val="24"/>
          <w:szCs w:val="24"/>
        </w:rPr>
        <w:t>ties want the transfer to occur</w:t>
      </w:r>
      <w:r w:rsidR="00735F29">
        <w:rPr>
          <w:rFonts w:ascii="Arial" w:hAnsi="Arial" w:cs="Arial"/>
          <w:sz w:val="24"/>
          <w:szCs w:val="24"/>
        </w:rPr>
        <w:t>.</w:t>
      </w:r>
      <w:r w:rsidR="00735F29">
        <w:rPr>
          <w:rStyle w:val="FootnoteReference"/>
          <w:rFonts w:ascii="Arial" w:hAnsi="Arial" w:cs="Arial"/>
          <w:sz w:val="24"/>
          <w:szCs w:val="24"/>
        </w:rPr>
        <w:footnoteReference w:id="76"/>
      </w:r>
      <w:r w:rsidR="00735F29">
        <w:rPr>
          <w:rFonts w:ascii="Arial" w:hAnsi="Arial" w:cs="Arial"/>
          <w:sz w:val="24"/>
          <w:szCs w:val="24"/>
        </w:rPr>
        <w:t xml:space="preserve">  </w:t>
      </w:r>
    </w:p>
    <w:p w14:paraId="2FED7EFE" w14:textId="77777777" w:rsidR="00735F29" w:rsidRDefault="00FA2CD6">
      <w:pPr>
        <w:widowControl w:val="0"/>
        <w:spacing w:line="480" w:lineRule="atLeast"/>
        <w:ind w:firstLine="720"/>
        <w:rPr>
          <w:rFonts w:ascii="Arial" w:hAnsi="Arial" w:cs="Arial"/>
          <w:sz w:val="24"/>
          <w:szCs w:val="24"/>
        </w:rPr>
      </w:pPr>
      <w:r>
        <w:rPr>
          <w:rFonts w:ascii="Arial" w:hAnsi="Arial" w:cs="Arial"/>
          <w:sz w:val="24"/>
          <w:szCs w:val="24"/>
        </w:rPr>
        <w:t>The Coase Theorem is one methodology</w:t>
      </w:r>
      <w:r w:rsidR="00735F29">
        <w:rPr>
          <w:rFonts w:ascii="Arial" w:hAnsi="Arial" w:cs="Arial"/>
          <w:sz w:val="24"/>
          <w:szCs w:val="24"/>
        </w:rPr>
        <w:t xml:space="preserve"> utilized to analyze these transactions.</w:t>
      </w:r>
      <w:r w:rsidR="00735F29">
        <w:rPr>
          <w:rStyle w:val="FootnoteReference"/>
          <w:rFonts w:ascii="Arial" w:hAnsi="Arial" w:cs="Arial"/>
          <w:sz w:val="24"/>
          <w:szCs w:val="24"/>
        </w:rPr>
        <w:footnoteReference w:id="77"/>
      </w:r>
      <w:r w:rsidR="00740DE1">
        <w:rPr>
          <w:rFonts w:ascii="Arial" w:hAnsi="Arial" w:cs="Arial"/>
          <w:sz w:val="24"/>
          <w:szCs w:val="24"/>
        </w:rPr>
        <w:t xml:space="preserve">  This</w:t>
      </w:r>
      <w:r>
        <w:rPr>
          <w:rFonts w:ascii="Arial" w:hAnsi="Arial" w:cs="Arial"/>
          <w:sz w:val="24"/>
          <w:szCs w:val="24"/>
        </w:rPr>
        <w:t xml:space="preserve"> t</w:t>
      </w:r>
      <w:r w:rsidR="00735F29">
        <w:rPr>
          <w:rFonts w:ascii="Arial" w:hAnsi="Arial" w:cs="Arial"/>
          <w:sz w:val="24"/>
          <w:szCs w:val="24"/>
        </w:rPr>
        <w:t xml:space="preserve">heorem states that </w:t>
      </w:r>
      <w:r w:rsidR="009E3F56">
        <w:rPr>
          <w:rFonts w:ascii="Arial" w:hAnsi="Arial" w:cs="Arial"/>
          <w:sz w:val="24"/>
          <w:szCs w:val="24"/>
        </w:rPr>
        <w:t xml:space="preserve">if there are no transaction costs </w:t>
      </w:r>
      <w:r w:rsidR="00735F29">
        <w:rPr>
          <w:rFonts w:ascii="Arial" w:hAnsi="Arial" w:cs="Arial"/>
          <w:sz w:val="24"/>
          <w:szCs w:val="24"/>
        </w:rPr>
        <w:t xml:space="preserve">in the </w:t>
      </w:r>
      <w:r w:rsidR="009E3F56">
        <w:rPr>
          <w:rFonts w:ascii="Arial" w:hAnsi="Arial" w:cs="Arial"/>
          <w:sz w:val="24"/>
          <w:szCs w:val="24"/>
        </w:rPr>
        <w:t>case of rights or entitlements,</w:t>
      </w:r>
      <w:r w:rsidR="00735F29">
        <w:rPr>
          <w:rFonts w:ascii="Arial" w:hAnsi="Arial" w:cs="Arial"/>
          <w:sz w:val="24"/>
          <w:szCs w:val="24"/>
        </w:rPr>
        <w:t xml:space="preserve"> then the transfer</w:t>
      </w:r>
      <w:r w:rsidR="002B0BF4">
        <w:rPr>
          <w:rFonts w:ascii="Arial" w:hAnsi="Arial" w:cs="Arial"/>
          <w:sz w:val="24"/>
          <w:szCs w:val="24"/>
        </w:rPr>
        <w:t xml:space="preserve"> will occur</w:t>
      </w:r>
      <w:r w:rsidR="009E3F56">
        <w:rPr>
          <w:rFonts w:ascii="Arial" w:hAnsi="Arial" w:cs="Arial"/>
          <w:sz w:val="24"/>
          <w:szCs w:val="24"/>
        </w:rPr>
        <w:t xml:space="preserve"> to the</w:t>
      </w:r>
      <w:r w:rsidR="00735F29">
        <w:rPr>
          <w:rFonts w:ascii="Arial" w:hAnsi="Arial" w:cs="Arial"/>
          <w:sz w:val="24"/>
          <w:szCs w:val="24"/>
        </w:rPr>
        <w:t xml:space="preserve"> user who places the highest value on them.</w:t>
      </w:r>
      <w:r w:rsidR="00735F29">
        <w:rPr>
          <w:rStyle w:val="FootnoteReference"/>
          <w:rFonts w:ascii="Arial" w:hAnsi="Arial" w:cs="Arial"/>
          <w:sz w:val="24"/>
          <w:szCs w:val="24"/>
        </w:rPr>
        <w:footnoteReference w:id="78"/>
      </w:r>
      <w:r w:rsidR="00735F29">
        <w:rPr>
          <w:rFonts w:ascii="Arial" w:hAnsi="Arial" w:cs="Arial"/>
          <w:sz w:val="24"/>
          <w:szCs w:val="24"/>
        </w:rPr>
        <w:t xml:space="preserve">  The transfer of basic research patent rights, however, always involves transaction costs.  When such transaction costs are involved, then the Coase Theorem does not apply.</w:t>
      </w:r>
      <w:r w:rsidR="00735F29">
        <w:rPr>
          <w:rStyle w:val="FootnoteReference"/>
          <w:rFonts w:ascii="Arial" w:hAnsi="Arial" w:cs="Arial"/>
          <w:sz w:val="24"/>
          <w:szCs w:val="24"/>
        </w:rPr>
        <w:footnoteReference w:id="79"/>
      </w:r>
      <w:r w:rsidR="00735F29">
        <w:rPr>
          <w:rFonts w:ascii="Arial" w:hAnsi="Arial" w:cs="Arial"/>
          <w:sz w:val="24"/>
          <w:szCs w:val="24"/>
        </w:rPr>
        <w:t xml:space="preserve">  Guido </w:t>
      </w:r>
      <w:proofErr w:type="spellStart"/>
      <w:r w:rsidR="00735F29">
        <w:rPr>
          <w:rFonts w:ascii="Arial" w:hAnsi="Arial" w:cs="Arial"/>
          <w:sz w:val="24"/>
          <w:szCs w:val="24"/>
        </w:rPr>
        <w:t>Calabresi</w:t>
      </w:r>
      <w:proofErr w:type="spellEnd"/>
      <w:r w:rsidR="00735F29">
        <w:rPr>
          <w:rFonts w:ascii="Arial" w:hAnsi="Arial" w:cs="Arial"/>
          <w:sz w:val="24"/>
          <w:szCs w:val="24"/>
        </w:rPr>
        <w:t xml:space="preserve"> and A. Douglas </w:t>
      </w:r>
      <w:proofErr w:type="spellStart"/>
      <w:r w:rsidR="00735F29">
        <w:rPr>
          <w:rFonts w:ascii="Arial" w:hAnsi="Arial" w:cs="Arial"/>
          <w:sz w:val="24"/>
          <w:szCs w:val="24"/>
        </w:rPr>
        <w:t>Malemad</w:t>
      </w:r>
      <w:proofErr w:type="spellEnd"/>
      <w:r w:rsidR="00735F29">
        <w:rPr>
          <w:rFonts w:ascii="Arial" w:hAnsi="Arial" w:cs="Arial"/>
          <w:sz w:val="24"/>
          <w:szCs w:val="24"/>
        </w:rPr>
        <w:t xml:space="preserve"> stated that the Coase Theorem’s assumption of transaction cost-free transfers must be understood in a very broad sense, which involves perfect knowledge and the absence of any impediments to </w:t>
      </w:r>
      <w:r w:rsidR="00735F29">
        <w:rPr>
          <w:rFonts w:ascii="Arial" w:hAnsi="Arial" w:cs="Arial"/>
          <w:sz w:val="24"/>
          <w:szCs w:val="24"/>
        </w:rPr>
        <w:lastRenderedPageBreak/>
        <w:t>the transfer or negotiating costs.</w:t>
      </w:r>
      <w:r w:rsidR="00735F29">
        <w:rPr>
          <w:rStyle w:val="FootnoteReference"/>
          <w:rFonts w:ascii="Arial" w:hAnsi="Arial" w:cs="Arial"/>
          <w:sz w:val="24"/>
          <w:szCs w:val="24"/>
        </w:rPr>
        <w:footnoteReference w:id="80"/>
      </w:r>
      <w:r w:rsidR="002B0BF4">
        <w:rPr>
          <w:rFonts w:ascii="Arial" w:hAnsi="Arial" w:cs="Arial"/>
          <w:sz w:val="24"/>
          <w:szCs w:val="24"/>
        </w:rPr>
        <w:t xml:space="preserve">  By implication, t</w:t>
      </w:r>
      <w:r w:rsidR="00735F29">
        <w:rPr>
          <w:rFonts w:ascii="Arial" w:hAnsi="Arial" w:cs="Arial"/>
          <w:sz w:val="24"/>
          <w:szCs w:val="24"/>
        </w:rPr>
        <w:t>he Coase Theorem highlight</w:t>
      </w:r>
      <w:r w:rsidR="002B0BF4">
        <w:rPr>
          <w:rFonts w:ascii="Arial" w:hAnsi="Arial" w:cs="Arial"/>
          <w:sz w:val="24"/>
          <w:szCs w:val="24"/>
        </w:rPr>
        <w:t>s the importance of transaction costs in</w:t>
      </w:r>
      <w:r w:rsidR="00735F29">
        <w:rPr>
          <w:rFonts w:ascii="Arial" w:hAnsi="Arial" w:cs="Arial"/>
          <w:sz w:val="24"/>
          <w:szCs w:val="24"/>
        </w:rPr>
        <w:t xml:space="preserve"> the transfer of patent rights.</w:t>
      </w:r>
      <w:r w:rsidR="00735F29">
        <w:rPr>
          <w:rStyle w:val="FootnoteReference"/>
          <w:rFonts w:ascii="Arial" w:hAnsi="Arial" w:cs="Arial"/>
          <w:sz w:val="24"/>
          <w:szCs w:val="24"/>
        </w:rPr>
        <w:footnoteReference w:id="81"/>
      </w:r>
      <w:r w:rsidR="00735F29">
        <w:rPr>
          <w:rFonts w:ascii="Arial" w:hAnsi="Arial" w:cs="Arial"/>
          <w:sz w:val="24"/>
          <w:szCs w:val="24"/>
        </w:rPr>
        <w:t xml:space="preserve"> </w:t>
      </w:r>
    </w:p>
    <w:p w14:paraId="452D9297" w14:textId="77777777" w:rsidR="00D76D5E" w:rsidRDefault="00735F29">
      <w:pPr>
        <w:widowControl w:val="0"/>
        <w:spacing w:line="480" w:lineRule="atLeast"/>
        <w:rPr>
          <w:rFonts w:ascii="Arial" w:hAnsi="Arial" w:cs="Arial"/>
          <w:sz w:val="24"/>
          <w:szCs w:val="24"/>
        </w:rPr>
      </w:pPr>
      <w:r>
        <w:rPr>
          <w:rFonts w:ascii="Arial" w:hAnsi="Arial" w:cs="Arial"/>
          <w:sz w:val="24"/>
          <w:szCs w:val="24"/>
        </w:rPr>
        <w:tab/>
        <w:t>Transactions costs a</w:t>
      </w:r>
      <w:r w:rsidR="009E3F56">
        <w:rPr>
          <w:rFonts w:ascii="Arial" w:hAnsi="Arial" w:cs="Arial"/>
          <w:sz w:val="24"/>
          <w:szCs w:val="24"/>
        </w:rPr>
        <w:t xml:space="preserve">re comprised of many elements.  </w:t>
      </w:r>
      <w:r>
        <w:rPr>
          <w:rFonts w:ascii="Arial" w:hAnsi="Arial" w:cs="Arial"/>
          <w:sz w:val="24"/>
          <w:szCs w:val="24"/>
        </w:rPr>
        <w:t>In licensing a patent, they include the cost to the patent holder of searching for other licensees, the cost to the potential licensee of searching for other licensors, the cost of negotiating the license, which may involve other licensees, and the costs of enforcing the terms of the license and protecting against infringement.</w:t>
      </w:r>
      <w:r>
        <w:rPr>
          <w:rStyle w:val="FootnoteReference"/>
          <w:rFonts w:ascii="Arial" w:hAnsi="Arial" w:cs="Arial"/>
          <w:sz w:val="24"/>
          <w:szCs w:val="24"/>
        </w:rPr>
        <w:footnoteReference w:id="82"/>
      </w:r>
      <w:r>
        <w:rPr>
          <w:rFonts w:ascii="Arial" w:hAnsi="Arial" w:cs="Arial"/>
          <w:sz w:val="24"/>
          <w:szCs w:val="24"/>
        </w:rPr>
        <w:t xml:space="preserve"> Search costs alone could be substantial to potential licensees.  The potential licensees must determine what rights they need to acquire in order to develop a commercial product, who holds the needed rights and how to contact the patent holder.</w:t>
      </w:r>
      <w:r>
        <w:rPr>
          <w:rStyle w:val="FootnoteReference"/>
          <w:rFonts w:ascii="Arial" w:hAnsi="Arial" w:cs="Arial"/>
          <w:sz w:val="24"/>
          <w:szCs w:val="24"/>
        </w:rPr>
        <w:footnoteReference w:id="83"/>
      </w:r>
      <w:r>
        <w:rPr>
          <w:rFonts w:ascii="Arial" w:hAnsi="Arial" w:cs="Arial"/>
          <w:sz w:val="24"/>
          <w:szCs w:val="24"/>
        </w:rPr>
        <w:t xml:space="preserve">  </w:t>
      </w:r>
    </w:p>
    <w:p w14:paraId="005D8D2A" w14:textId="77777777" w:rsidR="00735F29" w:rsidRPr="00270D93" w:rsidRDefault="00735F29" w:rsidP="00D76D5E">
      <w:pPr>
        <w:widowControl w:val="0"/>
        <w:spacing w:line="480" w:lineRule="atLeast"/>
        <w:ind w:firstLine="720"/>
        <w:rPr>
          <w:rFonts w:ascii="Arial" w:hAnsi="Arial" w:cs="Arial"/>
          <w:color w:val="000000" w:themeColor="text1"/>
          <w:sz w:val="24"/>
          <w:szCs w:val="24"/>
        </w:rPr>
      </w:pPr>
      <w:r>
        <w:rPr>
          <w:rFonts w:ascii="Arial" w:hAnsi="Arial" w:cs="Arial"/>
          <w:sz w:val="24"/>
          <w:szCs w:val="24"/>
        </w:rPr>
        <w:t xml:space="preserve">The costs </w:t>
      </w:r>
      <w:r w:rsidR="00D76D5E">
        <w:rPr>
          <w:rFonts w:ascii="Arial" w:hAnsi="Arial" w:cs="Arial"/>
          <w:sz w:val="24"/>
          <w:szCs w:val="24"/>
        </w:rPr>
        <w:t xml:space="preserve">also </w:t>
      </w:r>
      <w:r>
        <w:rPr>
          <w:rFonts w:ascii="Arial" w:hAnsi="Arial" w:cs="Arial"/>
          <w:sz w:val="24"/>
          <w:szCs w:val="24"/>
        </w:rPr>
        <w:t xml:space="preserve">accrue significantly because </w:t>
      </w:r>
      <w:r w:rsidR="00517EEA">
        <w:rPr>
          <w:rFonts w:ascii="Arial" w:hAnsi="Arial" w:cs="Arial"/>
          <w:sz w:val="24"/>
          <w:szCs w:val="24"/>
        </w:rPr>
        <w:t>of the secrecy which surrounds</w:t>
      </w:r>
      <w:r w:rsidR="009E2003">
        <w:rPr>
          <w:rFonts w:ascii="Arial" w:hAnsi="Arial" w:cs="Arial"/>
          <w:sz w:val="24"/>
          <w:szCs w:val="24"/>
        </w:rPr>
        <w:t xml:space="preserve"> the</w:t>
      </w:r>
      <w:r w:rsidR="00517EEA">
        <w:rPr>
          <w:rFonts w:ascii="Arial" w:hAnsi="Arial" w:cs="Arial"/>
          <w:sz w:val="24"/>
          <w:szCs w:val="24"/>
        </w:rPr>
        <w:t xml:space="preserve"> </w:t>
      </w:r>
      <w:r>
        <w:rPr>
          <w:rFonts w:ascii="Arial" w:hAnsi="Arial" w:cs="Arial"/>
          <w:sz w:val="24"/>
          <w:szCs w:val="24"/>
        </w:rPr>
        <w:t>patent application procedure.  The PTO does not release any information about an application until a patent has been issued or for 18 months, depending upon the circumstances.</w:t>
      </w:r>
      <w:r>
        <w:rPr>
          <w:rStyle w:val="FootnoteReference"/>
          <w:rFonts w:ascii="Arial" w:hAnsi="Arial" w:cs="Arial"/>
          <w:sz w:val="24"/>
          <w:szCs w:val="24"/>
        </w:rPr>
        <w:footnoteReference w:id="84"/>
      </w:r>
      <w:r>
        <w:rPr>
          <w:rFonts w:ascii="Arial" w:hAnsi="Arial" w:cs="Arial"/>
          <w:sz w:val="24"/>
          <w:szCs w:val="24"/>
        </w:rPr>
        <w:t xml:space="preserve">  Absent a public statement by the applicant</w:t>
      </w:r>
      <w:r w:rsidR="00517EEA">
        <w:rPr>
          <w:rFonts w:ascii="Arial" w:hAnsi="Arial" w:cs="Arial"/>
          <w:sz w:val="24"/>
          <w:szCs w:val="24"/>
        </w:rPr>
        <w:t>, potential licensees will know</w:t>
      </w:r>
      <w:r>
        <w:rPr>
          <w:rFonts w:ascii="Arial" w:hAnsi="Arial" w:cs="Arial"/>
          <w:sz w:val="24"/>
          <w:szCs w:val="24"/>
        </w:rPr>
        <w:t xml:space="preserve"> nothing concerning a pe</w:t>
      </w:r>
      <w:r w:rsidR="00517EEA">
        <w:rPr>
          <w:rFonts w:ascii="Arial" w:hAnsi="Arial" w:cs="Arial"/>
          <w:sz w:val="24"/>
          <w:szCs w:val="24"/>
        </w:rPr>
        <w:t>nding patent application.  I</w:t>
      </w:r>
      <w:r>
        <w:rPr>
          <w:rFonts w:ascii="Arial" w:hAnsi="Arial" w:cs="Arial"/>
          <w:sz w:val="24"/>
          <w:szCs w:val="24"/>
        </w:rPr>
        <w:t xml:space="preserve">nnovators </w:t>
      </w:r>
      <w:r w:rsidR="00725ECB" w:rsidRPr="00270D93">
        <w:rPr>
          <w:rFonts w:ascii="Arial" w:hAnsi="Arial" w:cs="Arial"/>
          <w:color w:val="000000" w:themeColor="text1"/>
          <w:sz w:val="24"/>
          <w:szCs w:val="24"/>
        </w:rPr>
        <w:t>accrue costs to obtain information about</w:t>
      </w:r>
      <w:r w:rsidRPr="00270D93">
        <w:rPr>
          <w:rFonts w:ascii="Arial" w:hAnsi="Arial" w:cs="Arial"/>
          <w:color w:val="000000" w:themeColor="text1"/>
          <w:sz w:val="24"/>
          <w:szCs w:val="24"/>
        </w:rPr>
        <w:t xml:space="preserve"> pending patent application</w:t>
      </w:r>
      <w:r w:rsidR="00725ECB" w:rsidRPr="00270D93">
        <w:rPr>
          <w:rFonts w:ascii="Arial" w:hAnsi="Arial" w:cs="Arial"/>
          <w:color w:val="000000" w:themeColor="text1"/>
          <w:sz w:val="24"/>
          <w:szCs w:val="24"/>
        </w:rPr>
        <w:t xml:space="preserve">s for materials or processes that </w:t>
      </w:r>
      <w:r w:rsidR="00504488" w:rsidRPr="00270D93">
        <w:rPr>
          <w:rFonts w:ascii="Arial" w:hAnsi="Arial" w:cs="Arial"/>
          <w:color w:val="000000" w:themeColor="text1"/>
          <w:sz w:val="24"/>
          <w:szCs w:val="24"/>
        </w:rPr>
        <w:t>they need to develop commercial</w:t>
      </w:r>
      <w:r w:rsidR="00700DBE" w:rsidRPr="00270D93">
        <w:rPr>
          <w:rFonts w:ascii="Arial" w:hAnsi="Arial" w:cs="Arial"/>
          <w:color w:val="000000" w:themeColor="text1"/>
          <w:sz w:val="24"/>
          <w:szCs w:val="24"/>
        </w:rPr>
        <w:t>ly viable</w:t>
      </w:r>
      <w:r w:rsidR="00504488" w:rsidRPr="00270D93">
        <w:rPr>
          <w:rFonts w:ascii="Arial" w:hAnsi="Arial" w:cs="Arial"/>
          <w:color w:val="000000" w:themeColor="text1"/>
          <w:sz w:val="24"/>
          <w:szCs w:val="24"/>
        </w:rPr>
        <w:t xml:space="preserve"> products.  Once the PTO grants a patent to the applicant,</w:t>
      </w:r>
      <w:r w:rsidR="00700DBE" w:rsidRPr="00270D93">
        <w:rPr>
          <w:rFonts w:ascii="Arial" w:hAnsi="Arial" w:cs="Arial"/>
          <w:color w:val="000000" w:themeColor="text1"/>
          <w:sz w:val="24"/>
          <w:szCs w:val="24"/>
        </w:rPr>
        <w:t xml:space="preserve"> then the innovator will incur a cost to</w:t>
      </w:r>
      <w:r w:rsidR="00504488" w:rsidRPr="00270D93">
        <w:rPr>
          <w:rFonts w:ascii="Arial" w:hAnsi="Arial" w:cs="Arial"/>
          <w:color w:val="000000" w:themeColor="text1"/>
          <w:sz w:val="24"/>
          <w:szCs w:val="24"/>
        </w:rPr>
        <w:t xml:space="preserve"> obtain a license from the patent holder</w:t>
      </w:r>
      <w:r w:rsidR="00700DBE" w:rsidRPr="00270D93">
        <w:rPr>
          <w:rFonts w:ascii="Arial" w:hAnsi="Arial" w:cs="Arial"/>
          <w:color w:val="000000" w:themeColor="text1"/>
          <w:sz w:val="24"/>
          <w:szCs w:val="24"/>
        </w:rPr>
        <w:t>.</w:t>
      </w:r>
      <w:r w:rsidR="00270D93">
        <w:rPr>
          <w:rFonts w:ascii="Arial" w:hAnsi="Arial" w:cs="Arial"/>
          <w:color w:val="000000" w:themeColor="text1"/>
          <w:sz w:val="24"/>
          <w:szCs w:val="24"/>
        </w:rPr>
        <w:t xml:space="preserve">  </w:t>
      </w:r>
      <w:r w:rsidR="00700DBE" w:rsidRPr="00270D93">
        <w:rPr>
          <w:rFonts w:ascii="Arial" w:hAnsi="Arial" w:cs="Arial"/>
          <w:color w:val="000000" w:themeColor="text1"/>
          <w:sz w:val="24"/>
          <w:szCs w:val="24"/>
        </w:rPr>
        <w:t xml:space="preserve">Obtaining a license is essential </w:t>
      </w:r>
      <w:r w:rsidR="00504488" w:rsidRPr="00270D93">
        <w:rPr>
          <w:rFonts w:ascii="Arial" w:hAnsi="Arial" w:cs="Arial"/>
          <w:color w:val="000000" w:themeColor="text1"/>
          <w:sz w:val="24"/>
          <w:szCs w:val="24"/>
        </w:rPr>
        <w:t xml:space="preserve">in order to legally use that material or process in developing </w:t>
      </w:r>
      <w:r w:rsidR="00700DBE" w:rsidRPr="00270D93">
        <w:rPr>
          <w:rFonts w:ascii="Arial" w:hAnsi="Arial" w:cs="Arial"/>
          <w:color w:val="000000" w:themeColor="text1"/>
          <w:sz w:val="24"/>
          <w:szCs w:val="24"/>
        </w:rPr>
        <w:t>commercial products</w:t>
      </w:r>
      <w:r w:rsidRPr="00270D93">
        <w:rPr>
          <w:rFonts w:ascii="Arial" w:hAnsi="Arial" w:cs="Arial"/>
          <w:color w:val="000000" w:themeColor="text1"/>
          <w:sz w:val="24"/>
          <w:szCs w:val="24"/>
        </w:rPr>
        <w:t>.</w:t>
      </w:r>
    </w:p>
    <w:p w14:paraId="1FFD43B9" w14:textId="77777777" w:rsidR="00FF492D" w:rsidRDefault="00735F29">
      <w:pPr>
        <w:widowControl w:val="0"/>
        <w:spacing w:line="480" w:lineRule="atLeast"/>
        <w:rPr>
          <w:rFonts w:ascii="Arial" w:hAnsi="Arial" w:cs="Arial"/>
          <w:sz w:val="24"/>
          <w:szCs w:val="24"/>
        </w:rPr>
      </w:pPr>
      <w:r>
        <w:rPr>
          <w:rFonts w:ascii="Arial" w:hAnsi="Arial" w:cs="Arial"/>
          <w:sz w:val="24"/>
          <w:szCs w:val="24"/>
        </w:rPr>
        <w:tab/>
        <w:t>The transaction costs of negotiating for a license are als</w:t>
      </w:r>
      <w:r w:rsidR="00D76D5E">
        <w:rPr>
          <w:rFonts w:ascii="Arial" w:hAnsi="Arial" w:cs="Arial"/>
          <w:sz w:val="24"/>
          <w:szCs w:val="24"/>
        </w:rPr>
        <w:t>o substantial.  H</w:t>
      </w:r>
      <w:r>
        <w:rPr>
          <w:rFonts w:ascii="Arial" w:hAnsi="Arial" w:cs="Arial"/>
          <w:sz w:val="24"/>
          <w:szCs w:val="24"/>
        </w:rPr>
        <w:t>ow many and which of the licensee’s employees can use the licensed product, commercial utilization by a non-profit organization of a license</w:t>
      </w:r>
      <w:r w:rsidR="009E2003">
        <w:rPr>
          <w:rFonts w:ascii="Arial" w:hAnsi="Arial" w:cs="Arial"/>
          <w:sz w:val="24"/>
          <w:szCs w:val="24"/>
        </w:rPr>
        <w:t>,</w:t>
      </w:r>
      <w:r>
        <w:rPr>
          <w:rFonts w:ascii="Arial" w:hAnsi="Arial" w:cs="Arial"/>
          <w:sz w:val="24"/>
          <w:szCs w:val="24"/>
        </w:rPr>
        <w:t xml:space="preserve"> and the use of licensed material in </w:t>
      </w:r>
      <w:r>
        <w:rPr>
          <w:rFonts w:ascii="Arial" w:hAnsi="Arial" w:cs="Arial"/>
          <w:sz w:val="24"/>
          <w:szCs w:val="24"/>
        </w:rPr>
        <w:lastRenderedPageBreak/>
        <w:t>research sponsored by another organization</w:t>
      </w:r>
      <w:r w:rsidR="00D76D5E">
        <w:rPr>
          <w:rFonts w:ascii="Arial" w:hAnsi="Arial" w:cs="Arial"/>
          <w:sz w:val="24"/>
          <w:szCs w:val="24"/>
        </w:rPr>
        <w:t xml:space="preserve"> are some examples of issues</w:t>
      </w:r>
      <w:r>
        <w:rPr>
          <w:rFonts w:ascii="Arial" w:hAnsi="Arial" w:cs="Arial"/>
          <w:sz w:val="24"/>
          <w:szCs w:val="24"/>
        </w:rPr>
        <w:t xml:space="preserve"> to be addressed in negotiation.</w:t>
      </w:r>
      <w:r>
        <w:rPr>
          <w:rStyle w:val="FootnoteReference"/>
          <w:rFonts w:ascii="Arial" w:hAnsi="Arial" w:cs="Arial"/>
          <w:sz w:val="24"/>
          <w:szCs w:val="24"/>
        </w:rPr>
        <w:footnoteReference w:id="85"/>
      </w:r>
      <w:r>
        <w:rPr>
          <w:rFonts w:ascii="Arial" w:hAnsi="Arial" w:cs="Arial"/>
          <w:sz w:val="24"/>
          <w:szCs w:val="24"/>
        </w:rPr>
        <w:t xml:space="preserve">  Some licensors may grant a license only for a specific study or experiment, and if the patent covers subject matter that may lead to other new inventions, then the patent holder may wish to reserve rights in the subsequent inventions.</w:t>
      </w:r>
      <w:r>
        <w:rPr>
          <w:rStyle w:val="FootnoteReference"/>
          <w:rFonts w:ascii="Arial" w:hAnsi="Arial" w:cs="Arial"/>
          <w:sz w:val="24"/>
          <w:szCs w:val="24"/>
        </w:rPr>
        <w:footnoteReference w:id="86"/>
      </w:r>
      <w:r>
        <w:rPr>
          <w:rFonts w:ascii="Arial" w:hAnsi="Arial" w:cs="Arial"/>
          <w:sz w:val="24"/>
          <w:szCs w:val="24"/>
        </w:rPr>
        <w:t xml:space="preserve">  These are referred to as “reach through” rights.</w:t>
      </w:r>
      <w:r>
        <w:rPr>
          <w:rStyle w:val="FootnoteReference"/>
          <w:rFonts w:ascii="Arial" w:hAnsi="Arial" w:cs="Arial"/>
          <w:sz w:val="24"/>
          <w:szCs w:val="24"/>
        </w:rPr>
        <w:footnoteReference w:id="87"/>
      </w:r>
      <w:r>
        <w:rPr>
          <w:rFonts w:ascii="Arial" w:hAnsi="Arial" w:cs="Arial"/>
          <w:sz w:val="24"/>
          <w:szCs w:val="24"/>
        </w:rPr>
        <w:t xml:space="preserve">  </w:t>
      </w:r>
    </w:p>
    <w:p w14:paraId="521BE447" w14:textId="77777777" w:rsidR="00735F29" w:rsidRDefault="00735F29" w:rsidP="00FF492D">
      <w:pPr>
        <w:widowControl w:val="0"/>
        <w:spacing w:line="480" w:lineRule="atLeast"/>
        <w:ind w:firstLine="720"/>
        <w:rPr>
          <w:rFonts w:ascii="Arial" w:hAnsi="Arial" w:cs="Arial"/>
          <w:sz w:val="24"/>
          <w:szCs w:val="24"/>
        </w:rPr>
      </w:pPr>
      <w:r>
        <w:rPr>
          <w:rFonts w:ascii="Arial" w:hAnsi="Arial" w:cs="Arial"/>
          <w:sz w:val="24"/>
          <w:szCs w:val="24"/>
        </w:rPr>
        <w:t xml:space="preserve">Additionally, these rights must be </w:t>
      </w:r>
      <w:r w:rsidR="00FF492D">
        <w:rPr>
          <w:rFonts w:ascii="Arial" w:hAnsi="Arial" w:cs="Arial"/>
          <w:sz w:val="24"/>
          <w:szCs w:val="24"/>
        </w:rPr>
        <w:t xml:space="preserve">specifically </w:t>
      </w:r>
      <w:r>
        <w:rPr>
          <w:rFonts w:ascii="Arial" w:hAnsi="Arial" w:cs="Arial"/>
          <w:sz w:val="24"/>
          <w:szCs w:val="24"/>
        </w:rPr>
        <w:t>determined.  The original patent holder</w:t>
      </w:r>
      <w:r w:rsidR="00270D93">
        <w:rPr>
          <w:rFonts w:ascii="Arial" w:hAnsi="Arial" w:cs="Arial"/>
          <w:sz w:val="24"/>
          <w:szCs w:val="24"/>
        </w:rPr>
        <w:t xml:space="preserve">, for example, </w:t>
      </w:r>
      <w:r>
        <w:rPr>
          <w:rFonts w:ascii="Arial" w:hAnsi="Arial" w:cs="Arial"/>
          <w:sz w:val="24"/>
          <w:szCs w:val="24"/>
        </w:rPr>
        <w:t xml:space="preserve">may have </w:t>
      </w:r>
      <w:r w:rsidR="00270D93">
        <w:rPr>
          <w:rFonts w:ascii="Arial" w:hAnsi="Arial" w:cs="Arial"/>
          <w:sz w:val="24"/>
          <w:szCs w:val="24"/>
        </w:rPr>
        <w:t xml:space="preserve">reach through </w:t>
      </w:r>
      <w:r>
        <w:rPr>
          <w:rFonts w:ascii="Arial" w:hAnsi="Arial" w:cs="Arial"/>
          <w:sz w:val="24"/>
          <w:szCs w:val="24"/>
        </w:rPr>
        <w:t>proprietary rights i</w:t>
      </w:r>
      <w:r w:rsidR="00FF492D">
        <w:rPr>
          <w:rFonts w:ascii="Arial" w:hAnsi="Arial" w:cs="Arial"/>
          <w:sz w:val="24"/>
          <w:szCs w:val="24"/>
        </w:rPr>
        <w:t xml:space="preserve">n the </w:t>
      </w:r>
      <w:r w:rsidR="00270D93">
        <w:rPr>
          <w:rFonts w:ascii="Arial" w:hAnsi="Arial" w:cs="Arial"/>
          <w:sz w:val="24"/>
          <w:szCs w:val="24"/>
        </w:rPr>
        <w:t xml:space="preserve">licensee’s </w:t>
      </w:r>
      <w:r w:rsidR="00FF492D">
        <w:rPr>
          <w:rFonts w:ascii="Arial" w:hAnsi="Arial" w:cs="Arial"/>
          <w:sz w:val="24"/>
          <w:szCs w:val="24"/>
        </w:rPr>
        <w:t xml:space="preserve">new invention or may have </w:t>
      </w:r>
      <w:r>
        <w:rPr>
          <w:rFonts w:ascii="Arial" w:hAnsi="Arial" w:cs="Arial"/>
          <w:sz w:val="24"/>
          <w:szCs w:val="24"/>
        </w:rPr>
        <w:t>use or license</w:t>
      </w:r>
      <w:r w:rsidR="00FF492D">
        <w:rPr>
          <w:rFonts w:ascii="Arial" w:hAnsi="Arial" w:cs="Arial"/>
          <w:sz w:val="24"/>
          <w:szCs w:val="24"/>
        </w:rPr>
        <w:t xml:space="preserve"> </w:t>
      </w:r>
      <w:r>
        <w:rPr>
          <w:rFonts w:ascii="Arial" w:hAnsi="Arial" w:cs="Arial"/>
          <w:sz w:val="24"/>
          <w:szCs w:val="24"/>
        </w:rPr>
        <w:t>rights</w:t>
      </w:r>
      <w:r w:rsidR="00FF492D">
        <w:rPr>
          <w:rFonts w:ascii="Arial" w:hAnsi="Arial" w:cs="Arial"/>
          <w:sz w:val="24"/>
          <w:szCs w:val="24"/>
        </w:rPr>
        <w:t xml:space="preserve"> from another patent holder.  Determining</w:t>
      </w:r>
      <w:r w:rsidR="00CF0FA1">
        <w:rPr>
          <w:rFonts w:ascii="Arial" w:hAnsi="Arial" w:cs="Arial"/>
          <w:sz w:val="24"/>
          <w:szCs w:val="24"/>
        </w:rPr>
        <w:t xml:space="preserve"> rights is often</w:t>
      </w:r>
      <w:r>
        <w:rPr>
          <w:rFonts w:ascii="Arial" w:hAnsi="Arial" w:cs="Arial"/>
          <w:sz w:val="24"/>
          <w:szCs w:val="24"/>
        </w:rPr>
        <w:t xml:space="preserve"> a protracted process.  A commercial innovator who is negotiating with numerous patent holders may be faced</w:t>
      </w:r>
      <w:r w:rsidR="009E2003">
        <w:rPr>
          <w:rFonts w:ascii="Arial" w:hAnsi="Arial" w:cs="Arial"/>
          <w:sz w:val="24"/>
          <w:szCs w:val="24"/>
        </w:rPr>
        <w:t xml:space="preserve"> with</w:t>
      </w:r>
      <w:r>
        <w:rPr>
          <w:rFonts w:ascii="Arial" w:hAnsi="Arial" w:cs="Arial"/>
          <w:sz w:val="24"/>
          <w:szCs w:val="24"/>
        </w:rPr>
        <w:t xml:space="preserve"> multiple “reach through” demands.</w:t>
      </w:r>
      <w:r>
        <w:rPr>
          <w:rStyle w:val="FootnoteReference"/>
          <w:rFonts w:ascii="Arial" w:hAnsi="Arial" w:cs="Arial"/>
          <w:sz w:val="24"/>
          <w:szCs w:val="24"/>
        </w:rPr>
        <w:footnoteReference w:id="88"/>
      </w:r>
      <w:r>
        <w:rPr>
          <w:rFonts w:ascii="Arial" w:hAnsi="Arial" w:cs="Arial"/>
          <w:sz w:val="24"/>
          <w:szCs w:val="24"/>
        </w:rPr>
        <w:t xml:space="preserve">  In such situations, the demands may be conflicting or impossible for the licensee to fulfill.  By themselves, the transaction costs of negotiating often deter patent holders and potential innovators from negotiating license agreements.  </w:t>
      </w:r>
    </w:p>
    <w:p w14:paraId="13115861"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The transaction costs of basic research can cause a fairly straightforward license agreement </w:t>
      </w:r>
      <w:r w:rsidR="00FF492D">
        <w:rPr>
          <w:rFonts w:ascii="Arial" w:hAnsi="Arial" w:cs="Arial"/>
          <w:sz w:val="24"/>
          <w:szCs w:val="24"/>
        </w:rPr>
        <w:t xml:space="preserve">negotiation </w:t>
      </w:r>
      <w:r>
        <w:rPr>
          <w:rFonts w:ascii="Arial" w:hAnsi="Arial" w:cs="Arial"/>
          <w:sz w:val="24"/>
          <w:szCs w:val="24"/>
        </w:rPr>
        <w:t>to drag on or fail completely.</w:t>
      </w:r>
      <w:r>
        <w:rPr>
          <w:rStyle w:val="FootnoteReference"/>
          <w:rFonts w:ascii="Arial" w:hAnsi="Arial" w:cs="Arial"/>
          <w:sz w:val="24"/>
          <w:szCs w:val="24"/>
        </w:rPr>
        <w:footnoteReference w:id="89"/>
      </w:r>
      <w:r>
        <w:rPr>
          <w:rFonts w:ascii="Arial" w:hAnsi="Arial" w:cs="Arial"/>
          <w:sz w:val="24"/>
          <w:szCs w:val="24"/>
        </w:rPr>
        <w:t xml:space="preserve">  License agreements can </w:t>
      </w:r>
      <w:r w:rsidR="00FF492D">
        <w:rPr>
          <w:rFonts w:ascii="Arial" w:hAnsi="Arial" w:cs="Arial"/>
          <w:sz w:val="24"/>
          <w:szCs w:val="24"/>
        </w:rPr>
        <w:t xml:space="preserve">also </w:t>
      </w:r>
      <w:r>
        <w:rPr>
          <w:rFonts w:ascii="Arial" w:hAnsi="Arial" w:cs="Arial"/>
          <w:sz w:val="24"/>
          <w:szCs w:val="24"/>
        </w:rPr>
        <w:t>fail because of the impatience of the parties or their lack of understanding of the legal requirements.  The National Institutes of Health (NIH) Wor</w:t>
      </w:r>
      <w:r w:rsidR="00EA3CAA">
        <w:rPr>
          <w:rFonts w:ascii="Arial" w:hAnsi="Arial" w:cs="Arial"/>
          <w:sz w:val="24"/>
          <w:szCs w:val="24"/>
        </w:rPr>
        <w:t>king Group on Research Tools</w:t>
      </w:r>
      <w:r>
        <w:rPr>
          <w:rFonts w:ascii="Arial" w:hAnsi="Arial" w:cs="Arial"/>
          <w:sz w:val="24"/>
          <w:szCs w:val="24"/>
        </w:rPr>
        <w:t xml:space="preserve"> observed that </w:t>
      </w:r>
      <w:proofErr w:type="gramStart"/>
      <w:r w:rsidR="004D7747">
        <w:rPr>
          <w:rFonts w:ascii="Arial" w:hAnsi="Arial" w:cs="Arial"/>
          <w:sz w:val="24"/>
          <w:szCs w:val="24"/>
        </w:rPr>
        <w:t xml:space="preserve">generally </w:t>
      </w:r>
      <w:r>
        <w:rPr>
          <w:rFonts w:ascii="Arial" w:hAnsi="Arial" w:cs="Arial"/>
          <w:sz w:val="24"/>
          <w:szCs w:val="24"/>
        </w:rPr>
        <w:t>scientists</w:t>
      </w:r>
      <w:proofErr w:type="gramEnd"/>
      <w:r>
        <w:rPr>
          <w:rFonts w:ascii="Arial" w:hAnsi="Arial" w:cs="Arial"/>
          <w:sz w:val="24"/>
          <w:szCs w:val="24"/>
        </w:rPr>
        <w:t xml:space="preserve"> are not very sophisticated in interpreting the intricacies and possible legal ramifications of licensing agreements, even after consultation with their own representatives.</w:t>
      </w:r>
      <w:r>
        <w:rPr>
          <w:rStyle w:val="FootnoteReference"/>
          <w:rFonts w:ascii="Arial" w:hAnsi="Arial" w:cs="Arial"/>
          <w:sz w:val="24"/>
          <w:szCs w:val="24"/>
        </w:rPr>
        <w:footnoteReference w:id="90"/>
      </w:r>
      <w:r>
        <w:rPr>
          <w:rFonts w:ascii="Arial" w:hAnsi="Arial" w:cs="Arial"/>
          <w:sz w:val="24"/>
          <w:szCs w:val="24"/>
        </w:rPr>
        <w:t xml:space="preserve">  Such misunderstandings can drive up transaction costs.</w:t>
      </w:r>
    </w:p>
    <w:p w14:paraId="1B7839E3" w14:textId="77777777" w:rsidR="00735F29" w:rsidRDefault="00735F29">
      <w:pPr>
        <w:widowControl w:val="0"/>
        <w:spacing w:line="480" w:lineRule="atLeast"/>
        <w:rPr>
          <w:rFonts w:ascii="Arial" w:hAnsi="Arial" w:cs="Arial"/>
          <w:sz w:val="24"/>
          <w:szCs w:val="24"/>
        </w:rPr>
      </w:pPr>
      <w:r>
        <w:rPr>
          <w:rFonts w:ascii="Arial" w:hAnsi="Arial" w:cs="Arial"/>
          <w:sz w:val="24"/>
          <w:szCs w:val="24"/>
        </w:rPr>
        <w:lastRenderedPageBreak/>
        <w:tab/>
        <w:t>If an innovator requires more than one license, the costs increase substantially.</w:t>
      </w:r>
      <w:r>
        <w:rPr>
          <w:rStyle w:val="FootnoteReference"/>
          <w:rFonts w:ascii="Arial" w:hAnsi="Arial" w:cs="Arial"/>
          <w:sz w:val="24"/>
          <w:szCs w:val="24"/>
        </w:rPr>
        <w:footnoteReference w:id="91"/>
      </w:r>
      <w:r>
        <w:rPr>
          <w:rFonts w:ascii="Arial" w:hAnsi="Arial" w:cs="Arial"/>
          <w:sz w:val="24"/>
          <w:szCs w:val="24"/>
        </w:rPr>
        <w:t xml:space="preserve">  If a pharmaceutical company, for example, wants to develop a commercially available treatm</w:t>
      </w:r>
      <w:r w:rsidR="009E2003">
        <w:rPr>
          <w:rFonts w:ascii="Arial" w:hAnsi="Arial" w:cs="Arial"/>
          <w:sz w:val="24"/>
          <w:szCs w:val="24"/>
        </w:rPr>
        <w:t>ent for a genetic disorder,</w:t>
      </w:r>
      <w:r>
        <w:rPr>
          <w:rFonts w:ascii="Arial" w:hAnsi="Arial" w:cs="Arial"/>
          <w:sz w:val="24"/>
          <w:szCs w:val="24"/>
        </w:rPr>
        <w:t xml:space="preserve"> it will need multiple licenses for certain gene fragments called expressed s</w:t>
      </w:r>
      <w:r w:rsidR="009E2003">
        <w:rPr>
          <w:rFonts w:ascii="Arial" w:hAnsi="Arial" w:cs="Arial"/>
          <w:sz w:val="24"/>
          <w:szCs w:val="24"/>
        </w:rPr>
        <w:t>equence tags or ESTs.  T</w:t>
      </w:r>
      <w:r>
        <w:rPr>
          <w:rFonts w:ascii="Arial" w:hAnsi="Arial" w:cs="Arial"/>
          <w:sz w:val="24"/>
          <w:szCs w:val="24"/>
        </w:rPr>
        <w:t xml:space="preserve">hese ESTs may </w:t>
      </w:r>
      <w:r w:rsidR="009E2003">
        <w:rPr>
          <w:rFonts w:ascii="Arial" w:hAnsi="Arial" w:cs="Arial"/>
          <w:sz w:val="24"/>
          <w:szCs w:val="24"/>
        </w:rPr>
        <w:t xml:space="preserve">each </w:t>
      </w:r>
      <w:r>
        <w:rPr>
          <w:rFonts w:ascii="Arial" w:hAnsi="Arial" w:cs="Arial"/>
          <w:sz w:val="24"/>
          <w:szCs w:val="24"/>
        </w:rPr>
        <w:t>be patented by different entities.</w:t>
      </w:r>
      <w:r>
        <w:rPr>
          <w:rStyle w:val="FootnoteReference"/>
          <w:rFonts w:ascii="Arial" w:hAnsi="Arial" w:cs="Arial"/>
          <w:sz w:val="24"/>
          <w:szCs w:val="24"/>
        </w:rPr>
        <w:footnoteReference w:id="92"/>
      </w:r>
      <w:r>
        <w:rPr>
          <w:rFonts w:ascii="Arial" w:hAnsi="Arial" w:cs="Arial"/>
          <w:sz w:val="24"/>
          <w:szCs w:val="24"/>
        </w:rPr>
        <w:t xml:space="preserve">  Prohibitive transaction costs in such cases may stifle the development and commercialization of these socially beneficial products.</w:t>
      </w:r>
      <w:r>
        <w:rPr>
          <w:rStyle w:val="FootnoteReference"/>
          <w:rFonts w:ascii="Arial" w:hAnsi="Arial" w:cs="Arial"/>
          <w:sz w:val="24"/>
          <w:szCs w:val="24"/>
        </w:rPr>
        <w:footnoteReference w:id="93"/>
      </w:r>
      <w:r>
        <w:rPr>
          <w:rFonts w:ascii="Arial" w:hAnsi="Arial" w:cs="Arial"/>
          <w:sz w:val="24"/>
          <w:szCs w:val="24"/>
        </w:rPr>
        <w:t xml:space="preserve"> Additionally, the fragmentation of proprietary rights into pieces too small to combine efficiently creates an “</w:t>
      </w:r>
      <w:proofErr w:type="spellStart"/>
      <w:r>
        <w:rPr>
          <w:rFonts w:ascii="Arial" w:hAnsi="Arial" w:cs="Arial"/>
          <w:sz w:val="24"/>
          <w:szCs w:val="24"/>
        </w:rPr>
        <w:t>anticommons</w:t>
      </w:r>
      <w:proofErr w:type="spellEnd"/>
      <w:r>
        <w:rPr>
          <w:rFonts w:ascii="Arial" w:hAnsi="Arial" w:cs="Arial"/>
          <w:sz w:val="24"/>
          <w:szCs w:val="24"/>
        </w:rPr>
        <w:t>,” or underutilization of a resource.</w:t>
      </w:r>
      <w:r>
        <w:rPr>
          <w:rStyle w:val="FootnoteReference"/>
          <w:rFonts w:ascii="Arial" w:hAnsi="Arial" w:cs="Arial"/>
          <w:sz w:val="24"/>
          <w:szCs w:val="24"/>
        </w:rPr>
        <w:footnoteReference w:id="94"/>
      </w:r>
      <w:r>
        <w:rPr>
          <w:rFonts w:ascii="Arial" w:hAnsi="Arial" w:cs="Arial"/>
          <w:sz w:val="24"/>
          <w:szCs w:val="24"/>
        </w:rPr>
        <w:t xml:space="preserve">  </w:t>
      </w:r>
    </w:p>
    <w:p w14:paraId="6E51793A"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Some innovators</w:t>
      </w:r>
      <w:r w:rsidR="009663B0">
        <w:rPr>
          <w:rFonts w:ascii="Arial" w:hAnsi="Arial" w:cs="Arial"/>
          <w:sz w:val="24"/>
          <w:szCs w:val="24"/>
        </w:rPr>
        <w:t xml:space="preserve"> in other fields</w:t>
      </w:r>
      <w:r>
        <w:rPr>
          <w:rFonts w:ascii="Arial" w:hAnsi="Arial" w:cs="Arial"/>
          <w:sz w:val="24"/>
          <w:szCs w:val="24"/>
        </w:rPr>
        <w:t>, however, have developed institutional responses to such situations in order to lowe</w:t>
      </w:r>
      <w:r w:rsidR="00EA3CAA">
        <w:rPr>
          <w:rFonts w:ascii="Arial" w:hAnsi="Arial" w:cs="Arial"/>
          <w:sz w:val="24"/>
          <w:szCs w:val="24"/>
        </w:rPr>
        <w:t>r the transaction costs.  To reduce copyright transaction costs</w:t>
      </w:r>
      <w:r>
        <w:rPr>
          <w:rFonts w:ascii="Arial" w:hAnsi="Arial" w:cs="Arial"/>
          <w:sz w:val="24"/>
          <w:szCs w:val="24"/>
        </w:rPr>
        <w:t>,</w:t>
      </w:r>
      <w:r w:rsidR="00EA3CAA">
        <w:rPr>
          <w:rFonts w:ascii="Arial" w:hAnsi="Arial" w:cs="Arial"/>
          <w:sz w:val="24"/>
          <w:szCs w:val="24"/>
        </w:rPr>
        <w:t xml:space="preserve"> for example,</w:t>
      </w:r>
      <w:r>
        <w:rPr>
          <w:rFonts w:ascii="Arial" w:hAnsi="Arial" w:cs="Arial"/>
          <w:sz w:val="24"/>
          <w:szCs w:val="24"/>
        </w:rPr>
        <w:t xml:space="preserve"> ASCAP, a music performing rights organization, has developed a copyright collective to pool songwriters’ resources in negotiations music publishers.</w:t>
      </w:r>
      <w:r>
        <w:rPr>
          <w:rStyle w:val="FootnoteReference"/>
          <w:rFonts w:ascii="Arial" w:hAnsi="Arial" w:cs="Arial"/>
          <w:sz w:val="24"/>
          <w:szCs w:val="24"/>
        </w:rPr>
        <w:footnoteReference w:id="95"/>
      </w:r>
      <w:r>
        <w:rPr>
          <w:rFonts w:ascii="Arial" w:hAnsi="Arial" w:cs="Arial"/>
          <w:sz w:val="24"/>
          <w:szCs w:val="24"/>
        </w:rPr>
        <w:t xml:space="preserve">  Another example is the MPEG-2 compression technology patent pool which negotiates licenses with various patent holders</w:t>
      </w:r>
      <w:r w:rsidR="00242B57">
        <w:rPr>
          <w:rFonts w:ascii="Arial" w:hAnsi="Arial" w:cs="Arial"/>
          <w:sz w:val="24"/>
          <w:szCs w:val="24"/>
        </w:rPr>
        <w:t xml:space="preserve"> to reduce transaction costs</w:t>
      </w:r>
      <w:r w:rsidR="009663B0">
        <w:rPr>
          <w:rFonts w:ascii="Arial" w:hAnsi="Arial" w:cs="Arial"/>
          <w:sz w:val="24"/>
          <w:szCs w:val="24"/>
        </w:rPr>
        <w:t xml:space="preserve"> for innovators</w:t>
      </w:r>
      <w:r>
        <w:rPr>
          <w:rFonts w:ascii="Arial" w:hAnsi="Arial" w:cs="Arial"/>
          <w:sz w:val="24"/>
          <w:szCs w:val="24"/>
        </w:rPr>
        <w:t>.</w:t>
      </w:r>
      <w:r>
        <w:rPr>
          <w:rStyle w:val="FootnoteReference"/>
          <w:rFonts w:ascii="Arial" w:hAnsi="Arial" w:cs="Arial"/>
          <w:sz w:val="24"/>
          <w:szCs w:val="24"/>
        </w:rPr>
        <w:footnoteReference w:id="96"/>
      </w:r>
      <w:r w:rsidR="00E765C1">
        <w:rPr>
          <w:rFonts w:ascii="Arial" w:hAnsi="Arial" w:cs="Arial"/>
          <w:sz w:val="24"/>
          <w:szCs w:val="24"/>
        </w:rPr>
        <w:t xml:space="preserve">  These types of institutional responses do not yet exist in the biomedical field.</w:t>
      </w:r>
    </w:p>
    <w:p w14:paraId="46A49603" w14:textId="77777777" w:rsidR="00961C65" w:rsidRDefault="00961C65">
      <w:pPr>
        <w:widowControl w:val="0"/>
        <w:spacing w:line="480" w:lineRule="atLeast"/>
        <w:rPr>
          <w:rFonts w:ascii="Arial" w:hAnsi="Arial" w:cs="Arial"/>
          <w:sz w:val="24"/>
          <w:szCs w:val="24"/>
        </w:rPr>
      </w:pPr>
      <w:r>
        <w:rPr>
          <w:rFonts w:ascii="Arial" w:hAnsi="Arial" w:cs="Arial"/>
          <w:sz w:val="24"/>
          <w:szCs w:val="24"/>
        </w:rPr>
        <w:tab/>
        <w:t>The most expensive</w:t>
      </w:r>
      <w:r w:rsidR="00735F29">
        <w:rPr>
          <w:rFonts w:ascii="Arial" w:hAnsi="Arial" w:cs="Arial"/>
          <w:sz w:val="24"/>
          <w:szCs w:val="24"/>
        </w:rPr>
        <w:t xml:space="preserve"> aspect of holding or licensing a paten</w:t>
      </w:r>
      <w:r>
        <w:rPr>
          <w:rFonts w:ascii="Arial" w:hAnsi="Arial" w:cs="Arial"/>
          <w:sz w:val="24"/>
          <w:szCs w:val="24"/>
        </w:rPr>
        <w:t>t is legal enforcement of patent</w:t>
      </w:r>
      <w:r w:rsidR="00735F29">
        <w:rPr>
          <w:rFonts w:ascii="Arial" w:hAnsi="Arial" w:cs="Arial"/>
          <w:sz w:val="24"/>
          <w:szCs w:val="24"/>
        </w:rPr>
        <w:t xml:space="preserve"> rights.</w:t>
      </w:r>
      <w:r w:rsidR="00735F29">
        <w:rPr>
          <w:rStyle w:val="FootnoteReference"/>
          <w:rFonts w:ascii="Arial" w:hAnsi="Arial" w:cs="Arial"/>
          <w:sz w:val="24"/>
          <w:szCs w:val="24"/>
        </w:rPr>
        <w:footnoteReference w:id="97"/>
      </w:r>
      <w:r w:rsidR="00735F29">
        <w:rPr>
          <w:rFonts w:ascii="Arial" w:hAnsi="Arial" w:cs="Arial"/>
          <w:sz w:val="24"/>
          <w:szCs w:val="24"/>
        </w:rPr>
        <w:t xml:space="preserve">  Even the possibility of litigation generates </w:t>
      </w:r>
      <w:r>
        <w:rPr>
          <w:rFonts w:ascii="Arial" w:hAnsi="Arial" w:cs="Arial"/>
          <w:sz w:val="24"/>
          <w:szCs w:val="24"/>
        </w:rPr>
        <w:t>substantial costs for the patent holder or</w:t>
      </w:r>
      <w:r w:rsidR="00735F29">
        <w:rPr>
          <w:rFonts w:ascii="Arial" w:hAnsi="Arial" w:cs="Arial"/>
          <w:sz w:val="24"/>
          <w:szCs w:val="24"/>
        </w:rPr>
        <w:t xml:space="preserve"> potential licensee.  One study has indicated that in more than half of corporations with less than 500 employees, the cost of intellectual property litigation is </w:t>
      </w:r>
      <w:r w:rsidR="00735F29">
        <w:rPr>
          <w:rFonts w:ascii="Arial" w:hAnsi="Arial" w:cs="Arial"/>
          <w:sz w:val="24"/>
          <w:szCs w:val="24"/>
        </w:rPr>
        <w:lastRenderedPageBreak/>
        <w:t>the most important factor in planning research and is a major concern in one-third of the larger companies.</w:t>
      </w:r>
      <w:r w:rsidR="00735F29">
        <w:rPr>
          <w:rStyle w:val="FootnoteReference"/>
          <w:rFonts w:ascii="Arial" w:hAnsi="Arial" w:cs="Arial"/>
          <w:sz w:val="24"/>
          <w:szCs w:val="24"/>
        </w:rPr>
        <w:footnoteReference w:id="98"/>
      </w:r>
      <w:r w:rsidR="00735F29">
        <w:rPr>
          <w:rFonts w:ascii="Arial" w:hAnsi="Arial" w:cs="Arial"/>
          <w:sz w:val="24"/>
          <w:szCs w:val="24"/>
        </w:rPr>
        <w:t xml:space="preserve">  </w:t>
      </w:r>
    </w:p>
    <w:p w14:paraId="331BD951" w14:textId="77777777" w:rsidR="00735F29" w:rsidRDefault="00735F29" w:rsidP="00961C65">
      <w:pPr>
        <w:widowControl w:val="0"/>
        <w:spacing w:line="480" w:lineRule="atLeast"/>
        <w:ind w:firstLine="720"/>
        <w:rPr>
          <w:rFonts w:ascii="Arial" w:hAnsi="Arial" w:cs="Arial"/>
          <w:sz w:val="24"/>
          <w:szCs w:val="24"/>
        </w:rPr>
      </w:pPr>
      <w:r>
        <w:rPr>
          <w:rFonts w:ascii="Arial" w:hAnsi="Arial" w:cs="Arial"/>
          <w:sz w:val="24"/>
          <w:szCs w:val="24"/>
        </w:rPr>
        <w:t xml:space="preserve">In addition to the direct costs of enforcement, many indirect </w:t>
      </w:r>
      <w:r w:rsidR="009663B0">
        <w:rPr>
          <w:rFonts w:ascii="Arial" w:hAnsi="Arial" w:cs="Arial"/>
          <w:sz w:val="24"/>
          <w:szCs w:val="24"/>
        </w:rPr>
        <w:t xml:space="preserve">legal </w:t>
      </w:r>
      <w:r>
        <w:rPr>
          <w:rFonts w:ascii="Arial" w:hAnsi="Arial" w:cs="Arial"/>
          <w:sz w:val="24"/>
          <w:szCs w:val="24"/>
        </w:rPr>
        <w:t xml:space="preserve">costs </w:t>
      </w:r>
      <w:r w:rsidR="00961C65">
        <w:rPr>
          <w:rFonts w:ascii="Arial" w:hAnsi="Arial" w:cs="Arial"/>
          <w:sz w:val="24"/>
          <w:szCs w:val="24"/>
        </w:rPr>
        <w:t xml:space="preserve">also </w:t>
      </w:r>
      <w:r>
        <w:rPr>
          <w:rFonts w:ascii="Arial" w:hAnsi="Arial" w:cs="Arial"/>
          <w:sz w:val="24"/>
          <w:szCs w:val="24"/>
        </w:rPr>
        <w:t>arise.  Discovery requests g</w:t>
      </w:r>
      <w:r w:rsidR="00961C65">
        <w:rPr>
          <w:rFonts w:ascii="Arial" w:hAnsi="Arial" w:cs="Arial"/>
          <w:sz w:val="24"/>
          <w:szCs w:val="24"/>
        </w:rPr>
        <w:t>enerate opportunity costs</w:t>
      </w:r>
      <w:r>
        <w:rPr>
          <w:rFonts w:ascii="Arial" w:hAnsi="Arial" w:cs="Arial"/>
          <w:sz w:val="24"/>
          <w:szCs w:val="24"/>
        </w:rPr>
        <w:t xml:space="preserve"> </w:t>
      </w:r>
      <w:r w:rsidR="00961C65">
        <w:rPr>
          <w:rFonts w:ascii="Arial" w:hAnsi="Arial" w:cs="Arial"/>
          <w:sz w:val="24"/>
          <w:szCs w:val="24"/>
        </w:rPr>
        <w:t xml:space="preserve">for corporate </w:t>
      </w:r>
      <w:r>
        <w:rPr>
          <w:rFonts w:ascii="Arial" w:hAnsi="Arial" w:cs="Arial"/>
          <w:sz w:val="24"/>
          <w:szCs w:val="24"/>
        </w:rPr>
        <w:t xml:space="preserve">management and employees.  Announcement of a lawsuit </w:t>
      </w:r>
      <w:r w:rsidR="00961C65">
        <w:rPr>
          <w:rFonts w:ascii="Arial" w:hAnsi="Arial" w:cs="Arial"/>
          <w:sz w:val="24"/>
          <w:szCs w:val="24"/>
        </w:rPr>
        <w:t>can adversely affect</w:t>
      </w:r>
      <w:r>
        <w:rPr>
          <w:rFonts w:ascii="Arial" w:hAnsi="Arial" w:cs="Arial"/>
          <w:sz w:val="24"/>
          <w:szCs w:val="24"/>
        </w:rPr>
        <w:t xml:space="preserve"> the price of the involved parties’ stock, which </w:t>
      </w:r>
      <w:r w:rsidR="00961C65">
        <w:rPr>
          <w:rFonts w:ascii="Arial" w:hAnsi="Arial" w:cs="Arial"/>
          <w:sz w:val="24"/>
          <w:szCs w:val="24"/>
        </w:rPr>
        <w:t>could result</w:t>
      </w:r>
      <w:r>
        <w:rPr>
          <w:rFonts w:ascii="Arial" w:hAnsi="Arial" w:cs="Arial"/>
          <w:sz w:val="24"/>
          <w:szCs w:val="24"/>
        </w:rPr>
        <w:t xml:space="preserve"> in a </w:t>
      </w:r>
      <w:r w:rsidR="001B1E04">
        <w:rPr>
          <w:rFonts w:ascii="Arial" w:hAnsi="Arial" w:cs="Arial"/>
          <w:sz w:val="24"/>
          <w:szCs w:val="24"/>
        </w:rPr>
        <w:t>reduction of the corporation’s real value</w:t>
      </w:r>
      <w:r>
        <w:rPr>
          <w:rFonts w:ascii="Arial" w:hAnsi="Arial" w:cs="Arial"/>
          <w:sz w:val="24"/>
          <w:szCs w:val="24"/>
        </w:rPr>
        <w:t>.</w:t>
      </w:r>
      <w:r>
        <w:rPr>
          <w:rStyle w:val="FootnoteReference"/>
          <w:rFonts w:ascii="Arial" w:hAnsi="Arial" w:cs="Arial"/>
          <w:sz w:val="24"/>
          <w:szCs w:val="24"/>
        </w:rPr>
        <w:footnoteReference w:id="99"/>
      </w:r>
      <w:r w:rsidR="001B1E04">
        <w:rPr>
          <w:rFonts w:ascii="Arial" w:hAnsi="Arial" w:cs="Arial"/>
          <w:sz w:val="24"/>
          <w:szCs w:val="24"/>
        </w:rPr>
        <w:t xml:space="preserve">  Since there </w:t>
      </w:r>
      <w:r w:rsidR="00236845">
        <w:rPr>
          <w:rFonts w:ascii="Arial" w:hAnsi="Arial" w:cs="Arial"/>
          <w:sz w:val="24"/>
          <w:szCs w:val="24"/>
        </w:rPr>
        <w:t>exists</w:t>
      </w:r>
      <w:r w:rsidR="009E2003">
        <w:rPr>
          <w:rFonts w:ascii="Arial" w:hAnsi="Arial" w:cs="Arial"/>
          <w:sz w:val="24"/>
          <w:szCs w:val="24"/>
        </w:rPr>
        <w:t xml:space="preserve"> ”</w:t>
      </w:r>
      <w:r w:rsidR="00236845">
        <w:rPr>
          <w:rFonts w:ascii="Arial" w:hAnsi="Arial" w:cs="Arial"/>
          <w:sz w:val="24"/>
          <w:szCs w:val="24"/>
        </w:rPr>
        <w:t>…</w:t>
      </w:r>
      <w:r>
        <w:rPr>
          <w:rFonts w:ascii="Arial" w:hAnsi="Arial" w:cs="Arial"/>
          <w:sz w:val="24"/>
          <w:szCs w:val="24"/>
        </w:rPr>
        <w:t>an affirmative duty to exercise due care to determine whether or not {they are} infringing” upon another’s patent, willful infringement may</w:t>
      </w:r>
      <w:r w:rsidR="0098104B">
        <w:rPr>
          <w:rFonts w:ascii="Arial" w:hAnsi="Arial" w:cs="Arial"/>
          <w:sz w:val="24"/>
          <w:szCs w:val="24"/>
        </w:rPr>
        <w:t xml:space="preserve"> expose</w:t>
      </w:r>
      <w:r>
        <w:rPr>
          <w:rFonts w:ascii="Arial" w:hAnsi="Arial" w:cs="Arial"/>
          <w:sz w:val="24"/>
          <w:szCs w:val="24"/>
        </w:rPr>
        <w:t xml:space="preserve"> a party</w:t>
      </w:r>
      <w:r w:rsidR="0098104B">
        <w:rPr>
          <w:rFonts w:ascii="Arial" w:hAnsi="Arial" w:cs="Arial"/>
          <w:sz w:val="24"/>
          <w:szCs w:val="24"/>
        </w:rPr>
        <w:t xml:space="preserve"> to</w:t>
      </w:r>
      <w:r>
        <w:rPr>
          <w:rFonts w:ascii="Arial" w:hAnsi="Arial" w:cs="Arial"/>
          <w:sz w:val="24"/>
          <w:szCs w:val="24"/>
        </w:rPr>
        <w:t xml:space="preserve"> liab</w:t>
      </w:r>
      <w:r w:rsidR="00652D05">
        <w:rPr>
          <w:rFonts w:ascii="Arial" w:hAnsi="Arial" w:cs="Arial"/>
          <w:sz w:val="24"/>
          <w:szCs w:val="24"/>
        </w:rPr>
        <w:t>ility</w:t>
      </w:r>
      <w:r>
        <w:rPr>
          <w:rFonts w:ascii="Arial" w:hAnsi="Arial" w:cs="Arial"/>
          <w:sz w:val="24"/>
          <w:szCs w:val="24"/>
        </w:rPr>
        <w:t xml:space="preserve"> for enhanced damages and attorney’s fees.</w:t>
      </w:r>
      <w:r>
        <w:rPr>
          <w:rStyle w:val="FootnoteReference"/>
          <w:rFonts w:ascii="Arial" w:hAnsi="Arial" w:cs="Arial"/>
          <w:sz w:val="24"/>
          <w:szCs w:val="24"/>
        </w:rPr>
        <w:footnoteReference w:id="100"/>
      </w:r>
    </w:p>
    <w:p w14:paraId="4E6CC54D"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Negotiation between patent holders and potential licensees can terminate for reasons </w:t>
      </w:r>
      <w:r w:rsidR="001B1E04">
        <w:rPr>
          <w:rFonts w:ascii="Arial" w:hAnsi="Arial" w:cs="Arial"/>
          <w:sz w:val="24"/>
          <w:szCs w:val="24"/>
        </w:rPr>
        <w:t>other than transaction costs.  I</w:t>
      </w:r>
      <w:r>
        <w:rPr>
          <w:rFonts w:ascii="Arial" w:hAnsi="Arial" w:cs="Arial"/>
          <w:sz w:val="24"/>
          <w:szCs w:val="24"/>
        </w:rPr>
        <w:t>mportant problematic factor</w:t>
      </w:r>
      <w:r w:rsidR="001B1E04">
        <w:rPr>
          <w:rFonts w:ascii="Arial" w:hAnsi="Arial" w:cs="Arial"/>
          <w:sz w:val="24"/>
          <w:szCs w:val="24"/>
        </w:rPr>
        <w:t>s</w:t>
      </w:r>
      <w:r>
        <w:rPr>
          <w:rFonts w:ascii="Arial" w:hAnsi="Arial" w:cs="Arial"/>
          <w:sz w:val="24"/>
          <w:szCs w:val="24"/>
        </w:rPr>
        <w:t xml:space="preserve"> </w:t>
      </w:r>
      <w:r w:rsidR="001B1E04">
        <w:rPr>
          <w:rFonts w:ascii="Arial" w:hAnsi="Arial" w:cs="Arial"/>
          <w:sz w:val="24"/>
          <w:szCs w:val="24"/>
        </w:rPr>
        <w:t xml:space="preserve">in </w:t>
      </w:r>
      <w:r w:rsidR="009663B0">
        <w:rPr>
          <w:rFonts w:ascii="Arial" w:hAnsi="Arial" w:cs="Arial"/>
          <w:sz w:val="24"/>
          <w:szCs w:val="24"/>
        </w:rPr>
        <w:t xml:space="preserve">using </w:t>
      </w:r>
      <w:r w:rsidR="001B1E04">
        <w:rPr>
          <w:rFonts w:ascii="Arial" w:hAnsi="Arial" w:cs="Arial"/>
          <w:sz w:val="24"/>
          <w:szCs w:val="24"/>
        </w:rPr>
        <w:t>basic research are assessing</w:t>
      </w:r>
      <w:r>
        <w:rPr>
          <w:rFonts w:ascii="Arial" w:hAnsi="Arial" w:cs="Arial"/>
          <w:sz w:val="24"/>
          <w:szCs w:val="24"/>
        </w:rPr>
        <w:t xml:space="preserve"> uncertainty as opposed to risk.  </w:t>
      </w:r>
      <w:r w:rsidR="001B1E04">
        <w:rPr>
          <w:rFonts w:ascii="Arial" w:hAnsi="Arial" w:cs="Arial"/>
          <w:sz w:val="24"/>
          <w:szCs w:val="24"/>
        </w:rPr>
        <w:t>Uncertainty is an inability to predict certain probabilities.</w:t>
      </w:r>
      <w:r w:rsidR="001B1E04">
        <w:rPr>
          <w:rStyle w:val="FootnoteReference"/>
          <w:rFonts w:ascii="Arial" w:hAnsi="Arial" w:cs="Arial"/>
          <w:sz w:val="24"/>
          <w:szCs w:val="24"/>
        </w:rPr>
        <w:footnoteReference w:id="101"/>
      </w:r>
      <w:r w:rsidR="001B1E04">
        <w:rPr>
          <w:rFonts w:ascii="Arial" w:hAnsi="Arial" w:cs="Arial"/>
          <w:sz w:val="24"/>
          <w:szCs w:val="24"/>
        </w:rPr>
        <w:t xml:space="preserve">  </w:t>
      </w:r>
      <w:r>
        <w:rPr>
          <w:rFonts w:ascii="Arial" w:hAnsi="Arial" w:cs="Arial"/>
          <w:sz w:val="24"/>
          <w:szCs w:val="24"/>
        </w:rPr>
        <w:t>Assessment of risk involves determining the probabilities that certain events will or will not occur.</w:t>
      </w:r>
      <w:r>
        <w:rPr>
          <w:rStyle w:val="FootnoteReference"/>
          <w:rFonts w:ascii="Arial" w:hAnsi="Arial" w:cs="Arial"/>
          <w:sz w:val="24"/>
          <w:szCs w:val="24"/>
        </w:rPr>
        <w:footnoteReference w:id="102"/>
      </w:r>
      <w:r w:rsidR="00723D78">
        <w:rPr>
          <w:rFonts w:ascii="Arial" w:hAnsi="Arial" w:cs="Arial"/>
          <w:sz w:val="24"/>
          <w:szCs w:val="24"/>
        </w:rPr>
        <w:t xml:space="preserve">  Potential licensees must assess uncertainty and determine</w:t>
      </w:r>
      <w:r>
        <w:rPr>
          <w:rFonts w:ascii="Arial" w:hAnsi="Arial" w:cs="Arial"/>
          <w:sz w:val="24"/>
          <w:szCs w:val="24"/>
        </w:rPr>
        <w:t xml:space="preserve"> risk associated with additional research and development of a product and estimate their transaction costs.  </w:t>
      </w:r>
    </w:p>
    <w:p w14:paraId="3DDA02C0" w14:textId="77777777" w:rsidR="00735F29" w:rsidRDefault="00CF0FA1">
      <w:pPr>
        <w:widowControl w:val="0"/>
        <w:spacing w:line="480" w:lineRule="atLeast"/>
        <w:ind w:firstLine="720"/>
        <w:rPr>
          <w:rFonts w:ascii="Arial" w:hAnsi="Arial" w:cs="Arial"/>
          <w:sz w:val="24"/>
          <w:szCs w:val="24"/>
        </w:rPr>
      </w:pPr>
      <w:r>
        <w:rPr>
          <w:rFonts w:ascii="Arial" w:hAnsi="Arial" w:cs="Arial"/>
          <w:sz w:val="24"/>
          <w:szCs w:val="24"/>
        </w:rPr>
        <w:t>Once un</w:t>
      </w:r>
      <w:r w:rsidR="00EE0E0A">
        <w:rPr>
          <w:rFonts w:ascii="Arial" w:hAnsi="Arial" w:cs="Arial"/>
          <w:sz w:val="24"/>
          <w:szCs w:val="24"/>
        </w:rPr>
        <w:t>certainty and risk are</w:t>
      </w:r>
      <w:r>
        <w:rPr>
          <w:rFonts w:ascii="Arial" w:hAnsi="Arial" w:cs="Arial"/>
          <w:sz w:val="24"/>
          <w:szCs w:val="24"/>
        </w:rPr>
        <w:t xml:space="preserve"> assessed, transaction </w:t>
      </w:r>
      <w:r w:rsidR="00735F29">
        <w:rPr>
          <w:rFonts w:ascii="Arial" w:hAnsi="Arial" w:cs="Arial"/>
          <w:sz w:val="24"/>
          <w:szCs w:val="24"/>
        </w:rPr>
        <w:t xml:space="preserve">costs can </w:t>
      </w:r>
      <w:r w:rsidR="00E765C1">
        <w:rPr>
          <w:rFonts w:ascii="Arial" w:hAnsi="Arial" w:cs="Arial"/>
          <w:sz w:val="24"/>
          <w:szCs w:val="24"/>
        </w:rPr>
        <w:t xml:space="preserve">usually </w:t>
      </w:r>
      <w:r w:rsidR="00735F29">
        <w:rPr>
          <w:rFonts w:ascii="Arial" w:hAnsi="Arial" w:cs="Arial"/>
          <w:sz w:val="24"/>
          <w:szCs w:val="24"/>
        </w:rPr>
        <w:t>then be</w:t>
      </w:r>
      <w:r w:rsidR="00E765C1">
        <w:rPr>
          <w:rFonts w:ascii="Arial" w:hAnsi="Arial" w:cs="Arial"/>
          <w:sz w:val="24"/>
          <w:szCs w:val="24"/>
        </w:rPr>
        <w:t xml:space="preserve"> determined</w:t>
      </w:r>
      <w:r w:rsidR="00735F29">
        <w:rPr>
          <w:rFonts w:ascii="Arial" w:hAnsi="Arial" w:cs="Arial"/>
          <w:sz w:val="24"/>
          <w:szCs w:val="24"/>
        </w:rPr>
        <w:t xml:space="preserve"> when negotiating </w:t>
      </w:r>
      <w:r w:rsidR="00E765C1">
        <w:rPr>
          <w:rFonts w:ascii="Arial" w:hAnsi="Arial" w:cs="Arial"/>
          <w:sz w:val="24"/>
          <w:szCs w:val="24"/>
        </w:rPr>
        <w:t>the</w:t>
      </w:r>
      <w:r w:rsidR="00735F29">
        <w:rPr>
          <w:rFonts w:ascii="Arial" w:hAnsi="Arial" w:cs="Arial"/>
          <w:sz w:val="24"/>
          <w:szCs w:val="24"/>
        </w:rPr>
        <w:t xml:space="preserve"> li</w:t>
      </w:r>
      <w:r w:rsidR="00EE0E0A">
        <w:rPr>
          <w:rFonts w:ascii="Arial" w:hAnsi="Arial" w:cs="Arial"/>
          <w:sz w:val="24"/>
          <w:szCs w:val="24"/>
        </w:rPr>
        <w:t>cense with the patent holder.  However, s</w:t>
      </w:r>
      <w:r w:rsidR="00735F29">
        <w:rPr>
          <w:rFonts w:ascii="Arial" w:hAnsi="Arial" w:cs="Arial"/>
          <w:sz w:val="24"/>
          <w:szCs w:val="24"/>
        </w:rPr>
        <w:t>ome patented research is so basic that the possible com</w:t>
      </w:r>
      <w:r w:rsidR="00EE0E0A">
        <w:rPr>
          <w:rFonts w:ascii="Arial" w:hAnsi="Arial" w:cs="Arial"/>
          <w:sz w:val="24"/>
          <w:szCs w:val="24"/>
        </w:rPr>
        <w:t>mercial potential is unknown or</w:t>
      </w:r>
      <w:r w:rsidR="00735F29">
        <w:rPr>
          <w:rFonts w:ascii="Arial" w:hAnsi="Arial" w:cs="Arial"/>
          <w:sz w:val="24"/>
          <w:szCs w:val="24"/>
        </w:rPr>
        <w:t xml:space="preserve"> u</w:t>
      </w:r>
      <w:r w:rsidR="00EE0E0A">
        <w:rPr>
          <w:rFonts w:ascii="Arial" w:hAnsi="Arial" w:cs="Arial"/>
          <w:sz w:val="24"/>
          <w:szCs w:val="24"/>
        </w:rPr>
        <w:t>nknowable, so uncertainty is the major factor</w:t>
      </w:r>
      <w:r w:rsidR="00735F29">
        <w:rPr>
          <w:rFonts w:ascii="Arial" w:hAnsi="Arial" w:cs="Arial"/>
          <w:sz w:val="24"/>
          <w:szCs w:val="24"/>
        </w:rPr>
        <w:t xml:space="preserve"> in the bargaining process of transferring proprietary rights.</w:t>
      </w:r>
      <w:r w:rsidR="00735F29">
        <w:rPr>
          <w:rStyle w:val="FootnoteReference"/>
          <w:rFonts w:ascii="Arial" w:hAnsi="Arial" w:cs="Arial"/>
          <w:sz w:val="24"/>
          <w:szCs w:val="24"/>
        </w:rPr>
        <w:footnoteReference w:id="103"/>
      </w:r>
      <w:r w:rsidR="00735F29">
        <w:rPr>
          <w:rFonts w:ascii="Arial" w:hAnsi="Arial" w:cs="Arial"/>
          <w:sz w:val="24"/>
          <w:szCs w:val="24"/>
        </w:rPr>
        <w:t xml:space="preserve">  Usually, the more basic the research, the more uncertainty that </w:t>
      </w:r>
      <w:r w:rsidR="00735F29">
        <w:rPr>
          <w:rFonts w:ascii="Arial" w:hAnsi="Arial" w:cs="Arial"/>
          <w:sz w:val="24"/>
          <w:szCs w:val="24"/>
        </w:rPr>
        <w:lastRenderedPageBreak/>
        <w:t xml:space="preserve">exists concerning its future value and commercial viability.  If, for example, a gene fragment has been patented and the function of that fragment and the gene sequence is unknown, then uncertainty arises concerning whether or not a commercially viable product can be developed from the results of this basic research.  </w:t>
      </w:r>
      <w:r w:rsidR="00E765C1">
        <w:rPr>
          <w:rFonts w:ascii="Arial" w:hAnsi="Arial" w:cs="Arial"/>
          <w:sz w:val="24"/>
          <w:szCs w:val="24"/>
        </w:rPr>
        <w:t>Required knowledge</w:t>
      </w:r>
      <w:r w:rsidR="00735F29">
        <w:rPr>
          <w:rFonts w:ascii="Arial" w:hAnsi="Arial" w:cs="Arial"/>
          <w:sz w:val="24"/>
          <w:szCs w:val="24"/>
        </w:rPr>
        <w:t xml:space="preserve"> is how the gene functions, malfunctions, </w:t>
      </w:r>
      <w:r w:rsidR="00EE0E0A">
        <w:rPr>
          <w:rFonts w:ascii="Arial" w:hAnsi="Arial" w:cs="Arial"/>
          <w:sz w:val="24"/>
          <w:szCs w:val="24"/>
        </w:rPr>
        <w:t xml:space="preserve">its </w:t>
      </w:r>
      <w:r w:rsidR="00735F29">
        <w:rPr>
          <w:rFonts w:ascii="Arial" w:hAnsi="Arial" w:cs="Arial"/>
          <w:sz w:val="24"/>
          <w:szCs w:val="24"/>
        </w:rPr>
        <w:t>linkages to specific diseases</w:t>
      </w:r>
      <w:r w:rsidR="009E2003">
        <w:rPr>
          <w:rFonts w:ascii="Arial" w:hAnsi="Arial" w:cs="Arial"/>
          <w:sz w:val="24"/>
          <w:szCs w:val="24"/>
        </w:rPr>
        <w:t>,</w:t>
      </w:r>
      <w:r w:rsidR="00735F29">
        <w:rPr>
          <w:rFonts w:ascii="Arial" w:hAnsi="Arial" w:cs="Arial"/>
          <w:sz w:val="24"/>
          <w:szCs w:val="24"/>
        </w:rPr>
        <w:t xml:space="preserve"> and what pharmaceutical compounds can reverse or neutralize the gene’s malfunction</w:t>
      </w:r>
      <w:r w:rsidR="00EE0E0A">
        <w:rPr>
          <w:rFonts w:ascii="Arial" w:hAnsi="Arial" w:cs="Arial"/>
          <w:sz w:val="24"/>
          <w:szCs w:val="24"/>
        </w:rPr>
        <w:t>s</w:t>
      </w:r>
      <w:r w:rsidR="002C166D">
        <w:rPr>
          <w:rFonts w:ascii="Arial" w:hAnsi="Arial" w:cs="Arial"/>
          <w:sz w:val="24"/>
          <w:szCs w:val="24"/>
        </w:rPr>
        <w:t xml:space="preserve">.  The </w:t>
      </w:r>
      <w:r w:rsidR="00735F29">
        <w:rPr>
          <w:rFonts w:ascii="Arial" w:hAnsi="Arial" w:cs="Arial"/>
          <w:sz w:val="24"/>
          <w:szCs w:val="24"/>
        </w:rPr>
        <w:t>discovery of the</w:t>
      </w:r>
      <w:r w:rsidR="002C166D">
        <w:rPr>
          <w:rFonts w:ascii="Arial" w:hAnsi="Arial" w:cs="Arial"/>
          <w:sz w:val="24"/>
          <w:szCs w:val="24"/>
        </w:rPr>
        <w:t>se</w:t>
      </w:r>
      <w:r w:rsidR="00735F29">
        <w:rPr>
          <w:rFonts w:ascii="Arial" w:hAnsi="Arial" w:cs="Arial"/>
          <w:sz w:val="24"/>
          <w:szCs w:val="24"/>
        </w:rPr>
        <w:t xml:space="preserve"> pharmaceutical compound</w:t>
      </w:r>
      <w:r w:rsidR="002C166D">
        <w:rPr>
          <w:rFonts w:ascii="Arial" w:hAnsi="Arial" w:cs="Arial"/>
          <w:sz w:val="24"/>
          <w:szCs w:val="24"/>
        </w:rPr>
        <w:t>s</w:t>
      </w:r>
      <w:r w:rsidR="00735F29">
        <w:rPr>
          <w:rFonts w:ascii="Arial" w:hAnsi="Arial" w:cs="Arial"/>
          <w:sz w:val="24"/>
          <w:szCs w:val="24"/>
        </w:rPr>
        <w:t xml:space="preserve"> </w:t>
      </w:r>
      <w:r w:rsidR="002C166D">
        <w:rPr>
          <w:rFonts w:ascii="Arial" w:hAnsi="Arial" w:cs="Arial"/>
          <w:sz w:val="24"/>
          <w:szCs w:val="24"/>
        </w:rPr>
        <w:t>is very important in providing</w:t>
      </w:r>
      <w:r w:rsidR="00735F29">
        <w:rPr>
          <w:rFonts w:ascii="Arial" w:hAnsi="Arial" w:cs="Arial"/>
          <w:sz w:val="24"/>
          <w:szCs w:val="24"/>
        </w:rPr>
        <w:t xml:space="preserve"> commercial benefits to the licensee.  In negotiating a license, the future value of the patent, if any, is difficult for the parties to negotiate or agree upon.</w:t>
      </w:r>
      <w:r w:rsidR="00735F29">
        <w:rPr>
          <w:rStyle w:val="FootnoteReference"/>
          <w:rFonts w:ascii="Arial" w:hAnsi="Arial" w:cs="Arial"/>
          <w:sz w:val="24"/>
          <w:szCs w:val="24"/>
        </w:rPr>
        <w:footnoteReference w:id="104"/>
      </w:r>
      <w:r w:rsidR="00735F29">
        <w:rPr>
          <w:rFonts w:ascii="Arial" w:hAnsi="Arial" w:cs="Arial"/>
          <w:sz w:val="24"/>
          <w:szCs w:val="24"/>
        </w:rPr>
        <w:t xml:space="preserve">  Some licenses will eventually be worth a substantial investment, but most will not.</w:t>
      </w:r>
      <w:r w:rsidR="00735F29">
        <w:rPr>
          <w:rStyle w:val="FootnoteReference"/>
          <w:rFonts w:ascii="Arial" w:hAnsi="Arial" w:cs="Arial"/>
          <w:sz w:val="24"/>
          <w:szCs w:val="24"/>
        </w:rPr>
        <w:footnoteReference w:id="105"/>
      </w:r>
      <w:r w:rsidR="00735F29">
        <w:rPr>
          <w:rFonts w:ascii="Arial" w:hAnsi="Arial" w:cs="Arial"/>
          <w:sz w:val="24"/>
          <w:szCs w:val="24"/>
        </w:rPr>
        <w:t xml:space="preserve"> </w:t>
      </w:r>
    </w:p>
    <w:p w14:paraId="6FA8492D" w14:textId="77777777" w:rsidR="002C166D" w:rsidRDefault="00735F29">
      <w:pPr>
        <w:widowControl w:val="0"/>
        <w:spacing w:line="480" w:lineRule="atLeast"/>
        <w:rPr>
          <w:rFonts w:ascii="Arial" w:hAnsi="Arial" w:cs="Arial"/>
          <w:sz w:val="24"/>
          <w:szCs w:val="24"/>
        </w:rPr>
      </w:pPr>
      <w:r>
        <w:rPr>
          <w:rFonts w:ascii="Arial" w:hAnsi="Arial" w:cs="Arial"/>
          <w:sz w:val="24"/>
          <w:szCs w:val="24"/>
        </w:rPr>
        <w:tab/>
        <w:t>Bargaining is also influenced by other factors.  The bargaining process can terminate or break down when the parties subjectively perceive the value of the patent differently.  The patent holder may del</w:t>
      </w:r>
      <w:r w:rsidR="002C166D">
        <w:rPr>
          <w:rFonts w:ascii="Arial" w:hAnsi="Arial" w:cs="Arial"/>
          <w:sz w:val="24"/>
          <w:szCs w:val="24"/>
        </w:rPr>
        <w:t xml:space="preserve">iberately withhold information </w:t>
      </w:r>
      <w:r>
        <w:rPr>
          <w:rFonts w:ascii="Arial" w:hAnsi="Arial" w:cs="Arial"/>
          <w:sz w:val="24"/>
          <w:szCs w:val="24"/>
        </w:rPr>
        <w:t>concerning how to make or reproduce the invention, even though patent law requires that the patent holder provide the licensee with “…a written description of the invention, and of the manner and process of making and using it, in such full, clear, concise and exact terms…” to allow others to reproduce it.</w:t>
      </w:r>
      <w:r>
        <w:rPr>
          <w:rStyle w:val="FootnoteReference"/>
          <w:rFonts w:ascii="Arial" w:hAnsi="Arial" w:cs="Arial"/>
          <w:sz w:val="24"/>
          <w:szCs w:val="24"/>
        </w:rPr>
        <w:footnoteReference w:id="106"/>
      </w:r>
      <w:r>
        <w:rPr>
          <w:rFonts w:ascii="Arial" w:hAnsi="Arial" w:cs="Arial"/>
          <w:sz w:val="24"/>
          <w:szCs w:val="24"/>
        </w:rPr>
        <w:t xml:space="preserve">  Patent holders </w:t>
      </w:r>
      <w:r w:rsidR="009663B0">
        <w:rPr>
          <w:rFonts w:ascii="Arial" w:hAnsi="Arial" w:cs="Arial"/>
          <w:sz w:val="24"/>
          <w:szCs w:val="24"/>
        </w:rPr>
        <w:t xml:space="preserve">may </w:t>
      </w:r>
      <w:r>
        <w:rPr>
          <w:rFonts w:ascii="Arial" w:hAnsi="Arial" w:cs="Arial"/>
          <w:sz w:val="24"/>
          <w:szCs w:val="24"/>
        </w:rPr>
        <w:t>withhold this information because they are aware that competitors will closely examine the subject matter of the patent in an attempt to develop their own products.  Patent holders who withhold information, however, run the risk of having their entire patent invalidated by the PTO or a court.</w:t>
      </w:r>
      <w:r>
        <w:rPr>
          <w:rStyle w:val="FootnoteReference"/>
          <w:rFonts w:ascii="Arial" w:hAnsi="Arial" w:cs="Arial"/>
          <w:sz w:val="24"/>
          <w:szCs w:val="24"/>
        </w:rPr>
        <w:footnoteReference w:id="107"/>
      </w:r>
      <w:r>
        <w:rPr>
          <w:rFonts w:ascii="Arial" w:hAnsi="Arial" w:cs="Arial"/>
          <w:sz w:val="24"/>
          <w:szCs w:val="24"/>
        </w:rPr>
        <w:t xml:space="preserve">  Since this punishment is so severe, instances of this type of actionable behavior are rare.</w:t>
      </w:r>
      <w:r>
        <w:rPr>
          <w:rStyle w:val="FootnoteReference"/>
          <w:rFonts w:ascii="Arial" w:hAnsi="Arial" w:cs="Arial"/>
          <w:sz w:val="24"/>
          <w:szCs w:val="24"/>
        </w:rPr>
        <w:footnoteReference w:id="108"/>
      </w:r>
      <w:r>
        <w:rPr>
          <w:rFonts w:ascii="Arial" w:hAnsi="Arial" w:cs="Arial"/>
          <w:sz w:val="24"/>
          <w:szCs w:val="24"/>
        </w:rPr>
        <w:t xml:space="preserve">  </w:t>
      </w:r>
    </w:p>
    <w:p w14:paraId="260C43DA" w14:textId="77777777" w:rsidR="00735F29" w:rsidRDefault="00735F29" w:rsidP="002C166D">
      <w:pPr>
        <w:widowControl w:val="0"/>
        <w:spacing w:line="480" w:lineRule="atLeast"/>
        <w:ind w:firstLine="720"/>
        <w:rPr>
          <w:rFonts w:ascii="Arial" w:hAnsi="Arial" w:cs="Arial"/>
          <w:sz w:val="24"/>
          <w:szCs w:val="24"/>
        </w:rPr>
      </w:pPr>
      <w:r>
        <w:rPr>
          <w:rFonts w:ascii="Arial" w:hAnsi="Arial" w:cs="Arial"/>
          <w:sz w:val="24"/>
          <w:szCs w:val="24"/>
        </w:rPr>
        <w:t xml:space="preserve">The incentive to be honest on a patent application is directly linked to the </w:t>
      </w:r>
      <w:r>
        <w:rPr>
          <w:rFonts w:ascii="Arial" w:hAnsi="Arial" w:cs="Arial"/>
          <w:sz w:val="24"/>
          <w:szCs w:val="24"/>
        </w:rPr>
        <w:lastRenderedPageBreak/>
        <w:t>perceived future commercial value of the patent’s subject matter.  The greater the anticipated profit from the patent, the greater the patent applicant’s incentive to be scrupulously honest and reveal all relevant information.  Even in cases of patented basic research</w:t>
      </w:r>
      <w:r w:rsidR="002C166D">
        <w:rPr>
          <w:rFonts w:ascii="Arial" w:hAnsi="Arial" w:cs="Arial"/>
          <w:sz w:val="24"/>
          <w:szCs w:val="24"/>
        </w:rPr>
        <w:t>,</w:t>
      </w:r>
      <w:r>
        <w:rPr>
          <w:rFonts w:ascii="Arial" w:hAnsi="Arial" w:cs="Arial"/>
          <w:sz w:val="24"/>
          <w:szCs w:val="24"/>
        </w:rPr>
        <w:t xml:space="preserve"> where all of the known information is disclosed, a great deal of unce</w:t>
      </w:r>
      <w:r w:rsidR="00CF2391">
        <w:rPr>
          <w:rFonts w:ascii="Arial" w:hAnsi="Arial" w:cs="Arial"/>
          <w:sz w:val="24"/>
          <w:szCs w:val="24"/>
        </w:rPr>
        <w:t>rtainty regarding</w:t>
      </w:r>
      <w:r>
        <w:rPr>
          <w:rFonts w:ascii="Arial" w:hAnsi="Arial" w:cs="Arial"/>
          <w:sz w:val="24"/>
          <w:szCs w:val="24"/>
        </w:rPr>
        <w:t xml:space="preserve"> the future value of the patent still exists.</w:t>
      </w:r>
    </w:p>
    <w:p w14:paraId="3F93C974"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The patent holder</w:t>
      </w:r>
      <w:r w:rsidR="00652D05">
        <w:rPr>
          <w:rFonts w:ascii="Arial" w:hAnsi="Arial" w:cs="Arial"/>
          <w:sz w:val="24"/>
          <w:szCs w:val="24"/>
        </w:rPr>
        <w:t xml:space="preserve"> </w:t>
      </w:r>
      <w:r>
        <w:rPr>
          <w:rFonts w:ascii="Arial" w:hAnsi="Arial" w:cs="Arial"/>
          <w:sz w:val="24"/>
          <w:szCs w:val="24"/>
        </w:rPr>
        <w:t xml:space="preserve">is </w:t>
      </w:r>
      <w:r w:rsidR="00652D05">
        <w:rPr>
          <w:rFonts w:ascii="Arial" w:hAnsi="Arial" w:cs="Arial"/>
          <w:sz w:val="24"/>
          <w:szCs w:val="24"/>
        </w:rPr>
        <w:t xml:space="preserve">usually </w:t>
      </w:r>
      <w:r>
        <w:rPr>
          <w:rFonts w:ascii="Arial" w:hAnsi="Arial" w:cs="Arial"/>
          <w:sz w:val="24"/>
          <w:szCs w:val="24"/>
        </w:rPr>
        <w:t xml:space="preserve">in a stronger bargaining position than </w:t>
      </w:r>
      <w:r w:rsidR="005677E5">
        <w:rPr>
          <w:rFonts w:ascii="Arial" w:hAnsi="Arial" w:cs="Arial"/>
          <w:sz w:val="24"/>
          <w:szCs w:val="24"/>
        </w:rPr>
        <w:t>the potential licensee.  Since i</w:t>
      </w:r>
      <w:r>
        <w:rPr>
          <w:rFonts w:ascii="Arial" w:hAnsi="Arial" w:cs="Arial"/>
          <w:sz w:val="24"/>
          <w:szCs w:val="24"/>
        </w:rPr>
        <w:t xml:space="preserve">nnovation </w:t>
      </w:r>
      <w:r w:rsidR="007131E0">
        <w:rPr>
          <w:rFonts w:ascii="Arial" w:hAnsi="Arial" w:cs="Arial"/>
          <w:sz w:val="24"/>
          <w:szCs w:val="24"/>
        </w:rPr>
        <w:t xml:space="preserve">involving patents </w:t>
      </w:r>
      <w:r>
        <w:rPr>
          <w:rFonts w:ascii="Arial" w:hAnsi="Arial" w:cs="Arial"/>
          <w:sz w:val="24"/>
          <w:szCs w:val="24"/>
        </w:rPr>
        <w:t xml:space="preserve">is </w:t>
      </w:r>
      <w:r w:rsidR="005677E5">
        <w:rPr>
          <w:rFonts w:ascii="Arial" w:hAnsi="Arial" w:cs="Arial"/>
          <w:sz w:val="24"/>
          <w:szCs w:val="24"/>
        </w:rPr>
        <w:t>usually cumulative, t</w:t>
      </w:r>
      <w:r w:rsidR="007131E0">
        <w:rPr>
          <w:rFonts w:ascii="Arial" w:hAnsi="Arial" w:cs="Arial"/>
          <w:sz w:val="24"/>
          <w:szCs w:val="24"/>
        </w:rPr>
        <w:t>his means that</w:t>
      </w:r>
      <w:r w:rsidR="006900C0">
        <w:rPr>
          <w:rFonts w:ascii="Arial" w:hAnsi="Arial" w:cs="Arial"/>
          <w:sz w:val="24"/>
          <w:szCs w:val="24"/>
        </w:rPr>
        <w:t xml:space="preserve"> many</w:t>
      </w:r>
      <w:r w:rsidR="007131E0">
        <w:rPr>
          <w:rFonts w:ascii="Arial" w:hAnsi="Arial" w:cs="Arial"/>
          <w:sz w:val="24"/>
          <w:szCs w:val="24"/>
        </w:rPr>
        <w:t xml:space="preserve"> i</w:t>
      </w:r>
      <w:r>
        <w:rPr>
          <w:rFonts w:ascii="Arial" w:hAnsi="Arial" w:cs="Arial"/>
          <w:sz w:val="24"/>
          <w:szCs w:val="24"/>
        </w:rPr>
        <w:t>nnovators rely upon previously patented material in order to develop new innovations.  If the negotiations between the parties fail, then the sufficiently capitalized patent holder</w:t>
      </w:r>
      <w:r w:rsidR="007131E0">
        <w:rPr>
          <w:rFonts w:ascii="Arial" w:hAnsi="Arial" w:cs="Arial"/>
          <w:sz w:val="24"/>
          <w:szCs w:val="24"/>
        </w:rPr>
        <w:t>s</w:t>
      </w:r>
      <w:r>
        <w:rPr>
          <w:rFonts w:ascii="Arial" w:hAnsi="Arial" w:cs="Arial"/>
          <w:sz w:val="24"/>
          <w:szCs w:val="24"/>
        </w:rPr>
        <w:t xml:space="preserve"> can always exercise the option of developing the basic research results into a commercially viable product</w:t>
      </w:r>
      <w:r w:rsidR="007131E0">
        <w:rPr>
          <w:rFonts w:ascii="Arial" w:hAnsi="Arial" w:cs="Arial"/>
          <w:sz w:val="24"/>
          <w:szCs w:val="24"/>
        </w:rPr>
        <w:t xml:space="preserve"> themselves</w:t>
      </w:r>
      <w:r>
        <w:rPr>
          <w:rFonts w:ascii="Arial" w:hAnsi="Arial" w:cs="Arial"/>
          <w:sz w:val="24"/>
          <w:szCs w:val="24"/>
        </w:rPr>
        <w:t>.</w:t>
      </w:r>
      <w:r>
        <w:rPr>
          <w:rStyle w:val="FootnoteReference"/>
          <w:rFonts w:ascii="Arial" w:hAnsi="Arial" w:cs="Arial"/>
          <w:sz w:val="24"/>
          <w:szCs w:val="24"/>
        </w:rPr>
        <w:footnoteReference w:id="109"/>
      </w:r>
      <w:r>
        <w:rPr>
          <w:rFonts w:ascii="Arial" w:hAnsi="Arial" w:cs="Arial"/>
          <w:sz w:val="24"/>
          <w:szCs w:val="24"/>
        </w:rPr>
        <w:t xml:space="preserve"> The potential licensee does not have this option available.  The choices available are either obtaining a license for similar patented basic research or attempting to develop the product without the patented material. </w:t>
      </w:r>
    </w:p>
    <w:p w14:paraId="23A43704"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An exception to this position is that of the patent holder who does not possess sufficient developmental resources and is subsequently more dependent upon licensing revenues.  This situation places the patent holder in a weaker bargaining position.</w:t>
      </w:r>
      <w:r>
        <w:rPr>
          <w:rStyle w:val="FootnoteReference"/>
          <w:rFonts w:ascii="Arial" w:hAnsi="Arial" w:cs="Arial"/>
          <w:sz w:val="24"/>
          <w:szCs w:val="24"/>
        </w:rPr>
        <w:footnoteReference w:id="110"/>
      </w:r>
      <w:r>
        <w:rPr>
          <w:rFonts w:ascii="Arial" w:hAnsi="Arial" w:cs="Arial"/>
          <w:sz w:val="24"/>
          <w:szCs w:val="24"/>
        </w:rPr>
        <w:t xml:space="preserve">  This party is, therefore, more motivated to avoid a breakdown of negotiations</w:t>
      </w:r>
    </w:p>
    <w:p w14:paraId="6DDF600E" w14:textId="77777777" w:rsidR="00A87206" w:rsidRDefault="00A87206" w:rsidP="00A87206">
      <w:pPr>
        <w:widowControl w:val="0"/>
        <w:spacing w:line="480" w:lineRule="atLeast"/>
        <w:ind w:firstLine="720"/>
        <w:rPr>
          <w:rFonts w:ascii="Arial" w:hAnsi="Arial" w:cs="Arial"/>
          <w:sz w:val="24"/>
          <w:szCs w:val="24"/>
        </w:rPr>
      </w:pPr>
      <w:r>
        <w:rPr>
          <w:rFonts w:ascii="Arial" w:hAnsi="Arial" w:cs="Arial"/>
          <w:sz w:val="24"/>
          <w:szCs w:val="24"/>
        </w:rPr>
        <w:t>Uncertainty also gives rise to the influence of bias in the negotiations between the parties.  A patent holder’s overvalued belief in the patent material, for example, may lead to attempts to overvalue the license during negotiations.</w:t>
      </w:r>
      <w:r>
        <w:rPr>
          <w:rStyle w:val="FootnoteReference"/>
          <w:rFonts w:ascii="Arial" w:hAnsi="Arial" w:cs="Arial"/>
          <w:sz w:val="24"/>
          <w:szCs w:val="24"/>
        </w:rPr>
        <w:footnoteReference w:id="111"/>
      </w:r>
      <w:r>
        <w:rPr>
          <w:rFonts w:ascii="Arial" w:hAnsi="Arial" w:cs="Arial"/>
          <w:sz w:val="24"/>
          <w:szCs w:val="24"/>
        </w:rPr>
        <w:t xml:space="preserve">  If the potential licensee is negotiating with a number of patent holders </w:t>
      </w:r>
      <w:r w:rsidR="00652D05">
        <w:rPr>
          <w:rFonts w:ascii="Arial" w:hAnsi="Arial" w:cs="Arial"/>
          <w:sz w:val="24"/>
          <w:szCs w:val="24"/>
        </w:rPr>
        <w:t>having</w:t>
      </w:r>
      <w:r>
        <w:rPr>
          <w:rFonts w:ascii="Arial" w:hAnsi="Arial" w:cs="Arial"/>
          <w:sz w:val="24"/>
          <w:szCs w:val="24"/>
        </w:rPr>
        <w:t xml:space="preserve"> similar beliefs, then these effects are usually cumulative.</w:t>
      </w:r>
      <w:r>
        <w:rPr>
          <w:rStyle w:val="FootnoteReference"/>
          <w:rFonts w:ascii="Arial" w:hAnsi="Arial" w:cs="Arial"/>
          <w:sz w:val="24"/>
          <w:szCs w:val="24"/>
        </w:rPr>
        <w:footnoteReference w:id="112"/>
      </w:r>
      <w:r>
        <w:rPr>
          <w:rFonts w:ascii="Arial" w:hAnsi="Arial" w:cs="Arial"/>
          <w:sz w:val="24"/>
          <w:szCs w:val="24"/>
        </w:rPr>
        <w:t xml:space="preserve">  Each party </w:t>
      </w:r>
      <w:r w:rsidR="00652D05">
        <w:rPr>
          <w:rFonts w:ascii="Arial" w:hAnsi="Arial" w:cs="Arial"/>
          <w:sz w:val="24"/>
          <w:szCs w:val="24"/>
        </w:rPr>
        <w:t>usual</w:t>
      </w:r>
      <w:r>
        <w:rPr>
          <w:rFonts w:ascii="Arial" w:hAnsi="Arial" w:cs="Arial"/>
          <w:sz w:val="24"/>
          <w:szCs w:val="24"/>
        </w:rPr>
        <w:t>ly</w:t>
      </w:r>
      <w:r w:rsidR="009636ED">
        <w:rPr>
          <w:rFonts w:ascii="Arial" w:hAnsi="Arial" w:cs="Arial"/>
          <w:sz w:val="24"/>
          <w:szCs w:val="24"/>
        </w:rPr>
        <w:t xml:space="preserve"> </w:t>
      </w:r>
      <w:r>
        <w:rPr>
          <w:rFonts w:ascii="Arial" w:hAnsi="Arial" w:cs="Arial"/>
          <w:sz w:val="24"/>
          <w:szCs w:val="24"/>
        </w:rPr>
        <w:t>overestimates his/her contribution to the venture and undere</w:t>
      </w:r>
      <w:r w:rsidR="009636ED">
        <w:rPr>
          <w:rFonts w:ascii="Arial" w:hAnsi="Arial" w:cs="Arial"/>
          <w:sz w:val="24"/>
          <w:szCs w:val="24"/>
        </w:rPr>
        <w:t>stimates the contribution of</w:t>
      </w:r>
      <w:r>
        <w:rPr>
          <w:rFonts w:ascii="Arial" w:hAnsi="Arial" w:cs="Arial"/>
          <w:sz w:val="24"/>
          <w:szCs w:val="24"/>
        </w:rPr>
        <w:t xml:space="preserve"> others.</w:t>
      </w:r>
    </w:p>
    <w:p w14:paraId="2D74DD7E" w14:textId="77777777" w:rsidR="00735F29" w:rsidRDefault="00735F29">
      <w:pPr>
        <w:widowControl w:val="0"/>
        <w:spacing w:line="480" w:lineRule="atLeast"/>
        <w:rPr>
          <w:rFonts w:ascii="Arial" w:hAnsi="Arial" w:cs="Arial"/>
          <w:sz w:val="24"/>
          <w:szCs w:val="24"/>
        </w:rPr>
      </w:pPr>
      <w:r>
        <w:rPr>
          <w:rFonts w:ascii="Arial" w:hAnsi="Arial" w:cs="Arial"/>
          <w:sz w:val="24"/>
          <w:szCs w:val="24"/>
        </w:rPr>
        <w:lastRenderedPageBreak/>
        <w:tab/>
      </w:r>
      <w:r w:rsidR="00A87206">
        <w:rPr>
          <w:rFonts w:ascii="Arial" w:hAnsi="Arial" w:cs="Arial"/>
          <w:sz w:val="24"/>
          <w:szCs w:val="24"/>
        </w:rPr>
        <w:t>In terms of negotiating parties</w:t>
      </w:r>
      <w:r w:rsidR="006900C0">
        <w:rPr>
          <w:rFonts w:ascii="Arial" w:hAnsi="Arial" w:cs="Arial"/>
          <w:sz w:val="24"/>
          <w:szCs w:val="24"/>
        </w:rPr>
        <w:t xml:space="preserve"> developing a new drug for instance</w:t>
      </w:r>
      <w:r w:rsidR="00A87206">
        <w:rPr>
          <w:rFonts w:ascii="Arial" w:hAnsi="Arial" w:cs="Arial"/>
          <w:sz w:val="24"/>
          <w:szCs w:val="24"/>
        </w:rPr>
        <w:t>, p</w:t>
      </w:r>
      <w:r>
        <w:rPr>
          <w:rFonts w:ascii="Arial" w:hAnsi="Arial" w:cs="Arial"/>
          <w:sz w:val="24"/>
          <w:szCs w:val="24"/>
        </w:rPr>
        <w:t xml:space="preserve">harmaceutical companies contribute most of the value to consumer marketed drugs.  In order to produce their products, these companies must acquire licenses on all of the underlying </w:t>
      </w:r>
      <w:r w:rsidR="00A87206">
        <w:rPr>
          <w:rFonts w:ascii="Arial" w:hAnsi="Arial" w:cs="Arial"/>
          <w:sz w:val="24"/>
          <w:szCs w:val="24"/>
        </w:rPr>
        <w:t xml:space="preserve">relevant </w:t>
      </w:r>
      <w:r>
        <w:rPr>
          <w:rFonts w:ascii="Arial" w:hAnsi="Arial" w:cs="Arial"/>
          <w:sz w:val="24"/>
          <w:szCs w:val="24"/>
        </w:rPr>
        <w:t>basic research patents in order to develop and market a finished consumer product.  This process often involves negotiating with more than one patent holder.  Since patents are subje</w:t>
      </w:r>
      <w:r w:rsidR="009636ED">
        <w:rPr>
          <w:rFonts w:ascii="Arial" w:hAnsi="Arial" w:cs="Arial"/>
          <w:sz w:val="24"/>
          <w:szCs w:val="24"/>
        </w:rPr>
        <w:t>ct to</w:t>
      </w:r>
      <w:r>
        <w:rPr>
          <w:rFonts w:ascii="Arial" w:hAnsi="Arial" w:cs="Arial"/>
          <w:sz w:val="24"/>
          <w:szCs w:val="24"/>
        </w:rPr>
        <w:t xml:space="preserve"> property</w:t>
      </w:r>
      <w:r w:rsidR="00A87206">
        <w:rPr>
          <w:rFonts w:ascii="Arial" w:hAnsi="Arial" w:cs="Arial"/>
          <w:sz w:val="24"/>
          <w:szCs w:val="24"/>
        </w:rPr>
        <w:t xml:space="preserve"> law</w:t>
      </w:r>
      <w:r>
        <w:rPr>
          <w:rFonts w:ascii="Arial" w:hAnsi="Arial" w:cs="Arial"/>
          <w:sz w:val="24"/>
          <w:szCs w:val="24"/>
        </w:rPr>
        <w:t>, rather than liability law, the initial patent holder in the chain has the power and the a</w:t>
      </w:r>
      <w:r w:rsidR="00A87206">
        <w:rPr>
          <w:rFonts w:ascii="Arial" w:hAnsi="Arial" w:cs="Arial"/>
          <w:sz w:val="24"/>
          <w:szCs w:val="24"/>
        </w:rPr>
        <w:t>bility to delay or terminate an</w:t>
      </w:r>
      <w:r>
        <w:rPr>
          <w:rFonts w:ascii="Arial" w:hAnsi="Arial" w:cs="Arial"/>
          <w:sz w:val="24"/>
          <w:szCs w:val="24"/>
        </w:rPr>
        <w:t xml:space="preserve"> entire chain of research.</w:t>
      </w:r>
    </w:p>
    <w:p w14:paraId="7761ED88" w14:textId="77777777" w:rsidR="00384403" w:rsidRDefault="00735F29" w:rsidP="00A87206">
      <w:pPr>
        <w:widowControl w:val="0"/>
        <w:spacing w:line="480" w:lineRule="atLeast"/>
        <w:rPr>
          <w:rFonts w:ascii="Arial" w:hAnsi="Arial" w:cs="Arial"/>
          <w:sz w:val="24"/>
          <w:szCs w:val="24"/>
        </w:rPr>
      </w:pPr>
      <w:r>
        <w:rPr>
          <w:rFonts w:ascii="Arial" w:hAnsi="Arial" w:cs="Arial"/>
          <w:sz w:val="24"/>
          <w:szCs w:val="24"/>
        </w:rPr>
        <w:tab/>
        <w:t>Despite all of these obstacles, licenses are granted frequently, includi</w:t>
      </w:r>
      <w:r w:rsidR="00A87206">
        <w:rPr>
          <w:rFonts w:ascii="Arial" w:hAnsi="Arial" w:cs="Arial"/>
          <w:sz w:val="24"/>
          <w:szCs w:val="24"/>
        </w:rPr>
        <w:t xml:space="preserve">ng patents on basic research.  Once the parties settle preliminary concerns, the issue </w:t>
      </w:r>
      <w:r w:rsidR="009636ED">
        <w:rPr>
          <w:rFonts w:ascii="Arial" w:hAnsi="Arial" w:cs="Arial"/>
          <w:sz w:val="24"/>
          <w:szCs w:val="24"/>
        </w:rPr>
        <w:t xml:space="preserve">then </w:t>
      </w:r>
      <w:r w:rsidR="00A87206">
        <w:rPr>
          <w:rFonts w:ascii="Arial" w:hAnsi="Arial" w:cs="Arial"/>
          <w:sz w:val="24"/>
          <w:szCs w:val="24"/>
        </w:rPr>
        <w:t xml:space="preserve">is </w:t>
      </w:r>
      <w:r>
        <w:rPr>
          <w:rFonts w:ascii="Arial" w:hAnsi="Arial" w:cs="Arial"/>
          <w:sz w:val="24"/>
          <w:szCs w:val="24"/>
        </w:rPr>
        <w:t>how the parties determine the va</w:t>
      </w:r>
      <w:r w:rsidR="00CF2391">
        <w:rPr>
          <w:rFonts w:ascii="Arial" w:hAnsi="Arial" w:cs="Arial"/>
          <w:sz w:val="24"/>
          <w:szCs w:val="24"/>
        </w:rPr>
        <w:t xml:space="preserve">lue </w:t>
      </w:r>
      <w:r>
        <w:rPr>
          <w:rFonts w:ascii="Arial" w:hAnsi="Arial" w:cs="Arial"/>
          <w:sz w:val="24"/>
          <w:szCs w:val="24"/>
        </w:rPr>
        <w:t>o</w:t>
      </w:r>
      <w:r w:rsidR="00CF2391">
        <w:rPr>
          <w:rFonts w:ascii="Arial" w:hAnsi="Arial" w:cs="Arial"/>
          <w:sz w:val="24"/>
          <w:szCs w:val="24"/>
        </w:rPr>
        <w:t>f</w:t>
      </w:r>
      <w:r>
        <w:rPr>
          <w:rFonts w:ascii="Arial" w:hAnsi="Arial" w:cs="Arial"/>
          <w:sz w:val="24"/>
          <w:szCs w:val="24"/>
        </w:rPr>
        <w:t xml:space="preserve"> the patent.  Val</w:t>
      </w:r>
      <w:r w:rsidR="00984790">
        <w:rPr>
          <w:rFonts w:ascii="Arial" w:hAnsi="Arial" w:cs="Arial"/>
          <w:sz w:val="24"/>
          <w:szCs w:val="24"/>
        </w:rPr>
        <w:t>ue is usually determined through a subjective process utilizing</w:t>
      </w:r>
      <w:r>
        <w:rPr>
          <w:rFonts w:ascii="Arial" w:hAnsi="Arial" w:cs="Arial"/>
          <w:sz w:val="24"/>
          <w:szCs w:val="24"/>
        </w:rPr>
        <w:t xml:space="preserve"> proxies</w:t>
      </w:r>
      <w:r w:rsidR="009636ED">
        <w:rPr>
          <w:rFonts w:ascii="Arial" w:hAnsi="Arial" w:cs="Arial"/>
          <w:sz w:val="24"/>
          <w:szCs w:val="24"/>
        </w:rPr>
        <w:t xml:space="preserve"> </w:t>
      </w:r>
      <w:r w:rsidR="00984790">
        <w:rPr>
          <w:rFonts w:ascii="Arial" w:hAnsi="Arial" w:cs="Arial"/>
          <w:sz w:val="24"/>
          <w:szCs w:val="24"/>
        </w:rPr>
        <w:t>which</w:t>
      </w:r>
      <w:r w:rsidR="00384403">
        <w:rPr>
          <w:rFonts w:ascii="Arial" w:hAnsi="Arial" w:cs="Arial"/>
          <w:sz w:val="24"/>
          <w:szCs w:val="24"/>
        </w:rPr>
        <w:t xml:space="preserve"> estimate</w:t>
      </w:r>
      <w:r w:rsidR="009636ED">
        <w:rPr>
          <w:rFonts w:ascii="Arial" w:hAnsi="Arial" w:cs="Arial"/>
          <w:sz w:val="24"/>
          <w:szCs w:val="24"/>
        </w:rPr>
        <w:t xml:space="preserve"> the patent’s anticipated future value, importance, and strength</w:t>
      </w:r>
      <w:r>
        <w:rPr>
          <w:rFonts w:ascii="Arial" w:hAnsi="Arial" w:cs="Arial"/>
          <w:sz w:val="24"/>
          <w:szCs w:val="24"/>
        </w:rPr>
        <w:t>.</w:t>
      </w:r>
      <w:r>
        <w:rPr>
          <w:rStyle w:val="FootnoteReference"/>
          <w:rFonts w:ascii="Arial" w:hAnsi="Arial" w:cs="Arial"/>
          <w:sz w:val="24"/>
          <w:szCs w:val="24"/>
        </w:rPr>
        <w:footnoteReference w:id="113"/>
      </w:r>
      <w:r>
        <w:rPr>
          <w:rFonts w:ascii="Arial" w:hAnsi="Arial" w:cs="Arial"/>
          <w:sz w:val="24"/>
          <w:szCs w:val="24"/>
        </w:rPr>
        <w:t xml:space="preserve">  The subject matter of </w:t>
      </w:r>
      <w:r w:rsidR="0008278B">
        <w:rPr>
          <w:rFonts w:ascii="Arial" w:hAnsi="Arial" w:cs="Arial"/>
          <w:sz w:val="24"/>
          <w:szCs w:val="24"/>
        </w:rPr>
        <w:t xml:space="preserve">these </w:t>
      </w:r>
      <w:r>
        <w:rPr>
          <w:rFonts w:ascii="Arial" w:hAnsi="Arial" w:cs="Arial"/>
          <w:sz w:val="24"/>
          <w:szCs w:val="24"/>
        </w:rPr>
        <w:t>proxies includes the patent holder’s portfolio, licensing fees received from the licensing of other patents, the amount of venture capital that the patent holder is capable of attracting</w:t>
      </w:r>
      <w:r w:rsidR="00CF2391">
        <w:rPr>
          <w:rFonts w:ascii="Arial" w:hAnsi="Arial" w:cs="Arial"/>
          <w:sz w:val="24"/>
          <w:szCs w:val="24"/>
        </w:rPr>
        <w:t>,</w:t>
      </w:r>
      <w:r>
        <w:rPr>
          <w:rFonts w:ascii="Arial" w:hAnsi="Arial" w:cs="Arial"/>
          <w:sz w:val="24"/>
          <w:szCs w:val="24"/>
        </w:rPr>
        <w:t xml:space="preserve"> and whether the patent holder is perceived as litigious.</w:t>
      </w:r>
      <w:r>
        <w:rPr>
          <w:rStyle w:val="FootnoteReference"/>
          <w:rFonts w:ascii="Arial" w:hAnsi="Arial" w:cs="Arial"/>
          <w:sz w:val="24"/>
          <w:szCs w:val="24"/>
        </w:rPr>
        <w:footnoteReference w:id="114"/>
      </w:r>
      <w:r>
        <w:rPr>
          <w:rFonts w:ascii="Arial" w:hAnsi="Arial" w:cs="Arial"/>
          <w:sz w:val="24"/>
          <w:szCs w:val="24"/>
        </w:rPr>
        <w:t xml:space="preserve"> </w:t>
      </w:r>
    </w:p>
    <w:p w14:paraId="02E2748B" w14:textId="77777777" w:rsidR="00384403" w:rsidRDefault="00984790" w:rsidP="00384403">
      <w:pPr>
        <w:widowControl w:val="0"/>
        <w:spacing w:line="480" w:lineRule="atLeast"/>
        <w:ind w:firstLine="720"/>
        <w:rPr>
          <w:rFonts w:ascii="Arial" w:hAnsi="Arial" w:cs="Arial"/>
          <w:sz w:val="24"/>
          <w:szCs w:val="24"/>
        </w:rPr>
      </w:pPr>
      <w:r>
        <w:rPr>
          <w:rFonts w:ascii="Arial" w:hAnsi="Arial" w:cs="Arial"/>
          <w:sz w:val="24"/>
          <w:szCs w:val="24"/>
        </w:rPr>
        <w:t>Proxies, however, are not</w:t>
      </w:r>
      <w:r w:rsidR="00384403">
        <w:rPr>
          <w:rFonts w:ascii="Arial" w:hAnsi="Arial" w:cs="Arial"/>
          <w:sz w:val="24"/>
          <w:szCs w:val="24"/>
        </w:rPr>
        <w:t xml:space="preserve"> totally accurate in determining the true value of a patent.</w:t>
      </w:r>
      <w:r w:rsidR="00384403">
        <w:rPr>
          <w:rStyle w:val="FootnoteReference"/>
          <w:rFonts w:ascii="Arial" w:hAnsi="Arial" w:cs="Arial"/>
          <w:sz w:val="24"/>
          <w:szCs w:val="24"/>
        </w:rPr>
        <w:footnoteReference w:id="115"/>
      </w:r>
      <w:r w:rsidR="00384403">
        <w:rPr>
          <w:rFonts w:ascii="Arial" w:hAnsi="Arial" w:cs="Arial"/>
          <w:sz w:val="24"/>
          <w:szCs w:val="24"/>
        </w:rPr>
        <w:t xml:space="preserve">  Des</w:t>
      </w:r>
      <w:r>
        <w:rPr>
          <w:rFonts w:ascii="Arial" w:hAnsi="Arial" w:cs="Arial"/>
          <w:sz w:val="24"/>
          <w:szCs w:val="24"/>
        </w:rPr>
        <w:t>pite inaccuracy in determining the value of a</w:t>
      </w:r>
      <w:r w:rsidR="00384403">
        <w:rPr>
          <w:rFonts w:ascii="Arial" w:hAnsi="Arial" w:cs="Arial"/>
          <w:sz w:val="24"/>
          <w:szCs w:val="24"/>
        </w:rPr>
        <w:t xml:space="preserve"> patent, licenses are usually nego</w:t>
      </w:r>
      <w:r>
        <w:rPr>
          <w:rFonts w:ascii="Arial" w:hAnsi="Arial" w:cs="Arial"/>
          <w:sz w:val="24"/>
          <w:szCs w:val="24"/>
        </w:rPr>
        <w:t>tiated using proxies because</w:t>
      </w:r>
      <w:r w:rsidR="00384403">
        <w:rPr>
          <w:rFonts w:ascii="Arial" w:hAnsi="Arial" w:cs="Arial"/>
          <w:sz w:val="24"/>
          <w:szCs w:val="24"/>
        </w:rPr>
        <w:t xml:space="preserve">: </w:t>
      </w:r>
    </w:p>
    <w:p w14:paraId="449DAEF8" w14:textId="77777777" w:rsidR="00384403" w:rsidRDefault="00384403" w:rsidP="00384403">
      <w:pPr>
        <w:widowControl w:val="0"/>
        <w:spacing w:line="480" w:lineRule="atLeast"/>
        <w:ind w:firstLine="720"/>
        <w:rPr>
          <w:rFonts w:ascii="Arial" w:hAnsi="Arial" w:cs="Arial"/>
          <w:sz w:val="24"/>
          <w:szCs w:val="24"/>
        </w:rPr>
      </w:pPr>
      <w:r>
        <w:rPr>
          <w:rFonts w:ascii="Arial" w:hAnsi="Arial" w:cs="Arial"/>
          <w:sz w:val="24"/>
          <w:szCs w:val="24"/>
        </w:rPr>
        <w:t xml:space="preserve">(1) license fees must be paid at some point in the process; </w:t>
      </w:r>
    </w:p>
    <w:p w14:paraId="704E3BF5" w14:textId="77777777" w:rsidR="00384403" w:rsidRDefault="00384403" w:rsidP="00384403">
      <w:pPr>
        <w:widowControl w:val="0"/>
        <w:spacing w:line="480" w:lineRule="atLeast"/>
        <w:ind w:left="720"/>
        <w:rPr>
          <w:rFonts w:ascii="Arial" w:hAnsi="Arial" w:cs="Arial"/>
          <w:sz w:val="24"/>
          <w:szCs w:val="24"/>
        </w:rPr>
      </w:pPr>
      <w:r>
        <w:rPr>
          <w:rFonts w:ascii="Arial" w:hAnsi="Arial" w:cs="Arial"/>
          <w:sz w:val="24"/>
          <w:szCs w:val="24"/>
        </w:rPr>
        <w:t>(2) patent holders usually prefer receiving their fees sooner rather than at some undetermined future time;</w:t>
      </w:r>
      <w:r>
        <w:rPr>
          <w:rStyle w:val="FootnoteReference"/>
          <w:rFonts w:ascii="Arial" w:hAnsi="Arial" w:cs="Arial"/>
          <w:sz w:val="24"/>
          <w:szCs w:val="24"/>
        </w:rPr>
        <w:footnoteReference w:id="116"/>
      </w:r>
      <w:r>
        <w:rPr>
          <w:rFonts w:ascii="Arial" w:hAnsi="Arial" w:cs="Arial"/>
          <w:sz w:val="24"/>
          <w:szCs w:val="24"/>
        </w:rPr>
        <w:t xml:space="preserve"> </w:t>
      </w:r>
    </w:p>
    <w:p w14:paraId="045F0B03" w14:textId="77777777" w:rsidR="00384403" w:rsidRDefault="00384403" w:rsidP="00384403">
      <w:pPr>
        <w:widowControl w:val="0"/>
        <w:spacing w:line="480" w:lineRule="atLeast"/>
        <w:ind w:left="720"/>
        <w:rPr>
          <w:rFonts w:ascii="Arial" w:hAnsi="Arial" w:cs="Arial"/>
          <w:sz w:val="24"/>
          <w:szCs w:val="24"/>
        </w:rPr>
      </w:pPr>
      <w:r>
        <w:rPr>
          <w:rFonts w:ascii="Arial" w:hAnsi="Arial" w:cs="Arial"/>
          <w:sz w:val="24"/>
          <w:szCs w:val="24"/>
        </w:rPr>
        <w:t xml:space="preserve">(3) licensees would rather determine the fees sooner in order to have one less unknown factor in their risk assessment, because the cost of the license must be </w:t>
      </w:r>
      <w:r>
        <w:rPr>
          <w:rFonts w:ascii="Arial" w:hAnsi="Arial" w:cs="Arial"/>
          <w:sz w:val="24"/>
          <w:szCs w:val="24"/>
        </w:rPr>
        <w:lastRenderedPageBreak/>
        <w:t>subtracted from the profitability of the product;</w:t>
      </w:r>
      <w:r>
        <w:rPr>
          <w:rStyle w:val="FootnoteReference"/>
          <w:rFonts w:ascii="Arial" w:hAnsi="Arial" w:cs="Arial"/>
          <w:sz w:val="24"/>
          <w:szCs w:val="24"/>
        </w:rPr>
        <w:footnoteReference w:id="117"/>
      </w:r>
      <w:r>
        <w:rPr>
          <w:rFonts w:ascii="Arial" w:hAnsi="Arial" w:cs="Arial"/>
          <w:sz w:val="24"/>
          <w:szCs w:val="24"/>
        </w:rPr>
        <w:t xml:space="preserve"> </w:t>
      </w:r>
    </w:p>
    <w:p w14:paraId="4D361FDF" w14:textId="77777777" w:rsidR="00384403" w:rsidRDefault="00384403" w:rsidP="00384403">
      <w:pPr>
        <w:widowControl w:val="0"/>
        <w:spacing w:line="480" w:lineRule="atLeast"/>
        <w:ind w:left="720"/>
        <w:rPr>
          <w:rFonts w:ascii="Arial" w:hAnsi="Arial" w:cs="Arial"/>
          <w:sz w:val="24"/>
          <w:szCs w:val="24"/>
        </w:rPr>
      </w:pPr>
      <w:r>
        <w:rPr>
          <w:rFonts w:ascii="Arial" w:hAnsi="Arial" w:cs="Arial"/>
          <w:sz w:val="24"/>
          <w:szCs w:val="24"/>
        </w:rPr>
        <w:t>(4) licensees will pay for the license only if they anticipate a sufficient return on their investment.</w:t>
      </w:r>
    </w:p>
    <w:p w14:paraId="3071872D" w14:textId="77777777" w:rsidR="00243CED" w:rsidRDefault="00735F29" w:rsidP="003268BB">
      <w:pPr>
        <w:widowControl w:val="0"/>
        <w:spacing w:line="480" w:lineRule="atLeast"/>
        <w:ind w:firstLine="720"/>
        <w:rPr>
          <w:rFonts w:ascii="Arial" w:hAnsi="Arial" w:cs="Arial"/>
          <w:sz w:val="24"/>
          <w:szCs w:val="24"/>
        </w:rPr>
      </w:pPr>
      <w:r>
        <w:rPr>
          <w:rFonts w:ascii="Arial" w:hAnsi="Arial" w:cs="Arial"/>
          <w:sz w:val="24"/>
          <w:szCs w:val="24"/>
        </w:rPr>
        <w:t>All of these factors affect the bargaining power of the parties.  Patent holders with large portfolios are usually experienced players who possess much bargaining power when compared to patent holders who have only a few patents.</w:t>
      </w:r>
      <w:r>
        <w:rPr>
          <w:rStyle w:val="FootnoteReference"/>
          <w:rFonts w:ascii="Arial" w:hAnsi="Arial" w:cs="Arial"/>
          <w:sz w:val="24"/>
          <w:szCs w:val="24"/>
        </w:rPr>
        <w:footnoteReference w:id="118"/>
      </w:r>
      <w:r>
        <w:rPr>
          <w:rFonts w:ascii="Arial" w:hAnsi="Arial" w:cs="Arial"/>
          <w:sz w:val="24"/>
          <w:szCs w:val="24"/>
        </w:rPr>
        <w:t xml:space="preserve">  Patent holders in stronger bargaining positions can command much higher licensing fees.  The posses</w:t>
      </w:r>
      <w:r w:rsidR="0008278B">
        <w:rPr>
          <w:rFonts w:ascii="Arial" w:hAnsi="Arial" w:cs="Arial"/>
          <w:sz w:val="24"/>
          <w:szCs w:val="24"/>
        </w:rPr>
        <w:t>sion of a large portfolio suggests</w:t>
      </w:r>
      <w:r>
        <w:rPr>
          <w:rFonts w:ascii="Arial" w:hAnsi="Arial" w:cs="Arial"/>
          <w:sz w:val="24"/>
          <w:szCs w:val="24"/>
        </w:rPr>
        <w:t xml:space="preserve"> that the patent holder is willing to expend scarce resources in obtaining proprietary rights over the subject matter of the patent and has confidence in </w:t>
      </w:r>
      <w:r w:rsidR="0008278B">
        <w:rPr>
          <w:rFonts w:ascii="Arial" w:hAnsi="Arial" w:cs="Arial"/>
          <w:sz w:val="24"/>
          <w:szCs w:val="24"/>
        </w:rPr>
        <w:t>both its research results and</w:t>
      </w:r>
      <w:r>
        <w:rPr>
          <w:rFonts w:ascii="Arial" w:hAnsi="Arial" w:cs="Arial"/>
          <w:sz w:val="24"/>
          <w:szCs w:val="24"/>
        </w:rPr>
        <w:t xml:space="preserve"> potential commercial value.</w:t>
      </w:r>
      <w:r>
        <w:rPr>
          <w:rStyle w:val="FootnoteReference"/>
          <w:rFonts w:ascii="Arial" w:hAnsi="Arial" w:cs="Arial"/>
          <w:sz w:val="24"/>
          <w:szCs w:val="24"/>
        </w:rPr>
        <w:footnoteReference w:id="119"/>
      </w:r>
      <w:r>
        <w:rPr>
          <w:rFonts w:ascii="Arial" w:hAnsi="Arial" w:cs="Arial"/>
          <w:sz w:val="24"/>
          <w:szCs w:val="24"/>
        </w:rPr>
        <w:t xml:space="preserve">  </w:t>
      </w:r>
    </w:p>
    <w:p w14:paraId="0E5BA909" w14:textId="77777777" w:rsidR="0008278B" w:rsidRDefault="00735F29" w:rsidP="00243CED">
      <w:pPr>
        <w:widowControl w:val="0"/>
        <w:spacing w:line="480" w:lineRule="atLeast"/>
        <w:ind w:firstLine="720"/>
        <w:rPr>
          <w:rFonts w:ascii="Arial" w:hAnsi="Arial" w:cs="Arial"/>
          <w:sz w:val="24"/>
          <w:szCs w:val="24"/>
        </w:rPr>
      </w:pPr>
      <w:r>
        <w:rPr>
          <w:rFonts w:ascii="Arial" w:hAnsi="Arial" w:cs="Arial"/>
          <w:sz w:val="24"/>
          <w:szCs w:val="24"/>
        </w:rPr>
        <w:t>P</w:t>
      </w:r>
      <w:r w:rsidR="0008278B">
        <w:rPr>
          <w:rFonts w:ascii="Arial" w:hAnsi="Arial" w:cs="Arial"/>
          <w:sz w:val="24"/>
          <w:szCs w:val="24"/>
        </w:rPr>
        <w:t>revious licensing fees received</w:t>
      </w:r>
      <w:r>
        <w:rPr>
          <w:rFonts w:ascii="Arial" w:hAnsi="Arial" w:cs="Arial"/>
          <w:sz w:val="24"/>
          <w:szCs w:val="24"/>
        </w:rPr>
        <w:t xml:space="preserve"> are a good indication of the total value of the patent holder’s technology.  This is also true when the potential licensee examines the amount of venture capital that the patent holder has been able to attract.  Investors are willing to invest in a company who</w:t>
      </w:r>
      <w:r w:rsidR="0008278B">
        <w:rPr>
          <w:rFonts w:ascii="Arial" w:hAnsi="Arial" w:cs="Arial"/>
          <w:sz w:val="24"/>
          <w:szCs w:val="24"/>
        </w:rPr>
        <w:t>se technology has proven value</w:t>
      </w:r>
      <w:r>
        <w:rPr>
          <w:rFonts w:ascii="Arial" w:hAnsi="Arial" w:cs="Arial"/>
          <w:sz w:val="24"/>
          <w:szCs w:val="24"/>
        </w:rPr>
        <w:t>.</w:t>
      </w:r>
      <w:r>
        <w:rPr>
          <w:rStyle w:val="FootnoteReference"/>
          <w:rFonts w:ascii="Arial" w:hAnsi="Arial" w:cs="Arial"/>
          <w:sz w:val="24"/>
          <w:szCs w:val="24"/>
        </w:rPr>
        <w:footnoteReference w:id="120"/>
      </w:r>
      <w:r>
        <w:rPr>
          <w:rFonts w:ascii="Arial" w:hAnsi="Arial" w:cs="Arial"/>
          <w:sz w:val="24"/>
          <w:szCs w:val="24"/>
        </w:rPr>
        <w:t xml:space="preserve">  </w:t>
      </w:r>
    </w:p>
    <w:p w14:paraId="6D707005" w14:textId="77777777" w:rsidR="00735F29" w:rsidRDefault="00735F29" w:rsidP="00243CED">
      <w:pPr>
        <w:widowControl w:val="0"/>
        <w:spacing w:line="480" w:lineRule="atLeast"/>
        <w:ind w:firstLine="720"/>
        <w:rPr>
          <w:rFonts w:ascii="Arial" w:hAnsi="Arial" w:cs="Arial"/>
          <w:sz w:val="24"/>
          <w:szCs w:val="24"/>
        </w:rPr>
      </w:pPr>
      <w:r>
        <w:rPr>
          <w:rFonts w:ascii="Arial" w:hAnsi="Arial" w:cs="Arial"/>
          <w:sz w:val="24"/>
          <w:szCs w:val="24"/>
        </w:rPr>
        <w:t>The litigiousness of the patent holder</w:t>
      </w:r>
      <w:r w:rsidR="00384403">
        <w:rPr>
          <w:rFonts w:ascii="Arial" w:hAnsi="Arial" w:cs="Arial"/>
          <w:sz w:val="24"/>
          <w:szCs w:val="24"/>
        </w:rPr>
        <w:t>s is an indicator of</w:t>
      </w:r>
      <w:r w:rsidR="0008278B">
        <w:rPr>
          <w:rFonts w:ascii="Arial" w:hAnsi="Arial" w:cs="Arial"/>
          <w:sz w:val="24"/>
          <w:szCs w:val="24"/>
        </w:rPr>
        <w:t xml:space="preserve"> their </w:t>
      </w:r>
      <w:r w:rsidR="0020099B">
        <w:rPr>
          <w:rFonts w:ascii="Arial" w:hAnsi="Arial" w:cs="Arial"/>
          <w:sz w:val="24"/>
          <w:szCs w:val="24"/>
        </w:rPr>
        <w:t>competitive</w:t>
      </w:r>
      <w:r w:rsidR="0008278B">
        <w:rPr>
          <w:rFonts w:ascii="Arial" w:hAnsi="Arial" w:cs="Arial"/>
          <w:sz w:val="24"/>
          <w:szCs w:val="24"/>
        </w:rPr>
        <w:t>ness and</w:t>
      </w:r>
      <w:r w:rsidR="0020099B">
        <w:rPr>
          <w:rFonts w:ascii="Arial" w:hAnsi="Arial" w:cs="Arial"/>
          <w:sz w:val="24"/>
          <w:szCs w:val="24"/>
        </w:rPr>
        <w:t xml:space="preserve"> willing</w:t>
      </w:r>
      <w:r w:rsidR="0008278B">
        <w:rPr>
          <w:rFonts w:ascii="Arial" w:hAnsi="Arial" w:cs="Arial"/>
          <w:sz w:val="24"/>
          <w:szCs w:val="24"/>
        </w:rPr>
        <w:t>ness</w:t>
      </w:r>
      <w:r w:rsidR="0020099B">
        <w:rPr>
          <w:rFonts w:ascii="Arial" w:hAnsi="Arial" w:cs="Arial"/>
          <w:sz w:val="24"/>
          <w:szCs w:val="24"/>
        </w:rPr>
        <w:t xml:space="preserve"> to protect their</w:t>
      </w:r>
      <w:r>
        <w:rPr>
          <w:rFonts w:ascii="Arial" w:hAnsi="Arial" w:cs="Arial"/>
          <w:sz w:val="24"/>
          <w:szCs w:val="24"/>
        </w:rPr>
        <w:t xml:space="preserve"> proprietary rights.</w:t>
      </w:r>
      <w:r>
        <w:rPr>
          <w:rStyle w:val="FootnoteReference"/>
          <w:rFonts w:ascii="Arial" w:hAnsi="Arial" w:cs="Arial"/>
          <w:sz w:val="24"/>
          <w:szCs w:val="24"/>
        </w:rPr>
        <w:footnoteReference w:id="121"/>
      </w:r>
      <w:r>
        <w:rPr>
          <w:rFonts w:ascii="Arial" w:hAnsi="Arial" w:cs="Arial"/>
          <w:sz w:val="24"/>
          <w:szCs w:val="24"/>
        </w:rPr>
        <w:t xml:space="preserve">  Patent holders will not </w:t>
      </w:r>
      <w:r w:rsidR="00243CED">
        <w:rPr>
          <w:rFonts w:ascii="Arial" w:hAnsi="Arial" w:cs="Arial"/>
          <w:sz w:val="24"/>
          <w:szCs w:val="24"/>
        </w:rPr>
        <w:t xml:space="preserve">usually </w:t>
      </w:r>
      <w:r>
        <w:rPr>
          <w:rFonts w:ascii="Arial" w:hAnsi="Arial" w:cs="Arial"/>
          <w:sz w:val="24"/>
          <w:szCs w:val="24"/>
        </w:rPr>
        <w:t xml:space="preserve">defend or </w:t>
      </w:r>
      <w:r w:rsidR="00384403">
        <w:rPr>
          <w:rFonts w:ascii="Arial" w:hAnsi="Arial" w:cs="Arial"/>
          <w:sz w:val="24"/>
          <w:szCs w:val="24"/>
        </w:rPr>
        <w:t xml:space="preserve">try to </w:t>
      </w:r>
      <w:r>
        <w:rPr>
          <w:rFonts w:ascii="Arial" w:hAnsi="Arial" w:cs="Arial"/>
          <w:sz w:val="24"/>
          <w:szCs w:val="24"/>
        </w:rPr>
        <w:t>enforce pate</w:t>
      </w:r>
      <w:r w:rsidR="00384403">
        <w:rPr>
          <w:rFonts w:ascii="Arial" w:hAnsi="Arial" w:cs="Arial"/>
          <w:sz w:val="24"/>
          <w:szCs w:val="24"/>
        </w:rPr>
        <w:t>nt rights that are worthless.  The</w:t>
      </w:r>
      <w:r>
        <w:rPr>
          <w:rFonts w:ascii="Arial" w:hAnsi="Arial" w:cs="Arial"/>
          <w:sz w:val="24"/>
          <w:szCs w:val="24"/>
        </w:rPr>
        <w:t xml:space="preserve"> perception that the patent holder is litigious may also deter potential infringers.</w:t>
      </w:r>
      <w:r>
        <w:rPr>
          <w:rStyle w:val="FootnoteReference"/>
          <w:rFonts w:ascii="Arial" w:hAnsi="Arial" w:cs="Arial"/>
          <w:sz w:val="24"/>
          <w:szCs w:val="24"/>
        </w:rPr>
        <w:footnoteReference w:id="122"/>
      </w:r>
      <w:r>
        <w:rPr>
          <w:rFonts w:ascii="Arial" w:hAnsi="Arial" w:cs="Arial"/>
          <w:sz w:val="24"/>
          <w:szCs w:val="24"/>
        </w:rPr>
        <w:t xml:space="preserve">  </w:t>
      </w:r>
    </w:p>
    <w:p w14:paraId="0D866109"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As the volume of patented basic research ex</w:t>
      </w:r>
      <w:r w:rsidR="00627785">
        <w:rPr>
          <w:rFonts w:ascii="Arial" w:hAnsi="Arial" w:cs="Arial"/>
          <w:sz w:val="24"/>
          <w:szCs w:val="24"/>
        </w:rPr>
        <w:t xml:space="preserve">pands, </w:t>
      </w:r>
      <w:r w:rsidR="003268BB">
        <w:rPr>
          <w:rFonts w:ascii="Arial" w:hAnsi="Arial" w:cs="Arial"/>
          <w:sz w:val="24"/>
          <w:szCs w:val="24"/>
        </w:rPr>
        <w:t xml:space="preserve">the threat of </w:t>
      </w:r>
      <w:r w:rsidR="00627785">
        <w:rPr>
          <w:rFonts w:ascii="Arial" w:hAnsi="Arial" w:cs="Arial"/>
          <w:sz w:val="24"/>
          <w:szCs w:val="24"/>
        </w:rPr>
        <w:t>bargaining breakdown can potentially</w:t>
      </w:r>
      <w:r>
        <w:rPr>
          <w:rFonts w:ascii="Arial" w:hAnsi="Arial" w:cs="Arial"/>
          <w:sz w:val="24"/>
          <w:szCs w:val="24"/>
        </w:rPr>
        <w:t xml:space="preserve"> increase and valuable time </w:t>
      </w:r>
      <w:r w:rsidR="003268BB">
        <w:rPr>
          <w:rFonts w:ascii="Arial" w:hAnsi="Arial" w:cs="Arial"/>
          <w:sz w:val="24"/>
          <w:szCs w:val="24"/>
        </w:rPr>
        <w:t>developing commercially viable products will be lost</w:t>
      </w:r>
      <w:r w:rsidR="00236845">
        <w:rPr>
          <w:rFonts w:ascii="Arial" w:hAnsi="Arial" w:cs="Arial"/>
          <w:sz w:val="24"/>
          <w:szCs w:val="24"/>
        </w:rPr>
        <w:t>.  All</w:t>
      </w:r>
      <w:r>
        <w:rPr>
          <w:rFonts w:ascii="Arial" w:hAnsi="Arial" w:cs="Arial"/>
          <w:sz w:val="24"/>
          <w:szCs w:val="24"/>
        </w:rPr>
        <w:t xml:space="preserve"> factors </w:t>
      </w:r>
      <w:r w:rsidR="00236845">
        <w:rPr>
          <w:rFonts w:ascii="Arial" w:hAnsi="Arial" w:cs="Arial"/>
          <w:sz w:val="24"/>
          <w:szCs w:val="24"/>
        </w:rPr>
        <w:t>that concern costs</w:t>
      </w:r>
      <w:r>
        <w:rPr>
          <w:rFonts w:ascii="Arial" w:hAnsi="Arial" w:cs="Arial"/>
          <w:sz w:val="24"/>
          <w:szCs w:val="24"/>
        </w:rPr>
        <w:t xml:space="preserve"> must be considered when commercially viable products are developed from patented genetic material.  Even if a </w:t>
      </w:r>
      <w:r>
        <w:rPr>
          <w:rFonts w:ascii="Arial" w:hAnsi="Arial" w:cs="Arial"/>
          <w:sz w:val="24"/>
          <w:szCs w:val="24"/>
        </w:rPr>
        <w:lastRenderedPageBreak/>
        <w:t xml:space="preserve">product exists in nature, there are </w:t>
      </w:r>
      <w:r w:rsidR="00236845">
        <w:rPr>
          <w:rFonts w:ascii="Arial" w:hAnsi="Arial" w:cs="Arial"/>
          <w:sz w:val="24"/>
          <w:szCs w:val="24"/>
        </w:rPr>
        <w:t xml:space="preserve">still </w:t>
      </w:r>
      <w:r>
        <w:rPr>
          <w:rFonts w:ascii="Arial" w:hAnsi="Arial" w:cs="Arial"/>
          <w:sz w:val="24"/>
          <w:szCs w:val="24"/>
        </w:rPr>
        <w:t xml:space="preserve">many transaction costs which can only be recouped through the utilization of the patent process.  </w:t>
      </w:r>
    </w:p>
    <w:p w14:paraId="77455B6D" w14:textId="77777777" w:rsidR="00735F29" w:rsidRDefault="00735F29">
      <w:pPr>
        <w:widowControl w:val="0"/>
        <w:spacing w:line="480" w:lineRule="atLeast"/>
        <w:ind w:firstLine="720"/>
        <w:jc w:val="center"/>
        <w:rPr>
          <w:rFonts w:ascii="Arial" w:hAnsi="Arial" w:cs="Arial"/>
          <w:sz w:val="24"/>
          <w:szCs w:val="24"/>
        </w:rPr>
      </w:pPr>
      <w:r>
        <w:rPr>
          <w:rFonts w:ascii="Arial" w:hAnsi="Arial" w:cs="Arial"/>
          <w:i/>
          <w:iCs/>
          <w:sz w:val="24"/>
          <w:szCs w:val="24"/>
        </w:rPr>
        <w:t>The Speculative Value of Gene Sequencing</w:t>
      </w:r>
    </w:p>
    <w:p w14:paraId="3AD1578A"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In high profile research projects, such as the Human Genome Project, the commercial value is in knowing the actual sequences.  Any commercial value for using the sequences as templates for the production of proteins, however, is currently speculative.</w:t>
      </w:r>
      <w:r>
        <w:rPr>
          <w:rStyle w:val="FootnoteReference"/>
          <w:rFonts w:ascii="Arial" w:hAnsi="Arial" w:cs="Arial"/>
          <w:sz w:val="24"/>
          <w:szCs w:val="24"/>
        </w:rPr>
        <w:footnoteReference w:id="123"/>
      </w:r>
      <w:r>
        <w:rPr>
          <w:rFonts w:ascii="Arial" w:hAnsi="Arial" w:cs="Arial"/>
          <w:sz w:val="24"/>
          <w:szCs w:val="24"/>
        </w:rPr>
        <w:t xml:space="preserve">  De</w:t>
      </w:r>
      <w:r w:rsidR="00CD3E4E">
        <w:rPr>
          <w:rFonts w:ascii="Arial" w:hAnsi="Arial" w:cs="Arial"/>
          <w:sz w:val="24"/>
          <w:szCs w:val="24"/>
        </w:rPr>
        <w:t>spite this</w:t>
      </w:r>
      <w:r>
        <w:rPr>
          <w:rFonts w:ascii="Arial" w:hAnsi="Arial" w:cs="Arial"/>
          <w:sz w:val="24"/>
          <w:szCs w:val="24"/>
        </w:rPr>
        <w:t xml:space="preserve"> speculation, there are two reasons why the current information is valuable, as opposed to the tangible value of earlier cloning projects where the sequences led to products of known value.  First, the discovery of the DNA sequences has </w:t>
      </w:r>
      <w:r w:rsidR="00236845">
        <w:rPr>
          <w:rFonts w:ascii="Arial" w:hAnsi="Arial" w:cs="Arial"/>
          <w:sz w:val="24"/>
          <w:szCs w:val="24"/>
        </w:rPr>
        <w:t xml:space="preserve">already </w:t>
      </w:r>
      <w:r>
        <w:rPr>
          <w:rFonts w:ascii="Arial" w:hAnsi="Arial" w:cs="Arial"/>
          <w:sz w:val="24"/>
          <w:szCs w:val="24"/>
        </w:rPr>
        <w:t xml:space="preserve">yielded </w:t>
      </w:r>
      <w:r w:rsidR="002F27FA">
        <w:rPr>
          <w:rFonts w:ascii="Arial" w:hAnsi="Arial" w:cs="Arial"/>
          <w:sz w:val="24"/>
          <w:szCs w:val="24"/>
        </w:rPr>
        <w:t>valuable information, even though</w:t>
      </w:r>
      <w:r>
        <w:rPr>
          <w:rFonts w:ascii="Arial" w:hAnsi="Arial" w:cs="Arial"/>
          <w:sz w:val="24"/>
          <w:szCs w:val="24"/>
        </w:rPr>
        <w:t xml:space="preserve"> the underlying biological functions </w:t>
      </w:r>
      <w:r w:rsidR="002F27FA">
        <w:rPr>
          <w:rFonts w:ascii="Arial" w:hAnsi="Arial" w:cs="Arial"/>
          <w:sz w:val="24"/>
          <w:szCs w:val="24"/>
        </w:rPr>
        <w:t xml:space="preserve">of those sequences </w:t>
      </w:r>
      <w:r>
        <w:rPr>
          <w:rFonts w:ascii="Arial" w:hAnsi="Arial" w:cs="Arial"/>
          <w:sz w:val="24"/>
          <w:szCs w:val="24"/>
        </w:rPr>
        <w:t>are not yet clearly understood.</w:t>
      </w:r>
      <w:r>
        <w:rPr>
          <w:rStyle w:val="FootnoteReference"/>
          <w:rFonts w:ascii="Arial" w:hAnsi="Arial" w:cs="Arial"/>
          <w:sz w:val="24"/>
          <w:szCs w:val="24"/>
        </w:rPr>
        <w:footnoteReference w:id="124"/>
      </w:r>
      <w:r>
        <w:rPr>
          <w:rFonts w:ascii="Arial" w:hAnsi="Arial" w:cs="Arial"/>
          <w:sz w:val="24"/>
          <w:szCs w:val="24"/>
        </w:rPr>
        <w:t xml:space="preserve">  Whether or not the discovery of the sequence</w:t>
      </w:r>
      <w:r w:rsidR="002F27FA">
        <w:rPr>
          <w:rFonts w:ascii="Arial" w:hAnsi="Arial" w:cs="Arial"/>
          <w:sz w:val="24"/>
          <w:szCs w:val="24"/>
        </w:rPr>
        <w:t>s</w:t>
      </w:r>
      <w:r>
        <w:rPr>
          <w:rFonts w:ascii="Arial" w:hAnsi="Arial" w:cs="Arial"/>
          <w:sz w:val="24"/>
          <w:szCs w:val="24"/>
        </w:rPr>
        <w:t xml:space="preserve"> will have a future tangible v</w:t>
      </w:r>
      <w:r w:rsidR="00236845">
        <w:rPr>
          <w:rFonts w:ascii="Arial" w:hAnsi="Arial" w:cs="Arial"/>
          <w:sz w:val="24"/>
          <w:szCs w:val="24"/>
        </w:rPr>
        <w:t xml:space="preserve">alue is speculative at this </w:t>
      </w:r>
      <w:r>
        <w:rPr>
          <w:rFonts w:ascii="Arial" w:hAnsi="Arial" w:cs="Arial"/>
          <w:sz w:val="24"/>
          <w:szCs w:val="24"/>
        </w:rPr>
        <w:t>t</w:t>
      </w:r>
      <w:r w:rsidR="00236845">
        <w:rPr>
          <w:rFonts w:ascii="Arial" w:hAnsi="Arial" w:cs="Arial"/>
          <w:sz w:val="24"/>
          <w:szCs w:val="24"/>
        </w:rPr>
        <w:t>ime</w:t>
      </w:r>
      <w:r>
        <w:rPr>
          <w:rFonts w:ascii="Arial" w:hAnsi="Arial" w:cs="Arial"/>
          <w:sz w:val="24"/>
          <w:szCs w:val="24"/>
        </w:rPr>
        <w:t xml:space="preserve">.  Second, this type of research </w:t>
      </w:r>
      <w:r w:rsidR="002F27FA">
        <w:rPr>
          <w:rFonts w:ascii="Arial" w:hAnsi="Arial" w:cs="Arial"/>
          <w:sz w:val="24"/>
          <w:szCs w:val="24"/>
        </w:rPr>
        <w:t>has also yielded</w:t>
      </w:r>
      <w:r>
        <w:rPr>
          <w:rFonts w:ascii="Arial" w:hAnsi="Arial" w:cs="Arial"/>
          <w:sz w:val="24"/>
          <w:szCs w:val="24"/>
        </w:rPr>
        <w:t xml:space="preserve"> information about both non-coding sequences and sequences that will not lead to the development of any commercial products, as well as sequences that encode commercially valuable proteins or that lead to other valuable uses.</w:t>
      </w:r>
      <w:r>
        <w:rPr>
          <w:rStyle w:val="FootnoteReference"/>
          <w:rFonts w:ascii="Arial" w:hAnsi="Arial" w:cs="Arial"/>
          <w:sz w:val="24"/>
          <w:szCs w:val="24"/>
        </w:rPr>
        <w:footnoteReference w:id="125"/>
      </w:r>
      <w:r>
        <w:rPr>
          <w:rFonts w:ascii="Arial" w:hAnsi="Arial" w:cs="Arial"/>
          <w:sz w:val="24"/>
          <w:szCs w:val="24"/>
        </w:rPr>
        <w:t xml:space="preserve">  The value is then in providing an information base that will lead to future discoveries, even though the sequences that will </w:t>
      </w:r>
      <w:r w:rsidR="009E2FF9">
        <w:rPr>
          <w:rFonts w:ascii="Arial" w:hAnsi="Arial" w:cs="Arial"/>
          <w:sz w:val="24"/>
          <w:szCs w:val="24"/>
        </w:rPr>
        <w:t xml:space="preserve">possibly </w:t>
      </w:r>
      <w:r>
        <w:rPr>
          <w:rFonts w:ascii="Arial" w:hAnsi="Arial" w:cs="Arial"/>
          <w:sz w:val="24"/>
          <w:szCs w:val="24"/>
        </w:rPr>
        <w:t>be developed into tangible,</w:t>
      </w:r>
      <w:r w:rsidR="00236845">
        <w:rPr>
          <w:rFonts w:ascii="Arial" w:hAnsi="Arial" w:cs="Arial"/>
          <w:sz w:val="24"/>
          <w:szCs w:val="24"/>
        </w:rPr>
        <w:t xml:space="preserve"> commercially viable products are</w:t>
      </w:r>
      <w:r>
        <w:rPr>
          <w:rFonts w:ascii="Arial" w:hAnsi="Arial" w:cs="Arial"/>
          <w:sz w:val="24"/>
          <w:szCs w:val="24"/>
        </w:rPr>
        <w:t xml:space="preserve"> presently unknown.</w:t>
      </w:r>
      <w:r>
        <w:rPr>
          <w:rStyle w:val="FootnoteReference"/>
          <w:rFonts w:ascii="Arial" w:hAnsi="Arial" w:cs="Arial"/>
          <w:sz w:val="24"/>
          <w:szCs w:val="24"/>
        </w:rPr>
        <w:footnoteReference w:id="126"/>
      </w:r>
    </w:p>
    <w:p w14:paraId="0C181530"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How an innovator may be able to develop and exploit the patented information is not readily apparent.  Drafting claim language that covers only sequences wit</w:t>
      </w:r>
      <w:r w:rsidR="002F27FA">
        <w:rPr>
          <w:rFonts w:ascii="Arial" w:hAnsi="Arial" w:cs="Arial"/>
          <w:sz w:val="24"/>
          <w:szCs w:val="24"/>
        </w:rPr>
        <w:t>h potential commercial value</w:t>
      </w:r>
      <w:r>
        <w:rPr>
          <w:rFonts w:ascii="Arial" w:hAnsi="Arial" w:cs="Arial"/>
          <w:sz w:val="24"/>
          <w:szCs w:val="24"/>
        </w:rPr>
        <w:t xml:space="preserve"> is very difficult without claiming too broadly, which invalidate</w:t>
      </w:r>
      <w:r w:rsidR="009E2FF9">
        <w:rPr>
          <w:rFonts w:ascii="Arial" w:hAnsi="Arial" w:cs="Arial"/>
          <w:sz w:val="24"/>
          <w:szCs w:val="24"/>
        </w:rPr>
        <w:t>s</w:t>
      </w:r>
      <w:r>
        <w:rPr>
          <w:rFonts w:ascii="Arial" w:hAnsi="Arial" w:cs="Arial"/>
          <w:sz w:val="24"/>
          <w:szCs w:val="24"/>
        </w:rPr>
        <w:t xml:space="preserve"> the whole patent, or too narrowly, which allow</w:t>
      </w:r>
      <w:r w:rsidR="009E2FF9">
        <w:rPr>
          <w:rFonts w:ascii="Arial" w:hAnsi="Arial" w:cs="Arial"/>
          <w:sz w:val="24"/>
          <w:szCs w:val="24"/>
        </w:rPr>
        <w:t>s</w:t>
      </w:r>
      <w:r>
        <w:rPr>
          <w:rFonts w:ascii="Arial" w:hAnsi="Arial" w:cs="Arial"/>
          <w:sz w:val="24"/>
          <w:szCs w:val="24"/>
        </w:rPr>
        <w:t xml:space="preserve"> others to evade the patent </w:t>
      </w:r>
      <w:r>
        <w:rPr>
          <w:rFonts w:ascii="Arial" w:hAnsi="Arial" w:cs="Arial"/>
          <w:sz w:val="24"/>
          <w:szCs w:val="24"/>
        </w:rPr>
        <w:lastRenderedPageBreak/>
        <w:t>protection by making minor changes in a DNA sequence.</w:t>
      </w:r>
      <w:r>
        <w:rPr>
          <w:rStyle w:val="CommentReference"/>
          <w:vanish/>
        </w:rPr>
        <w:commentReference w:id="1"/>
      </w:r>
      <w:r>
        <w:rPr>
          <w:rStyle w:val="FootnoteReference"/>
          <w:rFonts w:ascii="Arial" w:hAnsi="Arial" w:cs="Arial"/>
          <w:sz w:val="24"/>
          <w:szCs w:val="24"/>
        </w:rPr>
        <w:footnoteReference w:id="127"/>
      </w:r>
      <w:r>
        <w:rPr>
          <w:rFonts w:ascii="Arial" w:hAnsi="Arial" w:cs="Arial"/>
          <w:sz w:val="24"/>
          <w:szCs w:val="24"/>
        </w:rPr>
        <w:t xml:space="preserve">  Claim language patenting molecular structures </w:t>
      </w:r>
      <w:r w:rsidR="009E2FF9">
        <w:rPr>
          <w:rFonts w:ascii="Arial" w:hAnsi="Arial" w:cs="Arial"/>
          <w:sz w:val="24"/>
          <w:szCs w:val="24"/>
        </w:rPr>
        <w:t>does</w:t>
      </w:r>
      <w:r>
        <w:rPr>
          <w:rFonts w:ascii="Arial" w:hAnsi="Arial" w:cs="Arial"/>
          <w:sz w:val="24"/>
          <w:szCs w:val="24"/>
        </w:rPr>
        <w:t xml:space="preserve"> not protect the informational value.</w:t>
      </w:r>
      <w:r>
        <w:rPr>
          <w:rStyle w:val="FootnoteReference"/>
          <w:rFonts w:ascii="Arial" w:hAnsi="Arial" w:cs="Arial"/>
          <w:sz w:val="24"/>
          <w:szCs w:val="24"/>
        </w:rPr>
        <w:footnoteReference w:id="128"/>
      </w:r>
      <w:r>
        <w:rPr>
          <w:rFonts w:ascii="Arial" w:hAnsi="Arial" w:cs="Arial"/>
          <w:sz w:val="24"/>
          <w:szCs w:val="24"/>
        </w:rPr>
        <w:t xml:space="preserve">  If the </w:t>
      </w:r>
      <w:r w:rsidR="009E2FF9">
        <w:rPr>
          <w:rFonts w:ascii="Arial" w:hAnsi="Arial" w:cs="Arial"/>
          <w:sz w:val="24"/>
          <w:szCs w:val="24"/>
        </w:rPr>
        <w:t xml:space="preserve">practical </w:t>
      </w:r>
      <w:r>
        <w:rPr>
          <w:rFonts w:ascii="Arial" w:hAnsi="Arial" w:cs="Arial"/>
          <w:sz w:val="24"/>
          <w:szCs w:val="24"/>
        </w:rPr>
        <w:t xml:space="preserve">value of the information greatly exceeds the speculative value of the sequence itself, then the more prudent </w:t>
      </w:r>
      <w:r w:rsidR="009E2FF9">
        <w:rPr>
          <w:rFonts w:ascii="Arial" w:hAnsi="Arial" w:cs="Arial"/>
          <w:sz w:val="24"/>
          <w:szCs w:val="24"/>
        </w:rPr>
        <w:t xml:space="preserve">patent holder </w:t>
      </w:r>
      <w:r>
        <w:rPr>
          <w:rFonts w:ascii="Arial" w:hAnsi="Arial" w:cs="Arial"/>
          <w:sz w:val="24"/>
          <w:szCs w:val="24"/>
        </w:rPr>
        <w:t xml:space="preserve">strategy </w:t>
      </w:r>
      <w:r w:rsidR="009E2FF9">
        <w:rPr>
          <w:rFonts w:ascii="Arial" w:hAnsi="Arial" w:cs="Arial"/>
          <w:sz w:val="24"/>
          <w:szCs w:val="24"/>
        </w:rPr>
        <w:t>is</w:t>
      </w:r>
      <w:r>
        <w:rPr>
          <w:rFonts w:ascii="Arial" w:hAnsi="Arial" w:cs="Arial"/>
          <w:sz w:val="24"/>
          <w:szCs w:val="24"/>
        </w:rPr>
        <w:t xml:space="preserve"> to license the proprietary database information</w:t>
      </w:r>
      <w:r w:rsidR="009E2FF9">
        <w:rPr>
          <w:rFonts w:ascii="Arial" w:hAnsi="Arial" w:cs="Arial"/>
          <w:sz w:val="24"/>
          <w:szCs w:val="24"/>
        </w:rPr>
        <w:t xml:space="preserve"> access</w:t>
      </w:r>
      <w:r>
        <w:rPr>
          <w:rFonts w:ascii="Arial" w:hAnsi="Arial" w:cs="Arial"/>
          <w:sz w:val="24"/>
          <w:szCs w:val="24"/>
        </w:rPr>
        <w:t>.</w:t>
      </w:r>
      <w:r>
        <w:rPr>
          <w:rStyle w:val="FootnoteReference"/>
          <w:rFonts w:ascii="Arial" w:hAnsi="Arial" w:cs="Arial"/>
          <w:sz w:val="24"/>
          <w:szCs w:val="24"/>
        </w:rPr>
        <w:footnoteReference w:id="129"/>
      </w:r>
      <w:r>
        <w:rPr>
          <w:rFonts w:ascii="Arial" w:hAnsi="Arial" w:cs="Arial"/>
          <w:sz w:val="24"/>
          <w:szCs w:val="24"/>
        </w:rPr>
        <w:t xml:space="preserve">  Database licensing and subscriptions are a major source of income for biotech companies that engage in high volume DNA sequencing</w:t>
      </w:r>
      <w:r>
        <w:rPr>
          <w:rStyle w:val="FootnoteReference"/>
          <w:rFonts w:ascii="Arial" w:hAnsi="Arial" w:cs="Arial"/>
          <w:sz w:val="24"/>
          <w:szCs w:val="24"/>
        </w:rPr>
        <w:footnoteReference w:id="130"/>
      </w:r>
    </w:p>
    <w:p w14:paraId="12F193EE" w14:textId="77777777" w:rsidR="00735F29" w:rsidRDefault="00735F29">
      <w:pPr>
        <w:widowControl w:val="0"/>
        <w:spacing w:line="480" w:lineRule="atLeast"/>
        <w:jc w:val="center"/>
        <w:rPr>
          <w:rFonts w:ascii="Arial" w:hAnsi="Arial" w:cs="Arial"/>
          <w:sz w:val="24"/>
          <w:szCs w:val="24"/>
        </w:rPr>
      </w:pPr>
      <w:r>
        <w:rPr>
          <w:rFonts w:ascii="Arial" w:hAnsi="Arial" w:cs="Arial"/>
          <w:i/>
          <w:iCs/>
          <w:sz w:val="24"/>
          <w:szCs w:val="24"/>
        </w:rPr>
        <w:t>The Real Story</w:t>
      </w:r>
    </w:p>
    <w:p w14:paraId="58C4BB7F"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All of the arcane legal points and arguments that the proponents of patent protection assert are eminently rational, but hardly persuasive in settling this controversy.  On a more human and personal level, the consequences of providing patent protection for the human genome are more readily apparent.  On July 29, 2001, CBS television network broadcast on its </w:t>
      </w:r>
      <w:r w:rsidR="00CD3E4E">
        <w:rPr>
          <w:rFonts w:ascii="Arial" w:hAnsi="Arial" w:cs="Arial"/>
          <w:i/>
          <w:iCs/>
          <w:sz w:val="24"/>
          <w:szCs w:val="24"/>
        </w:rPr>
        <w:t>60</w:t>
      </w:r>
      <w:r>
        <w:rPr>
          <w:rFonts w:ascii="Arial" w:hAnsi="Arial" w:cs="Arial"/>
          <w:i/>
          <w:iCs/>
          <w:sz w:val="24"/>
          <w:szCs w:val="24"/>
        </w:rPr>
        <w:t xml:space="preserve"> Minutes</w:t>
      </w:r>
      <w:r>
        <w:rPr>
          <w:rFonts w:ascii="Arial" w:hAnsi="Arial" w:cs="Arial"/>
          <w:sz w:val="24"/>
          <w:szCs w:val="24"/>
        </w:rPr>
        <w:t xml:space="preserve"> program a segment which examined the controversy.</w:t>
      </w:r>
      <w:r>
        <w:rPr>
          <w:rStyle w:val="FootnoteReference"/>
          <w:rFonts w:ascii="Arial" w:hAnsi="Arial" w:cs="Arial"/>
          <w:position w:val="6"/>
          <w:sz w:val="24"/>
          <w:szCs w:val="24"/>
        </w:rPr>
        <w:footnoteReference w:id="131"/>
      </w:r>
      <w:r>
        <w:rPr>
          <w:rFonts w:ascii="Arial" w:hAnsi="Arial" w:cs="Arial"/>
          <w:sz w:val="24"/>
          <w:szCs w:val="24"/>
        </w:rPr>
        <w:t xml:space="preserve">  The title of the segment was:  </w:t>
      </w:r>
      <w:r w:rsidR="00CD3E4E">
        <w:rPr>
          <w:rFonts w:ascii="Arial" w:hAnsi="Arial" w:cs="Arial"/>
          <w:sz w:val="24"/>
          <w:szCs w:val="24"/>
        </w:rPr>
        <w:t>“</w:t>
      </w:r>
      <w:r>
        <w:rPr>
          <w:rFonts w:ascii="Arial" w:hAnsi="Arial" w:cs="Arial"/>
          <w:sz w:val="24"/>
          <w:szCs w:val="24"/>
        </w:rPr>
        <w:t>Whose Body is it Anyway?</w:t>
      </w:r>
      <w:r w:rsidR="00CD3E4E">
        <w:rPr>
          <w:rFonts w:ascii="Arial" w:hAnsi="Arial" w:cs="Arial"/>
          <w:sz w:val="24"/>
          <w:szCs w:val="24"/>
        </w:rPr>
        <w:t>”</w:t>
      </w:r>
      <w:r>
        <w:rPr>
          <w:rStyle w:val="FootnoteReference"/>
          <w:rFonts w:ascii="Arial" w:hAnsi="Arial" w:cs="Arial"/>
          <w:sz w:val="24"/>
          <w:szCs w:val="24"/>
        </w:rPr>
        <w:footnoteReference w:id="132"/>
      </w:r>
      <w:r w:rsidR="00CD3E4E">
        <w:rPr>
          <w:rFonts w:ascii="Arial" w:hAnsi="Arial" w:cs="Arial"/>
          <w:sz w:val="24"/>
          <w:szCs w:val="24"/>
        </w:rPr>
        <w:t xml:space="preserve">  The host, Mo</w:t>
      </w:r>
      <w:r>
        <w:rPr>
          <w:rFonts w:ascii="Arial" w:hAnsi="Arial" w:cs="Arial"/>
          <w:sz w:val="24"/>
          <w:szCs w:val="24"/>
        </w:rPr>
        <w:t>r</w:t>
      </w:r>
      <w:r w:rsidR="00CD3E4E">
        <w:rPr>
          <w:rFonts w:ascii="Arial" w:hAnsi="Arial" w:cs="Arial"/>
          <w:sz w:val="24"/>
          <w:szCs w:val="24"/>
        </w:rPr>
        <w:t>ley Sa</w:t>
      </w:r>
      <w:r>
        <w:rPr>
          <w:rFonts w:ascii="Arial" w:hAnsi="Arial" w:cs="Arial"/>
          <w:sz w:val="24"/>
          <w:szCs w:val="24"/>
        </w:rPr>
        <w:t>fer</w:t>
      </w:r>
      <w:r w:rsidR="00CD3E4E">
        <w:rPr>
          <w:rFonts w:ascii="Arial" w:hAnsi="Arial" w:cs="Arial"/>
          <w:sz w:val="24"/>
          <w:szCs w:val="24"/>
        </w:rPr>
        <w:t>,</w:t>
      </w:r>
      <w:r>
        <w:rPr>
          <w:rFonts w:ascii="Arial" w:hAnsi="Arial" w:cs="Arial"/>
          <w:sz w:val="24"/>
          <w:szCs w:val="24"/>
        </w:rPr>
        <w:t xml:space="preserve"> noticed that there was a rush not only to discover gene sequences, but also to patent the gene sequences themselves.</w:t>
      </w:r>
      <w:r>
        <w:rPr>
          <w:rStyle w:val="FootnoteReference"/>
          <w:rFonts w:ascii="Arial" w:hAnsi="Arial" w:cs="Arial"/>
          <w:sz w:val="24"/>
          <w:szCs w:val="24"/>
        </w:rPr>
        <w:footnoteReference w:id="133"/>
      </w:r>
      <w:r>
        <w:rPr>
          <w:rFonts w:ascii="Arial" w:hAnsi="Arial" w:cs="Arial"/>
          <w:position w:val="6"/>
          <w:sz w:val="24"/>
          <w:szCs w:val="24"/>
        </w:rPr>
        <w:t xml:space="preserve">  </w:t>
      </w:r>
      <w:r>
        <w:rPr>
          <w:rFonts w:ascii="Arial" w:hAnsi="Arial" w:cs="Arial"/>
          <w:sz w:val="24"/>
          <w:szCs w:val="24"/>
        </w:rPr>
        <w:t>At that time, over 1,000 sequences had been patented and many more were pending.</w:t>
      </w:r>
      <w:r>
        <w:rPr>
          <w:rStyle w:val="FootnoteReference"/>
          <w:rFonts w:ascii="Arial" w:hAnsi="Arial" w:cs="Arial"/>
          <w:sz w:val="24"/>
          <w:szCs w:val="24"/>
        </w:rPr>
        <w:footnoteReference w:id="134"/>
      </w:r>
      <w:r>
        <w:rPr>
          <w:rFonts w:ascii="Arial" w:hAnsi="Arial" w:cs="Arial"/>
          <w:sz w:val="24"/>
          <w:szCs w:val="24"/>
        </w:rPr>
        <w:t xml:space="preserve">  The first interviewee to relate his story was a man named Steve Crone, an admitted homosexual.</w:t>
      </w:r>
      <w:r>
        <w:rPr>
          <w:rStyle w:val="FootnoteReference"/>
          <w:rFonts w:ascii="Arial" w:hAnsi="Arial" w:cs="Arial"/>
          <w:sz w:val="24"/>
          <w:szCs w:val="24"/>
        </w:rPr>
        <w:footnoteReference w:id="135"/>
      </w:r>
      <w:r>
        <w:rPr>
          <w:rFonts w:ascii="Arial" w:hAnsi="Arial" w:cs="Arial"/>
          <w:sz w:val="24"/>
          <w:szCs w:val="24"/>
        </w:rPr>
        <w:t xml:space="preserve">  Mr. Crone stated that for years he had been regularly exposed to the AIDS virus, yet had not contracted the disease.</w:t>
      </w:r>
      <w:r>
        <w:rPr>
          <w:rStyle w:val="FootnoteReference"/>
          <w:rFonts w:ascii="Arial" w:hAnsi="Arial" w:cs="Arial"/>
          <w:sz w:val="24"/>
          <w:szCs w:val="24"/>
        </w:rPr>
        <w:footnoteReference w:id="136"/>
      </w:r>
      <w:r>
        <w:rPr>
          <w:rFonts w:ascii="Arial" w:hAnsi="Arial" w:cs="Arial"/>
          <w:sz w:val="24"/>
          <w:szCs w:val="24"/>
        </w:rPr>
        <w:t xml:space="preserve">  He estimated that he had l</w:t>
      </w:r>
      <w:r w:rsidR="004722FE">
        <w:rPr>
          <w:rFonts w:ascii="Arial" w:hAnsi="Arial" w:cs="Arial"/>
          <w:sz w:val="24"/>
          <w:szCs w:val="24"/>
        </w:rPr>
        <w:t xml:space="preserve">ost </w:t>
      </w:r>
      <w:r w:rsidR="004722FE">
        <w:rPr>
          <w:rFonts w:ascii="Arial" w:hAnsi="Arial" w:cs="Arial"/>
          <w:sz w:val="24"/>
          <w:szCs w:val="24"/>
        </w:rPr>
        <w:lastRenderedPageBreak/>
        <w:t>between 70 and</w:t>
      </w:r>
      <w:r>
        <w:rPr>
          <w:rFonts w:ascii="Arial" w:hAnsi="Arial" w:cs="Arial"/>
          <w:sz w:val="24"/>
          <w:szCs w:val="24"/>
        </w:rPr>
        <w:t xml:space="preserve"> 80 friends who had died of AIDS, but he was, amazingly, symptom-free.</w:t>
      </w:r>
      <w:r>
        <w:rPr>
          <w:rStyle w:val="FootnoteReference"/>
          <w:rFonts w:ascii="Arial" w:hAnsi="Arial" w:cs="Arial"/>
          <w:sz w:val="24"/>
          <w:szCs w:val="24"/>
        </w:rPr>
        <w:footnoteReference w:id="137"/>
      </w:r>
      <w:r>
        <w:rPr>
          <w:rFonts w:ascii="Arial" w:hAnsi="Arial" w:cs="Arial"/>
          <w:sz w:val="24"/>
          <w:szCs w:val="24"/>
        </w:rPr>
        <w:t xml:space="preserve">  Mr. Crone had been tested for the AIDS virus over 20 times and had always tested negative.</w:t>
      </w:r>
      <w:r>
        <w:rPr>
          <w:rStyle w:val="FootnoteReference"/>
          <w:rFonts w:ascii="Arial" w:hAnsi="Arial" w:cs="Arial"/>
          <w:sz w:val="24"/>
          <w:szCs w:val="24"/>
        </w:rPr>
        <w:footnoteReference w:id="138"/>
      </w:r>
    </w:p>
    <w:p w14:paraId="0E59CD28"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This led Mr. Crone to believe that he was possibly immune to the AIDS virus, so he contacted the Aron Diamond AIDS Research Center in New York.</w:t>
      </w:r>
      <w:r>
        <w:rPr>
          <w:rStyle w:val="FootnoteReference"/>
          <w:rFonts w:ascii="Arial" w:hAnsi="Arial" w:cs="Arial"/>
          <w:sz w:val="24"/>
          <w:szCs w:val="24"/>
        </w:rPr>
        <w:footnoteReference w:id="139"/>
      </w:r>
      <w:r>
        <w:rPr>
          <w:rFonts w:ascii="Arial" w:hAnsi="Arial" w:cs="Arial"/>
          <w:sz w:val="24"/>
          <w:szCs w:val="24"/>
        </w:rPr>
        <w:t xml:space="preserve">  The center performed a number of tests upon Mr. Crone’s blood, where they attempted to infect his blood cells with high doses of the AIDS virus.</w:t>
      </w:r>
      <w:r>
        <w:rPr>
          <w:rStyle w:val="FootnoteReference"/>
          <w:rFonts w:ascii="Arial" w:hAnsi="Arial" w:cs="Arial"/>
          <w:sz w:val="24"/>
          <w:szCs w:val="24"/>
        </w:rPr>
        <w:footnoteReference w:id="140"/>
      </w:r>
      <w:r>
        <w:rPr>
          <w:rFonts w:ascii="Arial" w:hAnsi="Arial" w:cs="Arial"/>
          <w:sz w:val="24"/>
          <w:szCs w:val="24"/>
        </w:rPr>
        <w:t xml:space="preserve">  All of the tests failed to infect the blood with AIDS.</w:t>
      </w:r>
      <w:r>
        <w:rPr>
          <w:rStyle w:val="FootnoteReference"/>
          <w:rFonts w:ascii="Arial" w:hAnsi="Arial" w:cs="Arial"/>
          <w:sz w:val="24"/>
          <w:szCs w:val="24"/>
        </w:rPr>
        <w:footnoteReference w:id="141"/>
      </w:r>
      <w:r w:rsidR="004722FE">
        <w:rPr>
          <w:rFonts w:ascii="Arial" w:hAnsi="Arial" w:cs="Arial"/>
          <w:sz w:val="24"/>
          <w:szCs w:val="24"/>
        </w:rPr>
        <w:t xml:space="preserve">  The researchers</w:t>
      </w:r>
      <w:r w:rsidR="00CD3E4E">
        <w:rPr>
          <w:rFonts w:ascii="Arial" w:hAnsi="Arial" w:cs="Arial"/>
          <w:sz w:val="24"/>
          <w:szCs w:val="24"/>
        </w:rPr>
        <w:t xml:space="preserve"> hypothesized that Mr. Crone’s</w:t>
      </w:r>
      <w:r w:rsidR="004722FE">
        <w:rPr>
          <w:rFonts w:ascii="Arial" w:hAnsi="Arial" w:cs="Arial"/>
          <w:sz w:val="24"/>
          <w:szCs w:val="24"/>
        </w:rPr>
        <w:t xml:space="preserve"> blood</w:t>
      </w:r>
      <w:r>
        <w:rPr>
          <w:rFonts w:ascii="Arial" w:hAnsi="Arial" w:cs="Arial"/>
          <w:sz w:val="24"/>
          <w:szCs w:val="24"/>
        </w:rPr>
        <w:t xml:space="preserve"> contain</w:t>
      </w:r>
      <w:r w:rsidR="004722FE">
        <w:rPr>
          <w:rFonts w:ascii="Arial" w:hAnsi="Arial" w:cs="Arial"/>
          <w:sz w:val="24"/>
          <w:szCs w:val="24"/>
        </w:rPr>
        <w:t>ed</w:t>
      </w:r>
      <w:r>
        <w:rPr>
          <w:rFonts w:ascii="Arial" w:hAnsi="Arial" w:cs="Arial"/>
          <w:sz w:val="24"/>
          <w:szCs w:val="24"/>
        </w:rPr>
        <w:t xml:space="preserve"> some genetic mutation which prevented the AIDS virus from entering his system.</w:t>
      </w:r>
      <w:r>
        <w:rPr>
          <w:rStyle w:val="FootnoteReference"/>
          <w:rFonts w:ascii="Arial" w:hAnsi="Arial" w:cs="Arial"/>
          <w:sz w:val="24"/>
          <w:szCs w:val="24"/>
        </w:rPr>
        <w:footnoteReference w:id="142"/>
      </w:r>
      <w:r>
        <w:rPr>
          <w:rFonts w:ascii="Arial" w:hAnsi="Arial" w:cs="Arial"/>
          <w:sz w:val="24"/>
          <w:szCs w:val="24"/>
        </w:rPr>
        <w:t xml:space="preserve">  </w:t>
      </w:r>
    </w:p>
    <w:p w14:paraId="26203F17"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Another subject, Eric </w:t>
      </w:r>
      <w:proofErr w:type="spellStart"/>
      <w:r>
        <w:rPr>
          <w:rFonts w:ascii="Arial" w:hAnsi="Arial" w:cs="Arial"/>
          <w:sz w:val="24"/>
          <w:szCs w:val="24"/>
        </w:rPr>
        <w:t>Fughs</w:t>
      </w:r>
      <w:proofErr w:type="spellEnd"/>
      <w:r>
        <w:rPr>
          <w:rFonts w:ascii="Arial" w:hAnsi="Arial" w:cs="Arial"/>
          <w:sz w:val="24"/>
          <w:szCs w:val="24"/>
        </w:rPr>
        <w:t xml:space="preserve">, also had a similar immunity which the </w:t>
      </w:r>
      <w:r w:rsidR="00CD3E4E">
        <w:rPr>
          <w:rFonts w:ascii="Arial" w:hAnsi="Arial" w:cs="Arial"/>
          <w:sz w:val="24"/>
          <w:szCs w:val="24"/>
        </w:rPr>
        <w:t xml:space="preserve">Diamond Center </w:t>
      </w:r>
      <w:r>
        <w:rPr>
          <w:rFonts w:ascii="Arial" w:hAnsi="Arial" w:cs="Arial"/>
          <w:sz w:val="24"/>
          <w:szCs w:val="24"/>
        </w:rPr>
        <w:t>research lab referred to as a genetic defect.</w:t>
      </w:r>
      <w:r>
        <w:rPr>
          <w:rStyle w:val="FootnoteReference"/>
          <w:rFonts w:ascii="Arial" w:hAnsi="Arial" w:cs="Arial"/>
          <w:sz w:val="24"/>
          <w:szCs w:val="24"/>
        </w:rPr>
        <w:footnoteReference w:id="143"/>
      </w:r>
      <w:r>
        <w:rPr>
          <w:rFonts w:ascii="Arial" w:hAnsi="Arial" w:cs="Arial"/>
          <w:sz w:val="24"/>
          <w:szCs w:val="24"/>
        </w:rPr>
        <w:t xml:space="preserve">  The research lab viewed the discovery in the two subjects as promising in the search for an AIDS cure and filed for a patent on the mutated genes.</w:t>
      </w:r>
      <w:r>
        <w:rPr>
          <w:rStyle w:val="FootnoteReference"/>
          <w:rFonts w:ascii="Arial" w:hAnsi="Arial" w:cs="Arial"/>
          <w:sz w:val="24"/>
          <w:szCs w:val="24"/>
        </w:rPr>
        <w:footnoteReference w:id="144"/>
      </w:r>
      <w:r>
        <w:rPr>
          <w:rFonts w:ascii="Arial" w:hAnsi="Arial" w:cs="Arial"/>
          <w:sz w:val="24"/>
          <w:szCs w:val="24"/>
        </w:rPr>
        <w:t xml:space="preserve">  The Diamond Center did not list Mr. Crone or Mr. </w:t>
      </w:r>
      <w:proofErr w:type="spellStart"/>
      <w:r>
        <w:rPr>
          <w:rFonts w:ascii="Arial" w:hAnsi="Arial" w:cs="Arial"/>
          <w:sz w:val="24"/>
          <w:szCs w:val="24"/>
        </w:rPr>
        <w:t>Fughs</w:t>
      </w:r>
      <w:proofErr w:type="spellEnd"/>
      <w:r>
        <w:rPr>
          <w:rFonts w:ascii="Arial" w:hAnsi="Arial" w:cs="Arial"/>
          <w:sz w:val="24"/>
          <w:szCs w:val="24"/>
        </w:rPr>
        <w:t xml:space="preserve"> on the patent application</w:t>
      </w:r>
      <w:r w:rsidR="00E960C4">
        <w:rPr>
          <w:rFonts w:ascii="Arial" w:hAnsi="Arial" w:cs="Arial"/>
          <w:sz w:val="24"/>
          <w:szCs w:val="24"/>
        </w:rPr>
        <w:t>,</w:t>
      </w:r>
      <w:r>
        <w:rPr>
          <w:rFonts w:ascii="Arial" w:hAnsi="Arial" w:cs="Arial"/>
          <w:sz w:val="24"/>
          <w:szCs w:val="24"/>
        </w:rPr>
        <w:t xml:space="preserve"> nor did the Center even acknowledge them as co-owners of the genetic material.</w:t>
      </w:r>
      <w:r>
        <w:rPr>
          <w:rStyle w:val="FootnoteReference"/>
          <w:rFonts w:ascii="Arial" w:hAnsi="Arial" w:cs="Arial"/>
          <w:sz w:val="24"/>
          <w:szCs w:val="24"/>
        </w:rPr>
        <w:footnoteReference w:id="145"/>
      </w:r>
      <w:r>
        <w:rPr>
          <w:rFonts w:ascii="Arial" w:hAnsi="Arial" w:cs="Arial"/>
          <w:sz w:val="24"/>
          <w:szCs w:val="24"/>
        </w:rPr>
        <w:t xml:space="preserve">  Mr. </w:t>
      </w:r>
      <w:proofErr w:type="spellStart"/>
      <w:r>
        <w:rPr>
          <w:rFonts w:ascii="Arial" w:hAnsi="Arial" w:cs="Arial"/>
          <w:sz w:val="24"/>
          <w:szCs w:val="24"/>
        </w:rPr>
        <w:t>Fughs</w:t>
      </w:r>
      <w:proofErr w:type="spellEnd"/>
      <w:r>
        <w:rPr>
          <w:rFonts w:ascii="Arial" w:hAnsi="Arial" w:cs="Arial"/>
          <w:sz w:val="24"/>
          <w:szCs w:val="24"/>
        </w:rPr>
        <w:t xml:space="preserve"> stated that the Center terminated their relationship with him after taking samples of his blood.</w:t>
      </w:r>
      <w:r>
        <w:rPr>
          <w:rStyle w:val="FootnoteReference"/>
          <w:rFonts w:ascii="Arial" w:hAnsi="Arial" w:cs="Arial"/>
          <w:sz w:val="24"/>
          <w:szCs w:val="24"/>
        </w:rPr>
        <w:footnoteReference w:id="146"/>
      </w:r>
      <w:r>
        <w:rPr>
          <w:rFonts w:ascii="Arial" w:hAnsi="Arial" w:cs="Arial"/>
          <w:sz w:val="24"/>
          <w:szCs w:val="24"/>
        </w:rPr>
        <w:t xml:space="preserve">  </w:t>
      </w:r>
    </w:p>
    <w:p w14:paraId="3E211ABD"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When </w:t>
      </w:r>
      <w:r>
        <w:rPr>
          <w:rFonts w:ascii="Arial" w:hAnsi="Arial" w:cs="Arial"/>
          <w:i/>
          <w:iCs/>
          <w:sz w:val="24"/>
          <w:szCs w:val="24"/>
        </w:rPr>
        <w:t>60 Minutes</w:t>
      </w:r>
      <w:r>
        <w:rPr>
          <w:rFonts w:ascii="Arial" w:hAnsi="Arial" w:cs="Arial"/>
          <w:sz w:val="24"/>
          <w:szCs w:val="24"/>
        </w:rPr>
        <w:t xml:space="preserve"> sent a letter to the Diamond Center in order to clarify this issue, the reply claimed that ”…the patent has not resulted in any financial gain…” for the non-profit organization.</w:t>
      </w:r>
      <w:r>
        <w:rPr>
          <w:rStyle w:val="FootnoteReference"/>
          <w:rFonts w:ascii="Arial" w:hAnsi="Arial" w:cs="Arial"/>
          <w:sz w:val="24"/>
          <w:szCs w:val="24"/>
        </w:rPr>
        <w:footnoteReference w:id="147"/>
      </w:r>
      <w:r>
        <w:rPr>
          <w:rFonts w:ascii="Arial" w:hAnsi="Arial" w:cs="Arial"/>
          <w:sz w:val="24"/>
          <w:szCs w:val="24"/>
        </w:rPr>
        <w:t xml:space="preserve">  The letter further stated that Crone and </w:t>
      </w:r>
      <w:proofErr w:type="spellStart"/>
      <w:r>
        <w:rPr>
          <w:rFonts w:ascii="Arial" w:hAnsi="Arial" w:cs="Arial"/>
          <w:sz w:val="24"/>
          <w:szCs w:val="24"/>
        </w:rPr>
        <w:t>Fughs</w:t>
      </w:r>
      <w:proofErr w:type="spellEnd"/>
      <w:r>
        <w:rPr>
          <w:rFonts w:ascii="Arial" w:hAnsi="Arial" w:cs="Arial"/>
          <w:sz w:val="24"/>
          <w:szCs w:val="24"/>
        </w:rPr>
        <w:t xml:space="preserve"> are not considered as co-owners of the genetic material because “…they did not contribute </w:t>
      </w:r>
      <w:r>
        <w:rPr>
          <w:rFonts w:ascii="Arial" w:hAnsi="Arial" w:cs="Arial"/>
          <w:sz w:val="24"/>
          <w:szCs w:val="24"/>
        </w:rPr>
        <w:lastRenderedPageBreak/>
        <w:t>intellectually to the discovery…” of the genetic mutation.</w:t>
      </w:r>
      <w:r>
        <w:rPr>
          <w:rStyle w:val="FootnoteReference"/>
          <w:rFonts w:ascii="Arial" w:hAnsi="Arial" w:cs="Arial"/>
          <w:sz w:val="24"/>
          <w:szCs w:val="24"/>
        </w:rPr>
        <w:footnoteReference w:id="148"/>
      </w:r>
      <w:r>
        <w:rPr>
          <w:rFonts w:ascii="Arial" w:hAnsi="Arial" w:cs="Arial"/>
          <w:sz w:val="24"/>
          <w:szCs w:val="24"/>
        </w:rPr>
        <w:t xml:space="preserve">  In response, </w:t>
      </w:r>
      <w:proofErr w:type="spellStart"/>
      <w:r>
        <w:rPr>
          <w:rFonts w:ascii="Arial" w:hAnsi="Arial" w:cs="Arial"/>
          <w:sz w:val="24"/>
          <w:szCs w:val="24"/>
        </w:rPr>
        <w:t>Fughs</w:t>
      </w:r>
      <w:proofErr w:type="spellEnd"/>
      <w:r>
        <w:rPr>
          <w:rFonts w:ascii="Arial" w:hAnsi="Arial" w:cs="Arial"/>
          <w:sz w:val="24"/>
          <w:szCs w:val="24"/>
        </w:rPr>
        <w:t xml:space="preserve"> claim</w:t>
      </w:r>
      <w:r w:rsidR="00245AE5">
        <w:rPr>
          <w:rFonts w:ascii="Arial" w:hAnsi="Arial" w:cs="Arial"/>
          <w:sz w:val="24"/>
          <w:szCs w:val="24"/>
        </w:rPr>
        <w:t>ed</w:t>
      </w:r>
      <w:r>
        <w:rPr>
          <w:rFonts w:ascii="Arial" w:hAnsi="Arial" w:cs="Arial"/>
          <w:sz w:val="24"/>
          <w:szCs w:val="24"/>
        </w:rPr>
        <w:t xml:space="preserve"> that it was his idea that he may have an AIDS immunity, which he believes entitles him to share in the ownership of the patent.</w:t>
      </w:r>
      <w:r>
        <w:rPr>
          <w:rStyle w:val="FootnoteReference"/>
          <w:rFonts w:ascii="Arial" w:hAnsi="Arial" w:cs="Arial"/>
          <w:sz w:val="24"/>
          <w:szCs w:val="24"/>
        </w:rPr>
        <w:footnoteReference w:id="149"/>
      </w:r>
      <w:r>
        <w:rPr>
          <w:rFonts w:ascii="Arial" w:hAnsi="Arial" w:cs="Arial"/>
          <w:sz w:val="24"/>
          <w:szCs w:val="24"/>
        </w:rPr>
        <w:t xml:space="preserve"> </w:t>
      </w:r>
    </w:p>
    <w:p w14:paraId="170BA625" w14:textId="77777777" w:rsidR="00E960C4" w:rsidRDefault="00AC5EB5">
      <w:pPr>
        <w:widowControl w:val="0"/>
        <w:spacing w:line="480" w:lineRule="atLeast"/>
        <w:rPr>
          <w:rFonts w:ascii="Arial" w:hAnsi="Arial" w:cs="Arial"/>
          <w:sz w:val="24"/>
          <w:szCs w:val="24"/>
        </w:rPr>
      </w:pPr>
      <w:r>
        <w:rPr>
          <w:rFonts w:ascii="Arial" w:hAnsi="Arial" w:cs="Arial"/>
          <w:sz w:val="24"/>
          <w:szCs w:val="24"/>
        </w:rPr>
        <w:tab/>
        <w:t>Lori Andrews</w:t>
      </w:r>
      <w:r w:rsidR="00735F29">
        <w:rPr>
          <w:rFonts w:ascii="Arial" w:hAnsi="Arial" w:cs="Arial"/>
          <w:sz w:val="24"/>
          <w:szCs w:val="24"/>
        </w:rPr>
        <w:t xml:space="preserve">, a patent attorney and </w:t>
      </w:r>
      <w:r w:rsidR="00E960C4">
        <w:rPr>
          <w:rFonts w:ascii="Arial" w:hAnsi="Arial" w:cs="Arial"/>
          <w:sz w:val="24"/>
          <w:szCs w:val="24"/>
        </w:rPr>
        <w:t xml:space="preserve">an </w:t>
      </w:r>
      <w:r w:rsidR="00735F29">
        <w:rPr>
          <w:rFonts w:ascii="Arial" w:hAnsi="Arial" w:cs="Arial"/>
          <w:sz w:val="24"/>
          <w:szCs w:val="24"/>
        </w:rPr>
        <w:t xml:space="preserve">advisor to Congress, stated </w:t>
      </w:r>
      <w:r w:rsidR="00245AE5">
        <w:rPr>
          <w:rFonts w:ascii="Arial" w:hAnsi="Arial" w:cs="Arial"/>
          <w:sz w:val="24"/>
          <w:szCs w:val="24"/>
        </w:rPr>
        <w:t>that in terms of genetic research,</w:t>
      </w:r>
      <w:r w:rsidR="00735F29">
        <w:rPr>
          <w:rFonts w:ascii="Arial" w:hAnsi="Arial" w:cs="Arial"/>
          <w:sz w:val="24"/>
          <w:szCs w:val="24"/>
        </w:rPr>
        <w:t xml:space="preserve"> doctors are searching world-wide</w:t>
      </w:r>
      <w:r w:rsidR="00245AE5">
        <w:rPr>
          <w:rFonts w:ascii="Arial" w:hAnsi="Arial" w:cs="Arial"/>
          <w:sz w:val="24"/>
          <w:szCs w:val="24"/>
        </w:rPr>
        <w:t>,</w:t>
      </w:r>
      <w:r w:rsidR="00735F29">
        <w:rPr>
          <w:rFonts w:ascii="Arial" w:hAnsi="Arial" w:cs="Arial"/>
          <w:sz w:val="24"/>
          <w:szCs w:val="24"/>
        </w:rPr>
        <w:t xml:space="preserve"> and that they view their patients as treasure troves whose blood can be used to find lucrative genes.</w:t>
      </w:r>
      <w:r w:rsidR="00735F29">
        <w:rPr>
          <w:rStyle w:val="FootnoteReference"/>
          <w:rFonts w:ascii="Arial" w:hAnsi="Arial" w:cs="Arial"/>
          <w:sz w:val="24"/>
          <w:szCs w:val="24"/>
        </w:rPr>
        <w:footnoteReference w:id="150"/>
      </w:r>
      <w:r w:rsidR="00735F29">
        <w:rPr>
          <w:rFonts w:ascii="Arial" w:hAnsi="Arial" w:cs="Arial"/>
          <w:sz w:val="24"/>
          <w:szCs w:val="24"/>
        </w:rPr>
        <w:t xml:space="preserve">  It </w:t>
      </w:r>
      <w:r w:rsidR="00245AE5">
        <w:rPr>
          <w:rFonts w:ascii="Arial" w:hAnsi="Arial" w:cs="Arial"/>
          <w:sz w:val="24"/>
          <w:szCs w:val="24"/>
        </w:rPr>
        <w:t>wa</w:t>
      </w:r>
      <w:r w:rsidR="00735F29">
        <w:rPr>
          <w:rFonts w:ascii="Arial" w:hAnsi="Arial" w:cs="Arial"/>
          <w:sz w:val="24"/>
          <w:szCs w:val="24"/>
        </w:rPr>
        <w:t xml:space="preserve">s her contention that patents were never intended to be applied to the products of nature because these products </w:t>
      </w:r>
      <w:r w:rsidR="00245AE5">
        <w:rPr>
          <w:rFonts w:ascii="Arial" w:hAnsi="Arial" w:cs="Arial"/>
          <w:sz w:val="24"/>
          <w:szCs w:val="24"/>
        </w:rPr>
        <w:t>we</w:t>
      </w:r>
      <w:r w:rsidR="00735F29">
        <w:rPr>
          <w:rFonts w:ascii="Arial" w:hAnsi="Arial" w:cs="Arial"/>
          <w:sz w:val="24"/>
          <w:szCs w:val="24"/>
        </w:rPr>
        <w:t>re not inventions.</w:t>
      </w:r>
      <w:r w:rsidR="00735F29">
        <w:rPr>
          <w:rStyle w:val="FootnoteReference"/>
          <w:rFonts w:ascii="Arial" w:hAnsi="Arial" w:cs="Arial"/>
          <w:sz w:val="24"/>
          <w:szCs w:val="24"/>
        </w:rPr>
        <w:footnoteReference w:id="151"/>
      </w:r>
      <w:r w:rsidR="00735F29">
        <w:rPr>
          <w:rFonts w:ascii="Arial" w:hAnsi="Arial" w:cs="Arial"/>
          <w:sz w:val="24"/>
          <w:szCs w:val="24"/>
        </w:rPr>
        <w:t xml:space="preserve">  </w:t>
      </w:r>
    </w:p>
    <w:p w14:paraId="34F198FB" w14:textId="77777777" w:rsidR="00735F29" w:rsidRDefault="00735F29" w:rsidP="00E960C4">
      <w:pPr>
        <w:widowControl w:val="0"/>
        <w:spacing w:line="480" w:lineRule="atLeast"/>
        <w:ind w:firstLine="720"/>
        <w:rPr>
          <w:rFonts w:ascii="Arial" w:hAnsi="Arial" w:cs="Arial"/>
          <w:sz w:val="24"/>
          <w:szCs w:val="24"/>
        </w:rPr>
      </w:pPr>
      <w:r>
        <w:rPr>
          <w:rFonts w:ascii="Arial" w:hAnsi="Arial" w:cs="Arial"/>
          <w:sz w:val="24"/>
          <w:szCs w:val="24"/>
        </w:rPr>
        <w:t>The United Stated Constitution established the patent system to reward and protect inventors.  Until recently, the idea of scientific research products and results being viewed as private property, as opposed to openly shared public knowledge, would have appeared absurd.  After Jonas Salk discovered the polio vaccine, he was asked why he did not attempt to patent it.</w:t>
      </w:r>
      <w:r>
        <w:rPr>
          <w:rStyle w:val="FootnoteReference"/>
          <w:rFonts w:ascii="Arial" w:hAnsi="Arial" w:cs="Arial"/>
          <w:sz w:val="24"/>
          <w:szCs w:val="24"/>
        </w:rPr>
        <w:footnoteReference w:id="152"/>
      </w:r>
      <w:r>
        <w:rPr>
          <w:rFonts w:ascii="Arial" w:hAnsi="Arial" w:cs="Arial"/>
          <w:sz w:val="24"/>
          <w:szCs w:val="24"/>
        </w:rPr>
        <w:t xml:space="preserve">  In reply, he said, “Can you patent the sun?”</w:t>
      </w:r>
      <w:r>
        <w:rPr>
          <w:rStyle w:val="FootnoteReference"/>
          <w:rFonts w:ascii="Arial" w:hAnsi="Arial" w:cs="Arial"/>
          <w:sz w:val="24"/>
          <w:szCs w:val="24"/>
        </w:rPr>
        <w:footnoteReference w:id="153"/>
      </w:r>
      <w:r>
        <w:rPr>
          <w:rFonts w:ascii="Arial" w:hAnsi="Arial" w:cs="Arial"/>
          <w:sz w:val="24"/>
          <w:szCs w:val="24"/>
        </w:rPr>
        <w:t xml:space="preserve">  Ironically, today the Salk Institute holds hundreds of patents on the products of scientific investigations.</w:t>
      </w:r>
      <w:r>
        <w:rPr>
          <w:rStyle w:val="FootnoteReference"/>
          <w:rFonts w:ascii="Arial" w:hAnsi="Arial" w:cs="Arial"/>
          <w:sz w:val="24"/>
          <w:szCs w:val="24"/>
        </w:rPr>
        <w:footnoteReference w:id="154"/>
      </w:r>
      <w:r w:rsidR="00AC5EB5">
        <w:rPr>
          <w:rFonts w:ascii="Arial" w:hAnsi="Arial" w:cs="Arial"/>
          <w:sz w:val="24"/>
          <w:szCs w:val="24"/>
        </w:rPr>
        <w:t xml:space="preserve">  Ms. Andrews</w:t>
      </w:r>
      <w:r>
        <w:rPr>
          <w:rFonts w:ascii="Arial" w:hAnsi="Arial" w:cs="Arial"/>
          <w:sz w:val="24"/>
          <w:szCs w:val="24"/>
        </w:rPr>
        <w:t xml:space="preserve"> sa</w:t>
      </w:r>
      <w:r w:rsidR="00245AE5">
        <w:rPr>
          <w:rFonts w:ascii="Arial" w:hAnsi="Arial" w:cs="Arial"/>
          <w:sz w:val="24"/>
          <w:szCs w:val="24"/>
        </w:rPr>
        <w:t>id</w:t>
      </w:r>
      <w:r>
        <w:rPr>
          <w:rFonts w:ascii="Arial" w:hAnsi="Arial" w:cs="Arial"/>
          <w:sz w:val="24"/>
          <w:szCs w:val="24"/>
        </w:rPr>
        <w:t xml:space="preserve"> that the approach to science has changed from one of altruism to one of capitalism.  She </w:t>
      </w:r>
      <w:r w:rsidR="00245AE5">
        <w:rPr>
          <w:rFonts w:ascii="Arial" w:hAnsi="Arial" w:cs="Arial"/>
          <w:sz w:val="24"/>
          <w:szCs w:val="24"/>
        </w:rPr>
        <w:t>asserted</w:t>
      </w:r>
      <w:r>
        <w:rPr>
          <w:rFonts w:ascii="Arial" w:hAnsi="Arial" w:cs="Arial"/>
          <w:sz w:val="24"/>
          <w:szCs w:val="24"/>
        </w:rPr>
        <w:t xml:space="preserve"> that greed is now a cultural value in the health care system, and that th</w:t>
      </w:r>
      <w:r w:rsidR="002F0C05">
        <w:rPr>
          <w:rFonts w:ascii="Arial" w:hAnsi="Arial" w:cs="Arial"/>
          <w:sz w:val="24"/>
          <w:szCs w:val="24"/>
        </w:rPr>
        <w:t>e system needs to return to an</w:t>
      </w:r>
      <w:r>
        <w:rPr>
          <w:rFonts w:ascii="Arial" w:hAnsi="Arial" w:cs="Arial"/>
          <w:sz w:val="24"/>
          <w:szCs w:val="24"/>
        </w:rPr>
        <w:t xml:space="preserve"> altruistic approach.</w:t>
      </w:r>
      <w:r>
        <w:rPr>
          <w:rStyle w:val="FootnoteReference"/>
          <w:rFonts w:ascii="Arial" w:hAnsi="Arial" w:cs="Arial"/>
          <w:sz w:val="24"/>
          <w:szCs w:val="24"/>
        </w:rPr>
        <w:footnoteReference w:id="155"/>
      </w:r>
      <w:r>
        <w:rPr>
          <w:rFonts w:ascii="Arial" w:hAnsi="Arial" w:cs="Arial"/>
          <w:sz w:val="24"/>
          <w:szCs w:val="24"/>
        </w:rPr>
        <w:t xml:space="preserve">  </w:t>
      </w:r>
    </w:p>
    <w:p w14:paraId="3386B039"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A </w:t>
      </w:r>
      <w:r w:rsidR="002F0C05">
        <w:rPr>
          <w:rFonts w:ascii="Arial" w:hAnsi="Arial" w:cs="Arial"/>
          <w:sz w:val="24"/>
          <w:szCs w:val="24"/>
        </w:rPr>
        <w:t>return to an</w:t>
      </w:r>
      <w:r>
        <w:rPr>
          <w:rFonts w:ascii="Arial" w:hAnsi="Arial" w:cs="Arial"/>
          <w:sz w:val="24"/>
          <w:szCs w:val="24"/>
        </w:rPr>
        <w:t xml:space="preserve"> altruistic approach in genetic research</w:t>
      </w:r>
      <w:r w:rsidR="00245AE5">
        <w:rPr>
          <w:rFonts w:ascii="Arial" w:hAnsi="Arial" w:cs="Arial"/>
          <w:sz w:val="24"/>
          <w:szCs w:val="24"/>
        </w:rPr>
        <w:t xml:space="preserve">, however, </w:t>
      </w:r>
      <w:r>
        <w:rPr>
          <w:rFonts w:ascii="Arial" w:hAnsi="Arial" w:cs="Arial"/>
          <w:sz w:val="24"/>
          <w:szCs w:val="24"/>
        </w:rPr>
        <w:t>appears to be unlikely in an age in which a gene responsible for Epogen, a drug used in kidney treatment, is worth more than a billion dollars in annual revenue for the holder of the patent and the manuf</w:t>
      </w:r>
      <w:r w:rsidR="002F0C05">
        <w:rPr>
          <w:rFonts w:ascii="Arial" w:hAnsi="Arial" w:cs="Arial"/>
          <w:sz w:val="24"/>
          <w:szCs w:val="24"/>
        </w:rPr>
        <w:t xml:space="preserve">acturer, Amgen.  Even in </w:t>
      </w:r>
      <w:r w:rsidR="00727803">
        <w:rPr>
          <w:rFonts w:ascii="Arial" w:hAnsi="Arial" w:cs="Arial"/>
          <w:sz w:val="24"/>
          <w:szCs w:val="24"/>
        </w:rPr>
        <w:t xml:space="preserve">fields of </w:t>
      </w:r>
      <w:r w:rsidR="002F0C05">
        <w:rPr>
          <w:rFonts w:ascii="Arial" w:hAnsi="Arial" w:cs="Arial"/>
          <w:sz w:val="24"/>
          <w:szCs w:val="24"/>
        </w:rPr>
        <w:t>research</w:t>
      </w:r>
      <w:r>
        <w:rPr>
          <w:rFonts w:ascii="Arial" w:hAnsi="Arial" w:cs="Arial"/>
          <w:sz w:val="24"/>
          <w:szCs w:val="24"/>
        </w:rPr>
        <w:t xml:space="preserve"> which are not as lucrative</w:t>
      </w:r>
      <w:r w:rsidR="002F0C05">
        <w:rPr>
          <w:rFonts w:ascii="Arial" w:hAnsi="Arial" w:cs="Arial"/>
          <w:sz w:val="24"/>
          <w:szCs w:val="24"/>
        </w:rPr>
        <w:t xml:space="preserve"> as the Epogen gene</w:t>
      </w:r>
      <w:r w:rsidR="002A0388">
        <w:rPr>
          <w:rFonts w:ascii="Arial" w:hAnsi="Arial" w:cs="Arial"/>
          <w:sz w:val="24"/>
          <w:szCs w:val="24"/>
        </w:rPr>
        <w:t xml:space="preserve"> research</w:t>
      </w:r>
      <w:r>
        <w:rPr>
          <w:rFonts w:ascii="Arial" w:hAnsi="Arial" w:cs="Arial"/>
          <w:sz w:val="24"/>
          <w:szCs w:val="24"/>
        </w:rPr>
        <w:t xml:space="preserve">, behavior which has been compared to a “gold </w:t>
      </w:r>
      <w:r>
        <w:rPr>
          <w:rFonts w:ascii="Arial" w:hAnsi="Arial" w:cs="Arial"/>
          <w:sz w:val="24"/>
          <w:szCs w:val="24"/>
        </w:rPr>
        <w:lastRenderedPageBreak/>
        <w:t>rush” occurs.  Dan and Debbie</w:t>
      </w:r>
      <w:r w:rsidR="00B45A28">
        <w:rPr>
          <w:rFonts w:ascii="Arial" w:hAnsi="Arial" w:cs="Arial"/>
          <w:sz w:val="24"/>
          <w:szCs w:val="24"/>
        </w:rPr>
        <w:t xml:space="preserve"> Greenberg</w:t>
      </w:r>
      <w:r w:rsidR="002A0388">
        <w:rPr>
          <w:rFonts w:ascii="Arial" w:hAnsi="Arial" w:cs="Arial"/>
          <w:sz w:val="24"/>
          <w:szCs w:val="24"/>
        </w:rPr>
        <w:t>, for example,</w:t>
      </w:r>
      <w:r w:rsidR="00B45A28">
        <w:rPr>
          <w:rFonts w:ascii="Arial" w:hAnsi="Arial" w:cs="Arial"/>
          <w:sz w:val="24"/>
          <w:szCs w:val="24"/>
        </w:rPr>
        <w:t xml:space="preserve"> had two children who</w:t>
      </w:r>
      <w:r>
        <w:rPr>
          <w:rFonts w:ascii="Arial" w:hAnsi="Arial" w:cs="Arial"/>
          <w:sz w:val="24"/>
          <w:szCs w:val="24"/>
        </w:rPr>
        <w:t xml:space="preserve"> died of a rare degenerative brain disorder called Canavan’s disease.</w:t>
      </w:r>
      <w:r>
        <w:rPr>
          <w:rStyle w:val="FootnoteReference"/>
          <w:rFonts w:ascii="Arial" w:hAnsi="Arial" w:cs="Arial"/>
          <w:sz w:val="24"/>
          <w:szCs w:val="24"/>
        </w:rPr>
        <w:footnoteReference w:id="156"/>
      </w:r>
      <w:r>
        <w:rPr>
          <w:rFonts w:ascii="Arial" w:hAnsi="Arial" w:cs="Arial"/>
          <w:sz w:val="24"/>
          <w:szCs w:val="24"/>
        </w:rPr>
        <w:t xml:space="preserve">  When the children were born, no systematic body of scientific knowledge about it existed</w:t>
      </w:r>
      <w:r w:rsidR="007A0759">
        <w:rPr>
          <w:rFonts w:ascii="Arial" w:hAnsi="Arial" w:cs="Arial"/>
          <w:sz w:val="24"/>
          <w:szCs w:val="24"/>
        </w:rPr>
        <w:t>,</w:t>
      </w:r>
      <w:r>
        <w:rPr>
          <w:rFonts w:ascii="Arial" w:hAnsi="Arial" w:cs="Arial"/>
          <w:sz w:val="24"/>
          <w:szCs w:val="24"/>
        </w:rPr>
        <w:t xml:space="preserve"> and there was no research being done.</w:t>
      </w:r>
      <w:r>
        <w:rPr>
          <w:rStyle w:val="FootnoteReference"/>
          <w:rFonts w:ascii="Arial" w:hAnsi="Arial" w:cs="Arial"/>
          <w:sz w:val="24"/>
          <w:szCs w:val="24"/>
        </w:rPr>
        <w:footnoteReference w:id="157"/>
      </w:r>
      <w:r w:rsidR="00727803">
        <w:rPr>
          <w:rFonts w:ascii="Arial" w:hAnsi="Arial" w:cs="Arial"/>
          <w:sz w:val="24"/>
          <w:szCs w:val="24"/>
        </w:rPr>
        <w:t xml:space="preserve">  Researchers</w:t>
      </w:r>
      <w:r>
        <w:rPr>
          <w:rFonts w:ascii="Arial" w:hAnsi="Arial" w:cs="Arial"/>
          <w:sz w:val="24"/>
          <w:szCs w:val="24"/>
        </w:rPr>
        <w:t xml:space="preserve"> did not </w:t>
      </w:r>
      <w:r w:rsidR="00727803">
        <w:rPr>
          <w:rFonts w:ascii="Arial" w:hAnsi="Arial" w:cs="Arial"/>
          <w:sz w:val="24"/>
          <w:szCs w:val="24"/>
        </w:rPr>
        <w:t xml:space="preserve">actually </w:t>
      </w:r>
      <w:r>
        <w:rPr>
          <w:rFonts w:ascii="Arial" w:hAnsi="Arial" w:cs="Arial"/>
          <w:sz w:val="24"/>
          <w:szCs w:val="24"/>
        </w:rPr>
        <w:t>know where to begin.</w:t>
      </w:r>
      <w:r>
        <w:rPr>
          <w:rStyle w:val="FootnoteReference"/>
          <w:rFonts w:ascii="Arial" w:hAnsi="Arial" w:cs="Arial"/>
          <w:sz w:val="24"/>
          <w:szCs w:val="24"/>
        </w:rPr>
        <w:footnoteReference w:id="158"/>
      </w:r>
      <w:r w:rsidR="00B45A28">
        <w:rPr>
          <w:rFonts w:ascii="Arial" w:hAnsi="Arial" w:cs="Arial"/>
          <w:sz w:val="24"/>
          <w:szCs w:val="24"/>
        </w:rPr>
        <w:t xml:space="preserve">  Gradually,</w:t>
      </w:r>
      <w:r>
        <w:rPr>
          <w:rFonts w:ascii="Arial" w:hAnsi="Arial" w:cs="Arial"/>
          <w:sz w:val="24"/>
          <w:szCs w:val="24"/>
        </w:rPr>
        <w:t xml:space="preserve"> docto</w:t>
      </w:r>
      <w:r w:rsidR="00727803">
        <w:rPr>
          <w:rFonts w:ascii="Arial" w:hAnsi="Arial" w:cs="Arial"/>
          <w:sz w:val="24"/>
          <w:szCs w:val="24"/>
        </w:rPr>
        <w:t>rs discovered that the disease wa</w:t>
      </w:r>
      <w:r>
        <w:rPr>
          <w:rFonts w:ascii="Arial" w:hAnsi="Arial" w:cs="Arial"/>
          <w:sz w:val="24"/>
          <w:szCs w:val="24"/>
        </w:rPr>
        <w:t>s pres</w:t>
      </w:r>
      <w:r w:rsidR="00727803">
        <w:rPr>
          <w:rFonts w:ascii="Arial" w:hAnsi="Arial" w:cs="Arial"/>
          <w:sz w:val="24"/>
          <w:szCs w:val="24"/>
        </w:rPr>
        <w:t>ent only when both parents carried</w:t>
      </w:r>
      <w:r>
        <w:rPr>
          <w:rFonts w:ascii="Arial" w:hAnsi="Arial" w:cs="Arial"/>
          <w:sz w:val="24"/>
          <w:szCs w:val="24"/>
        </w:rPr>
        <w:t xml:space="preserve"> a particular gene.</w:t>
      </w:r>
      <w:r>
        <w:rPr>
          <w:rStyle w:val="FootnoteReference"/>
          <w:rFonts w:ascii="Arial" w:hAnsi="Arial" w:cs="Arial"/>
          <w:sz w:val="24"/>
          <w:szCs w:val="24"/>
        </w:rPr>
        <w:footnoteReference w:id="159"/>
      </w:r>
      <w:r w:rsidR="00727803">
        <w:rPr>
          <w:rFonts w:ascii="Arial" w:hAnsi="Arial" w:cs="Arial"/>
          <w:sz w:val="24"/>
          <w:szCs w:val="24"/>
        </w:rPr>
        <w:t xml:space="preserve">  After learning this, the </w:t>
      </w:r>
      <w:proofErr w:type="spellStart"/>
      <w:r w:rsidR="00727803">
        <w:rPr>
          <w:rFonts w:ascii="Arial" w:hAnsi="Arial" w:cs="Arial"/>
          <w:sz w:val="24"/>
          <w:szCs w:val="24"/>
        </w:rPr>
        <w:t>Greenbergs</w:t>
      </w:r>
      <w:proofErr w:type="spellEnd"/>
      <w:r w:rsidR="00727803">
        <w:rPr>
          <w:rFonts w:ascii="Arial" w:hAnsi="Arial" w:cs="Arial"/>
          <w:sz w:val="24"/>
          <w:szCs w:val="24"/>
        </w:rPr>
        <w:t xml:space="preserve"> believed that further research could isolate the gene and</w:t>
      </w:r>
      <w:r>
        <w:rPr>
          <w:rFonts w:ascii="Arial" w:hAnsi="Arial" w:cs="Arial"/>
          <w:sz w:val="24"/>
          <w:szCs w:val="24"/>
        </w:rPr>
        <w:t xml:space="preserve"> possibly lead to prevention </w:t>
      </w:r>
      <w:r w:rsidR="00B45A28">
        <w:rPr>
          <w:rFonts w:ascii="Arial" w:hAnsi="Arial" w:cs="Arial"/>
          <w:sz w:val="24"/>
          <w:szCs w:val="24"/>
        </w:rPr>
        <w:t>of or a cure for</w:t>
      </w:r>
      <w:r>
        <w:rPr>
          <w:rFonts w:ascii="Arial" w:hAnsi="Arial" w:cs="Arial"/>
          <w:sz w:val="24"/>
          <w:szCs w:val="24"/>
        </w:rPr>
        <w:t xml:space="preserve"> the disease.</w:t>
      </w:r>
      <w:r>
        <w:rPr>
          <w:rStyle w:val="FootnoteReference"/>
          <w:rFonts w:ascii="Arial" w:hAnsi="Arial" w:cs="Arial"/>
          <w:sz w:val="24"/>
          <w:szCs w:val="24"/>
        </w:rPr>
        <w:footnoteReference w:id="160"/>
      </w:r>
      <w:r>
        <w:rPr>
          <w:rFonts w:ascii="Arial" w:hAnsi="Arial" w:cs="Arial"/>
          <w:sz w:val="24"/>
          <w:szCs w:val="24"/>
        </w:rPr>
        <w:t xml:space="preserve">  </w:t>
      </w:r>
    </w:p>
    <w:p w14:paraId="512348C8"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The </w:t>
      </w:r>
      <w:proofErr w:type="spellStart"/>
      <w:r>
        <w:rPr>
          <w:rFonts w:ascii="Arial" w:hAnsi="Arial" w:cs="Arial"/>
          <w:sz w:val="24"/>
          <w:szCs w:val="24"/>
        </w:rPr>
        <w:t>Greenbergs</w:t>
      </w:r>
      <w:proofErr w:type="spellEnd"/>
      <w:r>
        <w:rPr>
          <w:rFonts w:ascii="Arial" w:hAnsi="Arial" w:cs="Arial"/>
          <w:sz w:val="24"/>
          <w:szCs w:val="24"/>
        </w:rPr>
        <w:t xml:space="preserve"> were in contact with a genetic researcher, Dr. Ruben </w:t>
      </w:r>
      <w:proofErr w:type="spellStart"/>
      <w:r>
        <w:rPr>
          <w:rFonts w:ascii="Arial" w:hAnsi="Arial" w:cs="Arial"/>
          <w:sz w:val="24"/>
          <w:szCs w:val="24"/>
        </w:rPr>
        <w:t>Matalon</w:t>
      </w:r>
      <w:proofErr w:type="spellEnd"/>
      <w:r>
        <w:rPr>
          <w:rFonts w:ascii="Arial" w:hAnsi="Arial" w:cs="Arial"/>
          <w:sz w:val="24"/>
          <w:szCs w:val="24"/>
        </w:rPr>
        <w:t>, whom they convinced to begin research into Canavan’s disease.</w:t>
      </w:r>
      <w:r>
        <w:rPr>
          <w:rStyle w:val="FootnoteReference"/>
          <w:rFonts w:ascii="Arial" w:hAnsi="Arial" w:cs="Arial"/>
          <w:sz w:val="24"/>
          <w:szCs w:val="24"/>
        </w:rPr>
        <w:footnoteReference w:id="161"/>
      </w:r>
      <w:r>
        <w:rPr>
          <w:rFonts w:ascii="Arial" w:hAnsi="Arial" w:cs="Arial"/>
          <w:sz w:val="24"/>
          <w:szCs w:val="24"/>
        </w:rPr>
        <w:t xml:space="preserve">  Initially, the </w:t>
      </w:r>
      <w:proofErr w:type="spellStart"/>
      <w:r>
        <w:rPr>
          <w:rFonts w:ascii="Arial" w:hAnsi="Arial" w:cs="Arial"/>
          <w:sz w:val="24"/>
          <w:szCs w:val="24"/>
        </w:rPr>
        <w:t>Greenbergs</w:t>
      </w:r>
      <w:proofErr w:type="spellEnd"/>
      <w:r>
        <w:rPr>
          <w:rFonts w:ascii="Arial" w:hAnsi="Arial" w:cs="Arial"/>
          <w:sz w:val="24"/>
          <w:szCs w:val="24"/>
        </w:rPr>
        <w:t xml:space="preserve"> provided the doctor with blood and urine samples from their two children who had developed the disease.</w:t>
      </w:r>
      <w:r>
        <w:rPr>
          <w:rStyle w:val="FootnoteReference"/>
          <w:rFonts w:ascii="Arial" w:hAnsi="Arial" w:cs="Arial"/>
          <w:sz w:val="24"/>
          <w:szCs w:val="24"/>
        </w:rPr>
        <w:footnoteReference w:id="162"/>
      </w:r>
      <w:r w:rsidR="007966D4">
        <w:rPr>
          <w:rFonts w:ascii="Arial" w:hAnsi="Arial" w:cs="Arial"/>
          <w:sz w:val="24"/>
          <w:szCs w:val="24"/>
        </w:rPr>
        <w:t xml:space="preserve">  Once </w:t>
      </w:r>
      <w:r>
        <w:rPr>
          <w:rFonts w:ascii="Arial" w:hAnsi="Arial" w:cs="Arial"/>
          <w:sz w:val="24"/>
          <w:szCs w:val="24"/>
        </w:rPr>
        <w:t xml:space="preserve">Dr. </w:t>
      </w:r>
      <w:proofErr w:type="spellStart"/>
      <w:r>
        <w:rPr>
          <w:rFonts w:ascii="Arial" w:hAnsi="Arial" w:cs="Arial"/>
          <w:sz w:val="24"/>
          <w:szCs w:val="24"/>
        </w:rPr>
        <w:t>Matalon</w:t>
      </w:r>
      <w:proofErr w:type="spellEnd"/>
      <w:r>
        <w:rPr>
          <w:rFonts w:ascii="Arial" w:hAnsi="Arial" w:cs="Arial"/>
          <w:sz w:val="24"/>
          <w:szCs w:val="24"/>
        </w:rPr>
        <w:t xml:space="preserve"> believed that his resea</w:t>
      </w:r>
      <w:r w:rsidR="007966D4">
        <w:rPr>
          <w:rFonts w:ascii="Arial" w:hAnsi="Arial" w:cs="Arial"/>
          <w:sz w:val="24"/>
          <w:szCs w:val="24"/>
        </w:rPr>
        <w:t>rch was making progress, he sought</w:t>
      </w:r>
      <w:r w:rsidR="002A0388">
        <w:rPr>
          <w:rFonts w:ascii="Arial" w:hAnsi="Arial" w:cs="Arial"/>
          <w:sz w:val="24"/>
          <w:szCs w:val="24"/>
        </w:rPr>
        <w:t xml:space="preserve"> more</w:t>
      </w:r>
      <w:r>
        <w:rPr>
          <w:rFonts w:ascii="Arial" w:hAnsi="Arial" w:cs="Arial"/>
          <w:sz w:val="24"/>
          <w:szCs w:val="24"/>
        </w:rPr>
        <w:t xml:space="preserve"> samples</w:t>
      </w:r>
      <w:r w:rsidR="00AC5EB5">
        <w:rPr>
          <w:rFonts w:ascii="Arial" w:hAnsi="Arial" w:cs="Arial"/>
          <w:sz w:val="24"/>
          <w:szCs w:val="24"/>
        </w:rPr>
        <w:t xml:space="preserve"> from the children</w:t>
      </w:r>
      <w:r>
        <w:rPr>
          <w:rFonts w:ascii="Arial" w:hAnsi="Arial" w:cs="Arial"/>
          <w:sz w:val="24"/>
          <w:szCs w:val="24"/>
        </w:rPr>
        <w:t>.</w:t>
      </w:r>
      <w:r>
        <w:rPr>
          <w:rStyle w:val="FootnoteReference"/>
          <w:rFonts w:ascii="Arial" w:hAnsi="Arial" w:cs="Arial"/>
          <w:sz w:val="24"/>
          <w:szCs w:val="24"/>
        </w:rPr>
        <w:footnoteReference w:id="163"/>
      </w:r>
      <w:r>
        <w:rPr>
          <w:rFonts w:ascii="Arial" w:hAnsi="Arial" w:cs="Arial"/>
          <w:sz w:val="24"/>
          <w:szCs w:val="24"/>
        </w:rPr>
        <w:t xml:space="preserve">  The </w:t>
      </w:r>
      <w:proofErr w:type="spellStart"/>
      <w:r>
        <w:rPr>
          <w:rFonts w:ascii="Arial" w:hAnsi="Arial" w:cs="Arial"/>
          <w:sz w:val="24"/>
          <w:szCs w:val="24"/>
        </w:rPr>
        <w:t>Greenbergs</w:t>
      </w:r>
      <w:proofErr w:type="spellEnd"/>
      <w:r>
        <w:rPr>
          <w:rFonts w:ascii="Arial" w:hAnsi="Arial" w:cs="Arial"/>
          <w:sz w:val="24"/>
          <w:szCs w:val="24"/>
        </w:rPr>
        <w:t xml:space="preserve"> found other families where the gene was present </w:t>
      </w:r>
      <w:r w:rsidR="004159D8">
        <w:rPr>
          <w:rFonts w:ascii="Arial" w:hAnsi="Arial" w:cs="Arial"/>
          <w:sz w:val="24"/>
          <w:szCs w:val="24"/>
        </w:rPr>
        <w:t xml:space="preserve">and </w:t>
      </w:r>
      <w:r>
        <w:rPr>
          <w:rFonts w:ascii="Arial" w:hAnsi="Arial" w:cs="Arial"/>
          <w:sz w:val="24"/>
          <w:szCs w:val="24"/>
        </w:rPr>
        <w:t>who were interested in participating in the research.</w:t>
      </w:r>
      <w:r>
        <w:rPr>
          <w:rStyle w:val="FootnoteReference"/>
          <w:rFonts w:ascii="Arial" w:hAnsi="Arial" w:cs="Arial"/>
          <w:sz w:val="24"/>
          <w:szCs w:val="24"/>
        </w:rPr>
        <w:footnoteReference w:id="164"/>
      </w:r>
      <w:r>
        <w:rPr>
          <w:rFonts w:ascii="Arial" w:hAnsi="Arial" w:cs="Arial"/>
          <w:sz w:val="24"/>
          <w:szCs w:val="24"/>
        </w:rPr>
        <w:t xml:space="preserve">  The </w:t>
      </w:r>
      <w:proofErr w:type="spellStart"/>
      <w:r>
        <w:rPr>
          <w:rFonts w:ascii="Arial" w:hAnsi="Arial" w:cs="Arial"/>
          <w:sz w:val="24"/>
          <w:szCs w:val="24"/>
        </w:rPr>
        <w:t>Greenbergs</w:t>
      </w:r>
      <w:proofErr w:type="spellEnd"/>
      <w:r>
        <w:rPr>
          <w:rFonts w:ascii="Arial" w:hAnsi="Arial" w:cs="Arial"/>
          <w:sz w:val="24"/>
          <w:szCs w:val="24"/>
        </w:rPr>
        <w:t xml:space="preserve"> and the other famil</w:t>
      </w:r>
      <w:r w:rsidR="00B45A28">
        <w:rPr>
          <w:rFonts w:ascii="Arial" w:hAnsi="Arial" w:cs="Arial"/>
          <w:sz w:val="24"/>
          <w:szCs w:val="24"/>
        </w:rPr>
        <w:t>ies provided money</w:t>
      </w:r>
      <w:r>
        <w:rPr>
          <w:rFonts w:ascii="Arial" w:hAnsi="Arial" w:cs="Arial"/>
          <w:sz w:val="24"/>
          <w:szCs w:val="24"/>
        </w:rPr>
        <w:t xml:space="preserve"> for early research efforts.</w:t>
      </w:r>
      <w:r>
        <w:rPr>
          <w:rStyle w:val="FootnoteReference"/>
          <w:rFonts w:ascii="Arial" w:hAnsi="Arial" w:cs="Arial"/>
          <w:sz w:val="24"/>
          <w:szCs w:val="24"/>
        </w:rPr>
        <w:footnoteReference w:id="165"/>
      </w:r>
      <w:r>
        <w:rPr>
          <w:rFonts w:ascii="Arial" w:hAnsi="Arial" w:cs="Arial"/>
          <w:sz w:val="24"/>
          <w:szCs w:val="24"/>
        </w:rPr>
        <w:t xml:space="preserve">  The proj</w:t>
      </w:r>
      <w:r w:rsidR="00B45A28">
        <w:rPr>
          <w:rFonts w:ascii="Arial" w:hAnsi="Arial" w:cs="Arial"/>
          <w:sz w:val="24"/>
          <w:szCs w:val="24"/>
        </w:rPr>
        <w:t>ect was eventually funded by</w:t>
      </w:r>
      <w:r>
        <w:rPr>
          <w:rFonts w:ascii="Arial" w:hAnsi="Arial" w:cs="Arial"/>
          <w:sz w:val="24"/>
          <w:szCs w:val="24"/>
        </w:rPr>
        <w:t xml:space="preserve"> Miami Children</w:t>
      </w:r>
      <w:r w:rsidR="00B45A28">
        <w:rPr>
          <w:rFonts w:ascii="Arial" w:hAnsi="Arial" w:cs="Arial"/>
          <w:sz w:val="24"/>
          <w:szCs w:val="24"/>
        </w:rPr>
        <w:t>’s</w:t>
      </w:r>
      <w:r>
        <w:rPr>
          <w:rFonts w:ascii="Arial" w:hAnsi="Arial" w:cs="Arial"/>
          <w:sz w:val="24"/>
          <w:szCs w:val="24"/>
        </w:rPr>
        <w:t xml:space="preserve"> Hospital, and after a few years, Dr. </w:t>
      </w:r>
      <w:proofErr w:type="spellStart"/>
      <w:r>
        <w:rPr>
          <w:rFonts w:ascii="Arial" w:hAnsi="Arial" w:cs="Arial"/>
          <w:sz w:val="24"/>
          <w:szCs w:val="24"/>
        </w:rPr>
        <w:t>Matalon</w:t>
      </w:r>
      <w:proofErr w:type="spellEnd"/>
      <w:r>
        <w:rPr>
          <w:rFonts w:ascii="Arial" w:hAnsi="Arial" w:cs="Arial"/>
          <w:sz w:val="24"/>
          <w:szCs w:val="24"/>
        </w:rPr>
        <w:t xml:space="preserve"> identified the Canavan gene.</w:t>
      </w:r>
      <w:r>
        <w:rPr>
          <w:rStyle w:val="FootnoteReference"/>
          <w:rFonts w:ascii="Arial" w:hAnsi="Arial" w:cs="Arial"/>
          <w:sz w:val="24"/>
          <w:szCs w:val="24"/>
        </w:rPr>
        <w:footnoteReference w:id="166"/>
      </w:r>
      <w:r>
        <w:rPr>
          <w:rFonts w:ascii="Arial" w:hAnsi="Arial" w:cs="Arial"/>
          <w:sz w:val="24"/>
          <w:szCs w:val="24"/>
        </w:rPr>
        <w:t xml:space="preserve">  </w:t>
      </w:r>
    </w:p>
    <w:p w14:paraId="51AC04D6"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The </w:t>
      </w:r>
      <w:proofErr w:type="spellStart"/>
      <w:r>
        <w:rPr>
          <w:rFonts w:ascii="Arial" w:hAnsi="Arial" w:cs="Arial"/>
          <w:sz w:val="24"/>
          <w:szCs w:val="24"/>
        </w:rPr>
        <w:t>Greenbergs</w:t>
      </w:r>
      <w:proofErr w:type="spellEnd"/>
      <w:r>
        <w:rPr>
          <w:rFonts w:ascii="Arial" w:hAnsi="Arial" w:cs="Arial"/>
          <w:sz w:val="24"/>
          <w:szCs w:val="24"/>
        </w:rPr>
        <w:t xml:space="preserve"> subsequent</w:t>
      </w:r>
      <w:r w:rsidR="00B45A28">
        <w:rPr>
          <w:rFonts w:ascii="Arial" w:hAnsi="Arial" w:cs="Arial"/>
          <w:sz w:val="24"/>
          <w:szCs w:val="24"/>
        </w:rPr>
        <w:t>ly learned that Miami Children’s</w:t>
      </w:r>
      <w:r>
        <w:rPr>
          <w:rFonts w:ascii="Arial" w:hAnsi="Arial" w:cs="Arial"/>
          <w:sz w:val="24"/>
          <w:szCs w:val="24"/>
        </w:rPr>
        <w:t xml:space="preserve"> Hospital had patented the Canavan gene and were charging a royalty for all Canavan screening tests that were performed anywhere</w:t>
      </w:r>
      <w:r w:rsidR="00F5161A">
        <w:rPr>
          <w:rFonts w:ascii="Arial" w:hAnsi="Arial" w:cs="Arial"/>
          <w:sz w:val="24"/>
          <w:szCs w:val="24"/>
        </w:rPr>
        <w:t xml:space="preserve"> in the world</w:t>
      </w:r>
      <w:r>
        <w:rPr>
          <w:rFonts w:ascii="Arial" w:hAnsi="Arial" w:cs="Arial"/>
          <w:sz w:val="24"/>
          <w:szCs w:val="24"/>
        </w:rPr>
        <w:t>.</w:t>
      </w:r>
      <w:r>
        <w:rPr>
          <w:rStyle w:val="FootnoteReference"/>
          <w:rFonts w:ascii="Arial" w:hAnsi="Arial" w:cs="Arial"/>
          <w:sz w:val="24"/>
          <w:szCs w:val="24"/>
        </w:rPr>
        <w:footnoteReference w:id="167"/>
      </w:r>
      <w:r w:rsidR="00F5161A">
        <w:rPr>
          <w:rFonts w:ascii="Arial" w:hAnsi="Arial" w:cs="Arial"/>
          <w:sz w:val="24"/>
          <w:szCs w:val="24"/>
        </w:rPr>
        <w:t xml:space="preserve">  I</w:t>
      </w:r>
      <w:r>
        <w:rPr>
          <w:rFonts w:ascii="Arial" w:hAnsi="Arial" w:cs="Arial"/>
          <w:sz w:val="24"/>
          <w:szCs w:val="24"/>
        </w:rPr>
        <w:t>n association with the other families</w:t>
      </w:r>
      <w:r w:rsidR="00F5161A">
        <w:rPr>
          <w:rFonts w:ascii="Arial" w:hAnsi="Arial" w:cs="Arial"/>
          <w:sz w:val="24"/>
          <w:szCs w:val="24"/>
        </w:rPr>
        <w:t>,</w:t>
      </w:r>
      <w:r>
        <w:rPr>
          <w:rFonts w:ascii="Arial" w:hAnsi="Arial" w:cs="Arial"/>
          <w:sz w:val="24"/>
          <w:szCs w:val="24"/>
        </w:rPr>
        <w:t xml:space="preserve"> </w:t>
      </w:r>
      <w:r w:rsidR="00F5161A">
        <w:rPr>
          <w:rFonts w:ascii="Arial" w:hAnsi="Arial" w:cs="Arial"/>
          <w:sz w:val="24"/>
          <w:szCs w:val="24"/>
        </w:rPr>
        <w:lastRenderedPageBreak/>
        <w:t xml:space="preserve">the </w:t>
      </w:r>
      <w:proofErr w:type="spellStart"/>
      <w:r w:rsidR="00F5161A">
        <w:rPr>
          <w:rFonts w:ascii="Arial" w:hAnsi="Arial" w:cs="Arial"/>
          <w:sz w:val="24"/>
          <w:szCs w:val="24"/>
        </w:rPr>
        <w:t>Greenbergs</w:t>
      </w:r>
      <w:proofErr w:type="spellEnd"/>
      <w:r w:rsidR="00F5161A">
        <w:rPr>
          <w:rFonts w:ascii="Arial" w:hAnsi="Arial" w:cs="Arial"/>
          <w:sz w:val="24"/>
          <w:szCs w:val="24"/>
        </w:rPr>
        <w:t xml:space="preserve"> </w:t>
      </w:r>
      <w:r>
        <w:rPr>
          <w:rFonts w:ascii="Arial" w:hAnsi="Arial" w:cs="Arial"/>
          <w:sz w:val="24"/>
          <w:szCs w:val="24"/>
        </w:rPr>
        <w:t>and the National Tay</w:t>
      </w:r>
      <w:r w:rsidR="00B45A28">
        <w:rPr>
          <w:rFonts w:ascii="Arial" w:hAnsi="Arial" w:cs="Arial"/>
          <w:sz w:val="24"/>
          <w:szCs w:val="24"/>
        </w:rPr>
        <w:t>-</w:t>
      </w:r>
      <w:r>
        <w:rPr>
          <w:rFonts w:ascii="Arial" w:hAnsi="Arial" w:cs="Arial"/>
          <w:sz w:val="24"/>
          <w:szCs w:val="24"/>
        </w:rPr>
        <w:t>Sachs and Allied Disease Associat</w:t>
      </w:r>
      <w:r w:rsidR="00B45A28">
        <w:rPr>
          <w:rFonts w:ascii="Arial" w:hAnsi="Arial" w:cs="Arial"/>
          <w:sz w:val="24"/>
          <w:szCs w:val="24"/>
        </w:rPr>
        <w:t>ion, Inc.</w:t>
      </w:r>
      <w:r w:rsidR="00667324">
        <w:rPr>
          <w:rFonts w:ascii="Arial" w:hAnsi="Arial" w:cs="Arial"/>
          <w:sz w:val="24"/>
          <w:szCs w:val="24"/>
        </w:rPr>
        <w:t>,</w:t>
      </w:r>
      <w:r w:rsidR="00B45A28">
        <w:rPr>
          <w:rFonts w:ascii="Arial" w:hAnsi="Arial" w:cs="Arial"/>
          <w:sz w:val="24"/>
          <w:szCs w:val="24"/>
        </w:rPr>
        <w:t xml:space="preserve"> sued Miami Children’s</w:t>
      </w:r>
      <w:r>
        <w:rPr>
          <w:rFonts w:ascii="Arial" w:hAnsi="Arial" w:cs="Arial"/>
          <w:sz w:val="24"/>
          <w:szCs w:val="24"/>
        </w:rPr>
        <w:t xml:space="preserve"> Hospital and Dr. </w:t>
      </w:r>
      <w:proofErr w:type="spellStart"/>
      <w:r>
        <w:rPr>
          <w:rFonts w:ascii="Arial" w:hAnsi="Arial" w:cs="Arial"/>
          <w:sz w:val="24"/>
          <w:szCs w:val="24"/>
        </w:rPr>
        <w:t>Matalon</w:t>
      </w:r>
      <w:proofErr w:type="spellEnd"/>
      <w:r>
        <w:rPr>
          <w:rFonts w:ascii="Arial" w:hAnsi="Arial" w:cs="Arial"/>
          <w:sz w:val="24"/>
          <w:szCs w:val="24"/>
        </w:rPr>
        <w:t xml:space="preserve"> for breach of implied consent in patenting the gene.</w:t>
      </w:r>
      <w:r>
        <w:rPr>
          <w:rStyle w:val="FootnoteReference"/>
          <w:rFonts w:ascii="Arial" w:hAnsi="Arial" w:cs="Arial"/>
          <w:sz w:val="24"/>
          <w:szCs w:val="24"/>
        </w:rPr>
        <w:footnoteReference w:id="168"/>
      </w:r>
      <w:r>
        <w:rPr>
          <w:rFonts w:ascii="Arial" w:hAnsi="Arial" w:cs="Arial"/>
          <w:sz w:val="24"/>
          <w:szCs w:val="24"/>
        </w:rPr>
        <w:t xml:space="preserve">  The </w:t>
      </w:r>
      <w:proofErr w:type="spellStart"/>
      <w:r w:rsidR="00F5161A">
        <w:rPr>
          <w:rFonts w:ascii="Arial" w:hAnsi="Arial" w:cs="Arial"/>
          <w:sz w:val="24"/>
          <w:szCs w:val="24"/>
        </w:rPr>
        <w:t>Greenbergs</w:t>
      </w:r>
      <w:proofErr w:type="spellEnd"/>
      <w:r w:rsidR="00F5161A">
        <w:rPr>
          <w:rFonts w:ascii="Arial" w:hAnsi="Arial" w:cs="Arial"/>
          <w:sz w:val="24"/>
          <w:szCs w:val="24"/>
        </w:rPr>
        <w:t xml:space="preserve"> alleged</w:t>
      </w:r>
      <w:r>
        <w:rPr>
          <w:rFonts w:ascii="Arial" w:hAnsi="Arial" w:cs="Arial"/>
          <w:sz w:val="24"/>
          <w:szCs w:val="24"/>
        </w:rPr>
        <w:t xml:space="preserve"> that the research could not have proceeded without</w:t>
      </w:r>
      <w:r w:rsidR="00F5161A">
        <w:rPr>
          <w:rFonts w:ascii="Arial" w:hAnsi="Arial" w:cs="Arial"/>
          <w:sz w:val="24"/>
          <w:szCs w:val="24"/>
        </w:rPr>
        <w:t xml:space="preserve"> both</w:t>
      </w:r>
      <w:r>
        <w:rPr>
          <w:rFonts w:ascii="Arial" w:hAnsi="Arial" w:cs="Arial"/>
          <w:sz w:val="24"/>
          <w:szCs w:val="24"/>
        </w:rPr>
        <w:t xml:space="preserve"> their and the other </w:t>
      </w:r>
      <w:r w:rsidR="00667324">
        <w:rPr>
          <w:rFonts w:ascii="Arial" w:hAnsi="Arial" w:cs="Arial"/>
          <w:sz w:val="24"/>
          <w:szCs w:val="24"/>
        </w:rPr>
        <w:t xml:space="preserve">participating </w:t>
      </w:r>
      <w:r>
        <w:rPr>
          <w:rFonts w:ascii="Arial" w:hAnsi="Arial" w:cs="Arial"/>
          <w:sz w:val="24"/>
          <w:szCs w:val="24"/>
        </w:rPr>
        <w:t>families’ contributions.</w:t>
      </w:r>
      <w:r>
        <w:rPr>
          <w:rStyle w:val="FootnoteReference"/>
          <w:rFonts w:ascii="Arial" w:hAnsi="Arial" w:cs="Arial"/>
          <w:sz w:val="24"/>
          <w:szCs w:val="24"/>
        </w:rPr>
        <w:footnoteReference w:id="169"/>
      </w:r>
      <w:r>
        <w:rPr>
          <w:rFonts w:ascii="Arial" w:hAnsi="Arial" w:cs="Arial"/>
          <w:sz w:val="24"/>
          <w:szCs w:val="24"/>
        </w:rPr>
        <w:t xml:space="preserve">  The </w:t>
      </w:r>
      <w:proofErr w:type="spellStart"/>
      <w:r>
        <w:rPr>
          <w:rFonts w:ascii="Arial" w:hAnsi="Arial" w:cs="Arial"/>
          <w:sz w:val="24"/>
          <w:szCs w:val="24"/>
        </w:rPr>
        <w:t>Greenbergs</w:t>
      </w:r>
      <w:proofErr w:type="spellEnd"/>
      <w:r>
        <w:rPr>
          <w:rFonts w:ascii="Arial" w:hAnsi="Arial" w:cs="Arial"/>
          <w:sz w:val="24"/>
          <w:szCs w:val="24"/>
        </w:rPr>
        <w:t xml:space="preserve"> were never informed by the hospital that a patent applica</w:t>
      </w:r>
      <w:r w:rsidR="006F4956">
        <w:rPr>
          <w:rFonts w:ascii="Arial" w:hAnsi="Arial" w:cs="Arial"/>
          <w:sz w:val="24"/>
          <w:szCs w:val="24"/>
        </w:rPr>
        <w:t>tion had been submitted to the Patent O</w:t>
      </w:r>
      <w:r>
        <w:rPr>
          <w:rFonts w:ascii="Arial" w:hAnsi="Arial" w:cs="Arial"/>
          <w:sz w:val="24"/>
          <w:szCs w:val="24"/>
        </w:rPr>
        <w:t>ffice.</w:t>
      </w:r>
      <w:r>
        <w:rPr>
          <w:rStyle w:val="FootnoteReference"/>
          <w:rFonts w:ascii="Arial" w:hAnsi="Arial" w:cs="Arial"/>
          <w:sz w:val="24"/>
          <w:szCs w:val="24"/>
        </w:rPr>
        <w:footnoteReference w:id="170"/>
      </w:r>
      <w:r>
        <w:rPr>
          <w:rFonts w:ascii="Arial" w:hAnsi="Arial" w:cs="Arial"/>
          <w:sz w:val="24"/>
          <w:szCs w:val="24"/>
        </w:rPr>
        <w:t xml:space="preserve">  No one </w:t>
      </w:r>
      <w:r w:rsidR="008E0593">
        <w:rPr>
          <w:rFonts w:ascii="Arial" w:hAnsi="Arial" w:cs="Arial"/>
          <w:sz w:val="24"/>
          <w:szCs w:val="24"/>
        </w:rPr>
        <w:t xml:space="preserve">from Miami Children’s </w:t>
      </w:r>
      <w:r>
        <w:rPr>
          <w:rFonts w:ascii="Arial" w:hAnsi="Arial" w:cs="Arial"/>
          <w:sz w:val="24"/>
          <w:szCs w:val="24"/>
        </w:rPr>
        <w:t xml:space="preserve">had </w:t>
      </w:r>
      <w:r w:rsidR="004159D8">
        <w:rPr>
          <w:rFonts w:ascii="Arial" w:hAnsi="Arial" w:cs="Arial"/>
          <w:sz w:val="24"/>
          <w:szCs w:val="24"/>
        </w:rPr>
        <w:t xml:space="preserve">ever </w:t>
      </w:r>
      <w:r>
        <w:rPr>
          <w:rFonts w:ascii="Arial" w:hAnsi="Arial" w:cs="Arial"/>
          <w:sz w:val="24"/>
          <w:szCs w:val="24"/>
        </w:rPr>
        <w:t>asked them if they would consent to a patenting of their genes.</w:t>
      </w:r>
      <w:r>
        <w:rPr>
          <w:rStyle w:val="FootnoteReference"/>
          <w:rFonts w:ascii="Arial" w:hAnsi="Arial" w:cs="Arial"/>
          <w:sz w:val="24"/>
          <w:szCs w:val="24"/>
        </w:rPr>
        <w:footnoteReference w:id="171"/>
      </w:r>
      <w:r>
        <w:rPr>
          <w:rFonts w:ascii="Arial" w:hAnsi="Arial" w:cs="Arial"/>
          <w:sz w:val="24"/>
          <w:szCs w:val="24"/>
        </w:rPr>
        <w:t xml:space="preserve">  They believed that the entire premise of the research was to benefit the human race, not to make large sums of money.  </w:t>
      </w:r>
    </w:p>
    <w:p w14:paraId="4F4259F6"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In response to an inquiry from </w:t>
      </w:r>
      <w:r>
        <w:rPr>
          <w:rFonts w:ascii="Arial" w:hAnsi="Arial" w:cs="Arial"/>
          <w:i/>
          <w:iCs/>
          <w:sz w:val="24"/>
          <w:szCs w:val="24"/>
        </w:rPr>
        <w:t>60 Minutes</w:t>
      </w:r>
      <w:r>
        <w:rPr>
          <w:rFonts w:ascii="Arial" w:hAnsi="Arial" w:cs="Arial"/>
          <w:sz w:val="24"/>
          <w:szCs w:val="24"/>
        </w:rPr>
        <w:t>, Miami</w:t>
      </w:r>
      <w:r w:rsidR="00822118">
        <w:rPr>
          <w:rFonts w:ascii="Arial" w:hAnsi="Arial" w:cs="Arial"/>
          <w:sz w:val="24"/>
          <w:szCs w:val="24"/>
        </w:rPr>
        <w:t xml:space="preserve"> Children’s Hospital</w:t>
      </w:r>
      <w:r>
        <w:rPr>
          <w:rFonts w:ascii="Arial" w:hAnsi="Arial" w:cs="Arial"/>
          <w:sz w:val="24"/>
          <w:szCs w:val="24"/>
        </w:rPr>
        <w:t xml:space="preserve"> wrote, “It’s highly unlikely that the hospital will ever recoup the millions and millions it spent on this research.”</w:t>
      </w:r>
      <w:r>
        <w:rPr>
          <w:rStyle w:val="FootnoteReference"/>
          <w:rFonts w:ascii="Arial" w:hAnsi="Arial" w:cs="Arial"/>
          <w:sz w:val="24"/>
          <w:szCs w:val="24"/>
        </w:rPr>
        <w:footnoteReference w:id="172"/>
      </w:r>
      <w:r w:rsidR="00667324">
        <w:rPr>
          <w:rFonts w:ascii="Arial" w:hAnsi="Arial" w:cs="Arial"/>
          <w:sz w:val="24"/>
          <w:szCs w:val="24"/>
        </w:rPr>
        <w:t xml:space="preserve">  The hospital</w:t>
      </w:r>
      <w:r>
        <w:rPr>
          <w:rFonts w:ascii="Arial" w:hAnsi="Arial" w:cs="Arial"/>
          <w:sz w:val="24"/>
          <w:szCs w:val="24"/>
        </w:rPr>
        <w:t xml:space="preserve"> further said that their test offers couples a way of determining the probability of having a child with Canavan’s disease</w:t>
      </w:r>
      <w:r w:rsidR="009D6B40">
        <w:rPr>
          <w:rFonts w:ascii="Arial" w:hAnsi="Arial" w:cs="Arial"/>
          <w:sz w:val="24"/>
          <w:szCs w:val="24"/>
        </w:rPr>
        <w:t>, so the test benefits society</w:t>
      </w:r>
      <w:r>
        <w:rPr>
          <w:rFonts w:ascii="Arial" w:hAnsi="Arial" w:cs="Arial"/>
          <w:sz w:val="24"/>
          <w:szCs w:val="24"/>
        </w:rPr>
        <w:t>.</w:t>
      </w:r>
      <w:r>
        <w:rPr>
          <w:rStyle w:val="FootnoteReference"/>
          <w:rFonts w:ascii="Arial" w:hAnsi="Arial" w:cs="Arial"/>
          <w:sz w:val="24"/>
          <w:szCs w:val="24"/>
        </w:rPr>
        <w:footnoteReference w:id="173"/>
      </w:r>
      <w:r>
        <w:rPr>
          <w:rFonts w:ascii="Arial" w:hAnsi="Arial" w:cs="Arial"/>
          <w:sz w:val="24"/>
          <w:szCs w:val="24"/>
        </w:rPr>
        <w:t xml:space="preserve">  </w:t>
      </w:r>
    </w:p>
    <w:p w14:paraId="3F821280" w14:textId="77777777" w:rsidR="00735F29" w:rsidRDefault="008E0593">
      <w:pPr>
        <w:widowControl w:val="0"/>
        <w:spacing w:line="480" w:lineRule="atLeast"/>
        <w:rPr>
          <w:rFonts w:ascii="Arial" w:hAnsi="Arial" w:cs="Arial"/>
          <w:sz w:val="24"/>
          <w:szCs w:val="24"/>
        </w:rPr>
      </w:pPr>
      <w:r>
        <w:rPr>
          <w:rFonts w:ascii="Arial" w:hAnsi="Arial" w:cs="Arial"/>
          <w:sz w:val="24"/>
          <w:szCs w:val="24"/>
        </w:rPr>
        <w:tab/>
        <w:t>Patent attorney Lori Andrews</w:t>
      </w:r>
      <w:r w:rsidR="00735F29">
        <w:rPr>
          <w:rFonts w:ascii="Arial" w:hAnsi="Arial" w:cs="Arial"/>
          <w:sz w:val="24"/>
          <w:szCs w:val="24"/>
        </w:rPr>
        <w:t xml:space="preserve"> noted that scientists had been doing pure research long before there were such lucrative economic incentives.</w:t>
      </w:r>
      <w:r w:rsidR="00735F29">
        <w:rPr>
          <w:rStyle w:val="FootnoteReference"/>
          <w:rFonts w:ascii="Arial" w:hAnsi="Arial" w:cs="Arial"/>
          <w:sz w:val="24"/>
          <w:szCs w:val="24"/>
        </w:rPr>
        <w:footnoteReference w:id="174"/>
      </w:r>
      <w:r w:rsidR="00B52723">
        <w:rPr>
          <w:rFonts w:ascii="Arial" w:hAnsi="Arial" w:cs="Arial"/>
          <w:sz w:val="24"/>
          <w:szCs w:val="24"/>
        </w:rPr>
        <w:t xml:space="preserve">  She </w:t>
      </w:r>
      <w:r w:rsidR="00735F29">
        <w:rPr>
          <w:rFonts w:ascii="Arial" w:hAnsi="Arial" w:cs="Arial"/>
          <w:sz w:val="24"/>
          <w:szCs w:val="24"/>
        </w:rPr>
        <w:t>s</w:t>
      </w:r>
      <w:r w:rsidR="00B52723">
        <w:rPr>
          <w:rFonts w:ascii="Arial" w:hAnsi="Arial" w:cs="Arial"/>
          <w:sz w:val="24"/>
          <w:szCs w:val="24"/>
        </w:rPr>
        <w:t>aid</w:t>
      </w:r>
      <w:r w:rsidR="00735F29">
        <w:rPr>
          <w:rFonts w:ascii="Arial" w:hAnsi="Arial" w:cs="Arial"/>
          <w:sz w:val="24"/>
          <w:szCs w:val="24"/>
        </w:rPr>
        <w:t xml:space="preserve"> that allowing patents on genes has changed medicine forever and </w:t>
      </w:r>
      <w:r w:rsidR="00B52723">
        <w:rPr>
          <w:rFonts w:ascii="Arial" w:hAnsi="Arial" w:cs="Arial"/>
          <w:sz w:val="24"/>
          <w:szCs w:val="24"/>
        </w:rPr>
        <w:t xml:space="preserve">has </w:t>
      </w:r>
      <w:r w:rsidR="00735F29">
        <w:rPr>
          <w:rFonts w:ascii="Arial" w:hAnsi="Arial" w:cs="Arial"/>
          <w:sz w:val="24"/>
          <w:szCs w:val="24"/>
        </w:rPr>
        <w:t>completely altered scientific thought.</w:t>
      </w:r>
      <w:r w:rsidR="00735F29">
        <w:rPr>
          <w:rStyle w:val="FootnoteReference"/>
          <w:rFonts w:ascii="Arial" w:hAnsi="Arial" w:cs="Arial"/>
          <w:sz w:val="24"/>
          <w:szCs w:val="24"/>
        </w:rPr>
        <w:footnoteReference w:id="175"/>
      </w:r>
      <w:r w:rsidR="00735F29">
        <w:rPr>
          <w:rFonts w:ascii="Arial" w:hAnsi="Arial" w:cs="Arial"/>
          <w:sz w:val="24"/>
          <w:szCs w:val="24"/>
        </w:rPr>
        <w:t xml:space="preserve">  Usually in scientific endeavors, she said, researchers share scientific knowledge so that, for example</w:t>
      </w:r>
      <w:r w:rsidR="00822118">
        <w:rPr>
          <w:rFonts w:ascii="Arial" w:hAnsi="Arial" w:cs="Arial"/>
          <w:sz w:val="24"/>
          <w:szCs w:val="24"/>
        </w:rPr>
        <w:t>,</w:t>
      </w:r>
      <w:r w:rsidR="00735F29">
        <w:rPr>
          <w:rFonts w:ascii="Arial" w:hAnsi="Arial" w:cs="Arial"/>
          <w:sz w:val="24"/>
          <w:szCs w:val="24"/>
        </w:rPr>
        <w:t xml:space="preserve"> in medicine, many independent and competent people may be working on a cure for a specific disease.</w:t>
      </w:r>
      <w:r w:rsidR="00735F29">
        <w:rPr>
          <w:rStyle w:val="FootnoteReference"/>
          <w:rFonts w:ascii="Arial" w:hAnsi="Arial" w:cs="Arial"/>
          <w:sz w:val="24"/>
          <w:szCs w:val="24"/>
        </w:rPr>
        <w:footnoteReference w:id="176"/>
      </w:r>
      <w:r w:rsidR="00735F29">
        <w:rPr>
          <w:rFonts w:ascii="Arial" w:hAnsi="Arial" w:cs="Arial"/>
          <w:sz w:val="24"/>
          <w:szCs w:val="24"/>
        </w:rPr>
        <w:t xml:space="preserve">  She said that this is not now the case with the existence of overreaching gene patents, where the individual who identifies the gene controls subsequent research and marketing of that knowledge.</w:t>
      </w:r>
      <w:r w:rsidR="00735F29">
        <w:rPr>
          <w:rStyle w:val="FootnoteReference"/>
          <w:rFonts w:ascii="Arial" w:hAnsi="Arial" w:cs="Arial"/>
          <w:sz w:val="24"/>
          <w:szCs w:val="24"/>
        </w:rPr>
        <w:footnoteReference w:id="177"/>
      </w:r>
      <w:r w:rsidR="00735F29">
        <w:rPr>
          <w:rFonts w:ascii="Arial" w:hAnsi="Arial" w:cs="Arial"/>
          <w:sz w:val="24"/>
          <w:szCs w:val="24"/>
        </w:rPr>
        <w:t xml:space="preserve">  </w:t>
      </w:r>
    </w:p>
    <w:p w14:paraId="7C0C940F" w14:textId="77777777" w:rsidR="00735F29" w:rsidRDefault="00735F29">
      <w:pPr>
        <w:widowControl w:val="0"/>
        <w:spacing w:line="480" w:lineRule="atLeast"/>
        <w:rPr>
          <w:rFonts w:ascii="Arial" w:hAnsi="Arial" w:cs="Arial"/>
          <w:sz w:val="24"/>
          <w:szCs w:val="24"/>
        </w:rPr>
      </w:pPr>
      <w:r>
        <w:rPr>
          <w:rFonts w:ascii="Arial" w:hAnsi="Arial" w:cs="Arial"/>
          <w:sz w:val="24"/>
          <w:szCs w:val="24"/>
        </w:rPr>
        <w:lastRenderedPageBreak/>
        <w:tab/>
        <w:t>The recent bitter controversy involving patenting human genes and partial gene sequences from the results of the Human Genome Project has pitted federally</w:t>
      </w:r>
      <w:r w:rsidR="00822118">
        <w:rPr>
          <w:rFonts w:ascii="Arial" w:hAnsi="Arial" w:cs="Arial"/>
          <w:sz w:val="24"/>
          <w:szCs w:val="24"/>
        </w:rPr>
        <w:t>-</w:t>
      </w:r>
      <w:r>
        <w:rPr>
          <w:rFonts w:ascii="Arial" w:hAnsi="Arial" w:cs="Arial"/>
          <w:sz w:val="24"/>
          <w:szCs w:val="24"/>
        </w:rPr>
        <w:t>funded research teams against the privately-owned biotech firm, Celera,</w:t>
      </w:r>
      <w:r w:rsidR="00822118">
        <w:rPr>
          <w:rFonts w:ascii="Arial" w:hAnsi="Arial" w:cs="Arial"/>
          <w:sz w:val="24"/>
          <w:szCs w:val="24"/>
        </w:rPr>
        <w:t xml:space="preserve"> in a race to see who will</w:t>
      </w:r>
      <w:r>
        <w:rPr>
          <w:rFonts w:ascii="Arial" w:hAnsi="Arial" w:cs="Arial"/>
          <w:sz w:val="24"/>
          <w:szCs w:val="24"/>
        </w:rPr>
        <w:t xml:space="preserve"> sequence the entire human genome first.</w:t>
      </w:r>
      <w:r>
        <w:rPr>
          <w:rStyle w:val="FootnoteReference"/>
          <w:rFonts w:ascii="Arial" w:hAnsi="Arial" w:cs="Arial"/>
          <w:sz w:val="24"/>
          <w:szCs w:val="24"/>
        </w:rPr>
        <w:footnoteReference w:id="178"/>
      </w:r>
      <w:r>
        <w:rPr>
          <w:rFonts w:ascii="Arial" w:hAnsi="Arial" w:cs="Arial"/>
          <w:sz w:val="24"/>
          <w:szCs w:val="24"/>
        </w:rPr>
        <w:t xml:space="preserve">  Celera hopes to reap grea</w:t>
      </w:r>
      <w:r w:rsidR="009D6B40">
        <w:rPr>
          <w:rFonts w:ascii="Arial" w:hAnsi="Arial" w:cs="Arial"/>
          <w:sz w:val="24"/>
          <w:szCs w:val="24"/>
        </w:rPr>
        <w:t>t financial rewards from the</w:t>
      </w:r>
      <w:r>
        <w:rPr>
          <w:rFonts w:ascii="Arial" w:hAnsi="Arial" w:cs="Arial"/>
          <w:sz w:val="24"/>
          <w:szCs w:val="24"/>
        </w:rPr>
        <w:t xml:space="preserve"> completion of the sequencing and has been following a policy of keeping its data secret.</w:t>
      </w:r>
      <w:r>
        <w:rPr>
          <w:rStyle w:val="FootnoteReference"/>
          <w:rFonts w:ascii="Arial" w:hAnsi="Arial" w:cs="Arial"/>
          <w:sz w:val="24"/>
          <w:szCs w:val="24"/>
        </w:rPr>
        <w:footnoteReference w:id="179"/>
      </w:r>
      <w:r>
        <w:rPr>
          <w:rFonts w:ascii="Arial" w:hAnsi="Arial" w:cs="Arial"/>
          <w:sz w:val="24"/>
          <w:szCs w:val="24"/>
        </w:rPr>
        <w:t xml:space="preserve">  Interested parties can, however, for a fee of five million dollars, gain immediate access to Celera’s data.</w:t>
      </w:r>
      <w:r>
        <w:rPr>
          <w:rStyle w:val="FootnoteReference"/>
          <w:rFonts w:ascii="Arial" w:hAnsi="Arial" w:cs="Arial"/>
          <w:sz w:val="24"/>
          <w:szCs w:val="24"/>
        </w:rPr>
        <w:footnoteReference w:id="180"/>
      </w:r>
      <w:r>
        <w:rPr>
          <w:rFonts w:ascii="Arial" w:hAnsi="Arial" w:cs="Arial"/>
          <w:sz w:val="24"/>
          <w:szCs w:val="24"/>
        </w:rPr>
        <w:t xml:space="preserve">  This withholding of information from scientific discourse by Celera has caused a raging debate concerning who, if anyone, owns this knowledge and whether this is the proper way to conduct scientific research.  When President Clinton stated that the data for the human genome should be freely shared by all interested parti</w:t>
      </w:r>
      <w:r w:rsidR="009D6B40">
        <w:rPr>
          <w:rFonts w:ascii="Arial" w:hAnsi="Arial" w:cs="Arial"/>
          <w:sz w:val="24"/>
          <w:szCs w:val="24"/>
        </w:rPr>
        <w:t>es, investors, such as those who</w:t>
      </w:r>
      <w:r w:rsidR="00B52723">
        <w:rPr>
          <w:rFonts w:ascii="Arial" w:hAnsi="Arial" w:cs="Arial"/>
          <w:sz w:val="24"/>
          <w:szCs w:val="24"/>
        </w:rPr>
        <w:t xml:space="preserve"> finance</w:t>
      </w:r>
      <w:r w:rsidR="009D6B40">
        <w:rPr>
          <w:rFonts w:ascii="Arial" w:hAnsi="Arial" w:cs="Arial"/>
          <w:sz w:val="24"/>
          <w:szCs w:val="24"/>
        </w:rPr>
        <w:t>d</w:t>
      </w:r>
      <w:r w:rsidR="00B52723">
        <w:rPr>
          <w:rFonts w:ascii="Arial" w:hAnsi="Arial" w:cs="Arial"/>
          <w:sz w:val="24"/>
          <w:szCs w:val="24"/>
        </w:rPr>
        <w:t xml:space="preserve"> Celera, expressed concern</w:t>
      </w:r>
      <w:r>
        <w:rPr>
          <w:rFonts w:ascii="Arial" w:hAnsi="Arial" w:cs="Arial"/>
          <w:sz w:val="24"/>
          <w:szCs w:val="24"/>
        </w:rPr>
        <w:t xml:space="preserve"> that the federal government would take away acquired patent protection for biotech products.</w:t>
      </w:r>
      <w:r>
        <w:rPr>
          <w:rStyle w:val="FootnoteReference"/>
          <w:rFonts w:ascii="Arial" w:hAnsi="Arial" w:cs="Arial"/>
          <w:sz w:val="24"/>
          <w:szCs w:val="24"/>
        </w:rPr>
        <w:footnoteReference w:id="181"/>
      </w:r>
      <w:r>
        <w:rPr>
          <w:rFonts w:ascii="Arial" w:hAnsi="Arial" w:cs="Arial"/>
          <w:sz w:val="24"/>
          <w:szCs w:val="24"/>
        </w:rPr>
        <w:t xml:space="preserve">  </w:t>
      </w:r>
    </w:p>
    <w:p w14:paraId="0999024E"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As an example of the extent of protection being sought by biotech firms, by the end of October, 1999, the Celera Corporation had filed over 6500 preliminary patents on human DNA sequences which consist of whole or partial genes.</w:t>
      </w:r>
      <w:r>
        <w:rPr>
          <w:rStyle w:val="FootnoteReference"/>
          <w:rFonts w:ascii="Arial" w:hAnsi="Arial" w:cs="Arial"/>
          <w:sz w:val="24"/>
          <w:szCs w:val="24"/>
        </w:rPr>
        <w:footnoteReference w:id="182"/>
      </w:r>
      <w:r>
        <w:rPr>
          <w:rFonts w:ascii="Arial" w:hAnsi="Arial" w:cs="Arial"/>
          <w:sz w:val="24"/>
          <w:szCs w:val="24"/>
        </w:rPr>
        <w:t xml:space="preserve">  The head of the company, Craig Venter, stated that he did not believe that the government would grant all of the patents and even promised Congress that he would only attempt to gain full patent protection on 300 genes.</w:t>
      </w:r>
      <w:r>
        <w:rPr>
          <w:rStyle w:val="FootnoteReference"/>
          <w:rFonts w:ascii="Arial" w:hAnsi="Arial" w:cs="Arial"/>
          <w:sz w:val="24"/>
          <w:szCs w:val="24"/>
        </w:rPr>
        <w:footnoteReference w:id="183"/>
      </w:r>
      <w:r>
        <w:rPr>
          <w:rFonts w:ascii="Arial" w:hAnsi="Arial" w:cs="Arial"/>
          <w:sz w:val="24"/>
          <w:szCs w:val="24"/>
        </w:rPr>
        <w:t xml:space="preserve">  By filing the applications, </w:t>
      </w:r>
      <w:r w:rsidR="00F94D7D">
        <w:rPr>
          <w:rFonts w:ascii="Arial" w:hAnsi="Arial" w:cs="Arial"/>
          <w:sz w:val="24"/>
          <w:szCs w:val="24"/>
        </w:rPr>
        <w:t xml:space="preserve">however, </w:t>
      </w:r>
      <w:r>
        <w:rPr>
          <w:rFonts w:ascii="Arial" w:hAnsi="Arial" w:cs="Arial"/>
          <w:sz w:val="24"/>
          <w:szCs w:val="24"/>
        </w:rPr>
        <w:t>Cel</w:t>
      </w:r>
      <w:r w:rsidR="006F4956">
        <w:rPr>
          <w:rFonts w:ascii="Arial" w:hAnsi="Arial" w:cs="Arial"/>
          <w:sz w:val="24"/>
          <w:szCs w:val="24"/>
        </w:rPr>
        <w:t>era was attempting to have the Patent O</w:t>
      </w:r>
      <w:r>
        <w:rPr>
          <w:rFonts w:ascii="Arial" w:hAnsi="Arial" w:cs="Arial"/>
          <w:sz w:val="24"/>
          <w:szCs w:val="24"/>
        </w:rPr>
        <w:t>ffice define parts of the human genome as intellectual property, and the company was given a year from the date of application to determine whether commercially viable products could be developed from the information.</w:t>
      </w:r>
      <w:r>
        <w:rPr>
          <w:rStyle w:val="FootnoteReference"/>
          <w:rFonts w:ascii="Arial" w:hAnsi="Arial" w:cs="Arial"/>
          <w:sz w:val="24"/>
          <w:szCs w:val="24"/>
        </w:rPr>
        <w:footnoteReference w:id="184"/>
      </w:r>
      <w:r>
        <w:rPr>
          <w:rFonts w:ascii="Arial" w:hAnsi="Arial" w:cs="Arial"/>
          <w:sz w:val="24"/>
          <w:szCs w:val="24"/>
        </w:rPr>
        <w:t xml:space="preserve">  If </w:t>
      </w:r>
      <w:r>
        <w:rPr>
          <w:rFonts w:ascii="Arial" w:hAnsi="Arial" w:cs="Arial"/>
          <w:sz w:val="24"/>
          <w:szCs w:val="24"/>
        </w:rPr>
        <w:lastRenderedPageBreak/>
        <w:t>full patent applications were not filed within the year, then the gene sequences w</w:t>
      </w:r>
      <w:r w:rsidR="00F94D7D">
        <w:rPr>
          <w:rFonts w:ascii="Arial" w:hAnsi="Arial" w:cs="Arial"/>
          <w:sz w:val="24"/>
          <w:szCs w:val="24"/>
        </w:rPr>
        <w:t>ill</w:t>
      </w:r>
      <w:r>
        <w:rPr>
          <w:rFonts w:ascii="Arial" w:hAnsi="Arial" w:cs="Arial"/>
          <w:sz w:val="24"/>
          <w:szCs w:val="24"/>
        </w:rPr>
        <w:t xml:space="preserve"> enter the public domain.</w:t>
      </w:r>
      <w:r>
        <w:rPr>
          <w:rStyle w:val="FootnoteReference"/>
          <w:rFonts w:ascii="Arial" w:hAnsi="Arial" w:cs="Arial"/>
          <w:sz w:val="24"/>
          <w:szCs w:val="24"/>
        </w:rPr>
        <w:footnoteReference w:id="185"/>
      </w:r>
    </w:p>
    <w:p w14:paraId="4DFA31BE"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Other biotech firms, including Incyte and Human Genome Sciences, Inc., have also filed patent applications on thousands of human genes, and Myriad Genetics has received patents on two genes which determine breast cancer susceptibility.</w:t>
      </w:r>
      <w:r>
        <w:rPr>
          <w:rStyle w:val="FootnoteReference"/>
          <w:rFonts w:ascii="Arial" w:hAnsi="Arial" w:cs="Arial"/>
          <w:sz w:val="24"/>
          <w:szCs w:val="24"/>
        </w:rPr>
        <w:footnoteReference w:id="186"/>
      </w:r>
      <w:r>
        <w:rPr>
          <w:rFonts w:ascii="Arial" w:hAnsi="Arial" w:cs="Arial"/>
          <w:sz w:val="24"/>
          <w:szCs w:val="24"/>
        </w:rPr>
        <w:t xml:space="preserve">  These firms assert that patenting gene and partial gene sequences is important in order to provide the fiscal incentives necessary to develop new health care products and technologies.</w:t>
      </w:r>
      <w:r>
        <w:rPr>
          <w:rStyle w:val="FootnoteReference"/>
          <w:rFonts w:ascii="Arial" w:hAnsi="Arial" w:cs="Arial"/>
          <w:sz w:val="24"/>
          <w:szCs w:val="24"/>
        </w:rPr>
        <w:footnoteReference w:id="187"/>
      </w:r>
      <w:r>
        <w:rPr>
          <w:rFonts w:ascii="Arial" w:hAnsi="Arial" w:cs="Arial"/>
          <w:sz w:val="24"/>
          <w:szCs w:val="24"/>
        </w:rPr>
        <w:t xml:space="preserve">  These corporations also claim that since </w:t>
      </w:r>
      <w:r w:rsidR="00F94D7D">
        <w:rPr>
          <w:rFonts w:ascii="Arial" w:hAnsi="Arial" w:cs="Arial"/>
          <w:sz w:val="24"/>
          <w:szCs w:val="24"/>
        </w:rPr>
        <w:t xml:space="preserve">their </w:t>
      </w:r>
      <w:r>
        <w:rPr>
          <w:rFonts w:ascii="Arial" w:hAnsi="Arial" w:cs="Arial"/>
          <w:sz w:val="24"/>
          <w:szCs w:val="24"/>
        </w:rPr>
        <w:t>business is inherently risky, the monopoly which a patent provides is required in order to attract capital for research, development</w:t>
      </w:r>
      <w:r w:rsidR="00926162">
        <w:rPr>
          <w:rFonts w:ascii="Arial" w:hAnsi="Arial" w:cs="Arial"/>
          <w:sz w:val="24"/>
          <w:szCs w:val="24"/>
        </w:rPr>
        <w:t>,</w:t>
      </w:r>
      <w:r>
        <w:rPr>
          <w:rFonts w:ascii="Arial" w:hAnsi="Arial" w:cs="Arial"/>
          <w:sz w:val="24"/>
          <w:szCs w:val="24"/>
        </w:rPr>
        <w:t xml:space="preserve"> and production.</w:t>
      </w:r>
      <w:r>
        <w:rPr>
          <w:rStyle w:val="FootnoteReference"/>
          <w:rFonts w:ascii="Arial" w:hAnsi="Arial" w:cs="Arial"/>
          <w:sz w:val="24"/>
          <w:szCs w:val="24"/>
        </w:rPr>
        <w:footnoteReference w:id="188"/>
      </w:r>
      <w:r>
        <w:rPr>
          <w:rFonts w:ascii="Arial" w:hAnsi="Arial" w:cs="Arial"/>
          <w:sz w:val="24"/>
          <w:szCs w:val="24"/>
        </w:rPr>
        <w:t xml:space="preserve">  If the government does not grant the patents, the companies argue, then there is no financial incentive to develop new drugs and technologies.</w:t>
      </w:r>
      <w:r>
        <w:rPr>
          <w:rStyle w:val="FootnoteReference"/>
          <w:rFonts w:ascii="Arial" w:hAnsi="Arial" w:cs="Arial"/>
          <w:sz w:val="24"/>
          <w:szCs w:val="24"/>
        </w:rPr>
        <w:footnoteReference w:id="189"/>
      </w:r>
      <w:r>
        <w:rPr>
          <w:rFonts w:ascii="Arial" w:hAnsi="Arial" w:cs="Arial"/>
          <w:sz w:val="24"/>
          <w:szCs w:val="24"/>
        </w:rPr>
        <w:t xml:space="preserve">  Genetic disorders and diseases which can be controlled or cured will</w:t>
      </w:r>
      <w:r w:rsidR="00EA6978">
        <w:rPr>
          <w:rFonts w:ascii="Arial" w:hAnsi="Arial" w:cs="Arial"/>
          <w:sz w:val="24"/>
          <w:szCs w:val="24"/>
        </w:rPr>
        <w:t xml:space="preserve"> then</w:t>
      </w:r>
      <w:r>
        <w:rPr>
          <w:rFonts w:ascii="Arial" w:hAnsi="Arial" w:cs="Arial"/>
          <w:sz w:val="24"/>
          <w:szCs w:val="24"/>
        </w:rPr>
        <w:t xml:space="preserve"> continue to cause suffering.</w:t>
      </w:r>
    </w:p>
    <w:p w14:paraId="125323D6"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This argument, which has continually been advanced</w:t>
      </w:r>
      <w:r w:rsidR="00EA6978">
        <w:rPr>
          <w:rFonts w:ascii="Arial" w:hAnsi="Arial" w:cs="Arial"/>
          <w:sz w:val="24"/>
          <w:szCs w:val="24"/>
        </w:rPr>
        <w:t xml:space="preserve"> by various patent proponents</w:t>
      </w:r>
      <w:r>
        <w:rPr>
          <w:rFonts w:ascii="Arial" w:hAnsi="Arial" w:cs="Arial"/>
          <w:sz w:val="24"/>
          <w:szCs w:val="24"/>
        </w:rPr>
        <w:t>, is refuted by the fact that the biotech industry has always received heavy government subsidization on all levels, from basic research to production.</w:t>
      </w:r>
      <w:r>
        <w:rPr>
          <w:rStyle w:val="FootnoteReference"/>
          <w:rFonts w:ascii="Arial" w:hAnsi="Arial" w:cs="Arial"/>
          <w:sz w:val="24"/>
          <w:szCs w:val="24"/>
        </w:rPr>
        <w:footnoteReference w:id="190"/>
      </w:r>
      <w:r>
        <w:rPr>
          <w:rFonts w:ascii="Arial" w:hAnsi="Arial" w:cs="Arial"/>
          <w:sz w:val="24"/>
          <w:szCs w:val="24"/>
        </w:rPr>
        <w:t xml:space="preserve">  Even without the benefit of a patent monopoly, almost all basic genetic engineering research has been funded by the government, either directly through grants, or indirectly through tax deductions and credits.</w:t>
      </w:r>
      <w:r>
        <w:rPr>
          <w:rStyle w:val="FootnoteReference"/>
          <w:rFonts w:ascii="Arial" w:hAnsi="Arial" w:cs="Arial"/>
          <w:sz w:val="24"/>
          <w:szCs w:val="24"/>
        </w:rPr>
        <w:footnoteReference w:id="191"/>
      </w:r>
      <w:r>
        <w:rPr>
          <w:rFonts w:ascii="Arial" w:hAnsi="Arial" w:cs="Arial"/>
          <w:sz w:val="24"/>
          <w:szCs w:val="24"/>
        </w:rPr>
        <w:t xml:space="preserve">  Most university laboratories were built and are at least partially subsidized with federal funds, and many young researchers are supported by</w:t>
      </w:r>
      <w:r w:rsidR="00EA6978">
        <w:rPr>
          <w:rFonts w:ascii="Arial" w:hAnsi="Arial" w:cs="Arial"/>
          <w:sz w:val="24"/>
          <w:szCs w:val="24"/>
        </w:rPr>
        <w:t xml:space="preserve"> National Institutes of Health</w:t>
      </w:r>
      <w:r>
        <w:rPr>
          <w:rFonts w:ascii="Arial" w:hAnsi="Arial" w:cs="Arial"/>
          <w:sz w:val="24"/>
          <w:szCs w:val="24"/>
        </w:rPr>
        <w:t xml:space="preserve"> </w:t>
      </w:r>
      <w:r w:rsidR="00EA6978">
        <w:rPr>
          <w:rFonts w:ascii="Arial" w:hAnsi="Arial" w:cs="Arial"/>
          <w:sz w:val="24"/>
          <w:szCs w:val="24"/>
        </w:rPr>
        <w:t>(</w:t>
      </w:r>
      <w:r>
        <w:rPr>
          <w:rFonts w:ascii="Arial" w:hAnsi="Arial" w:cs="Arial"/>
          <w:sz w:val="24"/>
          <w:szCs w:val="24"/>
        </w:rPr>
        <w:t>NIH</w:t>
      </w:r>
      <w:r w:rsidR="00EA6978">
        <w:rPr>
          <w:rFonts w:ascii="Arial" w:hAnsi="Arial" w:cs="Arial"/>
          <w:sz w:val="24"/>
          <w:szCs w:val="24"/>
        </w:rPr>
        <w:t>)</w:t>
      </w:r>
      <w:r>
        <w:rPr>
          <w:rFonts w:ascii="Arial" w:hAnsi="Arial" w:cs="Arial"/>
          <w:sz w:val="24"/>
          <w:szCs w:val="24"/>
        </w:rPr>
        <w:t xml:space="preserve"> scholarships and fellowships.</w:t>
      </w:r>
      <w:r>
        <w:rPr>
          <w:rStyle w:val="FootnoteReference"/>
          <w:rFonts w:ascii="Arial" w:hAnsi="Arial" w:cs="Arial"/>
          <w:sz w:val="24"/>
          <w:szCs w:val="24"/>
        </w:rPr>
        <w:footnoteReference w:id="192"/>
      </w:r>
      <w:r>
        <w:rPr>
          <w:rFonts w:ascii="Arial" w:hAnsi="Arial" w:cs="Arial"/>
          <w:sz w:val="24"/>
          <w:szCs w:val="24"/>
        </w:rPr>
        <w:t xml:space="preserve">  The federal </w:t>
      </w:r>
      <w:r>
        <w:rPr>
          <w:rFonts w:ascii="Arial" w:hAnsi="Arial" w:cs="Arial"/>
          <w:sz w:val="24"/>
          <w:szCs w:val="24"/>
        </w:rPr>
        <w:lastRenderedPageBreak/>
        <w:t xml:space="preserve">government and the British </w:t>
      </w:r>
      <w:proofErr w:type="spellStart"/>
      <w:r>
        <w:rPr>
          <w:rFonts w:ascii="Arial" w:hAnsi="Arial" w:cs="Arial"/>
          <w:sz w:val="24"/>
          <w:szCs w:val="24"/>
        </w:rPr>
        <w:t>Wellcome</w:t>
      </w:r>
      <w:proofErr w:type="spellEnd"/>
      <w:r>
        <w:rPr>
          <w:rFonts w:ascii="Arial" w:hAnsi="Arial" w:cs="Arial"/>
          <w:sz w:val="24"/>
          <w:szCs w:val="24"/>
        </w:rPr>
        <w:t xml:space="preserve"> Trust have spent over $250 million to fund the massive Human Genome Project, whose goal is to determine the 3.2 billion sequences contained in the human body’s DNA.</w:t>
      </w:r>
      <w:r>
        <w:rPr>
          <w:rStyle w:val="FootnoteReference"/>
          <w:rFonts w:ascii="Arial" w:hAnsi="Arial" w:cs="Arial"/>
          <w:sz w:val="24"/>
          <w:szCs w:val="24"/>
        </w:rPr>
        <w:footnoteReference w:id="193"/>
      </w:r>
      <w:r>
        <w:rPr>
          <w:rFonts w:ascii="Arial" w:hAnsi="Arial" w:cs="Arial"/>
          <w:sz w:val="24"/>
          <w:szCs w:val="24"/>
        </w:rPr>
        <w:t xml:space="preserve">  Even the </w:t>
      </w:r>
      <w:r w:rsidR="00F94D7D">
        <w:rPr>
          <w:rFonts w:ascii="Arial" w:hAnsi="Arial" w:cs="Arial"/>
          <w:sz w:val="24"/>
          <w:szCs w:val="24"/>
        </w:rPr>
        <w:t xml:space="preserve">esteemed </w:t>
      </w:r>
      <w:r>
        <w:rPr>
          <w:rFonts w:ascii="Arial" w:hAnsi="Arial" w:cs="Arial"/>
          <w:sz w:val="24"/>
          <w:szCs w:val="24"/>
        </w:rPr>
        <w:t>Agricultural Biotechnology Council said that public ownership stimulates innovation without granting anyone the right to restrict access to the material.</w:t>
      </w:r>
      <w:r>
        <w:rPr>
          <w:rStyle w:val="FootnoteReference"/>
          <w:rFonts w:ascii="Arial" w:hAnsi="Arial" w:cs="Arial"/>
          <w:sz w:val="24"/>
          <w:szCs w:val="24"/>
        </w:rPr>
        <w:footnoteReference w:id="194"/>
      </w:r>
      <w:r>
        <w:rPr>
          <w:rFonts w:ascii="Arial" w:hAnsi="Arial" w:cs="Arial"/>
          <w:sz w:val="24"/>
          <w:szCs w:val="24"/>
        </w:rPr>
        <w:t xml:space="preserve">   </w:t>
      </w:r>
    </w:p>
    <w:p w14:paraId="1A928C1B"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Additionally, most private sector work consists of </w:t>
      </w:r>
      <w:r w:rsidR="0006274A">
        <w:rPr>
          <w:rFonts w:ascii="Arial" w:hAnsi="Arial" w:cs="Arial"/>
          <w:sz w:val="24"/>
          <w:szCs w:val="24"/>
        </w:rPr>
        <w:t xml:space="preserve">making </w:t>
      </w:r>
      <w:r>
        <w:rPr>
          <w:rFonts w:ascii="Arial" w:hAnsi="Arial" w:cs="Arial"/>
          <w:sz w:val="24"/>
          <w:szCs w:val="24"/>
        </w:rPr>
        <w:t>s</w:t>
      </w:r>
      <w:r w:rsidR="00926162">
        <w:rPr>
          <w:rFonts w:ascii="Arial" w:hAnsi="Arial" w:cs="Arial"/>
          <w:sz w:val="24"/>
          <w:szCs w:val="24"/>
        </w:rPr>
        <w:t xml:space="preserve">mall modifications to </w:t>
      </w:r>
      <w:r>
        <w:rPr>
          <w:rFonts w:ascii="Arial" w:hAnsi="Arial" w:cs="Arial"/>
          <w:sz w:val="24"/>
          <w:szCs w:val="24"/>
        </w:rPr>
        <w:t xml:space="preserve">the enormous body of knowledge </w:t>
      </w:r>
      <w:r w:rsidR="00926162">
        <w:rPr>
          <w:rFonts w:ascii="Arial" w:hAnsi="Arial" w:cs="Arial"/>
          <w:sz w:val="24"/>
          <w:szCs w:val="24"/>
        </w:rPr>
        <w:t xml:space="preserve">created by public funding </w:t>
      </w:r>
      <w:r w:rsidR="00F94D7D">
        <w:rPr>
          <w:rFonts w:ascii="Arial" w:hAnsi="Arial" w:cs="Arial"/>
          <w:sz w:val="24"/>
          <w:szCs w:val="24"/>
        </w:rPr>
        <w:t>that is</w:t>
      </w:r>
      <w:r w:rsidR="00926162">
        <w:rPr>
          <w:rFonts w:ascii="Arial" w:hAnsi="Arial" w:cs="Arial"/>
          <w:sz w:val="24"/>
          <w:szCs w:val="24"/>
        </w:rPr>
        <w:t xml:space="preserve"> available to anyone</w:t>
      </w:r>
      <w:r>
        <w:rPr>
          <w:rFonts w:ascii="Arial" w:hAnsi="Arial" w:cs="Arial"/>
          <w:sz w:val="24"/>
          <w:szCs w:val="24"/>
        </w:rPr>
        <w:t>.</w:t>
      </w:r>
      <w:r>
        <w:rPr>
          <w:rStyle w:val="FootnoteReference"/>
          <w:rFonts w:ascii="Arial" w:hAnsi="Arial" w:cs="Arial"/>
          <w:sz w:val="24"/>
          <w:szCs w:val="24"/>
        </w:rPr>
        <w:footnoteReference w:id="195"/>
      </w:r>
      <w:r w:rsidR="0006274A">
        <w:rPr>
          <w:rFonts w:ascii="Arial" w:hAnsi="Arial" w:cs="Arial"/>
          <w:sz w:val="24"/>
          <w:szCs w:val="24"/>
        </w:rPr>
        <w:t xml:space="preserve">  As an example of a small modification, Dr. Anand</w:t>
      </w:r>
      <w:r w:rsidR="00926162">
        <w:rPr>
          <w:rFonts w:ascii="Arial" w:hAnsi="Arial" w:cs="Arial"/>
          <w:sz w:val="24"/>
          <w:szCs w:val="24"/>
        </w:rPr>
        <w:t>a</w:t>
      </w:r>
      <w:r w:rsidR="0006274A">
        <w:rPr>
          <w:rFonts w:ascii="Arial" w:hAnsi="Arial" w:cs="Arial"/>
          <w:sz w:val="24"/>
          <w:szCs w:val="24"/>
        </w:rPr>
        <w:t xml:space="preserve"> Chakrabarty stated that he “simply shuffled genes” in bacteria that already existed in nature a</w:t>
      </w:r>
      <w:r>
        <w:rPr>
          <w:rFonts w:ascii="Arial" w:hAnsi="Arial" w:cs="Arial"/>
          <w:sz w:val="24"/>
          <w:szCs w:val="24"/>
        </w:rPr>
        <w:t xml:space="preserve">fter the U.S. Supreme Court awarded him </w:t>
      </w:r>
      <w:r w:rsidR="0006274A">
        <w:rPr>
          <w:rFonts w:ascii="Arial" w:hAnsi="Arial" w:cs="Arial"/>
          <w:sz w:val="24"/>
          <w:szCs w:val="24"/>
        </w:rPr>
        <w:t>a patent on oil-eating bacteria</w:t>
      </w:r>
      <w:r>
        <w:rPr>
          <w:rFonts w:ascii="Arial" w:hAnsi="Arial" w:cs="Arial"/>
          <w:sz w:val="24"/>
          <w:szCs w:val="24"/>
        </w:rPr>
        <w:t xml:space="preserve">.  He </w:t>
      </w:r>
      <w:r w:rsidR="0006274A">
        <w:rPr>
          <w:rFonts w:ascii="Arial" w:hAnsi="Arial" w:cs="Arial"/>
          <w:sz w:val="24"/>
          <w:szCs w:val="24"/>
        </w:rPr>
        <w:t>described his work by using an</w:t>
      </w:r>
      <w:r>
        <w:rPr>
          <w:rFonts w:ascii="Arial" w:hAnsi="Arial" w:cs="Arial"/>
          <w:sz w:val="24"/>
          <w:szCs w:val="24"/>
        </w:rPr>
        <w:t xml:space="preserve"> analogy of teaching a pet cat a few new tricks.</w:t>
      </w:r>
      <w:r>
        <w:rPr>
          <w:rStyle w:val="FootnoteReference"/>
          <w:rFonts w:ascii="Arial" w:hAnsi="Arial" w:cs="Arial"/>
          <w:sz w:val="24"/>
          <w:szCs w:val="24"/>
        </w:rPr>
        <w:footnoteReference w:id="196"/>
      </w:r>
    </w:p>
    <w:p w14:paraId="0315A69A" w14:textId="77777777" w:rsidR="00170C65" w:rsidRDefault="00735F29" w:rsidP="00F94D7D">
      <w:pPr>
        <w:widowControl w:val="0"/>
        <w:spacing w:line="480" w:lineRule="atLeast"/>
        <w:ind w:firstLine="720"/>
        <w:rPr>
          <w:rFonts w:ascii="Arial" w:hAnsi="Arial" w:cs="Arial"/>
          <w:sz w:val="24"/>
          <w:szCs w:val="24"/>
        </w:rPr>
      </w:pPr>
      <w:r>
        <w:rPr>
          <w:rFonts w:ascii="Arial" w:hAnsi="Arial" w:cs="Arial"/>
          <w:sz w:val="24"/>
          <w:szCs w:val="24"/>
        </w:rPr>
        <w:t>The gr</w:t>
      </w:r>
      <w:r w:rsidR="0006274A">
        <w:rPr>
          <w:rFonts w:ascii="Arial" w:hAnsi="Arial" w:cs="Arial"/>
          <w:sz w:val="24"/>
          <w:szCs w:val="24"/>
        </w:rPr>
        <w:t>anting of patents to monopolize</w:t>
      </w:r>
      <w:r>
        <w:rPr>
          <w:rFonts w:ascii="Arial" w:hAnsi="Arial" w:cs="Arial"/>
          <w:sz w:val="24"/>
          <w:szCs w:val="24"/>
        </w:rPr>
        <w:t xml:space="preserve"> gene and partial gene sequences is directly contrary to traditional scientific method and will have a very serious effect upon the development of knowledge in the field of genetics.  Already</w:t>
      </w:r>
      <w:r w:rsidR="00926162">
        <w:rPr>
          <w:rFonts w:ascii="Arial" w:hAnsi="Arial" w:cs="Arial"/>
          <w:sz w:val="24"/>
          <w:szCs w:val="24"/>
        </w:rPr>
        <w:t>,</w:t>
      </w:r>
      <w:r>
        <w:rPr>
          <w:rFonts w:ascii="Arial" w:hAnsi="Arial" w:cs="Arial"/>
          <w:sz w:val="24"/>
          <w:szCs w:val="24"/>
        </w:rPr>
        <w:t xml:space="preserve"> the free exchange of information in biology departments and at scientific meetings has been adversely affected.</w:t>
      </w:r>
      <w:r>
        <w:rPr>
          <w:rStyle w:val="FootnoteReference"/>
          <w:rFonts w:ascii="Arial" w:hAnsi="Arial" w:cs="Arial"/>
          <w:sz w:val="24"/>
          <w:szCs w:val="24"/>
        </w:rPr>
        <w:footnoteReference w:id="197"/>
      </w:r>
      <w:r>
        <w:rPr>
          <w:rFonts w:ascii="Arial" w:hAnsi="Arial" w:cs="Arial"/>
          <w:sz w:val="24"/>
          <w:szCs w:val="24"/>
        </w:rPr>
        <w:t xml:space="preserve">  Scientists are reluctant to discuss their work, and publications and lectures are being delayed until patent applications have been filed.</w:t>
      </w:r>
      <w:r>
        <w:rPr>
          <w:rStyle w:val="FootnoteReference"/>
          <w:rFonts w:ascii="Arial" w:hAnsi="Arial" w:cs="Arial"/>
          <w:sz w:val="24"/>
          <w:szCs w:val="24"/>
        </w:rPr>
        <w:footnoteReference w:id="198"/>
      </w:r>
      <w:r>
        <w:rPr>
          <w:rFonts w:ascii="Arial" w:hAnsi="Arial" w:cs="Arial"/>
          <w:sz w:val="24"/>
          <w:szCs w:val="24"/>
        </w:rPr>
        <w:t xml:space="preserve">  Researchers, who were once </w:t>
      </w:r>
      <w:r w:rsidR="0006274A">
        <w:rPr>
          <w:rFonts w:ascii="Arial" w:hAnsi="Arial" w:cs="Arial"/>
          <w:sz w:val="24"/>
          <w:szCs w:val="24"/>
        </w:rPr>
        <w:t xml:space="preserve">considered </w:t>
      </w:r>
      <w:r>
        <w:rPr>
          <w:rFonts w:ascii="Arial" w:hAnsi="Arial" w:cs="Arial"/>
          <w:sz w:val="24"/>
          <w:szCs w:val="24"/>
        </w:rPr>
        <w:t xml:space="preserve">scientists, are now </w:t>
      </w:r>
      <w:r w:rsidR="0006274A">
        <w:rPr>
          <w:rFonts w:ascii="Arial" w:hAnsi="Arial" w:cs="Arial"/>
          <w:sz w:val="24"/>
          <w:szCs w:val="24"/>
        </w:rPr>
        <w:t xml:space="preserve">described as </w:t>
      </w:r>
      <w:r>
        <w:rPr>
          <w:rFonts w:ascii="Arial" w:hAnsi="Arial" w:cs="Arial"/>
          <w:sz w:val="24"/>
          <w:szCs w:val="24"/>
        </w:rPr>
        <w:t>industrial competitors.  The air of openness has been stifled and replaced by the need to keep knowledge secret in hopes that it may become proprietary and eventually generate large sums of money.</w:t>
      </w:r>
      <w:r>
        <w:rPr>
          <w:rStyle w:val="FootnoteReference"/>
          <w:rFonts w:ascii="Arial" w:hAnsi="Arial" w:cs="Arial"/>
          <w:sz w:val="24"/>
          <w:szCs w:val="24"/>
        </w:rPr>
        <w:footnoteReference w:id="199"/>
      </w:r>
      <w:r>
        <w:rPr>
          <w:rFonts w:ascii="Arial" w:hAnsi="Arial" w:cs="Arial"/>
          <w:sz w:val="24"/>
          <w:szCs w:val="24"/>
        </w:rPr>
        <w:t xml:space="preserve"> </w:t>
      </w:r>
    </w:p>
    <w:p w14:paraId="70A51DA9" w14:textId="77777777" w:rsidR="00735F29" w:rsidRDefault="00735F29" w:rsidP="00170C65">
      <w:pPr>
        <w:widowControl w:val="0"/>
        <w:spacing w:line="480" w:lineRule="atLeast"/>
        <w:ind w:firstLine="720"/>
        <w:rPr>
          <w:rFonts w:ascii="Arial" w:hAnsi="Arial" w:cs="Arial"/>
          <w:sz w:val="24"/>
          <w:szCs w:val="24"/>
        </w:rPr>
      </w:pPr>
      <w:r w:rsidRPr="008F266A">
        <w:rPr>
          <w:rFonts w:ascii="Arial" w:hAnsi="Arial" w:cs="Arial"/>
          <w:color w:val="000000" w:themeColor="text1"/>
          <w:sz w:val="24"/>
          <w:szCs w:val="24"/>
        </w:rPr>
        <w:t>Pa</w:t>
      </w:r>
      <w:r w:rsidR="0006274A" w:rsidRPr="008F266A">
        <w:rPr>
          <w:rFonts w:ascii="Arial" w:hAnsi="Arial" w:cs="Arial"/>
          <w:color w:val="000000" w:themeColor="text1"/>
          <w:sz w:val="24"/>
          <w:szCs w:val="24"/>
        </w:rPr>
        <w:t xml:space="preserve">tents </w:t>
      </w:r>
      <w:r w:rsidR="005E30CD" w:rsidRPr="008F266A">
        <w:rPr>
          <w:rFonts w:ascii="Arial" w:hAnsi="Arial" w:cs="Arial"/>
          <w:color w:val="000000" w:themeColor="text1"/>
          <w:sz w:val="24"/>
          <w:szCs w:val="24"/>
        </w:rPr>
        <w:t>on gene</w:t>
      </w:r>
      <w:r w:rsidR="008F266A" w:rsidRPr="008F266A">
        <w:rPr>
          <w:rFonts w:ascii="Arial" w:hAnsi="Arial" w:cs="Arial"/>
          <w:color w:val="000000" w:themeColor="text1"/>
          <w:sz w:val="24"/>
          <w:szCs w:val="24"/>
        </w:rPr>
        <w:t>s</w:t>
      </w:r>
      <w:r w:rsidR="005E30CD" w:rsidRPr="008F266A">
        <w:rPr>
          <w:rFonts w:ascii="Arial" w:hAnsi="Arial" w:cs="Arial"/>
          <w:color w:val="000000" w:themeColor="text1"/>
          <w:sz w:val="24"/>
          <w:szCs w:val="24"/>
        </w:rPr>
        <w:t xml:space="preserve"> and genetic sequences </w:t>
      </w:r>
      <w:r w:rsidR="00272EAA">
        <w:rPr>
          <w:rFonts w:ascii="Arial" w:hAnsi="Arial" w:cs="Arial"/>
          <w:color w:val="000000" w:themeColor="text1"/>
          <w:sz w:val="24"/>
          <w:szCs w:val="24"/>
        </w:rPr>
        <w:t xml:space="preserve">will </w:t>
      </w:r>
      <w:proofErr w:type="gramStart"/>
      <w:r w:rsidR="00272EAA">
        <w:rPr>
          <w:rFonts w:ascii="Arial" w:hAnsi="Arial" w:cs="Arial"/>
          <w:color w:val="000000" w:themeColor="text1"/>
          <w:sz w:val="24"/>
          <w:szCs w:val="24"/>
        </w:rPr>
        <w:t>probab</w:t>
      </w:r>
      <w:r w:rsidR="005E30CD" w:rsidRPr="008F266A">
        <w:rPr>
          <w:rFonts w:ascii="Arial" w:hAnsi="Arial" w:cs="Arial"/>
          <w:color w:val="000000" w:themeColor="text1"/>
          <w:sz w:val="24"/>
          <w:szCs w:val="24"/>
        </w:rPr>
        <w:t>ly</w:t>
      </w:r>
      <w:r w:rsidRPr="008F266A">
        <w:rPr>
          <w:rFonts w:ascii="Arial" w:hAnsi="Arial" w:cs="Arial"/>
          <w:color w:val="000000" w:themeColor="text1"/>
          <w:sz w:val="24"/>
          <w:szCs w:val="24"/>
        </w:rPr>
        <w:t xml:space="preserve"> lead</w:t>
      </w:r>
      <w:proofErr w:type="gramEnd"/>
      <w:r w:rsidRPr="008F266A">
        <w:rPr>
          <w:rFonts w:ascii="Arial" w:hAnsi="Arial" w:cs="Arial"/>
          <w:color w:val="000000" w:themeColor="text1"/>
          <w:sz w:val="24"/>
          <w:szCs w:val="24"/>
        </w:rPr>
        <w:t xml:space="preserve"> to higher consumer costs</w:t>
      </w:r>
      <w:r w:rsidR="00170C65" w:rsidRPr="008F266A">
        <w:rPr>
          <w:rFonts w:ascii="Arial" w:hAnsi="Arial" w:cs="Arial"/>
          <w:color w:val="000000" w:themeColor="text1"/>
          <w:sz w:val="24"/>
          <w:szCs w:val="24"/>
        </w:rPr>
        <w:t>.  Such</w:t>
      </w:r>
      <w:r w:rsidR="007E2328" w:rsidRPr="008F266A">
        <w:rPr>
          <w:rFonts w:ascii="Arial" w:hAnsi="Arial" w:cs="Arial"/>
          <w:color w:val="000000" w:themeColor="text1"/>
          <w:sz w:val="24"/>
          <w:szCs w:val="24"/>
        </w:rPr>
        <w:t xml:space="preserve"> pate</w:t>
      </w:r>
      <w:r w:rsidR="005E30CD" w:rsidRPr="008F266A">
        <w:rPr>
          <w:rFonts w:ascii="Arial" w:hAnsi="Arial" w:cs="Arial"/>
          <w:color w:val="000000" w:themeColor="text1"/>
          <w:sz w:val="24"/>
          <w:szCs w:val="24"/>
        </w:rPr>
        <w:t>nt</w:t>
      </w:r>
      <w:r w:rsidR="00170C65" w:rsidRPr="008F266A">
        <w:rPr>
          <w:rFonts w:ascii="Arial" w:hAnsi="Arial" w:cs="Arial"/>
          <w:color w:val="000000" w:themeColor="text1"/>
          <w:sz w:val="24"/>
          <w:szCs w:val="24"/>
        </w:rPr>
        <w:t>s allow</w:t>
      </w:r>
      <w:r w:rsidR="005E30CD" w:rsidRPr="008F266A">
        <w:rPr>
          <w:rFonts w:ascii="Arial" w:hAnsi="Arial" w:cs="Arial"/>
          <w:color w:val="000000" w:themeColor="text1"/>
          <w:sz w:val="24"/>
          <w:szCs w:val="24"/>
        </w:rPr>
        <w:t xml:space="preserve"> holders </w:t>
      </w:r>
      <w:r w:rsidR="00170C65" w:rsidRPr="008F266A">
        <w:rPr>
          <w:rFonts w:ascii="Arial" w:hAnsi="Arial" w:cs="Arial"/>
          <w:color w:val="000000" w:themeColor="text1"/>
          <w:sz w:val="24"/>
          <w:szCs w:val="24"/>
        </w:rPr>
        <w:t xml:space="preserve">to </w:t>
      </w:r>
      <w:r w:rsidR="005E30CD" w:rsidRPr="008F266A">
        <w:rPr>
          <w:rFonts w:ascii="Arial" w:hAnsi="Arial" w:cs="Arial"/>
          <w:color w:val="000000" w:themeColor="text1"/>
          <w:sz w:val="24"/>
          <w:szCs w:val="24"/>
        </w:rPr>
        <w:t>monopolize the sequence information</w:t>
      </w:r>
      <w:r w:rsidR="007E2328" w:rsidRPr="008F266A">
        <w:rPr>
          <w:rFonts w:ascii="Arial" w:hAnsi="Arial" w:cs="Arial"/>
          <w:color w:val="000000" w:themeColor="text1"/>
          <w:sz w:val="24"/>
          <w:szCs w:val="24"/>
        </w:rPr>
        <w:t xml:space="preserve"> </w:t>
      </w:r>
      <w:r w:rsidR="00170C65" w:rsidRPr="008F266A">
        <w:rPr>
          <w:rFonts w:ascii="Arial" w:hAnsi="Arial" w:cs="Arial"/>
          <w:color w:val="000000" w:themeColor="text1"/>
          <w:sz w:val="24"/>
          <w:szCs w:val="24"/>
        </w:rPr>
        <w:t>and stifle</w:t>
      </w:r>
      <w:r w:rsidR="005E30CD" w:rsidRPr="008F266A">
        <w:rPr>
          <w:rFonts w:ascii="Arial" w:hAnsi="Arial" w:cs="Arial"/>
          <w:color w:val="000000" w:themeColor="text1"/>
          <w:sz w:val="24"/>
          <w:szCs w:val="24"/>
        </w:rPr>
        <w:t xml:space="preserve"> </w:t>
      </w:r>
      <w:r w:rsidR="005E30CD" w:rsidRPr="008F266A">
        <w:rPr>
          <w:rFonts w:ascii="Arial" w:hAnsi="Arial" w:cs="Arial"/>
          <w:color w:val="000000" w:themeColor="text1"/>
          <w:sz w:val="24"/>
          <w:szCs w:val="24"/>
        </w:rPr>
        <w:lastRenderedPageBreak/>
        <w:t>competition</w:t>
      </w:r>
      <w:r w:rsidR="00170C65" w:rsidRPr="008F266A">
        <w:rPr>
          <w:rFonts w:ascii="Arial" w:hAnsi="Arial" w:cs="Arial"/>
          <w:color w:val="000000" w:themeColor="text1"/>
          <w:sz w:val="24"/>
          <w:szCs w:val="24"/>
        </w:rPr>
        <w:t xml:space="preserve">.  This, </w:t>
      </w:r>
      <w:r w:rsidR="005E30CD" w:rsidRPr="008F266A">
        <w:rPr>
          <w:rFonts w:ascii="Arial" w:hAnsi="Arial" w:cs="Arial"/>
          <w:color w:val="000000" w:themeColor="text1"/>
          <w:sz w:val="24"/>
          <w:szCs w:val="24"/>
        </w:rPr>
        <w:t>in turn,</w:t>
      </w:r>
      <w:r w:rsidR="0006274A">
        <w:rPr>
          <w:rFonts w:ascii="Arial" w:hAnsi="Arial" w:cs="Arial"/>
          <w:sz w:val="24"/>
          <w:szCs w:val="24"/>
        </w:rPr>
        <w:t xml:space="preserve"> allow</w:t>
      </w:r>
      <w:r w:rsidR="005E30CD">
        <w:rPr>
          <w:rFonts w:ascii="Arial" w:hAnsi="Arial" w:cs="Arial"/>
          <w:sz w:val="24"/>
          <w:szCs w:val="24"/>
        </w:rPr>
        <w:t>s</w:t>
      </w:r>
      <w:r>
        <w:rPr>
          <w:rFonts w:ascii="Arial" w:hAnsi="Arial" w:cs="Arial"/>
          <w:sz w:val="24"/>
          <w:szCs w:val="24"/>
        </w:rPr>
        <w:t xml:space="preserve"> </w:t>
      </w:r>
      <w:r w:rsidR="007E2328">
        <w:rPr>
          <w:rFonts w:ascii="Arial" w:hAnsi="Arial" w:cs="Arial"/>
          <w:sz w:val="24"/>
          <w:szCs w:val="24"/>
        </w:rPr>
        <w:t xml:space="preserve">licensed </w:t>
      </w:r>
      <w:r>
        <w:rPr>
          <w:rFonts w:ascii="Arial" w:hAnsi="Arial" w:cs="Arial"/>
          <w:sz w:val="24"/>
          <w:szCs w:val="24"/>
        </w:rPr>
        <w:t>manufacturer</w:t>
      </w:r>
      <w:r w:rsidR="007E2328">
        <w:rPr>
          <w:rFonts w:ascii="Arial" w:hAnsi="Arial" w:cs="Arial"/>
          <w:sz w:val="24"/>
          <w:szCs w:val="24"/>
        </w:rPr>
        <w:t>s</w:t>
      </w:r>
      <w:r>
        <w:rPr>
          <w:rFonts w:ascii="Arial" w:hAnsi="Arial" w:cs="Arial"/>
          <w:sz w:val="24"/>
          <w:szCs w:val="24"/>
        </w:rPr>
        <w:t xml:space="preserve"> to artificially inflate the cost of the drug or technology.</w:t>
      </w:r>
      <w:r>
        <w:rPr>
          <w:rStyle w:val="FootnoteReference"/>
          <w:rFonts w:ascii="Arial" w:hAnsi="Arial" w:cs="Arial"/>
          <w:sz w:val="24"/>
          <w:szCs w:val="24"/>
        </w:rPr>
        <w:footnoteReference w:id="200"/>
      </w:r>
      <w:r>
        <w:rPr>
          <w:rFonts w:ascii="Arial" w:hAnsi="Arial" w:cs="Arial"/>
          <w:sz w:val="24"/>
          <w:szCs w:val="24"/>
        </w:rPr>
        <w:t xml:space="preserve">  This happened in the case of AZT, the first anti-HIV drug marketed, whose development was federally funded through the National Cancer Institute</w:t>
      </w:r>
      <w:r w:rsidR="007F303F">
        <w:rPr>
          <w:rFonts w:ascii="Arial" w:hAnsi="Arial" w:cs="Arial"/>
          <w:sz w:val="24"/>
          <w:szCs w:val="24"/>
        </w:rPr>
        <w:t>,</w:t>
      </w:r>
      <w:r>
        <w:rPr>
          <w:rFonts w:ascii="Arial" w:hAnsi="Arial" w:cs="Arial"/>
          <w:sz w:val="24"/>
          <w:szCs w:val="24"/>
        </w:rPr>
        <w:t xml:space="preserve"> but marketed by private distributors.</w:t>
      </w:r>
      <w:r>
        <w:rPr>
          <w:rStyle w:val="FootnoteReference"/>
          <w:rFonts w:ascii="Arial" w:hAnsi="Arial" w:cs="Arial"/>
          <w:sz w:val="24"/>
          <w:szCs w:val="24"/>
        </w:rPr>
        <w:footnoteReference w:id="201"/>
      </w:r>
      <w:r>
        <w:rPr>
          <w:rFonts w:ascii="Arial" w:hAnsi="Arial" w:cs="Arial"/>
          <w:sz w:val="24"/>
          <w:szCs w:val="24"/>
        </w:rPr>
        <w:t xml:space="preserve">  </w:t>
      </w:r>
    </w:p>
    <w:p w14:paraId="096FD3B0"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Also, patent protection of genetic information is having an adverse impact upon basic research.  In 1999, a poll of American laboratory directors revealed that one-fourth of them had received letters from attorneys representing biotech firms that ordered the labs to stop clinical trials designed to detect such genetic disorders as Alzheimer’s disease and breast cancer.</w:t>
      </w:r>
      <w:r>
        <w:rPr>
          <w:rStyle w:val="FootnoteReference"/>
          <w:rFonts w:ascii="Arial" w:hAnsi="Arial" w:cs="Arial"/>
          <w:sz w:val="24"/>
          <w:szCs w:val="24"/>
        </w:rPr>
        <w:footnoteReference w:id="202"/>
      </w:r>
      <w:r>
        <w:rPr>
          <w:rFonts w:ascii="Arial" w:hAnsi="Arial" w:cs="Arial"/>
          <w:sz w:val="24"/>
          <w:szCs w:val="24"/>
        </w:rPr>
        <w:t xml:space="preserve">  One-half of this group actually stopped their clinical research because of their fear of being sued.</w:t>
      </w:r>
      <w:r>
        <w:rPr>
          <w:rStyle w:val="FootnoteReference"/>
          <w:rFonts w:ascii="Arial" w:hAnsi="Arial" w:cs="Arial"/>
          <w:sz w:val="24"/>
          <w:szCs w:val="24"/>
        </w:rPr>
        <w:footnoteReference w:id="203"/>
      </w:r>
      <w:r>
        <w:rPr>
          <w:rFonts w:ascii="Arial" w:hAnsi="Arial" w:cs="Arial"/>
          <w:sz w:val="24"/>
          <w:szCs w:val="24"/>
        </w:rPr>
        <w:t xml:space="preserve">  A group of American doctors and researchers, in protesting the secrec</w:t>
      </w:r>
      <w:r w:rsidR="00896764">
        <w:rPr>
          <w:rFonts w:ascii="Arial" w:hAnsi="Arial" w:cs="Arial"/>
          <w:sz w:val="24"/>
          <w:szCs w:val="24"/>
        </w:rPr>
        <w:t>y which patent protection provide</w:t>
      </w:r>
      <w:r>
        <w:rPr>
          <w:rFonts w:ascii="Arial" w:hAnsi="Arial" w:cs="Arial"/>
          <w:sz w:val="24"/>
          <w:szCs w:val="24"/>
        </w:rPr>
        <w:t>s,</w:t>
      </w:r>
      <w:r w:rsidR="00896764">
        <w:rPr>
          <w:rFonts w:ascii="Arial" w:hAnsi="Arial" w:cs="Arial"/>
          <w:sz w:val="24"/>
          <w:szCs w:val="24"/>
        </w:rPr>
        <w:t xml:space="preserve"> issued a statement arguing</w:t>
      </w:r>
      <w:r>
        <w:rPr>
          <w:rFonts w:ascii="Arial" w:hAnsi="Arial" w:cs="Arial"/>
          <w:sz w:val="24"/>
          <w:szCs w:val="24"/>
        </w:rPr>
        <w:t xml:space="preserve"> that patents and expensive licensing fees prevent researchers from conducting genetic clinical trials, which, in turn, limits and </w:t>
      </w:r>
      <w:r w:rsidR="00896764">
        <w:rPr>
          <w:rFonts w:ascii="Arial" w:hAnsi="Arial" w:cs="Arial"/>
          <w:sz w:val="24"/>
          <w:szCs w:val="24"/>
        </w:rPr>
        <w:t>negatively impacts</w:t>
      </w:r>
      <w:r>
        <w:rPr>
          <w:rFonts w:ascii="Arial" w:hAnsi="Arial" w:cs="Arial"/>
          <w:sz w:val="24"/>
          <w:szCs w:val="24"/>
        </w:rPr>
        <w:t xml:space="preserve"> the qua</w:t>
      </w:r>
      <w:r w:rsidR="00896764">
        <w:rPr>
          <w:rFonts w:ascii="Arial" w:hAnsi="Arial" w:cs="Arial"/>
          <w:sz w:val="24"/>
          <w:szCs w:val="24"/>
        </w:rPr>
        <w:t>lity of medical care and unreasonably raises</w:t>
      </w:r>
      <w:r>
        <w:rPr>
          <w:rFonts w:ascii="Arial" w:hAnsi="Arial" w:cs="Arial"/>
          <w:sz w:val="24"/>
          <w:szCs w:val="24"/>
        </w:rPr>
        <w:t xml:space="preserve"> its costs.</w:t>
      </w:r>
      <w:r>
        <w:rPr>
          <w:rStyle w:val="FootnoteReference"/>
          <w:rFonts w:ascii="Arial" w:hAnsi="Arial" w:cs="Arial"/>
          <w:sz w:val="24"/>
          <w:szCs w:val="24"/>
        </w:rPr>
        <w:footnoteReference w:id="204"/>
      </w:r>
      <w:r>
        <w:rPr>
          <w:rFonts w:ascii="Arial" w:hAnsi="Arial" w:cs="Arial"/>
          <w:sz w:val="24"/>
          <w:szCs w:val="24"/>
        </w:rPr>
        <w:t xml:space="preserve">  Mildred Cho, Director of </w:t>
      </w:r>
      <w:r w:rsidR="007E2328">
        <w:rPr>
          <w:rFonts w:ascii="Arial" w:hAnsi="Arial" w:cs="Arial"/>
          <w:sz w:val="24"/>
          <w:szCs w:val="24"/>
        </w:rPr>
        <w:t>The Stanford</w:t>
      </w:r>
      <w:r>
        <w:rPr>
          <w:rFonts w:ascii="Arial" w:hAnsi="Arial" w:cs="Arial"/>
          <w:sz w:val="24"/>
          <w:szCs w:val="24"/>
        </w:rPr>
        <w:t xml:space="preserve"> Cen</w:t>
      </w:r>
      <w:r w:rsidR="007E2328">
        <w:rPr>
          <w:rFonts w:ascii="Arial" w:hAnsi="Arial" w:cs="Arial"/>
          <w:sz w:val="24"/>
          <w:szCs w:val="24"/>
        </w:rPr>
        <w:t>ter</w:t>
      </w:r>
      <w:r w:rsidR="00896764">
        <w:rPr>
          <w:rFonts w:ascii="Arial" w:hAnsi="Arial" w:cs="Arial"/>
          <w:sz w:val="24"/>
          <w:szCs w:val="24"/>
        </w:rPr>
        <w:t xml:space="preserve"> for Biomedical Ethics, said</w:t>
      </w:r>
      <w:r>
        <w:rPr>
          <w:rFonts w:ascii="Arial" w:hAnsi="Arial" w:cs="Arial"/>
          <w:sz w:val="24"/>
          <w:szCs w:val="24"/>
        </w:rPr>
        <w:t xml:space="preserve"> that the quality of the testing will also be adversely affected because if only one lab is conducting the testing, it cannot follow the normal quality-control procedure of cross-checking its samples with other labs conducting the same trials.</w:t>
      </w:r>
      <w:r>
        <w:rPr>
          <w:rStyle w:val="FootnoteReference"/>
          <w:rFonts w:ascii="Arial" w:hAnsi="Arial" w:cs="Arial"/>
          <w:sz w:val="24"/>
          <w:szCs w:val="24"/>
        </w:rPr>
        <w:footnoteReference w:id="205"/>
      </w:r>
    </w:p>
    <w:p w14:paraId="2218B1B9" w14:textId="77777777" w:rsidR="00735F29" w:rsidRDefault="00735F29" w:rsidP="00B0027E">
      <w:pPr>
        <w:widowControl w:val="0"/>
        <w:spacing w:line="480" w:lineRule="atLeast"/>
        <w:ind w:firstLine="720"/>
        <w:rPr>
          <w:rFonts w:ascii="Arial" w:hAnsi="Arial" w:cs="Arial"/>
          <w:sz w:val="24"/>
          <w:szCs w:val="24"/>
        </w:rPr>
      </w:pPr>
      <w:r>
        <w:rPr>
          <w:rFonts w:ascii="Arial" w:hAnsi="Arial" w:cs="Arial"/>
          <w:sz w:val="24"/>
          <w:szCs w:val="24"/>
        </w:rPr>
        <w:t xml:space="preserve">One case is particularly egregious.  At the University of Pennsylvania, Dr. Hank </w:t>
      </w:r>
      <w:proofErr w:type="spellStart"/>
      <w:r>
        <w:rPr>
          <w:rFonts w:ascii="Arial" w:hAnsi="Arial" w:cs="Arial"/>
          <w:sz w:val="24"/>
          <w:szCs w:val="24"/>
        </w:rPr>
        <w:t>Kazazian</w:t>
      </w:r>
      <w:proofErr w:type="spellEnd"/>
      <w:r>
        <w:rPr>
          <w:rFonts w:ascii="Arial" w:hAnsi="Arial" w:cs="Arial"/>
          <w:sz w:val="24"/>
          <w:szCs w:val="24"/>
        </w:rPr>
        <w:t xml:space="preserve"> and </w:t>
      </w:r>
      <w:r w:rsidR="008F266A">
        <w:rPr>
          <w:rFonts w:ascii="Arial" w:hAnsi="Arial" w:cs="Arial"/>
          <w:sz w:val="24"/>
          <w:szCs w:val="24"/>
        </w:rPr>
        <w:t xml:space="preserve">Dr. </w:t>
      </w:r>
      <w:proofErr w:type="spellStart"/>
      <w:r>
        <w:rPr>
          <w:rFonts w:ascii="Arial" w:hAnsi="Arial" w:cs="Arial"/>
          <w:sz w:val="24"/>
          <w:szCs w:val="24"/>
        </w:rPr>
        <w:t>Arupa</w:t>
      </w:r>
      <w:proofErr w:type="spellEnd"/>
      <w:r>
        <w:rPr>
          <w:rFonts w:ascii="Arial" w:hAnsi="Arial" w:cs="Arial"/>
          <w:sz w:val="24"/>
          <w:szCs w:val="24"/>
        </w:rPr>
        <w:t xml:space="preserve"> </w:t>
      </w:r>
      <w:proofErr w:type="spellStart"/>
      <w:r>
        <w:rPr>
          <w:rFonts w:ascii="Arial" w:hAnsi="Arial" w:cs="Arial"/>
          <w:sz w:val="24"/>
          <w:szCs w:val="24"/>
        </w:rPr>
        <w:t>Ganguly</w:t>
      </w:r>
      <w:proofErr w:type="spellEnd"/>
      <w:r w:rsidR="00896764">
        <w:rPr>
          <w:rFonts w:ascii="Arial" w:hAnsi="Arial" w:cs="Arial"/>
          <w:sz w:val="24"/>
          <w:szCs w:val="24"/>
        </w:rPr>
        <w:t xml:space="preserve"> </w:t>
      </w:r>
      <w:r w:rsidR="008F266A">
        <w:rPr>
          <w:rFonts w:ascii="Arial" w:hAnsi="Arial" w:cs="Arial"/>
          <w:sz w:val="24"/>
          <w:szCs w:val="24"/>
        </w:rPr>
        <w:t xml:space="preserve">conducted </w:t>
      </w:r>
      <w:r w:rsidR="00896764">
        <w:rPr>
          <w:rFonts w:ascii="Arial" w:hAnsi="Arial" w:cs="Arial"/>
          <w:sz w:val="24"/>
          <w:szCs w:val="24"/>
        </w:rPr>
        <w:t xml:space="preserve">research </w:t>
      </w:r>
      <w:r w:rsidR="008F266A">
        <w:rPr>
          <w:rFonts w:ascii="Arial" w:hAnsi="Arial" w:cs="Arial"/>
          <w:sz w:val="24"/>
          <w:szCs w:val="24"/>
        </w:rPr>
        <w:t xml:space="preserve">that </w:t>
      </w:r>
      <w:r>
        <w:rPr>
          <w:rFonts w:ascii="Arial" w:hAnsi="Arial" w:cs="Arial"/>
          <w:sz w:val="24"/>
          <w:szCs w:val="24"/>
        </w:rPr>
        <w:t>examined and tested women whom they suspected m</w:t>
      </w:r>
      <w:r w:rsidR="00272EAA">
        <w:rPr>
          <w:rFonts w:ascii="Arial" w:hAnsi="Arial" w:cs="Arial"/>
          <w:sz w:val="24"/>
          <w:szCs w:val="24"/>
        </w:rPr>
        <w:t>ay</w:t>
      </w:r>
      <w:r>
        <w:rPr>
          <w:rFonts w:ascii="Arial" w:hAnsi="Arial" w:cs="Arial"/>
          <w:sz w:val="24"/>
          <w:szCs w:val="24"/>
        </w:rPr>
        <w:t xml:space="preserve"> have a mutated gene that predisposed them to breast cancer.</w:t>
      </w:r>
      <w:r>
        <w:rPr>
          <w:rStyle w:val="FootnoteReference"/>
          <w:rFonts w:ascii="Arial" w:hAnsi="Arial" w:cs="Arial"/>
          <w:sz w:val="24"/>
          <w:szCs w:val="24"/>
        </w:rPr>
        <w:footnoteReference w:id="206"/>
      </w:r>
      <w:r w:rsidR="00E53D81">
        <w:rPr>
          <w:rFonts w:ascii="Arial" w:hAnsi="Arial" w:cs="Arial"/>
          <w:sz w:val="24"/>
          <w:szCs w:val="24"/>
        </w:rPr>
        <w:t xml:space="preserve">  In an i</w:t>
      </w:r>
      <w:r w:rsidR="0089511C">
        <w:rPr>
          <w:rFonts w:ascii="Arial" w:hAnsi="Arial" w:cs="Arial"/>
          <w:sz w:val="24"/>
          <w:szCs w:val="24"/>
        </w:rPr>
        <w:t xml:space="preserve">nterview, Dr. </w:t>
      </w:r>
      <w:proofErr w:type="spellStart"/>
      <w:r w:rsidR="0089511C">
        <w:rPr>
          <w:rFonts w:ascii="Arial" w:hAnsi="Arial" w:cs="Arial"/>
          <w:sz w:val="24"/>
          <w:szCs w:val="24"/>
        </w:rPr>
        <w:t>Kazazia</w:t>
      </w:r>
      <w:r w:rsidR="00E53D81">
        <w:rPr>
          <w:rFonts w:ascii="Arial" w:hAnsi="Arial" w:cs="Arial"/>
          <w:sz w:val="24"/>
          <w:szCs w:val="24"/>
        </w:rPr>
        <w:t>n</w:t>
      </w:r>
      <w:proofErr w:type="spellEnd"/>
      <w:r w:rsidR="00E53D81">
        <w:rPr>
          <w:rFonts w:ascii="Arial" w:hAnsi="Arial" w:cs="Arial"/>
          <w:sz w:val="24"/>
          <w:szCs w:val="24"/>
        </w:rPr>
        <w:t xml:space="preserve"> stated that the research was promising and </w:t>
      </w:r>
      <w:r w:rsidR="00E53D81">
        <w:rPr>
          <w:rFonts w:ascii="Arial" w:hAnsi="Arial" w:cs="Arial"/>
          <w:sz w:val="24"/>
          <w:szCs w:val="24"/>
        </w:rPr>
        <w:lastRenderedPageBreak/>
        <w:t>that the university was offering clinical testing, which led to more research.</w:t>
      </w:r>
      <w:r>
        <w:rPr>
          <w:rStyle w:val="FootnoteReference"/>
          <w:rFonts w:ascii="Arial" w:hAnsi="Arial" w:cs="Arial"/>
          <w:sz w:val="24"/>
          <w:szCs w:val="24"/>
        </w:rPr>
        <w:footnoteReference w:id="207"/>
      </w:r>
      <w:r>
        <w:rPr>
          <w:rFonts w:ascii="Arial" w:hAnsi="Arial" w:cs="Arial"/>
          <w:sz w:val="24"/>
          <w:szCs w:val="24"/>
        </w:rPr>
        <w:t xml:space="preserve">  </w:t>
      </w:r>
      <w:r w:rsidR="00E53D81">
        <w:rPr>
          <w:rFonts w:ascii="Arial" w:hAnsi="Arial" w:cs="Arial"/>
          <w:sz w:val="24"/>
          <w:szCs w:val="24"/>
        </w:rPr>
        <w:t>He</w:t>
      </w:r>
      <w:r w:rsidR="00896764">
        <w:rPr>
          <w:rFonts w:ascii="Arial" w:hAnsi="Arial" w:cs="Arial"/>
          <w:sz w:val="24"/>
          <w:szCs w:val="24"/>
        </w:rPr>
        <w:t xml:space="preserve"> said</w:t>
      </w:r>
      <w:r w:rsidR="00E53D81">
        <w:rPr>
          <w:rFonts w:ascii="Arial" w:hAnsi="Arial" w:cs="Arial"/>
          <w:sz w:val="24"/>
          <w:szCs w:val="24"/>
        </w:rPr>
        <w:t>, however,</w:t>
      </w:r>
      <w:r w:rsidR="00896764">
        <w:rPr>
          <w:rFonts w:ascii="Arial" w:hAnsi="Arial" w:cs="Arial"/>
          <w:sz w:val="24"/>
          <w:szCs w:val="24"/>
        </w:rPr>
        <w:t xml:space="preserve"> that he was naïve and did not reali</w:t>
      </w:r>
      <w:r w:rsidR="00B0027E">
        <w:rPr>
          <w:rFonts w:ascii="Arial" w:hAnsi="Arial" w:cs="Arial"/>
          <w:sz w:val="24"/>
          <w:szCs w:val="24"/>
        </w:rPr>
        <w:t>ze the legal consequences of the</w:t>
      </w:r>
      <w:r w:rsidR="00896764">
        <w:rPr>
          <w:rFonts w:ascii="Arial" w:hAnsi="Arial" w:cs="Arial"/>
          <w:sz w:val="24"/>
          <w:szCs w:val="24"/>
        </w:rPr>
        <w:t xml:space="preserve"> research.</w:t>
      </w:r>
      <w:r>
        <w:rPr>
          <w:rStyle w:val="FootnoteReference"/>
          <w:rFonts w:ascii="Arial" w:hAnsi="Arial" w:cs="Arial"/>
          <w:sz w:val="24"/>
          <w:szCs w:val="24"/>
        </w:rPr>
        <w:footnoteReference w:id="208"/>
      </w:r>
      <w:r w:rsidR="00B0027E">
        <w:rPr>
          <w:rFonts w:ascii="Arial" w:hAnsi="Arial" w:cs="Arial"/>
          <w:sz w:val="24"/>
          <w:szCs w:val="24"/>
        </w:rPr>
        <w:t xml:space="preserve">  </w:t>
      </w:r>
      <w:r>
        <w:rPr>
          <w:rFonts w:ascii="Arial" w:hAnsi="Arial" w:cs="Arial"/>
          <w:sz w:val="24"/>
          <w:szCs w:val="24"/>
        </w:rPr>
        <w:t>Myriad Genetics, a Salt Lake City bio</w:t>
      </w:r>
      <w:r w:rsidR="00B0027E">
        <w:rPr>
          <w:rFonts w:ascii="Arial" w:hAnsi="Arial" w:cs="Arial"/>
          <w:sz w:val="24"/>
          <w:szCs w:val="24"/>
        </w:rPr>
        <w:t>technology corporation</w:t>
      </w:r>
      <w:r w:rsidR="008F266A">
        <w:rPr>
          <w:rFonts w:ascii="Arial" w:hAnsi="Arial" w:cs="Arial"/>
          <w:sz w:val="24"/>
          <w:szCs w:val="24"/>
        </w:rPr>
        <w:t>,</w:t>
      </w:r>
      <w:r w:rsidR="00B0027E">
        <w:rPr>
          <w:rFonts w:ascii="Arial" w:hAnsi="Arial" w:cs="Arial"/>
          <w:sz w:val="24"/>
          <w:szCs w:val="24"/>
        </w:rPr>
        <w:t xml:space="preserve"> </w:t>
      </w:r>
      <w:r w:rsidR="00E53D81">
        <w:rPr>
          <w:rFonts w:ascii="Arial" w:hAnsi="Arial" w:cs="Arial"/>
          <w:sz w:val="24"/>
          <w:szCs w:val="24"/>
        </w:rPr>
        <w:t>owned</w:t>
      </w:r>
      <w:r>
        <w:rPr>
          <w:rFonts w:ascii="Arial" w:hAnsi="Arial" w:cs="Arial"/>
          <w:sz w:val="24"/>
          <w:szCs w:val="24"/>
        </w:rPr>
        <w:t xml:space="preserve"> the patents on the two known breast cancer genes.</w:t>
      </w:r>
      <w:r>
        <w:rPr>
          <w:rStyle w:val="FootnoteReference"/>
          <w:rFonts w:ascii="Arial" w:hAnsi="Arial" w:cs="Arial"/>
          <w:sz w:val="24"/>
          <w:szCs w:val="24"/>
        </w:rPr>
        <w:footnoteReference w:id="209"/>
      </w:r>
      <w:r w:rsidR="00B0027E">
        <w:rPr>
          <w:rFonts w:ascii="Arial" w:hAnsi="Arial" w:cs="Arial"/>
          <w:sz w:val="24"/>
          <w:szCs w:val="24"/>
        </w:rPr>
        <w:t xml:space="preserve">  </w:t>
      </w:r>
      <w:r>
        <w:rPr>
          <w:rFonts w:ascii="Arial" w:hAnsi="Arial" w:cs="Arial"/>
          <w:sz w:val="24"/>
          <w:szCs w:val="24"/>
        </w:rPr>
        <w:t>When officials at Myriad Genetics found out about the University of Pennsylvania</w:t>
      </w:r>
      <w:r w:rsidR="008F266A">
        <w:rPr>
          <w:rFonts w:ascii="Arial" w:hAnsi="Arial" w:cs="Arial"/>
          <w:sz w:val="24"/>
          <w:szCs w:val="24"/>
        </w:rPr>
        <w:t>’s</w:t>
      </w:r>
      <w:r>
        <w:rPr>
          <w:rFonts w:ascii="Arial" w:hAnsi="Arial" w:cs="Arial"/>
          <w:sz w:val="24"/>
          <w:szCs w:val="24"/>
        </w:rPr>
        <w:t xml:space="preserve"> research</w:t>
      </w:r>
      <w:r w:rsidR="00B0027E">
        <w:rPr>
          <w:rFonts w:ascii="Arial" w:hAnsi="Arial" w:cs="Arial"/>
          <w:sz w:val="24"/>
          <w:szCs w:val="24"/>
        </w:rPr>
        <w:t xml:space="preserve"> on one of their patented genes</w:t>
      </w:r>
      <w:r>
        <w:rPr>
          <w:rFonts w:ascii="Arial" w:hAnsi="Arial" w:cs="Arial"/>
          <w:sz w:val="24"/>
          <w:szCs w:val="24"/>
        </w:rPr>
        <w:t>, they sent the researchers a cease and desist letter, demanding that they stop all diagnos</w:t>
      </w:r>
      <w:r w:rsidR="00B0027E">
        <w:rPr>
          <w:rFonts w:ascii="Arial" w:hAnsi="Arial" w:cs="Arial"/>
          <w:sz w:val="24"/>
          <w:szCs w:val="24"/>
        </w:rPr>
        <w:t>tic tests which used their gene</w:t>
      </w:r>
      <w:r>
        <w:rPr>
          <w:rFonts w:ascii="Arial" w:hAnsi="Arial" w:cs="Arial"/>
          <w:sz w:val="24"/>
          <w:szCs w:val="24"/>
        </w:rPr>
        <w:t>.</w:t>
      </w:r>
      <w:r>
        <w:rPr>
          <w:rStyle w:val="FootnoteReference"/>
          <w:rFonts w:ascii="Arial" w:hAnsi="Arial" w:cs="Arial"/>
          <w:sz w:val="24"/>
          <w:szCs w:val="24"/>
        </w:rPr>
        <w:footnoteReference w:id="210"/>
      </w:r>
      <w:r>
        <w:rPr>
          <w:rFonts w:ascii="Arial" w:hAnsi="Arial" w:cs="Arial"/>
          <w:sz w:val="24"/>
          <w:szCs w:val="24"/>
        </w:rPr>
        <w:t xml:space="preserve">  The letter told them to “…cease all infringing testing activity…”  for which they did not have a licensing agreement.</w:t>
      </w:r>
      <w:r>
        <w:rPr>
          <w:rStyle w:val="FootnoteReference"/>
          <w:rFonts w:ascii="Arial" w:hAnsi="Arial" w:cs="Arial"/>
          <w:sz w:val="24"/>
          <w:szCs w:val="24"/>
        </w:rPr>
        <w:footnoteReference w:id="211"/>
      </w:r>
      <w:r>
        <w:rPr>
          <w:rFonts w:ascii="Arial" w:hAnsi="Arial" w:cs="Arial"/>
          <w:sz w:val="24"/>
          <w:szCs w:val="24"/>
        </w:rPr>
        <w:t xml:space="preserve">  Dr. </w:t>
      </w:r>
      <w:proofErr w:type="spellStart"/>
      <w:r>
        <w:rPr>
          <w:rFonts w:ascii="Arial" w:hAnsi="Arial" w:cs="Arial"/>
          <w:sz w:val="24"/>
          <w:szCs w:val="24"/>
        </w:rPr>
        <w:t>Kazazian</w:t>
      </w:r>
      <w:proofErr w:type="spellEnd"/>
      <w:r>
        <w:rPr>
          <w:rFonts w:ascii="Arial" w:hAnsi="Arial" w:cs="Arial"/>
          <w:sz w:val="24"/>
          <w:szCs w:val="24"/>
        </w:rPr>
        <w:t xml:space="preserve"> consulted with the university attorneys, who advised the researchers to cease all activity involving the breast cancer gene.</w:t>
      </w:r>
      <w:r>
        <w:rPr>
          <w:rStyle w:val="FootnoteReference"/>
          <w:rFonts w:ascii="Arial" w:hAnsi="Arial" w:cs="Arial"/>
          <w:sz w:val="24"/>
          <w:szCs w:val="24"/>
        </w:rPr>
        <w:footnoteReference w:id="212"/>
      </w:r>
      <w:r>
        <w:rPr>
          <w:rFonts w:ascii="Arial" w:hAnsi="Arial" w:cs="Arial"/>
          <w:sz w:val="24"/>
          <w:szCs w:val="24"/>
        </w:rPr>
        <w:t xml:space="preserve">  The lawyers told the researchers that Myriad Genetics had the law on their side and that they owned the nucleotide sequence, or building blocks of the gene.</w:t>
      </w:r>
      <w:r>
        <w:rPr>
          <w:rStyle w:val="FootnoteReference"/>
          <w:rFonts w:ascii="Arial" w:hAnsi="Arial" w:cs="Arial"/>
          <w:sz w:val="24"/>
          <w:szCs w:val="24"/>
        </w:rPr>
        <w:footnoteReference w:id="213"/>
      </w:r>
      <w:r w:rsidR="00B0027E">
        <w:rPr>
          <w:rFonts w:ascii="Arial" w:hAnsi="Arial" w:cs="Arial"/>
          <w:sz w:val="24"/>
          <w:szCs w:val="24"/>
        </w:rPr>
        <w:t xml:space="preserve">  </w:t>
      </w:r>
      <w:proofErr w:type="spellStart"/>
      <w:r w:rsidR="00B0027E">
        <w:rPr>
          <w:rFonts w:ascii="Arial" w:hAnsi="Arial" w:cs="Arial"/>
          <w:sz w:val="24"/>
          <w:szCs w:val="24"/>
        </w:rPr>
        <w:t>Kazazian</w:t>
      </w:r>
      <w:proofErr w:type="spellEnd"/>
      <w:r w:rsidR="00B0027E">
        <w:rPr>
          <w:rFonts w:ascii="Arial" w:hAnsi="Arial" w:cs="Arial"/>
          <w:sz w:val="24"/>
          <w:szCs w:val="24"/>
        </w:rPr>
        <w:t xml:space="preserve"> related that they abruptly stopped all research and testing and that</w:t>
      </w:r>
      <w:r>
        <w:rPr>
          <w:rFonts w:ascii="Arial" w:hAnsi="Arial" w:cs="Arial"/>
          <w:sz w:val="24"/>
          <w:szCs w:val="24"/>
        </w:rPr>
        <w:t xml:space="preserve"> the only place in the world where a woman can</w:t>
      </w:r>
      <w:r w:rsidR="00B0027E">
        <w:rPr>
          <w:rFonts w:ascii="Arial" w:hAnsi="Arial" w:cs="Arial"/>
          <w:sz w:val="24"/>
          <w:szCs w:val="24"/>
        </w:rPr>
        <w:t xml:space="preserve"> </w:t>
      </w:r>
      <w:r>
        <w:rPr>
          <w:rFonts w:ascii="Arial" w:hAnsi="Arial" w:cs="Arial"/>
          <w:sz w:val="24"/>
          <w:szCs w:val="24"/>
        </w:rPr>
        <w:t xml:space="preserve">have screening for and testing of the gene </w:t>
      </w:r>
      <w:r w:rsidR="008C76E1">
        <w:rPr>
          <w:rFonts w:ascii="Arial" w:hAnsi="Arial" w:cs="Arial"/>
          <w:sz w:val="24"/>
          <w:szCs w:val="24"/>
        </w:rPr>
        <w:t xml:space="preserve">for breast cancer </w:t>
      </w:r>
      <w:r>
        <w:rPr>
          <w:rFonts w:ascii="Arial" w:hAnsi="Arial" w:cs="Arial"/>
          <w:sz w:val="24"/>
          <w:szCs w:val="24"/>
        </w:rPr>
        <w:t>is at Myriad Genetics.</w:t>
      </w:r>
      <w:r>
        <w:rPr>
          <w:rStyle w:val="FootnoteReference"/>
          <w:rFonts w:ascii="Arial" w:hAnsi="Arial" w:cs="Arial"/>
          <w:sz w:val="24"/>
          <w:szCs w:val="24"/>
        </w:rPr>
        <w:footnoteReference w:id="214"/>
      </w:r>
      <w:r>
        <w:rPr>
          <w:rFonts w:ascii="Arial" w:hAnsi="Arial" w:cs="Arial"/>
          <w:sz w:val="24"/>
          <w:szCs w:val="24"/>
        </w:rPr>
        <w:t xml:space="preserve">  </w:t>
      </w:r>
    </w:p>
    <w:p w14:paraId="2866D52F" w14:textId="77777777" w:rsidR="008C76E1" w:rsidRDefault="00735F29">
      <w:pPr>
        <w:widowControl w:val="0"/>
        <w:spacing w:line="480" w:lineRule="atLeast"/>
        <w:ind w:firstLine="720"/>
        <w:rPr>
          <w:rFonts w:ascii="Arial" w:hAnsi="Arial" w:cs="Arial"/>
          <w:sz w:val="24"/>
          <w:szCs w:val="24"/>
        </w:rPr>
      </w:pPr>
      <w:r>
        <w:rPr>
          <w:rFonts w:ascii="Arial" w:hAnsi="Arial" w:cs="Arial"/>
          <w:sz w:val="24"/>
          <w:szCs w:val="24"/>
        </w:rPr>
        <w:t>Myriad Genetics declined to comment on the two researchers’ charges, but, in the past, has defended its right to exercise control over the application of the patent.</w:t>
      </w:r>
      <w:r>
        <w:rPr>
          <w:rStyle w:val="FootnoteReference"/>
          <w:rFonts w:ascii="Arial" w:hAnsi="Arial" w:cs="Arial"/>
          <w:sz w:val="24"/>
          <w:szCs w:val="24"/>
        </w:rPr>
        <w:footnoteReference w:id="215"/>
      </w:r>
      <w:r>
        <w:rPr>
          <w:rFonts w:ascii="Arial" w:hAnsi="Arial" w:cs="Arial"/>
          <w:sz w:val="24"/>
          <w:szCs w:val="24"/>
        </w:rPr>
        <w:t xml:space="preserve">  The corporation has a financial interest in ever</w:t>
      </w:r>
      <w:r w:rsidR="008C76E1">
        <w:rPr>
          <w:rFonts w:ascii="Arial" w:hAnsi="Arial" w:cs="Arial"/>
          <w:sz w:val="24"/>
          <w:szCs w:val="24"/>
        </w:rPr>
        <w:t xml:space="preserve">y </w:t>
      </w:r>
      <w:r w:rsidR="005D6C61">
        <w:rPr>
          <w:rFonts w:ascii="Arial" w:hAnsi="Arial" w:cs="Arial"/>
          <w:sz w:val="24"/>
          <w:szCs w:val="24"/>
        </w:rPr>
        <w:t xml:space="preserve">single </w:t>
      </w:r>
      <w:r w:rsidR="008C76E1">
        <w:rPr>
          <w:rFonts w:ascii="Arial" w:hAnsi="Arial" w:cs="Arial"/>
          <w:sz w:val="24"/>
          <w:szCs w:val="24"/>
        </w:rPr>
        <w:t>breast cancer test that us</w:t>
      </w:r>
      <w:r>
        <w:rPr>
          <w:rFonts w:ascii="Arial" w:hAnsi="Arial" w:cs="Arial"/>
          <w:sz w:val="24"/>
          <w:szCs w:val="24"/>
        </w:rPr>
        <w:t xml:space="preserve">es </w:t>
      </w:r>
      <w:r w:rsidR="008C76E1">
        <w:rPr>
          <w:rFonts w:ascii="Arial" w:hAnsi="Arial" w:cs="Arial"/>
          <w:sz w:val="24"/>
          <w:szCs w:val="24"/>
        </w:rPr>
        <w:t xml:space="preserve">both of </w:t>
      </w:r>
      <w:r>
        <w:rPr>
          <w:rFonts w:ascii="Arial" w:hAnsi="Arial" w:cs="Arial"/>
          <w:sz w:val="24"/>
          <w:szCs w:val="24"/>
        </w:rPr>
        <w:t>their patented gene</w:t>
      </w:r>
      <w:r w:rsidR="008F266A">
        <w:rPr>
          <w:rFonts w:ascii="Arial" w:hAnsi="Arial" w:cs="Arial"/>
          <w:sz w:val="24"/>
          <w:szCs w:val="24"/>
        </w:rPr>
        <w:t>s</w:t>
      </w:r>
      <w:r>
        <w:rPr>
          <w:rFonts w:ascii="Arial" w:hAnsi="Arial" w:cs="Arial"/>
          <w:sz w:val="24"/>
          <w:szCs w:val="24"/>
        </w:rPr>
        <w:t>.</w:t>
      </w:r>
      <w:r>
        <w:rPr>
          <w:rStyle w:val="FootnoteReference"/>
          <w:rFonts w:ascii="Arial" w:hAnsi="Arial" w:cs="Arial"/>
          <w:sz w:val="24"/>
          <w:szCs w:val="24"/>
        </w:rPr>
        <w:footnoteReference w:id="216"/>
      </w:r>
      <w:r>
        <w:rPr>
          <w:rFonts w:ascii="Arial" w:hAnsi="Arial" w:cs="Arial"/>
          <w:sz w:val="24"/>
          <w:szCs w:val="24"/>
        </w:rPr>
        <w:t xml:space="preserve">  </w:t>
      </w:r>
    </w:p>
    <w:p w14:paraId="0C0D30C9" w14:textId="77777777" w:rsidR="00735F29" w:rsidRDefault="00735F29" w:rsidP="008C76E1">
      <w:pPr>
        <w:widowControl w:val="0"/>
        <w:spacing w:line="480" w:lineRule="atLeast"/>
        <w:ind w:firstLine="720"/>
        <w:rPr>
          <w:rFonts w:ascii="Arial" w:hAnsi="Arial" w:cs="Arial"/>
          <w:sz w:val="24"/>
          <w:szCs w:val="24"/>
        </w:rPr>
      </w:pPr>
      <w:r>
        <w:rPr>
          <w:rFonts w:ascii="Arial" w:hAnsi="Arial" w:cs="Arial"/>
          <w:sz w:val="24"/>
          <w:szCs w:val="24"/>
        </w:rPr>
        <w:t xml:space="preserve">One significant effect of Myriad Corporation owning the exclusive right to test for the two </w:t>
      </w:r>
      <w:r w:rsidR="008C76E1">
        <w:rPr>
          <w:rFonts w:ascii="Arial" w:hAnsi="Arial" w:cs="Arial"/>
          <w:sz w:val="24"/>
          <w:szCs w:val="24"/>
        </w:rPr>
        <w:t xml:space="preserve">patented </w:t>
      </w:r>
      <w:r>
        <w:rPr>
          <w:rFonts w:ascii="Arial" w:hAnsi="Arial" w:cs="Arial"/>
          <w:sz w:val="24"/>
          <w:szCs w:val="24"/>
        </w:rPr>
        <w:t xml:space="preserve">breast cancer genes is that the </w:t>
      </w:r>
      <w:r w:rsidR="008C76E1">
        <w:rPr>
          <w:rFonts w:ascii="Arial" w:hAnsi="Arial" w:cs="Arial"/>
          <w:sz w:val="24"/>
          <w:szCs w:val="24"/>
        </w:rPr>
        <w:t xml:space="preserve">company controls the cost of any </w:t>
      </w:r>
      <w:r w:rsidR="008C76E1">
        <w:rPr>
          <w:rFonts w:ascii="Arial" w:hAnsi="Arial" w:cs="Arial"/>
          <w:sz w:val="24"/>
          <w:szCs w:val="24"/>
        </w:rPr>
        <w:lastRenderedPageBreak/>
        <w:t xml:space="preserve">subsequently developed </w:t>
      </w:r>
      <w:r>
        <w:rPr>
          <w:rFonts w:ascii="Arial" w:hAnsi="Arial" w:cs="Arial"/>
          <w:sz w:val="24"/>
          <w:szCs w:val="24"/>
        </w:rPr>
        <w:t>test.</w:t>
      </w:r>
      <w:r>
        <w:rPr>
          <w:rStyle w:val="FootnoteReference"/>
          <w:rFonts w:ascii="Arial" w:hAnsi="Arial" w:cs="Arial"/>
          <w:sz w:val="24"/>
          <w:szCs w:val="24"/>
        </w:rPr>
        <w:footnoteReference w:id="217"/>
      </w:r>
      <w:r w:rsidR="008C76E1">
        <w:rPr>
          <w:rFonts w:ascii="Arial" w:hAnsi="Arial" w:cs="Arial"/>
          <w:sz w:val="24"/>
          <w:szCs w:val="24"/>
        </w:rPr>
        <w:t xml:space="preserve">  </w:t>
      </w:r>
      <w:r w:rsidR="008E0593">
        <w:rPr>
          <w:rFonts w:ascii="Arial" w:hAnsi="Arial" w:cs="Arial"/>
          <w:sz w:val="24"/>
          <w:szCs w:val="24"/>
        </w:rPr>
        <w:t>Lori Andrews</w:t>
      </w:r>
      <w:r>
        <w:rPr>
          <w:rFonts w:ascii="Arial" w:hAnsi="Arial" w:cs="Arial"/>
          <w:sz w:val="24"/>
          <w:szCs w:val="24"/>
        </w:rPr>
        <w:t xml:space="preserve"> stated that Myriad Genetics can name their own price.</w:t>
      </w:r>
      <w:r>
        <w:rPr>
          <w:rStyle w:val="FootnoteReference"/>
          <w:rFonts w:ascii="Arial" w:hAnsi="Arial" w:cs="Arial"/>
          <w:sz w:val="24"/>
          <w:szCs w:val="24"/>
        </w:rPr>
        <w:footnoteReference w:id="218"/>
      </w:r>
      <w:r w:rsidR="00F61364">
        <w:rPr>
          <w:rFonts w:ascii="Arial" w:hAnsi="Arial" w:cs="Arial"/>
          <w:sz w:val="24"/>
          <w:szCs w:val="24"/>
        </w:rPr>
        <w:t xml:space="preserve">  Her</w:t>
      </w:r>
      <w:r>
        <w:rPr>
          <w:rFonts w:ascii="Arial" w:hAnsi="Arial" w:cs="Arial"/>
          <w:sz w:val="24"/>
          <w:szCs w:val="24"/>
        </w:rPr>
        <w:t xml:space="preserve"> statement implies that Myriad </w:t>
      </w:r>
      <w:proofErr w:type="spellStart"/>
      <w:r>
        <w:rPr>
          <w:rFonts w:ascii="Arial" w:hAnsi="Arial" w:cs="Arial"/>
          <w:sz w:val="24"/>
          <w:szCs w:val="24"/>
        </w:rPr>
        <w:t>Ge</w:t>
      </w:r>
      <w:r w:rsidR="008C76E1">
        <w:rPr>
          <w:rFonts w:ascii="Arial" w:hAnsi="Arial" w:cs="Arial"/>
          <w:sz w:val="24"/>
          <w:szCs w:val="24"/>
        </w:rPr>
        <w:t>netics’s</w:t>
      </w:r>
      <w:proofErr w:type="spellEnd"/>
      <w:r w:rsidR="008C76E1">
        <w:rPr>
          <w:rFonts w:ascii="Arial" w:hAnsi="Arial" w:cs="Arial"/>
          <w:sz w:val="24"/>
          <w:szCs w:val="24"/>
        </w:rPr>
        <w:t xml:space="preserve"> control</w:t>
      </w:r>
      <w:r>
        <w:rPr>
          <w:rFonts w:ascii="Arial" w:hAnsi="Arial" w:cs="Arial"/>
          <w:sz w:val="24"/>
          <w:szCs w:val="24"/>
        </w:rPr>
        <w:t xml:space="preserve"> of the patent allows them to exercise a monopoly over use of the genes and subsequent research th</w:t>
      </w:r>
      <w:r w:rsidR="007A2352">
        <w:rPr>
          <w:rFonts w:ascii="Arial" w:hAnsi="Arial" w:cs="Arial"/>
          <w:sz w:val="24"/>
          <w:szCs w:val="24"/>
        </w:rPr>
        <w:t>at studies the genes.  Ms. Andrews</w:t>
      </w:r>
      <w:r>
        <w:rPr>
          <w:rFonts w:ascii="Arial" w:hAnsi="Arial" w:cs="Arial"/>
          <w:sz w:val="24"/>
          <w:szCs w:val="24"/>
        </w:rPr>
        <w:t xml:space="preserve"> noted that the fee for her </w:t>
      </w:r>
      <w:r w:rsidR="00F61364">
        <w:rPr>
          <w:rFonts w:ascii="Arial" w:hAnsi="Arial" w:cs="Arial"/>
          <w:sz w:val="24"/>
          <w:szCs w:val="24"/>
        </w:rPr>
        <w:t>to look at the two genes in her own body</w:t>
      </w:r>
      <w:r>
        <w:rPr>
          <w:rFonts w:ascii="Arial" w:hAnsi="Arial" w:cs="Arial"/>
          <w:sz w:val="24"/>
          <w:szCs w:val="24"/>
        </w:rPr>
        <w:t xml:space="preserve"> is $2,580.00, and that her own doctor i</w:t>
      </w:r>
      <w:r w:rsidR="00F61364">
        <w:rPr>
          <w:rFonts w:ascii="Arial" w:hAnsi="Arial" w:cs="Arial"/>
          <w:sz w:val="24"/>
          <w:szCs w:val="24"/>
        </w:rPr>
        <w:t>s not allowed to look at those</w:t>
      </w:r>
      <w:r>
        <w:rPr>
          <w:rFonts w:ascii="Arial" w:hAnsi="Arial" w:cs="Arial"/>
          <w:sz w:val="24"/>
          <w:szCs w:val="24"/>
        </w:rPr>
        <w:t xml:space="preserve"> breast cancer genes without paying a royalty to Myriad Genetics.</w:t>
      </w:r>
      <w:r>
        <w:rPr>
          <w:rStyle w:val="FootnoteReference"/>
          <w:rFonts w:ascii="Arial" w:hAnsi="Arial" w:cs="Arial"/>
          <w:sz w:val="24"/>
          <w:szCs w:val="24"/>
        </w:rPr>
        <w:footnoteReference w:id="219"/>
      </w:r>
      <w:r w:rsidR="00F61364">
        <w:rPr>
          <w:rFonts w:ascii="Arial" w:hAnsi="Arial" w:cs="Arial"/>
          <w:sz w:val="24"/>
          <w:szCs w:val="24"/>
        </w:rPr>
        <w:t xml:space="preserve">  She finds this situation</w:t>
      </w:r>
      <w:r>
        <w:rPr>
          <w:rFonts w:ascii="Arial" w:hAnsi="Arial" w:cs="Arial"/>
          <w:sz w:val="24"/>
          <w:szCs w:val="24"/>
        </w:rPr>
        <w:t xml:space="preserve"> absurd and quest</w:t>
      </w:r>
      <w:r w:rsidR="00F61364">
        <w:rPr>
          <w:rFonts w:ascii="Arial" w:hAnsi="Arial" w:cs="Arial"/>
          <w:sz w:val="24"/>
          <w:szCs w:val="24"/>
        </w:rPr>
        <w:t>ions why genes</w:t>
      </w:r>
      <w:r>
        <w:rPr>
          <w:rFonts w:ascii="Arial" w:hAnsi="Arial" w:cs="Arial"/>
          <w:sz w:val="24"/>
          <w:szCs w:val="24"/>
        </w:rPr>
        <w:t xml:space="preserve"> that ex</w:t>
      </w:r>
      <w:r w:rsidR="00F61364">
        <w:rPr>
          <w:rFonts w:ascii="Arial" w:hAnsi="Arial" w:cs="Arial"/>
          <w:sz w:val="24"/>
          <w:szCs w:val="24"/>
        </w:rPr>
        <w:t xml:space="preserve">ist within her own body should </w:t>
      </w:r>
      <w:r>
        <w:rPr>
          <w:rFonts w:ascii="Arial" w:hAnsi="Arial" w:cs="Arial"/>
          <w:sz w:val="24"/>
          <w:szCs w:val="24"/>
        </w:rPr>
        <w:t>essentially</w:t>
      </w:r>
      <w:r w:rsidR="00F61364">
        <w:rPr>
          <w:rFonts w:ascii="Arial" w:hAnsi="Arial" w:cs="Arial"/>
          <w:sz w:val="24"/>
          <w:szCs w:val="24"/>
        </w:rPr>
        <w:t>, according to patent law, belong to some</w:t>
      </w:r>
      <w:r>
        <w:rPr>
          <w:rFonts w:ascii="Arial" w:hAnsi="Arial" w:cs="Arial"/>
          <w:sz w:val="24"/>
          <w:szCs w:val="24"/>
        </w:rPr>
        <w:t xml:space="preserve"> company.</w:t>
      </w:r>
      <w:r>
        <w:rPr>
          <w:rStyle w:val="FootnoteReference"/>
          <w:rFonts w:ascii="Arial" w:hAnsi="Arial" w:cs="Arial"/>
          <w:sz w:val="24"/>
          <w:szCs w:val="24"/>
        </w:rPr>
        <w:footnoteReference w:id="220"/>
      </w:r>
      <w:r>
        <w:rPr>
          <w:rFonts w:ascii="Arial" w:hAnsi="Arial" w:cs="Arial"/>
          <w:sz w:val="24"/>
          <w:szCs w:val="24"/>
        </w:rPr>
        <w:t xml:space="preserve">  </w:t>
      </w:r>
    </w:p>
    <w:p w14:paraId="71155826"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In reply, Todd Dickinson</w:t>
      </w:r>
      <w:r w:rsidR="006F4956">
        <w:rPr>
          <w:rFonts w:ascii="Arial" w:hAnsi="Arial" w:cs="Arial"/>
          <w:sz w:val="24"/>
          <w:szCs w:val="24"/>
        </w:rPr>
        <w:t>, former head of the Patent Office, noted</w:t>
      </w:r>
      <w:r>
        <w:rPr>
          <w:rFonts w:ascii="Arial" w:hAnsi="Arial" w:cs="Arial"/>
          <w:sz w:val="24"/>
          <w:szCs w:val="24"/>
        </w:rPr>
        <w:t xml:space="preserve"> that testing fees are not exclusively royalties, but also </w:t>
      </w:r>
      <w:r w:rsidR="00F61364">
        <w:rPr>
          <w:rFonts w:ascii="Arial" w:hAnsi="Arial" w:cs="Arial"/>
          <w:sz w:val="24"/>
          <w:szCs w:val="24"/>
        </w:rPr>
        <w:t xml:space="preserve">include </w:t>
      </w:r>
      <w:r>
        <w:rPr>
          <w:rFonts w:ascii="Arial" w:hAnsi="Arial" w:cs="Arial"/>
          <w:sz w:val="24"/>
          <w:szCs w:val="24"/>
        </w:rPr>
        <w:t>the cost of the test.</w:t>
      </w:r>
      <w:r>
        <w:rPr>
          <w:rStyle w:val="FootnoteReference"/>
          <w:rFonts w:ascii="Arial" w:hAnsi="Arial" w:cs="Arial"/>
          <w:sz w:val="24"/>
          <w:szCs w:val="24"/>
        </w:rPr>
        <w:footnoteReference w:id="221"/>
      </w:r>
      <w:r w:rsidR="00F61364">
        <w:rPr>
          <w:rFonts w:ascii="Arial" w:hAnsi="Arial" w:cs="Arial"/>
          <w:sz w:val="24"/>
          <w:szCs w:val="24"/>
        </w:rPr>
        <w:t xml:space="preserve">  One of the </w:t>
      </w:r>
      <w:r w:rsidR="005D6C61">
        <w:rPr>
          <w:rFonts w:ascii="Arial" w:hAnsi="Arial" w:cs="Arial"/>
          <w:sz w:val="24"/>
          <w:szCs w:val="24"/>
        </w:rPr>
        <w:t xml:space="preserve">long-standing Patent Office </w:t>
      </w:r>
      <w:r w:rsidR="00F61364">
        <w:rPr>
          <w:rFonts w:ascii="Arial" w:hAnsi="Arial" w:cs="Arial"/>
          <w:sz w:val="24"/>
          <w:szCs w:val="24"/>
        </w:rPr>
        <w:t>rationales</w:t>
      </w:r>
      <w:r>
        <w:rPr>
          <w:rFonts w:ascii="Arial" w:hAnsi="Arial" w:cs="Arial"/>
          <w:sz w:val="24"/>
          <w:szCs w:val="24"/>
        </w:rPr>
        <w:t xml:space="preserve"> is that incentives to scientific research must be maintained.</w:t>
      </w:r>
      <w:r>
        <w:rPr>
          <w:rStyle w:val="FootnoteReference"/>
          <w:rFonts w:ascii="Arial" w:hAnsi="Arial" w:cs="Arial"/>
          <w:sz w:val="24"/>
          <w:szCs w:val="24"/>
        </w:rPr>
        <w:footnoteReference w:id="222"/>
      </w:r>
      <w:r>
        <w:rPr>
          <w:rFonts w:ascii="Arial" w:hAnsi="Arial" w:cs="Arial"/>
          <w:sz w:val="24"/>
          <w:szCs w:val="24"/>
        </w:rPr>
        <w:t xml:space="preserve">  </w:t>
      </w:r>
      <w:r w:rsidR="008F266A">
        <w:rPr>
          <w:rFonts w:ascii="Arial" w:hAnsi="Arial" w:cs="Arial"/>
          <w:sz w:val="24"/>
          <w:szCs w:val="24"/>
        </w:rPr>
        <w:t>Dickinson</w:t>
      </w:r>
      <w:r>
        <w:rPr>
          <w:rFonts w:ascii="Arial" w:hAnsi="Arial" w:cs="Arial"/>
          <w:sz w:val="24"/>
          <w:szCs w:val="24"/>
        </w:rPr>
        <w:t xml:space="preserve"> said that people are charged for many </w:t>
      </w:r>
      <w:r w:rsidR="006F4956">
        <w:rPr>
          <w:rFonts w:ascii="Arial" w:hAnsi="Arial" w:cs="Arial"/>
          <w:sz w:val="24"/>
          <w:szCs w:val="24"/>
        </w:rPr>
        <w:t>patented product</w:t>
      </w:r>
      <w:r>
        <w:rPr>
          <w:rFonts w:ascii="Arial" w:hAnsi="Arial" w:cs="Arial"/>
          <w:sz w:val="24"/>
          <w:szCs w:val="24"/>
        </w:rPr>
        <w:t>s which ultimately save lives.</w:t>
      </w:r>
      <w:r>
        <w:rPr>
          <w:rStyle w:val="FootnoteReference"/>
          <w:rFonts w:ascii="Arial" w:hAnsi="Arial" w:cs="Arial"/>
          <w:sz w:val="24"/>
          <w:szCs w:val="24"/>
        </w:rPr>
        <w:footnoteReference w:id="223"/>
      </w:r>
      <w:r>
        <w:rPr>
          <w:rFonts w:ascii="Arial" w:hAnsi="Arial" w:cs="Arial"/>
          <w:sz w:val="24"/>
          <w:szCs w:val="24"/>
        </w:rPr>
        <w:t xml:space="preserve">  One example he used is pharmaceuticals</w:t>
      </w:r>
      <w:r w:rsidR="00B1017A">
        <w:rPr>
          <w:rFonts w:ascii="Arial" w:hAnsi="Arial" w:cs="Arial"/>
          <w:sz w:val="24"/>
          <w:szCs w:val="24"/>
        </w:rPr>
        <w:t xml:space="preserve"> that he said not only save lives, but also have a price associated with them</w:t>
      </w:r>
      <w:r>
        <w:rPr>
          <w:rFonts w:ascii="Arial" w:hAnsi="Arial" w:cs="Arial"/>
          <w:sz w:val="24"/>
          <w:szCs w:val="24"/>
        </w:rPr>
        <w:t>.</w:t>
      </w:r>
      <w:r>
        <w:rPr>
          <w:rStyle w:val="FootnoteReference"/>
          <w:rFonts w:ascii="Arial" w:hAnsi="Arial" w:cs="Arial"/>
          <w:sz w:val="24"/>
          <w:szCs w:val="24"/>
        </w:rPr>
        <w:footnoteReference w:id="224"/>
      </w:r>
      <w:r w:rsidR="00B1017A">
        <w:rPr>
          <w:rFonts w:ascii="Arial" w:hAnsi="Arial" w:cs="Arial"/>
          <w:sz w:val="24"/>
          <w:szCs w:val="24"/>
        </w:rPr>
        <w:t xml:space="preserve">  </w:t>
      </w:r>
      <w:r>
        <w:rPr>
          <w:rFonts w:ascii="Arial" w:hAnsi="Arial" w:cs="Arial"/>
          <w:sz w:val="24"/>
          <w:szCs w:val="24"/>
        </w:rPr>
        <w:t>In defending a royalty</w:t>
      </w:r>
      <w:r w:rsidR="00B1017A">
        <w:rPr>
          <w:rFonts w:ascii="Arial" w:hAnsi="Arial" w:cs="Arial"/>
          <w:sz w:val="24"/>
          <w:szCs w:val="24"/>
        </w:rPr>
        <w:t xml:space="preserve"> charge</w:t>
      </w:r>
      <w:r>
        <w:rPr>
          <w:rFonts w:ascii="Arial" w:hAnsi="Arial" w:cs="Arial"/>
          <w:sz w:val="24"/>
          <w:szCs w:val="24"/>
        </w:rPr>
        <w:t xml:space="preserve"> for genetic testing, Dickinson </w:t>
      </w:r>
      <w:r w:rsidR="00B1017A">
        <w:rPr>
          <w:rFonts w:ascii="Arial" w:hAnsi="Arial" w:cs="Arial"/>
          <w:sz w:val="24"/>
          <w:szCs w:val="24"/>
        </w:rPr>
        <w:t>said</w:t>
      </w:r>
      <w:r>
        <w:rPr>
          <w:rFonts w:ascii="Arial" w:hAnsi="Arial" w:cs="Arial"/>
          <w:sz w:val="24"/>
          <w:szCs w:val="24"/>
        </w:rPr>
        <w:t xml:space="preserve"> that </w:t>
      </w:r>
      <w:r w:rsidR="005D6C61">
        <w:rPr>
          <w:rFonts w:ascii="Arial" w:hAnsi="Arial" w:cs="Arial"/>
          <w:sz w:val="24"/>
          <w:szCs w:val="24"/>
        </w:rPr>
        <w:t>substantial</w:t>
      </w:r>
      <w:r>
        <w:rPr>
          <w:rFonts w:ascii="Arial" w:hAnsi="Arial" w:cs="Arial"/>
          <w:sz w:val="24"/>
          <w:szCs w:val="24"/>
        </w:rPr>
        <w:t xml:space="preserve"> work went into the development of the tes</w:t>
      </w:r>
      <w:r w:rsidR="005D6C61">
        <w:rPr>
          <w:rFonts w:ascii="Arial" w:hAnsi="Arial" w:cs="Arial"/>
          <w:sz w:val="24"/>
          <w:szCs w:val="24"/>
        </w:rPr>
        <w:t>t</w:t>
      </w:r>
      <w:r>
        <w:rPr>
          <w:rFonts w:ascii="Arial" w:hAnsi="Arial" w:cs="Arial"/>
          <w:sz w:val="24"/>
          <w:szCs w:val="24"/>
        </w:rPr>
        <w:t xml:space="preserve"> and, therefore, the cost of development was substantial.</w:t>
      </w:r>
      <w:r>
        <w:rPr>
          <w:rStyle w:val="FootnoteReference"/>
          <w:rFonts w:ascii="Arial" w:hAnsi="Arial" w:cs="Arial"/>
          <w:sz w:val="24"/>
          <w:szCs w:val="24"/>
        </w:rPr>
        <w:footnoteReference w:id="225"/>
      </w:r>
      <w:r>
        <w:rPr>
          <w:rFonts w:ascii="Arial" w:hAnsi="Arial" w:cs="Arial"/>
          <w:sz w:val="24"/>
          <w:szCs w:val="24"/>
        </w:rPr>
        <w:t xml:space="preserve">  Those institutions which have invested in the genetic research need to recoup their costs.</w:t>
      </w:r>
      <w:r>
        <w:rPr>
          <w:rStyle w:val="FootnoteReference"/>
          <w:rFonts w:ascii="Arial" w:hAnsi="Arial" w:cs="Arial"/>
          <w:sz w:val="24"/>
          <w:szCs w:val="24"/>
        </w:rPr>
        <w:footnoteReference w:id="226"/>
      </w:r>
      <w:r w:rsidR="006F4956">
        <w:rPr>
          <w:rFonts w:ascii="Arial" w:hAnsi="Arial" w:cs="Arial"/>
          <w:sz w:val="24"/>
          <w:szCs w:val="24"/>
        </w:rPr>
        <w:t xml:space="preserve">  Patent O</w:t>
      </w:r>
      <w:r>
        <w:rPr>
          <w:rFonts w:ascii="Arial" w:hAnsi="Arial" w:cs="Arial"/>
          <w:sz w:val="24"/>
          <w:szCs w:val="24"/>
        </w:rPr>
        <w:t xml:space="preserve">ffice </w:t>
      </w:r>
      <w:r w:rsidR="005D6C61">
        <w:rPr>
          <w:rFonts w:ascii="Arial" w:hAnsi="Arial" w:cs="Arial"/>
          <w:sz w:val="24"/>
          <w:szCs w:val="24"/>
        </w:rPr>
        <w:t xml:space="preserve">procedures </w:t>
      </w:r>
      <w:r>
        <w:rPr>
          <w:rFonts w:ascii="Arial" w:hAnsi="Arial" w:cs="Arial"/>
          <w:sz w:val="24"/>
          <w:szCs w:val="24"/>
        </w:rPr>
        <w:t>provide a means for the companies to recover their investment.</w:t>
      </w:r>
      <w:r>
        <w:rPr>
          <w:rStyle w:val="FootnoteReference"/>
          <w:rFonts w:ascii="Arial" w:hAnsi="Arial" w:cs="Arial"/>
          <w:sz w:val="24"/>
          <w:szCs w:val="24"/>
        </w:rPr>
        <w:footnoteReference w:id="227"/>
      </w:r>
      <w:r>
        <w:rPr>
          <w:rFonts w:ascii="Arial" w:hAnsi="Arial" w:cs="Arial"/>
          <w:sz w:val="24"/>
          <w:szCs w:val="24"/>
        </w:rPr>
        <w:t xml:space="preserve">  Recouping their investment means that </w:t>
      </w:r>
      <w:r w:rsidR="005D6C61">
        <w:rPr>
          <w:rFonts w:ascii="Arial" w:hAnsi="Arial" w:cs="Arial"/>
          <w:sz w:val="24"/>
          <w:szCs w:val="24"/>
        </w:rPr>
        <w:t>a company’s</w:t>
      </w:r>
      <w:r>
        <w:rPr>
          <w:rFonts w:ascii="Arial" w:hAnsi="Arial" w:cs="Arial"/>
          <w:sz w:val="24"/>
          <w:szCs w:val="24"/>
        </w:rPr>
        <w:t xml:space="preserve"> cost</w:t>
      </w:r>
      <w:r w:rsidR="005D6C61">
        <w:rPr>
          <w:rFonts w:ascii="Arial" w:hAnsi="Arial" w:cs="Arial"/>
          <w:sz w:val="24"/>
          <w:szCs w:val="24"/>
        </w:rPr>
        <w:t>s</w:t>
      </w:r>
      <w:r>
        <w:rPr>
          <w:rFonts w:ascii="Arial" w:hAnsi="Arial" w:cs="Arial"/>
          <w:sz w:val="24"/>
          <w:szCs w:val="24"/>
        </w:rPr>
        <w:t xml:space="preserve"> </w:t>
      </w:r>
      <w:r w:rsidR="005D6C61">
        <w:rPr>
          <w:rFonts w:ascii="Arial" w:hAnsi="Arial" w:cs="Arial"/>
          <w:sz w:val="24"/>
          <w:szCs w:val="24"/>
        </w:rPr>
        <w:t xml:space="preserve">are </w:t>
      </w:r>
      <w:r w:rsidR="006F4956">
        <w:rPr>
          <w:rFonts w:ascii="Arial" w:hAnsi="Arial" w:cs="Arial"/>
          <w:sz w:val="24"/>
          <w:szCs w:val="24"/>
        </w:rPr>
        <w:t xml:space="preserve">passed on </w:t>
      </w:r>
      <w:r>
        <w:rPr>
          <w:rFonts w:ascii="Arial" w:hAnsi="Arial" w:cs="Arial"/>
          <w:sz w:val="24"/>
          <w:szCs w:val="24"/>
        </w:rPr>
        <w:t>to the consumer</w:t>
      </w:r>
      <w:r>
        <w:rPr>
          <w:rStyle w:val="FootnoteReference"/>
          <w:rFonts w:ascii="Arial" w:hAnsi="Arial" w:cs="Arial"/>
          <w:sz w:val="24"/>
          <w:szCs w:val="24"/>
        </w:rPr>
        <w:footnoteReference w:id="228"/>
      </w:r>
      <w:r>
        <w:rPr>
          <w:rFonts w:ascii="Arial" w:hAnsi="Arial" w:cs="Arial"/>
          <w:sz w:val="24"/>
          <w:szCs w:val="24"/>
        </w:rPr>
        <w:t xml:space="preserve">.  </w:t>
      </w:r>
    </w:p>
    <w:p w14:paraId="5AE38E6F" w14:textId="77777777" w:rsidR="00652D05" w:rsidRDefault="00735F29">
      <w:pPr>
        <w:widowControl w:val="0"/>
        <w:spacing w:line="480" w:lineRule="atLeast"/>
        <w:rPr>
          <w:rFonts w:ascii="Arial" w:hAnsi="Arial" w:cs="Arial"/>
          <w:sz w:val="24"/>
          <w:szCs w:val="24"/>
        </w:rPr>
      </w:pPr>
      <w:r>
        <w:rPr>
          <w:rFonts w:ascii="Arial" w:hAnsi="Arial" w:cs="Arial"/>
          <w:sz w:val="24"/>
          <w:szCs w:val="24"/>
        </w:rPr>
        <w:lastRenderedPageBreak/>
        <w:tab/>
      </w:r>
      <w:r w:rsidR="006F4956">
        <w:rPr>
          <w:rFonts w:ascii="Arial" w:hAnsi="Arial" w:cs="Arial"/>
          <w:sz w:val="24"/>
          <w:szCs w:val="24"/>
        </w:rPr>
        <w:t>The cost to the consumer/</w:t>
      </w:r>
      <w:r>
        <w:rPr>
          <w:rFonts w:ascii="Arial" w:hAnsi="Arial" w:cs="Arial"/>
          <w:sz w:val="24"/>
          <w:szCs w:val="24"/>
        </w:rPr>
        <w:t xml:space="preserve">patient who requires </w:t>
      </w:r>
      <w:r w:rsidR="006F4956">
        <w:rPr>
          <w:rFonts w:ascii="Arial" w:hAnsi="Arial" w:cs="Arial"/>
          <w:sz w:val="24"/>
          <w:szCs w:val="24"/>
        </w:rPr>
        <w:t xml:space="preserve">such testing or screening </w:t>
      </w:r>
      <w:r w:rsidR="00652D05">
        <w:rPr>
          <w:rFonts w:ascii="Arial" w:hAnsi="Arial" w:cs="Arial"/>
          <w:sz w:val="24"/>
          <w:szCs w:val="24"/>
        </w:rPr>
        <w:t>is</w:t>
      </w:r>
      <w:r>
        <w:rPr>
          <w:rFonts w:ascii="Arial" w:hAnsi="Arial" w:cs="Arial"/>
          <w:sz w:val="24"/>
          <w:szCs w:val="24"/>
        </w:rPr>
        <w:t xml:space="preserve"> very substantial and w</w:t>
      </w:r>
      <w:r w:rsidR="00F77516">
        <w:rPr>
          <w:rFonts w:ascii="Arial" w:hAnsi="Arial" w:cs="Arial"/>
          <w:sz w:val="24"/>
          <w:szCs w:val="24"/>
        </w:rPr>
        <w:t>ell</w:t>
      </w:r>
      <w:r>
        <w:rPr>
          <w:rFonts w:ascii="Arial" w:hAnsi="Arial" w:cs="Arial"/>
          <w:sz w:val="24"/>
          <w:szCs w:val="24"/>
        </w:rPr>
        <w:t xml:space="preserve"> </w:t>
      </w:r>
      <w:r w:rsidR="00F77516">
        <w:rPr>
          <w:rFonts w:ascii="Arial" w:hAnsi="Arial" w:cs="Arial"/>
          <w:sz w:val="24"/>
          <w:szCs w:val="24"/>
        </w:rPr>
        <w:t xml:space="preserve">beyond the </w:t>
      </w:r>
      <w:r>
        <w:rPr>
          <w:rFonts w:ascii="Arial" w:hAnsi="Arial" w:cs="Arial"/>
          <w:sz w:val="24"/>
          <w:szCs w:val="24"/>
        </w:rPr>
        <w:t xml:space="preserve">means of most people.  </w:t>
      </w:r>
      <w:r w:rsidR="00FD06F2">
        <w:rPr>
          <w:rFonts w:ascii="Arial" w:hAnsi="Arial" w:cs="Arial"/>
          <w:sz w:val="24"/>
          <w:szCs w:val="24"/>
        </w:rPr>
        <w:t>C</w:t>
      </w:r>
      <w:r>
        <w:rPr>
          <w:rFonts w:ascii="Arial" w:hAnsi="Arial" w:cs="Arial"/>
          <w:sz w:val="24"/>
          <w:szCs w:val="24"/>
        </w:rPr>
        <w:t xml:space="preserve">urrent breakthroughs in genetic research </w:t>
      </w:r>
      <w:r w:rsidR="00FD06F2">
        <w:rPr>
          <w:rFonts w:ascii="Arial" w:hAnsi="Arial" w:cs="Arial"/>
          <w:sz w:val="24"/>
          <w:szCs w:val="24"/>
        </w:rPr>
        <w:t xml:space="preserve">will </w:t>
      </w:r>
      <w:r>
        <w:rPr>
          <w:rFonts w:ascii="Arial" w:hAnsi="Arial" w:cs="Arial"/>
          <w:sz w:val="24"/>
          <w:szCs w:val="24"/>
        </w:rPr>
        <w:t xml:space="preserve">soon </w:t>
      </w:r>
      <w:r w:rsidR="00FD06F2">
        <w:rPr>
          <w:rFonts w:ascii="Arial" w:hAnsi="Arial" w:cs="Arial"/>
          <w:sz w:val="24"/>
          <w:szCs w:val="24"/>
        </w:rPr>
        <w:t>add</w:t>
      </w:r>
      <w:r>
        <w:rPr>
          <w:rFonts w:ascii="Arial" w:hAnsi="Arial" w:cs="Arial"/>
          <w:sz w:val="24"/>
          <w:szCs w:val="24"/>
        </w:rPr>
        <w:t xml:space="preserve"> </w:t>
      </w:r>
      <w:r w:rsidR="00652D05">
        <w:rPr>
          <w:rFonts w:ascii="Arial" w:hAnsi="Arial" w:cs="Arial"/>
          <w:sz w:val="24"/>
          <w:szCs w:val="24"/>
        </w:rPr>
        <w:t xml:space="preserve">even more </w:t>
      </w:r>
      <w:r w:rsidR="00807D62">
        <w:rPr>
          <w:rFonts w:ascii="Arial" w:hAnsi="Arial" w:cs="Arial"/>
          <w:sz w:val="24"/>
          <w:szCs w:val="24"/>
        </w:rPr>
        <w:t xml:space="preserve">expensive </w:t>
      </w:r>
      <w:r w:rsidRPr="00807D62">
        <w:rPr>
          <w:rFonts w:ascii="Arial" w:hAnsi="Arial" w:cs="Arial"/>
          <w:color w:val="000000" w:themeColor="text1"/>
          <w:sz w:val="24"/>
          <w:szCs w:val="24"/>
        </w:rPr>
        <w:t>test</w:t>
      </w:r>
      <w:r w:rsidR="00FD06F2" w:rsidRPr="00807D62">
        <w:rPr>
          <w:rFonts w:ascii="Arial" w:hAnsi="Arial" w:cs="Arial"/>
          <w:color w:val="000000" w:themeColor="text1"/>
          <w:sz w:val="24"/>
          <w:szCs w:val="24"/>
        </w:rPr>
        <w:t>s</w:t>
      </w:r>
      <w:r w:rsidRPr="00807D62">
        <w:rPr>
          <w:rFonts w:ascii="Arial" w:hAnsi="Arial" w:cs="Arial"/>
          <w:color w:val="000000" w:themeColor="text1"/>
          <w:sz w:val="24"/>
          <w:szCs w:val="24"/>
        </w:rPr>
        <w:t xml:space="preserve"> for hundreds of genetic diseases </w:t>
      </w:r>
      <w:r w:rsidR="00257474" w:rsidRPr="00807D62">
        <w:rPr>
          <w:rFonts w:ascii="Arial" w:hAnsi="Arial" w:cs="Arial"/>
          <w:color w:val="000000" w:themeColor="text1"/>
          <w:sz w:val="24"/>
          <w:szCs w:val="24"/>
        </w:rPr>
        <w:t>and</w:t>
      </w:r>
      <w:r w:rsidRPr="00807D62">
        <w:rPr>
          <w:rFonts w:ascii="Arial" w:hAnsi="Arial" w:cs="Arial"/>
          <w:color w:val="000000" w:themeColor="text1"/>
          <w:sz w:val="24"/>
          <w:szCs w:val="24"/>
        </w:rPr>
        <w:t xml:space="preserve"> disorders</w:t>
      </w:r>
      <w:r w:rsidR="00807D62" w:rsidRPr="00807D62">
        <w:rPr>
          <w:rFonts w:ascii="Arial" w:hAnsi="Arial" w:cs="Arial"/>
          <w:color w:val="000000" w:themeColor="text1"/>
          <w:sz w:val="24"/>
          <w:szCs w:val="24"/>
        </w:rPr>
        <w:t xml:space="preserve">, </w:t>
      </w:r>
      <w:r w:rsidR="00FD06F2" w:rsidRPr="00807D62">
        <w:rPr>
          <w:rFonts w:ascii="Arial" w:hAnsi="Arial" w:cs="Arial"/>
          <w:color w:val="000000" w:themeColor="text1"/>
          <w:sz w:val="24"/>
          <w:szCs w:val="24"/>
        </w:rPr>
        <w:t>exponentially increas</w:t>
      </w:r>
      <w:r w:rsidR="00807D62" w:rsidRPr="00807D62">
        <w:rPr>
          <w:rFonts w:ascii="Arial" w:hAnsi="Arial" w:cs="Arial"/>
          <w:color w:val="000000" w:themeColor="text1"/>
          <w:sz w:val="24"/>
          <w:szCs w:val="24"/>
        </w:rPr>
        <w:t>ing</w:t>
      </w:r>
      <w:r w:rsidR="00FD06F2" w:rsidRPr="00807D62">
        <w:rPr>
          <w:rFonts w:ascii="Arial" w:hAnsi="Arial" w:cs="Arial"/>
          <w:color w:val="000000" w:themeColor="text1"/>
          <w:sz w:val="24"/>
          <w:szCs w:val="24"/>
        </w:rPr>
        <w:t xml:space="preserve"> </w:t>
      </w:r>
      <w:r w:rsidR="002E6705">
        <w:rPr>
          <w:rFonts w:ascii="Arial" w:hAnsi="Arial" w:cs="Arial"/>
          <w:color w:val="000000" w:themeColor="text1"/>
          <w:sz w:val="24"/>
          <w:szCs w:val="24"/>
        </w:rPr>
        <w:t xml:space="preserve">total </w:t>
      </w:r>
      <w:r w:rsidR="00FD06F2" w:rsidRPr="00807D62">
        <w:rPr>
          <w:rFonts w:ascii="Arial" w:hAnsi="Arial" w:cs="Arial"/>
          <w:color w:val="000000" w:themeColor="text1"/>
          <w:sz w:val="24"/>
          <w:szCs w:val="24"/>
        </w:rPr>
        <w:t>consumer</w:t>
      </w:r>
      <w:r w:rsidR="00BC7805" w:rsidRPr="00807D62">
        <w:rPr>
          <w:rFonts w:ascii="Arial" w:hAnsi="Arial" w:cs="Arial"/>
          <w:color w:val="000000" w:themeColor="text1"/>
          <w:sz w:val="24"/>
          <w:szCs w:val="24"/>
        </w:rPr>
        <w:t xml:space="preserve"> </w:t>
      </w:r>
      <w:r w:rsidRPr="00807D62">
        <w:rPr>
          <w:rFonts w:ascii="Arial" w:hAnsi="Arial" w:cs="Arial"/>
          <w:color w:val="000000" w:themeColor="text1"/>
          <w:sz w:val="24"/>
          <w:szCs w:val="24"/>
        </w:rPr>
        <w:t>cost</w:t>
      </w:r>
      <w:r w:rsidR="00FD06F2" w:rsidRPr="00807D62">
        <w:rPr>
          <w:rFonts w:ascii="Arial" w:hAnsi="Arial" w:cs="Arial"/>
          <w:color w:val="000000" w:themeColor="text1"/>
          <w:sz w:val="24"/>
          <w:szCs w:val="24"/>
        </w:rPr>
        <w:t>s</w:t>
      </w:r>
      <w:r>
        <w:rPr>
          <w:rFonts w:ascii="Arial" w:hAnsi="Arial" w:cs="Arial"/>
          <w:sz w:val="24"/>
          <w:szCs w:val="24"/>
        </w:rPr>
        <w:t>.  A substantial portion of this money w</w:t>
      </w:r>
      <w:r w:rsidR="006879B1">
        <w:rPr>
          <w:rFonts w:ascii="Arial" w:hAnsi="Arial" w:cs="Arial"/>
          <w:sz w:val="24"/>
          <w:szCs w:val="24"/>
        </w:rPr>
        <w:t>ill</w:t>
      </w:r>
      <w:r>
        <w:rPr>
          <w:rFonts w:ascii="Arial" w:hAnsi="Arial" w:cs="Arial"/>
          <w:sz w:val="24"/>
          <w:szCs w:val="24"/>
        </w:rPr>
        <w:t xml:space="preserve"> be </w:t>
      </w:r>
      <w:r w:rsidR="006879B1">
        <w:rPr>
          <w:rFonts w:ascii="Arial" w:hAnsi="Arial" w:cs="Arial"/>
          <w:sz w:val="24"/>
          <w:szCs w:val="24"/>
        </w:rPr>
        <w:t xml:space="preserve">for </w:t>
      </w:r>
      <w:r>
        <w:rPr>
          <w:rFonts w:ascii="Arial" w:hAnsi="Arial" w:cs="Arial"/>
          <w:sz w:val="24"/>
          <w:szCs w:val="24"/>
        </w:rPr>
        <w:t xml:space="preserve">the payment of </w:t>
      </w:r>
      <w:r w:rsidR="006879B1">
        <w:rPr>
          <w:rFonts w:ascii="Arial" w:hAnsi="Arial" w:cs="Arial"/>
          <w:sz w:val="24"/>
          <w:szCs w:val="24"/>
        </w:rPr>
        <w:t xml:space="preserve">patent </w:t>
      </w:r>
      <w:r>
        <w:rPr>
          <w:rFonts w:ascii="Arial" w:hAnsi="Arial" w:cs="Arial"/>
          <w:sz w:val="24"/>
          <w:szCs w:val="24"/>
        </w:rPr>
        <w:t xml:space="preserve">royalties.   </w:t>
      </w:r>
    </w:p>
    <w:p w14:paraId="66DC1010" w14:textId="77777777" w:rsidR="00735F29" w:rsidRDefault="00735F29" w:rsidP="00652D05">
      <w:pPr>
        <w:widowControl w:val="0"/>
        <w:spacing w:line="480" w:lineRule="atLeast"/>
        <w:ind w:firstLine="720"/>
        <w:rPr>
          <w:rFonts w:ascii="Arial" w:hAnsi="Arial" w:cs="Arial"/>
          <w:sz w:val="24"/>
          <w:szCs w:val="24"/>
        </w:rPr>
      </w:pPr>
      <w:r>
        <w:rPr>
          <w:rFonts w:ascii="Arial" w:hAnsi="Arial" w:cs="Arial"/>
          <w:sz w:val="24"/>
          <w:szCs w:val="24"/>
        </w:rPr>
        <w:t>Barbara Weber, a specialist in genetics, resigned as a Myriad consultant because she “…felt that their interest in making money had completely subsumed their willingness to be reasonable and collegial.”</w:t>
      </w:r>
      <w:r>
        <w:rPr>
          <w:rStyle w:val="FootnoteReference"/>
          <w:rFonts w:ascii="Arial" w:hAnsi="Arial" w:cs="Arial"/>
          <w:sz w:val="24"/>
          <w:szCs w:val="24"/>
        </w:rPr>
        <w:footnoteReference w:id="229"/>
      </w:r>
      <w:r w:rsidR="008E0593">
        <w:rPr>
          <w:rFonts w:ascii="Arial" w:hAnsi="Arial" w:cs="Arial"/>
          <w:sz w:val="24"/>
          <w:szCs w:val="24"/>
        </w:rPr>
        <w:t xml:space="preserve">  Lori Andrews</w:t>
      </w:r>
      <w:r w:rsidR="00BC7805">
        <w:rPr>
          <w:rFonts w:ascii="Arial" w:hAnsi="Arial" w:cs="Arial"/>
          <w:sz w:val="24"/>
          <w:szCs w:val="24"/>
        </w:rPr>
        <w:t xml:space="preserve"> p</w:t>
      </w:r>
      <w:r w:rsidR="006879B1">
        <w:rPr>
          <w:rFonts w:ascii="Arial" w:hAnsi="Arial" w:cs="Arial"/>
          <w:sz w:val="24"/>
          <w:szCs w:val="24"/>
        </w:rPr>
        <w:t>redicted</w:t>
      </w:r>
      <w:r>
        <w:rPr>
          <w:rFonts w:ascii="Arial" w:hAnsi="Arial" w:cs="Arial"/>
          <w:sz w:val="24"/>
          <w:szCs w:val="24"/>
        </w:rPr>
        <w:t xml:space="preserve"> a </w:t>
      </w:r>
      <w:r w:rsidR="00F514DA">
        <w:rPr>
          <w:rFonts w:ascii="Arial" w:hAnsi="Arial" w:cs="Arial"/>
          <w:sz w:val="24"/>
          <w:szCs w:val="24"/>
        </w:rPr>
        <w:t xml:space="preserve">financial </w:t>
      </w:r>
      <w:r>
        <w:rPr>
          <w:rFonts w:ascii="Arial" w:hAnsi="Arial" w:cs="Arial"/>
          <w:sz w:val="24"/>
          <w:szCs w:val="24"/>
        </w:rPr>
        <w:t xml:space="preserve">crisis in health care because much of </w:t>
      </w:r>
      <w:r w:rsidR="006879B1">
        <w:rPr>
          <w:rFonts w:ascii="Arial" w:hAnsi="Arial" w:cs="Arial"/>
          <w:sz w:val="24"/>
          <w:szCs w:val="24"/>
        </w:rPr>
        <w:t xml:space="preserve">future </w:t>
      </w:r>
      <w:r>
        <w:rPr>
          <w:rFonts w:ascii="Arial" w:hAnsi="Arial" w:cs="Arial"/>
          <w:sz w:val="24"/>
          <w:szCs w:val="24"/>
        </w:rPr>
        <w:t xml:space="preserve">medicine will depend upon </w:t>
      </w:r>
      <w:r w:rsidR="00584BEE">
        <w:rPr>
          <w:rFonts w:ascii="Arial" w:hAnsi="Arial" w:cs="Arial"/>
          <w:sz w:val="24"/>
          <w:szCs w:val="24"/>
        </w:rPr>
        <w:t xml:space="preserve">overly </w:t>
      </w:r>
      <w:r w:rsidR="006879B1">
        <w:rPr>
          <w:rFonts w:ascii="Arial" w:hAnsi="Arial" w:cs="Arial"/>
          <w:sz w:val="24"/>
          <w:szCs w:val="24"/>
        </w:rPr>
        <w:t>expensive and unavailable</w:t>
      </w:r>
      <w:r w:rsidR="00257474">
        <w:rPr>
          <w:rFonts w:ascii="Arial" w:hAnsi="Arial" w:cs="Arial"/>
          <w:sz w:val="24"/>
          <w:szCs w:val="24"/>
        </w:rPr>
        <w:t xml:space="preserve"> </w:t>
      </w:r>
      <w:r w:rsidR="00584BEE">
        <w:rPr>
          <w:rFonts w:ascii="Arial" w:hAnsi="Arial" w:cs="Arial"/>
          <w:sz w:val="24"/>
          <w:szCs w:val="24"/>
        </w:rPr>
        <w:t xml:space="preserve">patented </w:t>
      </w:r>
      <w:r>
        <w:rPr>
          <w:rFonts w:ascii="Arial" w:hAnsi="Arial" w:cs="Arial"/>
          <w:sz w:val="24"/>
          <w:szCs w:val="24"/>
        </w:rPr>
        <w:t>products of genetic research.</w:t>
      </w:r>
      <w:r>
        <w:rPr>
          <w:rStyle w:val="FootnoteReference"/>
          <w:rFonts w:ascii="Arial" w:hAnsi="Arial" w:cs="Arial"/>
          <w:sz w:val="24"/>
          <w:szCs w:val="24"/>
        </w:rPr>
        <w:footnoteReference w:id="230"/>
      </w:r>
      <w:r w:rsidR="00F514DA">
        <w:rPr>
          <w:rFonts w:ascii="Arial" w:hAnsi="Arial" w:cs="Arial"/>
          <w:sz w:val="24"/>
          <w:szCs w:val="24"/>
        </w:rPr>
        <w:t xml:space="preserve">  When Ms. Andrews was asked what would happen if someone </w:t>
      </w:r>
      <w:r w:rsidR="006879B1">
        <w:rPr>
          <w:rFonts w:ascii="Arial" w:hAnsi="Arial" w:cs="Arial"/>
          <w:sz w:val="24"/>
          <w:szCs w:val="24"/>
        </w:rPr>
        <w:t>confront</w:t>
      </w:r>
      <w:r>
        <w:rPr>
          <w:rFonts w:ascii="Arial" w:hAnsi="Arial" w:cs="Arial"/>
          <w:sz w:val="24"/>
          <w:szCs w:val="24"/>
        </w:rPr>
        <w:t>ed the patent holders sa</w:t>
      </w:r>
      <w:r w:rsidR="006879B1">
        <w:rPr>
          <w:rFonts w:ascii="Arial" w:hAnsi="Arial" w:cs="Arial"/>
          <w:sz w:val="24"/>
          <w:szCs w:val="24"/>
        </w:rPr>
        <w:t>ying</w:t>
      </w:r>
      <w:r>
        <w:rPr>
          <w:rFonts w:ascii="Arial" w:hAnsi="Arial" w:cs="Arial"/>
          <w:sz w:val="24"/>
          <w:szCs w:val="24"/>
        </w:rPr>
        <w:t>, “This is wrong,” she said they would reply, “…but it’s legal.”</w:t>
      </w:r>
      <w:r>
        <w:rPr>
          <w:rStyle w:val="FootnoteReference"/>
          <w:rFonts w:ascii="Arial" w:hAnsi="Arial" w:cs="Arial"/>
          <w:sz w:val="24"/>
          <w:szCs w:val="24"/>
        </w:rPr>
        <w:footnoteReference w:id="231"/>
      </w:r>
    </w:p>
    <w:p w14:paraId="23612A8E"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r>
      <w:r w:rsidR="00584BEE">
        <w:rPr>
          <w:rFonts w:ascii="Arial" w:hAnsi="Arial" w:cs="Arial"/>
          <w:sz w:val="24"/>
          <w:szCs w:val="24"/>
        </w:rPr>
        <w:t>Thing</w:t>
      </w:r>
      <w:r>
        <w:rPr>
          <w:rFonts w:ascii="Arial" w:hAnsi="Arial" w:cs="Arial"/>
          <w:sz w:val="24"/>
          <w:szCs w:val="24"/>
        </w:rPr>
        <w:t xml:space="preserve">s even smaller than genes </w:t>
      </w:r>
      <w:r w:rsidR="002E6705">
        <w:rPr>
          <w:rFonts w:ascii="Arial" w:hAnsi="Arial" w:cs="Arial"/>
          <w:sz w:val="24"/>
          <w:szCs w:val="24"/>
        </w:rPr>
        <w:t>are now involv</w:t>
      </w:r>
      <w:r>
        <w:rPr>
          <w:rFonts w:ascii="Arial" w:hAnsi="Arial" w:cs="Arial"/>
          <w:sz w:val="24"/>
          <w:szCs w:val="24"/>
        </w:rPr>
        <w:t xml:space="preserve">ed in the controversy.  Tiny gene fragments called expressed sequence tags (ESTs) are also subject to the question of whether they are patentable, and, if </w:t>
      </w:r>
      <w:r w:rsidR="00584BEE">
        <w:rPr>
          <w:rFonts w:ascii="Arial" w:hAnsi="Arial" w:cs="Arial"/>
          <w:sz w:val="24"/>
          <w:szCs w:val="24"/>
        </w:rPr>
        <w:t>so</w:t>
      </w:r>
      <w:r>
        <w:rPr>
          <w:rFonts w:ascii="Arial" w:hAnsi="Arial" w:cs="Arial"/>
          <w:sz w:val="24"/>
          <w:szCs w:val="24"/>
        </w:rPr>
        <w:t xml:space="preserve">, what intellectual property rights accrue to </w:t>
      </w:r>
      <w:r w:rsidR="00584BEE">
        <w:rPr>
          <w:rFonts w:ascii="Arial" w:hAnsi="Arial" w:cs="Arial"/>
          <w:sz w:val="24"/>
          <w:szCs w:val="24"/>
        </w:rPr>
        <w:t>the patent holder</w:t>
      </w:r>
      <w:r>
        <w:rPr>
          <w:rFonts w:ascii="Arial" w:hAnsi="Arial" w:cs="Arial"/>
          <w:sz w:val="24"/>
          <w:szCs w:val="24"/>
        </w:rPr>
        <w:t>.</w:t>
      </w:r>
      <w:r>
        <w:rPr>
          <w:rStyle w:val="FootnoteReference"/>
          <w:rFonts w:ascii="Arial" w:hAnsi="Arial" w:cs="Arial"/>
          <w:sz w:val="24"/>
          <w:szCs w:val="24"/>
        </w:rPr>
        <w:footnoteReference w:id="232"/>
      </w:r>
      <w:r>
        <w:rPr>
          <w:rFonts w:ascii="Arial" w:hAnsi="Arial" w:cs="Arial"/>
          <w:sz w:val="24"/>
          <w:szCs w:val="24"/>
        </w:rPr>
        <w:t xml:space="preserve">  The controvers</w:t>
      </w:r>
      <w:r w:rsidR="00F514DA">
        <w:rPr>
          <w:rFonts w:ascii="Arial" w:hAnsi="Arial" w:cs="Arial"/>
          <w:sz w:val="24"/>
          <w:szCs w:val="24"/>
        </w:rPr>
        <w:t>y began</w:t>
      </w:r>
      <w:r>
        <w:rPr>
          <w:rFonts w:ascii="Arial" w:hAnsi="Arial" w:cs="Arial"/>
          <w:sz w:val="24"/>
          <w:szCs w:val="24"/>
        </w:rPr>
        <w:t xml:space="preserve"> when the National Institutes of Health (NIH) applied for patents on some ESTs.  After a number of scientists protested, NIH withdrew the patents.</w:t>
      </w:r>
      <w:r>
        <w:rPr>
          <w:rStyle w:val="FootnoteReference"/>
          <w:rFonts w:ascii="Arial" w:hAnsi="Arial" w:cs="Arial"/>
          <w:sz w:val="24"/>
          <w:szCs w:val="24"/>
        </w:rPr>
        <w:footnoteReference w:id="233"/>
      </w:r>
      <w:r w:rsidR="00F514DA">
        <w:rPr>
          <w:rFonts w:ascii="Arial" w:hAnsi="Arial" w:cs="Arial"/>
          <w:sz w:val="24"/>
          <w:szCs w:val="24"/>
        </w:rPr>
        <w:t xml:space="preserve">  The question, however, is far from settled.</w:t>
      </w:r>
      <w:r>
        <w:rPr>
          <w:rFonts w:ascii="Arial" w:hAnsi="Arial" w:cs="Arial"/>
          <w:sz w:val="24"/>
          <w:szCs w:val="24"/>
        </w:rPr>
        <w:t xml:space="preserve">  </w:t>
      </w:r>
    </w:p>
    <w:p w14:paraId="61AA3CE9" w14:textId="77777777" w:rsidR="00735F29" w:rsidRDefault="00F514DA">
      <w:pPr>
        <w:widowControl w:val="0"/>
        <w:spacing w:line="480" w:lineRule="atLeast"/>
        <w:ind w:firstLine="720"/>
        <w:rPr>
          <w:rFonts w:ascii="Arial" w:hAnsi="Arial" w:cs="Arial"/>
          <w:sz w:val="24"/>
          <w:szCs w:val="24"/>
        </w:rPr>
      </w:pPr>
      <w:r>
        <w:rPr>
          <w:rFonts w:ascii="Arial" w:hAnsi="Arial" w:cs="Arial"/>
          <w:sz w:val="24"/>
          <w:szCs w:val="24"/>
        </w:rPr>
        <w:t>Like scientists, l</w:t>
      </w:r>
      <w:r w:rsidR="00735F29">
        <w:rPr>
          <w:rFonts w:ascii="Arial" w:hAnsi="Arial" w:cs="Arial"/>
          <w:sz w:val="24"/>
          <w:szCs w:val="24"/>
        </w:rPr>
        <w:t>egal scholars are also divided on this issue.  Ric</w:t>
      </w:r>
      <w:r>
        <w:rPr>
          <w:rFonts w:ascii="Arial" w:hAnsi="Arial" w:cs="Arial"/>
          <w:sz w:val="24"/>
          <w:szCs w:val="24"/>
        </w:rPr>
        <w:t>hard Epstein,</w:t>
      </w:r>
      <w:r w:rsidR="00735F29">
        <w:rPr>
          <w:rFonts w:ascii="Arial" w:hAnsi="Arial" w:cs="Arial"/>
          <w:sz w:val="24"/>
          <w:szCs w:val="24"/>
        </w:rPr>
        <w:t xml:space="preserve"> a legal expert who is a strong supporter of the market, has opposed patenting ESTs.  On the other hand, Rebecca Eisenberg, an intellectual property and biotechnology scholar</w:t>
      </w:r>
      <w:r w:rsidR="00257474">
        <w:rPr>
          <w:rFonts w:ascii="Arial" w:hAnsi="Arial" w:cs="Arial"/>
          <w:sz w:val="24"/>
          <w:szCs w:val="24"/>
        </w:rPr>
        <w:t>,</w:t>
      </w:r>
      <w:r w:rsidR="00735F29">
        <w:rPr>
          <w:rFonts w:ascii="Arial" w:hAnsi="Arial" w:cs="Arial"/>
          <w:sz w:val="24"/>
          <w:szCs w:val="24"/>
        </w:rPr>
        <w:t xml:space="preserve"> </w:t>
      </w:r>
      <w:r w:rsidR="002E6705">
        <w:rPr>
          <w:rFonts w:ascii="Arial" w:hAnsi="Arial" w:cs="Arial"/>
          <w:sz w:val="24"/>
          <w:szCs w:val="24"/>
        </w:rPr>
        <w:t>expressed</w:t>
      </w:r>
      <w:r>
        <w:rPr>
          <w:rFonts w:ascii="Arial" w:hAnsi="Arial" w:cs="Arial"/>
          <w:sz w:val="24"/>
          <w:szCs w:val="24"/>
        </w:rPr>
        <w:t xml:space="preserve"> sympath</w:t>
      </w:r>
      <w:r w:rsidR="002E6705">
        <w:rPr>
          <w:rFonts w:ascii="Arial" w:hAnsi="Arial" w:cs="Arial"/>
          <w:sz w:val="24"/>
          <w:szCs w:val="24"/>
        </w:rPr>
        <w:t>y for</w:t>
      </w:r>
      <w:r>
        <w:rPr>
          <w:rFonts w:ascii="Arial" w:hAnsi="Arial" w:cs="Arial"/>
          <w:sz w:val="24"/>
          <w:szCs w:val="24"/>
        </w:rPr>
        <w:t xml:space="preserve"> EST patents in an</w:t>
      </w:r>
      <w:r w:rsidR="00735F29">
        <w:rPr>
          <w:rFonts w:ascii="Arial" w:hAnsi="Arial" w:cs="Arial"/>
          <w:sz w:val="24"/>
          <w:szCs w:val="24"/>
        </w:rPr>
        <w:t xml:space="preserve"> article</w:t>
      </w:r>
      <w:r w:rsidR="00412473">
        <w:rPr>
          <w:rFonts w:ascii="Arial" w:hAnsi="Arial" w:cs="Arial"/>
          <w:sz w:val="24"/>
          <w:szCs w:val="24"/>
        </w:rPr>
        <w:t xml:space="preserve"> published in 1996</w:t>
      </w:r>
      <w:r w:rsidR="00735F29">
        <w:rPr>
          <w:rFonts w:ascii="Arial" w:hAnsi="Arial" w:cs="Arial"/>
          <w:sz w:val="24"/>
          <w:szCs w:val="24"/>
        </w:rPr>
        <w:t>.</w:t>
      </w:r>
      <w:r w:rsidR="00735F29">
        <w:rPr>
          <w:rStyle w:val="FootnoteReference"/>
          <w:rFonts w:ascii="Arial" w:hAnsi="Arial" w:cs="Arial"/>
          <w:sz w:val="24"/>
          <w:szCs w:val="24"/>
        </w:rPr>
        <w:footnoteReference w:id="234"/>
      </w:r>
      <w:r w:rsidR="00412473">
        <w:rPr>
          <w:rFonts w:ascii="Arial" w:hAnsi="Arial" w:cs="Arial"/>
          <w:sz w:val="24"/>
          <w:szCs w:val="24"/>
        </w:rPr>
        <w:t xml:space="preserve">  One solution</w:t>
      </w:r>
      <w:r w:rsidR="002E6705">
        <w:rPr>
          <w:rFonts w:ascii="Arial" w:hAnsi="Arial" w:cs="Arial"/>
          <w:sz w:val="24"/>
          <w:szCs w:val="24"/>
        </w:rPr>
        <w:t xml:space="preserve"> she</w:t>
      </w:r>
      <w:r w:rsidR="00412473">
        <w:rPr>
          <w:rFonts w:ascii="Arial" w:hAnsi="Arial" w:cs="Arial"/>
          <w:sz w:val="24"/>
          <w:szCs w:val="24"/>
        </w:rPr>
        <w:t xml:space="preserve"> </w:t>
      </w:r>
      <w:r w:rsidR="002E6705">
        <w:rPr>
          <w:rFonts w:ascii="Arial" w:hAnsi="Arial" w:cs="Arial"/>
          <w:sz w:val="24"/>
          <w:szCs w:val="24"/>
        </w:rPr>
        <w:t xml:space="preserve">suggested </w:t>
      </w:r>
      <w:r w:rsidR="00412473">
        <w:rPr>
          <w:rFonts w:ascii="Arial" w:hAnsi="Arial" w:cs="Arial"/>
          <w:sz w:val="24"/>
          <w:szCs w:val="24"/>
        </w:rPr>
        <w:t>has been</w:t>
      </w:r>
      <w:r w:rsidR="00735F29">
        <w:rPr>
          <w:rFonts w:ascii="Arial" w:hAnsi="Arial" w:cs="Arial"/>
          <w:sz w:val="24"/>
          <w:szCs w:val="24"/>
        </w:rPr>
        <w:t xml:space="preserve"> to institute a registration system for the first to file for </w:t>
      </w:r>
      <w:r w:rsidR="00735F29">
        <w:rPr>
          <w:rFonts w:ascii="Arial" w:hAnsi="Arial" w:cs="Arial"/>
          <w:sz w:val="24"/>
          <w:szCs w:val="24"/>
        </w:rPr>
        <w:lastRenderedPageBreak/>
        <w:t>protection on an EST.</w:t>
      </w:r>
      <w:r w:rsidR="00735F29">
        <w:rPr>
          <w:rStyle w:val="FootnoteReference"/>
          <w:rFonts w:ascii="Arial" w:hAnsi="Arial" w:cs="Arial"/>
          <w:sz w:val="24"/>
          <w:szCs w:val="24"/>
        </w:rPr>
        <w:footnoteReference w:id="235"/>
      </w:r>
      <w:r w:rsidR="00735F29">
        <w:rPr>
          <w:rFonts w:ascii="Arial" w:hAnsi="Arial" w:cs="Arial"/>
          <w:sz w:val="24"/>
          <w:szCs w:val="24"/>
        </w:rPr>
        <w:t xml:space="preserve">  </w:t>
      </w:r>
    </w:p>
    <w:p w14:paraId="5AEFA0BE"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Another strategy which biotech firms have recently </w:t>
      </w:r>
      <w:r w:rsidR="00F105F5">
        <w:rPr>
          <w:rFonts w:ascii="Arial" w:hAnsi="Arial" w:cs="Arial"/>
          <w:sz w:val="24"/>
          <w:szCs w:val="24"/>
        </w:rPr>
        <w:t>employ</w:t>
      </w:r>
      <w:r>
        <w:rPr>
          <w:rFonts w:ascii="Arial" w:hAnsi="Arial" w:cs="Arial"/>
          <w:sz w:val="24"/>
          <w:szCs w:val="24"/>
        </w:rPr>
        <w:t>ed is to patent DNA sequences that are stored in a computer</w:t>
      </w:r>
      <w:r w:rsidR="00F105F5">
        <w:rPr>
          <w:rFonts w:ascii="Arial" w:hAnsi="Arial" w:cs="Arial"/>
          <w:sz w:val="24"/>
          <w:szCs w:val="24"/>
        </w:rPr>
        <w:t>-</w:t>
      </w:r>
      <w:r>
        <w:rPr>
          <w:rFonts w:ascii="Arial" w:hAnsi="Arial" w:cs="Arial"/>
          <w:sz w:val="24"/>
          <w:szCs w:val="24"/>
        </w:rPr>
        <w:t>readable form.  Since these types of patents have yet to be challenged in the courts,</w:t>
      </w:r>
      <w:r>
        <w:rPr>
          <w:rStyle w:val="FootnoteReference"/>
          <w:rFonts w:ascii="Arial" w:hAnsi="Arial" w:cs="Arial"/>
          <w:sz w:val="24"/>
          <w:szCs w:val="24"/>
        </w:rPr>
        <w:footnoteReference w:id="236"/>
      </w:r>
      <w:r>
        <w:rPr>
          <w:rFonts w:ascii="Arial" w:hAnsi="Arial" w:cs="Arial"/>
          <w:sz w:val="24"/>
          <w:szCs w:val="24"/>
        </w:rPr>
        <w:t xml:space="preserve"> the treatment of this type of patent application by the PTO may well determine how the future patent system will operate.  Human Genome Sciences (HGS) filed a patent application upon </w:t>
      </w:r>
      <w:proofErr w:type="spellStart"/>
      <w:r w:rsidR="00F105F5">
        <w:rPr>
          <w:rFonts w:ascii="Arial" w:hAnsi="Arial" w:cs="Arial"/>
          <w:sz w:val="24"/>
          <w:szCs w:val="24"/>
        </w:rPr>
        <w:t>h</w:t>
      </w:r>
      <w:r>
        <w:rPr>
          <w:rFonts w:ascii="Arial" w:hAnsi="Arial" w:cs="Arial"/>
          <w:sz w:val="24"/>
          <w:szCs w:val="24"/>
        </w:rPr>
        <w:t>aemophilus</w:t>
      </w:r>
      <w:proofErr w:type="spellEnd"/>
      <w:r>
        <w:rPr>
          <w:rFonts w:ascii="Arial" w:hAnsi="Arial" w:cs="Arial"/>
          <w:sz w:val="24"/>
          <w:szCs w:val="24"/>
        </w:rPr>
        <w:t xml:space="preserve"> </w:t>
      </w:r>
      <w:r w:rsidR="00F105F5">
        <w:rPr>
          <w:rFonts w:ascii="Arial" w:hAnsi="Arial" w:cs="Arial"/>
          <w:sz w:val="24"/>
          <w:szCs w:val="24"/>
        </w:rPr>
        <w:t>i</w:t>
      </w:r>
      <w:r>
        <w:rPr>
          <w:rFonts w:ascii="Arial" w:hAnsi="Arial" w:cs="Arial"/>
          <w:sz w:val="24"/>
          <w:szCs w:val="24"/>
        </w:rPr>
        <w:t>nfluenz</w:t>
      </w:r>
      <w:r w:rsidR="00F105F5">
        <w:rPr>
          <w:rFonts w:ascii="Arial" w:hAnsi="Arial" w:cs="Arial"/>
          <w:sz w:val="24"/>
          <w:szCs w:val="24"/>
        </w:rPr>
        <w:t>ae</w:t>
      </w:r>
      <w:r>
        <w:rPr>
          <w:rFonts w:ascii="Arial" w:hAnsi="Arial" w:cs="Arial"/>
          <w:sz w:val="24"/>
          <w:szCs w:val="24"/>
        </w:rPr>
        <w:t xml:space="preserve"> </w:t>
      </w:r>
      <w:proofErr w:type="spellStart"/>
      <w:r w:rsidR="00F105F5">
        <w:rPr>
          <w:rFonts w:ascii="Arial" w:hAnsi="Arial" w:cs="Arial"/>
          <w:sz w:val="24"/>
          <w:szCs w:val="24"/>
        </w:rPr>
        <w:t>r</w:t>
      </w:r>
      <w:r>
        <w:rPr>
          <w:rFonts w:ascii="Arial" w:hAnsi="Arial" w:cs="Arial"/>
          <w:sz w:val="24"/>
          <w:szCs w:val="24"/>
        </w:rPr>
        <w:t>d</w:t>
      </w:r>
      <w:proofErr w:type="spellEnd"/>
      <w:r>
        <w:rPr>
          <w:rFonts w:ascii="Arial" w:hAnsi="Arial" w:cs="Arial"/>
          <w:sz w:val="24"/>
          <w:szCs w:val="24"/>
        </w:rPr>
        <w:t xml:space="preserve"> genome sequence.</w:t>
      </w:r>
      <w:r>
        <w:rPr>
          <w:rStyle w:val="FootnoteReference"/>
          <w:rFonts w:ascii="Arial" w:hAnsi="Arial" w:cs="Arial"/>
          <w:sz w:val="24"/>
          <w:szCs w:val="24"/>
        </w:rPr>
        <w:footnoteReference w:id="237"/>
      </w:r>
      <w:r>
        <w:rPr>
          <w:rFonts w:ascii="Arial" w:hAnsi="Arial" w:cs="Arial"/>
          <w:sz w:val="24"/>
          <w:szCs w:val="24"/>
        </w:rPr>
        <w:t xml:space="preserve">  This bacteria, which causes human ear and respiratory tract infections, was the first bacterium to have its genome fully sequenced.</w:t>
      </w:r>
      <w:r>
        <w:rPr>
          <w:rStyle w:val="FootnoteReference"/>
          <w:rFonts w:ascii="Arial" w:hAnsi="Arial" w:cs="Arial"/>
          <w:sz w:val="24"/>
          <w:szCs w:val="24"/>
        </w:rPr>
        <w:footnoteReference w:id="238"/>
      </w:r>
      <w:r>
        <w:rPr>
          <w:rFonts w:ascii="Arial" w:hAnsi="Arial" w:cs="Arial"/>
          <w:sz w:val="24"/>
          <w:szCs w:val="24"/>
        </w:rPr>
        <w:t xml:space="preserve">  In their patent application, HGS described the complete nucleotide sequence of the bacterium’s genome and then asserted a number of claims for exclusionary rights.</w:t>
      </w:r>
      <w:r>
        <w:rPr>
          <w:rStyle w:val="FootnoteReference"/>
          <w:rFonts w:ascii="Arial" w:hAnsi="Arial" w:cs="Arial"/>
          <w:sz w:val="24"/>
          <w:szCs w:val="24"/>
        </w:rPr>
        <w:footnoteReference w:id="239"/>
      </w:r>
      <w:r>
        <w:rPr>
          <w:rFonts w:ascii="Arial" w:hAnsi="Arial" w:cs="Arial"/>
          <w:sz w:val="24"/>
          <w:szCs w:val="24"/>
        </w:rPr>
        <w:t xml:space="preserve">  The distinguishing claim on H</w:t>
      </w:r>
      <w:r w:rsidR="00412473">
        <w:rPr>
          <w:rFonts w:ascii="Arial" w:hAnsi="Arial" w:cs="Arial"/>
          <w:sz w:val="24"/>
          <w:szCs w:val="24"/>
        </w:rPr>
        <w:t xml:space="preserve">GS’s </w:t>
      </w:r>
      <w:r>
        <w:rPr>
          <w:rFonts w:ascii="Arial" w:hAnsi="Arial" w:cs="Arial"/>
          <w:sz w:val="24"/>
          <w:szCs w:val="24"/>
        </w:rPr>
        <w:t xml:space="preserve">list of exclusionary rights was for sequenced information that was included on </w:t>
      </w:r>
      <w:r w:rsidR="00257474">
        <w:rPr>
          <w:rFonts w:ascii="Arial" w:hAnsi="Arial" w:cs="Arial"/>
          <w:sz w:val="24"/>
          <w:szCs w:val="24"/>
        </w:rPr>
        <w:t xml:space="preserve">a </w:t>
      </w:r>
      <w:r>
        <w:rPr>
          <w:rFonts w:ascii="Arial" w:hAnsi="Arial" w:cs="Arial"/>
          <w:sz w:val="24"/>
          <w:szCs w:val="24"/>
        </w:rPr>
        <w:t>computer readable medium.</w:t>
      </w:r>
      <w:r>
        <w:rPr>
          <w:rStyle w:val="FootnoteReference"/>
          <w:rFonts w:ascii="Arial" w:hAnsi="Arial" w:cs="Arial"/>
          <w:sz w:val="24"/>
          <w:szCs w:val="24"/>
        </w:rPr>
        <w:footnoteReference w:id="240"/>
      </w:r>
      <w:r>
        <w:rPr>
          <w:rFonts w:ascii="Arial" w:hAnsi="Arial" w:cs="Arial"/>
          <w:sz w:val="24"/>
          <w:szCs w:val="24"/>
        </w:rPr>
        <w:t xml:space="preserve">  This patent has not yet been granted by the PTO.</w:t>
      </w:r>
      <w:r>
        <w:rPr>
          <w:rStyle w:val="FootnoteReference"/>
          <w:rFonts w:ascii="Arial" w:hAnsi="Arial" w:cs="Arial"/>
          <w:sz w:val="24"/>
          <w:szCs w:val="24"/>
        </w:rPr>
        <w:footnoteReference w:id="241"/>
      </w:r>
      <w:r>
        <w:rPr>
          <w:rFonts w:ascii="Arial" w:hAnsi="Arial" w:cs="Arial"/>
          <w:sz w:val="24"/>
          <w:szCs w:val="24"/>
        </w:rPr>
        <w:t xml:space="preserve">  Rather than claiming exclusionary rights on the DNA sequences themselves, HGS is attempting to claim exclusionary rights upon the sequence information obtained from the DNA sequences.  If the patent is granted, then any information storage, retrieval</w:t>
      </w:r>
      <w:r w:rsidR="00257474">
        <w:rPr>
          <w:rFonts w:ascii="Arial" w:hAnsi="Arial" w:cs="Arial"/>
          <w:sz w:val="24"/>
          <w:szCs w:val="24"/>
        </w:rPr>
        <w:t>,</w:t>
      </w:r>
      <w:r>
        <w:rPr>
          <w:rFonts w:ascii="Arial" w:hAnsi="Arial" w:cs="Arial"/>
          <w:sz w:val="24"/>
          <w:szCs w:val="24"/>
        </w:rPr>
        <w:t xml:space="preserve"> or analysis of the</w:t>
      </w:r>
      <w:r w:rsidR="00412473">
        <w:rPr>
          <w:rFonts w:ascii="Arial" w:hAnsi="Arial" w:cs="Arial"/>
          <w:sz w:val="24"/>
          <w:szCs w:val="24"/>
        </w:rPr>
        <w:t xml:space="preserve"> related</w:t>
      </w:r>
      <w:r>
        <w:rPr>
          <w:rFonts w:ascii="Arial" w:hAnsi="Arial" w:cs="Arial"/>
          <w:sz w:val="24"/>
          <w:szCs w:val="24"/>
        </w:rPr>
        <w:t xml:space="preserve"> information would be an infringement.  </w:t>
      </w:r>
    </w:p>
    <w:p w14:paraId="35F67AA8" w14:textId="77777777" w:rsidR="00735F29" w:rsidRDefault="00735F29">
      <w:pPr>
        <w:widowControl w:val="0"/>
        <w:spacing w:line="480" w:lineRule="atLeast"/>
        <w:rPr>
          <w:rFonts w:ascii="Arial" w:hAnsi="Arial" w:cs="Arial"/>
          <w:sz w:val="24"/>
          <w:szCs w:val="24"/>
        </w:rPr>
      </w:pPr>
      <w:r>
        <w:rPr>
          <w:rFonts w:ascii="Arial" w:hAnsi="Arial" w:cs="Arial"/>
          <w:sz w:val="24"/>
          <w:szCs w:val="24"/>
        </w:rPr>
        <w:tab/>
        <w:t xml:space="preserve">Recent trends in patent case law affirm HGS’s optimism that patent protection will be granted.  In Federal Circuit </w:t>
      </w:r>
      <w:r w:rsidR="00257474">
        <w:rPr>
          <w:rFonts w:ascii="Arial" w:hAnsi="Arial" w:cs="Arial"/>
          <w:sz w:val="24"/>
          <w:szCs w:val="24"/>
        </w:rPr>
        <w:t xml:space="preserve">Court </w:t>
      </w:r>
      <w:r>
        <w:rPr>
          <w:rFonts w:ascii="Arial" w:hAnsi="Arial" w:cs="Arial"/>
          <w:sz w:val="24"/>
          <w:szCs w:val="24"/>
        </w:rPr>
        <w:t xml:space="preserve">decisions involving computer-implemented inventions, the trend is toward an expansive interpretation of the scope of patent protection.  Some courts have reasoned that the patent system needs to be responsive </w:t>
      </w:r>
      <w:r>
        <w:rPr>
          <w:rFonts w:ascii="Arial" w:hAnsi="Arial" w:cs="Arial"/>
          <w:sz w:val="24"/>
          <w:szCs w:val="24"/>
        </w:rPr>
        <w:lastRenderedPageBreak/>
        <w:t>to the “needs of the modern world.”</w:t>
      </w:r>
      <w:r>
        <w:rPr>
          <w:rStyle w:val="FootnoteReference"/>
          <w:rFonts w:ascii="Arial" w:hAnsi="Arial" w:cs="Arial"/>
          <w:sz w:val="24"/>
          <w:szCs w:val="24"/>
        </w:rPr>
        <w:footnoteReference w:id="242"/>
      </w:r>
      <w:r>
        <w:rPr>
          <w:rFonts w:ascii="Arial" w:hAnsi="Arial" w:cs="Arial"/>
          <w:sz w:val="24"/>
          <w:szCs w:val="24"/>
        </w:rPr>
        <w:t xml:space="preserve">  In a recent case, State Street Bank &amp; Trust v. Signature Financial Group, the court upheld the granting of a patent upon a new computer-implemented accounting system.</w:t>
      </w:r>
      <w:r>
        <w:rPr>
          <w:rStyle w:val="FootnoteReference"/>
          <w:rFonts w:ascii="Arial" w:hAnsi="Arial" w:cs="Arial"/>
          <w:sz w:val="24"/>
          <w:szCs w:val="24"/>
        </w:rPr>
        <w:footnoteReference w:id="243"/>
      </w:r>
      <w:r>
        <w:rPr>
          <w:rFonts w:ascii="Arial" w:hAnsi="Arial" w:cs="Arial"/>
          <w:sz w:val="24"/>
          <w:szCs w:val="24"/>
        </w:rPr>
        <w:t xml:space="preserve">  Although the patent claim was both a mathematical algorithm and </w:t>
      </w:r>
      <w:r w:rsidR="0087425A">
        <w:rPr>
          <w:rFonts w:ascii="Arial" w:hAnsi="Arial" w:cs="Arial"/>
          <w:sz w:val="24"/>
          <w:szCs w:val="24"/>
        </w:rPr>
        <w:t xml:space="preserve">a </w:t>
      </w:r>
      <w:r>
        <w:rPr>
          <w:rFonts w:ascii="Arial" w:hAnsi="Arial" w:cs="Arial"/>
          <w:sz w:val="24"/>
          <w:szCs w:val="24"/>
        </w:rPr>
        <w:t>business practice, and not subject to patent protection for either category, the court said</w:t>
      </w:r>
      <w:r w:rsidR="0087425A">
        <w:rPr>
          <w:rFonts w:ascii="Arial" w:hAnsi="Arial" w:cs="Arial"/>
          <w:sz w:val="24"/>
          <w:szCs w:val="24"/>
        </w:rPr>
        <w:t>, in granting the patent,</w:t>
      </w:r>
      <w:r>
        <w:rPr>
          <w:rFonts w:ascii="Arial" w:hAnsi="Arial" w:cs="Arial"/>
          <w:sz w:val="24"/>
          <w:szCs w:val="24"/>
        </w:rPr>
        <w:t xml:space="preserve"> that it only withheld protection from “abstract ideas constituting disembodied concepts or truths that are not useful.”</w:t>
      </w:r>
      <w:r>
        <w:rPr>
          <w:rStyle w:val="FootnoteReference"/>
          <w:rFonts w:ascii="Arial" w:hAnsi="Arial" w:cs="Arial"/>
          <w:sz w:val="24"/>
          <w:szCs w:val="24"/>
        </w:rPr>
        <w:footnoteReference w:id="244"/>
      </w:r>
      <w:r>
        <w:rPr>
          <w:rFonts w:ascii="Arial" w:hAnsi="Arial" w:cs="Arial"/>
          <w:sz w:val="24"/>
          <w:szCs w:val="24"/>
        </w:rPr>
        <w:t xml:space="preserve">  In addressing the business practice issue, the court said that it had never invoked the business practice exception to hold that an invention cannot be patented.</w:t>
      </w:r>
      <w:r>
        <w:rPr>
          <w:rStyle w:val="FootnoteReference"/>
          <w:rFonts w:ascii="Arial" w:hAnsi="Arial" w:cs="Arial"/>
          <w:sz w:val="24"/>
          <w:szCs w:val="24"/>
        </w:rPr>
        <w:footnoteReference w:id="245"/>
      </w:r>
      <w:r>
        <w:rPr>
          <w:rFonts w:ascii="Arial" w:hAnsi="Arial" w:cs="Arial"/>
          <w:sz w:val="24"/>
          <w:szCs w:val="24"/>
        </w:rPr>
        <w:t xml:space="preserve">  The court stated the other courts had always had other, independent grounds for applying the business practice exception.</w:t>
      </w:r>
      <w:r>
        <w:rPr>
          <w:rStyle w:val="FootnoteReference"/>
          <w:rFonts w:ascii="Arial" w:hAnsi="Arial" w:cs="Arial"/>
          <w:sz w:val="24"/>
          <w:szCs w:val="24"/>
        </w:rPr>
        <w:footnoteReference w:id="246"/>
      </w:r>
      <w:r>
        <w:rPr>
          <w:rFonts w:ascii="Arial" w:hAnsi="Arial" w:cs="Arial"/>
          <w:sz w:val="24"/>
          <w:szCs w:val="24"/>
        </w:rPr>
        <w:t xml:space="preserve">  This court did not view the language of Section 101 of the Patent Act, which s</w:t>
      </w:r>
      <w:r w:rsidR="00CC0F4B">
        <w:rPr>
          <w:rFonts w:ascii="Arial" w:hAnsi="Arial" w:cs="Arial"/>
          <w:sz w:val="24"/>
          <w:szCs w:val="24"/>
        </w:rPr>
        <w:t>tates</w:t>
      </w:r>
      <w:r>
        <w:rPr>
          <w:rFonts w:ascii="Arial" w:hAnsi="Arial" w:cs="Arial"/>
          <w:sz w:val="24"/>
          <w:szCs w:val="24"/>
        </w:rPr>
        <w:t xml:space="preserve"> that patent protection is granted for “any new or useful process, machine, manufacture, or composition of matter,” as a limitation.</w:t>
      </w:r>
      <w:r>
        <w:rPr>
          <w:rStyle w:val="FootnoteReference"/>
          <w:rFonts w:ascii="Arial" w:hAnsi="Arial" w:cs="Arial"/>
          <w:sz w:val="24"/>
          <w:szCs w:val="24"/>
        </w:rPr>
        <w:footnoteReference w:id="247"/>
      </w:r>
      <w:r>
        <w:rPr>
          <w:rFonts w:ascii="Arial" w:hAnsi="Arial" w:cs="Arial"/>
          <w:sz w:val="24"/>
          <w:szCs w:val="24"/>
        </w:rPr>
        <w:t xml:space="preserve">  The language is interpreted as a “seeming limitless expanse,” where only laws of nature, natural phenomena</w:t>
      </w:r>
      <w:r w:rsidR="00F105F5">
        <w:rPr>
          <w:rFonts w:ascii="Arial" w:hAnsi="Arial" w:cs="Arial"/>
          <w:sz w:val="24"/>
          <w:szCs w:val="24"/>
        </w:rPr>
        <w:t>,</w:t>
      </w:r>
      <w:r>
        <w:rPr>
          <w:rFonts w:ascii="Arial" w:hAnsi="Arial" w:cs="Arial"/>
          <w:sz w:val="24"/>
          <w:szCs w:val="24"/>
        </w:rPr>
        <w:t xml:space="preserve"> and abstract ideas cannot be patented.</w:t>
      </w:r>
      <w:r>
        <w:rPr>
          <w:rStyle w:val="FootnoteReference"/>
          <w:rFonts w:ascii="Arial" w:hAnsi="Arial" w:cs="Arial"/>
          <w:sz w:val="24"/>
          <w:szCs w:val="24"/>
        </w:rPr>
        <w:footnoteReference w:id="248"/>
      </w:r>
      <w:r>
        <w:rPr>
          <w:rFonts w:ascii="Arial" w:hAnsi="Arial" w:cs="Arial"/>
          <w:sz w:val="24"/>
          <w:szCs w:val="24"/>
        </w:rPr>
        <w:t xml:space="preserve">  </w:t>
      </w:r>
    </w:p>
    <w:p w14:paraId="4BCC4C82"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With the courts interpreting the patent statutes so broadly, HGS hopes to be granted patent protection for its computer-readable medium.  PTO guidelines, however, specifically exclude data stored in non-functional, computer-readable format from receiving patent protection.</w:t>
      </w:r>
      <w:r>
        <w:rPr>
          <w:rStyle w:val="FootnoteReference"/>
          <w:rFonts w:ascii="Arial" w:hAnsi="Arial" w:cs="Arial"/>
          <w:sz w:val="24"/>
          <w:szCs w:val="24"/>
        </w:rPr>
        <w:footnoteReference w:id="249"/>
      </w:r>
      <w:r>
        <w:rPr>
          <w:rFonts w:ascii="Arial" w:hAnsi="Arial" w:cs="Arial"/>
          <w:sz w:val="24"/>
          <w:szCs w:val="24"/>
        </w:rPr>
        <w:t xml:space="preserve">  The guidelines distinguish between functional descriptive material, such as computer programs and data structures that can be used functionally when stored on a computer-readable medium, and non-functional </w:t>
      </w:r>
      <w:r>
        <w:rPr>
          <w:rFonts w:ascii="Arial" w:hAnsi="Arial" w:cs="Arial"/>
          <w:sz w:val="24"/>
          <w:szCs w:val="24"/>
        </w:rPr>
        <w:lastRenderedPageBreak/>
        <w:t>descriptive material, such as music or literary works.</w:t>
      </w:r>
      <w:r>
        <w:rPr>
          <w:rStyle w:val="FootnoteReference"/>
          <w:rFonts w:ascii="Arial" w:hAnsi="Arial" w:cs="Arial"/>
          <w:sz w:val="24"/>
          <w:szCs w:val="24"/>
        </w:rPr>
        <w:footnoteReference w:id="250"/>
      </w:r>
      <w:r>
        <w:rPr>
          <w:rFonts w:ascii="Arial" w:hAnsi="Arial" w:cs="Arial"/>
          <w:sz w:val="24"/>
          <w:szCs w:val="24"/>
        </w:rPr>
        <w:t xml:space="preserve">  According to the guidelines, functional materials are protected, while non-functional materials are not.</w:t>
      </w:r>
      <w:r>
        <w:rPr>
          <w:rStyle w:val="FootnoteReference"/>
          <w:rFonts w:ascii="Arial" w:hAnsi="Arial" w:cs="Arial"/>
          <w:sz w:val="24"/>
          <w:szCs w:val="24"/>
        </w:rPr>
        <w:footnoteReference w:id="251"/>
      </w:r>
      <w:r>
        <w:rPr>
          <w:rFonts w:ascii="Arial" w:hAnsi="Arial" w:cs="Arial"/>
          <w:sz w:val="24"/>
          <w:szCs w:val="24"/>
        </w:rPr>
        <w:t xml:space="preserve">  In examining HGS’s claim for patent protection, it appears to fail the PTO’s test of functionality, where the info</w:t>
      </w:r>
      <w:r w:rsidR="0087425A">
        <w:rPr>
          <w:rFonts w:ascii="Arial" w:hAnsi="Arial" w:cs="Arial"/>
          <w:sz w:val="24"/>
          <w:szCs w:val="24"/>
        </w:rPr>
        <w:t>rmation is merely carried in a</w:t>
      </w:r>
      <w:r>
        <w:rPr>
          <w:rFonts w:ascii="Arial" w:hAnsi="Arial" w:cs="Arial"/>
          <w:sz w:val="24"/>
          <w:szCs w:val="24"/>
        </w:rPr>
        <w:t xml:space="preserve"> computer</w:t>
      </w:r>
      <w:r w:rsidR="00F105F5">
        <w:rPr>
          <w:rFonts w:ascii="Arial" w:hAnsi="Arial" w:cs="Arial"/>
          <w:sz w:val="24"/>
          <w:szCs w:val="24"/>
        </w:rPr>
        <w:t>-</w:t>
      </w:r>
      <w:r>
        <w:rPr>
          <w:rFonts w:ascii="Arial" w:hAnsi="Arial" w:cs="Arial"/>
          <w:sz w:val="24"/>
          <w:szCs w:val="24"/>
        </w:rPr>
        <w:t>readable format and is not functionally related to the medium.  If HGS’s claim is rejected by the PTO, the company can appeal to the circuit c</w:t>
      </w:r>
      <w:r w:rsidR="0087425A">
        <w:rPr>
          <w:rFonts w:ascii="Arial" w:hAnsi="Arial" w:cs="Arial"/>
          <w:sz w:val="24"/>
          <w:szCs w:val="24"/>
        </w:rPr>
        <w:t>ourt, wh</w:t>
      </w:r>
      <w:r w:rsidR="00CC0F4B">
        <w:rPr>
          <w:rFonts w:ascii="Arial" w:hAnsi="Arial" w:cs="Arial"/>
          <w:sz w:val="24"/>
          <w:szCs w:val="24"/>
        </w:rPr>
        <w:t>ich</w:t>
      </w:r>
      <w:r>
        <w:rPr>
          <w:rFonts w:ascii="Arial" w:hAnsi="Arial" w:cs="Arial"/>
          <w:sz w:val="24"/>
          <w:szCs w:val="24"/>
        </w:rPr>
        <w:t xml:space="preserve"> may well uphold their claim.  A</w:t>
      </w:r>
      <w:r w:rsidR="007A2352">
        <w:rPr>
          <w:rFonts w:ascii="Arial" w:hAnsi="Arial" w:cs="Arial"/>
          <w:sz w:val="24"/>
          <w:szCs w:val="24"/>
        </w:rPr>
        <w:t>s recent decisions indicate, many</w:t>
      </w:r>
      <w:r>
        <w:rPr>
          <w:rFonts w:ascii="Arial" w:hAnsi="Arial" w:cs="Arial"/>
          <w:sz w:val="24"/>
          <w:szCs w:val="24"/>
        </w:rPr>
        <w:t xml:space="preserve"> courts broadly construe the statute and do not appear to be concerned with the importance of physical limitations or functionality in defining the limits of patentability for computer-implemented inventions.</w:t>
      </w:r>
      <w:r>
        <w:rPr>
          <w:rStyle w:val="FootnoteReference"/>
          <w:rFonts w:ascii="Arial" w:hAnsi="Arial" w:cs="Arial"/>
          <w:sz w:val="24"/>
          <w:szCs w:val="24"/>
        </w:rPr>
        <w:footnoteReference w:id="252"/>
      </w:r>
      <w:r>
        <w:rPr>
          <w:rFonts w:ascii="Arial" w:hAnsi="Arial" w:cs="Arial"/>
          <w:sz w:val="24"/>
          <w:szCs w:val="24"/>
        </w:rPr>
        <w:t xml:space="preserve">  </w:t>
      </w:r>
    </w:p>
    <w:p w14:paraId="779FEA05"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AT&amp;T </w:t>
      </w:r>
      <w:r w:rsidR="00CC0F4B">
        <w:rPr>
          <w:rFonts w:ascii="Arial" w:hAnsi="Arial" w:cs="Arial"/>
          <w:sz w:val="24"/>
          <w:szCs w:val="24"/>
        </w:rPr>
        <w:t xml:space="preserve">Corp. </w:t>
      </w:r>
      <w:r>
        <w:rPr>
          <w:rFonts w:ascii="Arial" w:hAnsi="Arial" w:cs="Arial"/>
          <w:sz w:val="24"/>
          <w:szCs w:val="24"/>
        </w:rPr>
        <w:t>v. Excel Communications demonstrates this point.</w:t>
      </w:r>
      <w:r>
        <w:rPr>
          <w:rStyle w:val="FootnoteReference"/>
          <w:rFonts w:ascii="Arial" w:hAnsi="Arial" w:cs="Arial"/>
          <w:sz w:val="24"/>
          <w:szCs w:val="24"/>
        </w:rPr>
        <w:footnoteReference w:id="253"/>
      </w:r>
      <w:r>
        <w:rPr>
          <w:rFonts w:ascii="Arial" w:hAnsi="Arial" w:cs="Arial"/>
          <w:sz w:val="24"/>
          <w:szCs w:val="24"/>
        </w:rPr>
        <w:t xml:space="preserve">  In that case, the court deliberately refused to focus upon a “physical limitations inquiry” that traditionally had defined the limits of patentability.</w:t>
      </w:r>
      <w:r>
        <w:rPr>
          <w:rStyle w:val="FootnoteReference"/>
          <w:rFonts w:ascii="Arial" w:hAnsi="Arial" w:cs="Arial"/>
          <w:sz w:val="24"/>
          <w:szCs w:val="24"/>
        </w:rPr>
        <w:footnoteReference w:id="254"/>
      </w:r>
      <w:r>
        <w:rPr>
          <w:rFonts w:ascii="Arial" w:hAnsi="Arial" w:cs="Arial"/>
          <w:sz w:val="24"/>
          <w:szCs w:val="24"/>
        </w:rPr>
        <w:t xml:space="preserve">  Instead, the court examined whether the mathematical algorithm in question</w:t>
      </w:r>
      <w:r w:rsidR="00CC0F4B">
        <w:rPr>
          <w:rFonts w:ascii="Arial" w:hAnsi="Arial" w:cs="Arial"/>
          <w:sz w:val="24"/>
          <w:szCs w:val="24"/>
        </w:rPr>
        <w:t xml:space="preserve"> was</w:t>
      </w:r>
      <w:r>
        <w:rPr>
          <w:rFonts w:ascii="Arial" w:hAnsi="Arial" w:cs="Arial"/>
          <w:sz w:val="24"/>
          <w:szCs w:val="24"/>
        </w:rPr>
        <w:t xml:space="preserve"> “applied in a practical manner to produce a useful result.”</w:t>
      </w:r>
      <w:r>
        <w:rPr>
          <w:rStyle w:val="FootnoteReference"/>
          <w:rFonts w:ascii="Arial" w:hAnsi="Arial" w:cs="Arial"/>
          <w:sz w:val="24"/>
          <w:szCs w:val="24"/>
        </w:rPr>
        <w:footnoteReference w:id="255"/>
      </w:r>
      <w:r>
        <w:rPr>
          <w:rFonts w:ascii="Arial" w:hAnsi="Arial" w:cs="Arial"/>
          <w:sz w:val="24"/>
          <w:szCs w:val="24"/>
        </w:rPr>
        <w:t xml:space="preserve">  In utilizing practicality as a criterion for patent protection, the court g</w:t>
      </w:r>
      <w:r w:rsidR="00EA75E6">
        <w:rPr>
          <w:rFonts w:ascii="Arial" w:hAnsi="Arial" w:cs="Arial"/>
          <w:sz w:val="24"/>
          <w:szCs w:val="24"/>
        </w:rPr>
        <w:t>ave</w:t>
      </w:r>
      <w:r>
        <w:rPr>
          <w:rFonts w:ascii="Arial" w:hAnsi="Arial" w:cs="Arial"/>
          <w:sz w:val="24"/>
          <w:szCs w:val="24"/>
        </w:rPr>
        <w:t xml:space="preserve"> weight to the argument that useful information should be afforded patent protection.</w:t>
      </w:r>
    </w:p>
    <w:p w14:paraId="4CE1B701"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The PTO and the courts should reject the patent protection claims of HGS.  Information stored in computer readable format, whether useful or not, does not pass the traditional functionality test of the PTO’s guidelines.  Granting patent protection to </w:t>
      </w:r>
      <w:r w:rsidR="00CC0F4B">
        <w:rPr>
          <w:rFonts w:ascii="Arial" w:hAnsi="Arial" w:cs="Arial"/>
          <w:sz w:val="24"/>
          <w:szCs w:val="24"/>
        </w:rPr>
        <w:t>HGS’s</w:t>
      </w:r>
      <w:r>
        <w:rPr>
          <w:rFonts w:ascii="Arial" w:hAnsi="Arial" w:cs="Arial"/>
          <w:sz w:val="24"/>
          <w:szCs w:val="24"/>
        </w:rPr>
        <w:t xml:space="preserve"> claim would radically change the purpose of patent protection.  Traditionally, the </w:t>
      </w:r>
      <w:r>
        <w:rPr>
          <w:rFonts w:ascii="Arial" w:hAnsi="Arial" w:cs="Arial"/>
          <w:sz w:val="24"/>
          <w:szCs w:val="24"/>
        </w:rPr>
        <w:lastRenderedPageBreak/>
        <w:t xml:space="preserve">PTO has always required disclosure </w:t>
      </w:r>
      <w:r w:rsidR="00C365D0">
        <w:rPr>
          <w:rFonts w:ascii="Arial" w:hAnsi="Arial" w:cs="Arial"/>
          <w:sz w:val="24"/>
          <w:szCs w:val="24"/>
        </w:rPr>
        <w:t xml:space="preserve">to the public </w:t>
      </w:r>
      <w:r>
        <w:rPr>
          <w:rFonts w:ascii="Arial" w:hAnsi="Arial" w:cs="Arial"/>
          <w:sz w:val="24"/>
          <w:szCs w:val="24"/>
        </w:rPr>
        <w:t>of information about an invention.</w:t>
      </w:r>
      <w:r>
        <w:rPr>
          <w:rStyle w:val="FootnoteReference"/>
          <w:rFonts w:ascii="Arial" w:hAnsi="Arial" w:cs="Arial"/>
          <w:sz w:val="24"/>
          <w:szCs w:val="24"/>
        </w:rPr>
        <w:footnoteReference w:id="256"/>
      </w:r>
      <w:r w:rsidR="007A2352">
        <w:rPr>
          <w:rFonts w:ascii="Arial" w:hAnsi="Arial" w:cs="Arial"/>
          <w:sz w:val="24"/>
          <w:szCs w:val="24"/>
        </w:rPr>
        <w:t xml:space="preserve">  In the HGS patent claim</w:t>
      </w:r>
      <w:r>
        <w:rPr>
          <w:rFonts w:ascii="Arial" w:hAnsi="Arial" w:cs="Arial"/>
          <w:sz w:val="24"/>
          <w:szCs w:val="24"/>
        </w:rPr>
        <w:t xml:space="preserve">, </w:t>
      </w:r>
      <w:r w:rsidR="00C365D0">
        <w:rPr>
          <w:rFonts w:ascii="Arial" w:hAnsi="Arial" w:cs="Arial"/>
          <w:sz w:val="24"/>
          <w:szCs w:val="24"/>
        </w:rPr>
        <w:t xml:space="preserve">however, </w:t>
      </w:r>
      <w:r>
        <w:rPr>
          <w:rFonts w:ascii="Arial" w:hAnsi="Arial" w:cs="Arial"/>
          <w:sz w:val="24"/>
          <w:szCs w:val="24"/>
        </w:rPr>
        <w:t>infringement would consist of mere perception and</w:t>
      </w:r>
      <w:r w:rsidR="007A2352">
        <w:rPr>
          <w:rFonts w:ascii="Arial" w:hAnsi="Arial" w:cs="Arial"/>
          <w:sz w:val="24"/>
          <w:szCs w:val="24"/>
        </w:rPr>
        <w:t>/or</w:t>
      </w:r>
      <w:r>
        <w:rPr>
          <w:rFonts w:ascii="Arial" w:hAnsi="Arial" w:cs="Arial"/>
          <w:sz w:val="24"/>
          <w:szCs w:val="24"/>
        </w:rPr>
        <w:t xml:space="preserve"> analysis of their </w:t>
      </w:r>
      <w:r w:rsidR="000B60B8">
        <w:rPr>
          <w:rFonts w:ascii="Arial" w:hAnsi="Arial" w:cs="Arial"/>
          <w:sz w:val="24"/>
          <w:szCs w:val="24"/>
        </w:rPr>
        <w:t xml:space="preserve">patented </w:t>
      </w:r>
      <w:r w:rsidR="00156825">
        <w:rPr>
          <w:rFonts w:ascii="Arial" w:hAnsi="Arial" w:cs="Arial"/>
          <w:sz w:val="24"/>
          <w:szCs w:val="24"/>
        </w:rPr>
        <w:t xml:space="preserve">genetic </w:t>
      </w:r>
      <w:r w:rsidRPr="00C365D0">
        <w:rPr>
          <w:rFonts w:ascii="Arial" w:hAnsi="Arial" w:cs="Arial"/>
          <w:color w:val="000000" w:themeColor="text1"/>
          <w:sz w:val="24"/>
          <w:szCs w:val="24"/>
        </w:rPr>
        <w:t>information</w:t>
      </w:r>
      <w:r w:rsidR="000B60B8" w:rsidRPr="00C365D0">
        <w:rPr>
          <w:rFonts w:ascii="Arial" w:hAnsi="Arial" w:cs="Arial"/>
          <w:color w:val="000000" w:themeColor="text1"/>
          <w:sz w:val="24"/>
          <w:szCs w:val="24"/>
        </w:rPr>
        <w:t xml:space="preserve">.  Once granted, patent protection </w:t>
      </w:r>
      <w:r w:rsidR="00156825" w:rsidRPr="00C365D0">
        <w:rPr>
          <w:rFonts w:ascii="Arial" w:hAnsi="Arial" w:cs="Arial"/>
          <w:color w:val="000000" w:themeColor="text1"/>
          <w:sz w:val="24"/>
          <w:szCs w:val="24"/>
        </w:rPr>
        <w:t>would restrict access to th</w:t>
      </w:r>
      <w:r w:rsidR="000B60B8" w:rsidRPr="00C365D0">
        <w:rPr>
          <w:rFonts w:ascii="Arial" w:hAnsi="Arial" w:cs="Arial"/>
          <w:color w:val="000000" w:themeColor="text1"/>
          <w:sz w:val="24"/>
          <w:szCs w:val="24"/>
        </w:rPr>
        <w:t>at</w:t>
      </w:r>
      <w:r w:rsidRPr="00C365D0">
        <w:rPr>
          <w:rFonts w:ascii="Arial" w:hAnsi="Arial" w:cs="Arial"/>
          <w:color w:val="000000" w:themeColor="text1"/>
          <w:sz w:val="24"/>
          <w:szCs w:val="24"/>
        </w:rPr>
        <w:t xml:space="preserve"> information</w:t>
      </w:r>
      <w:r w:rsidR="000B60B8" w:rsidRPr="00C365D0">
        <w:rPr>
          <w:rFonts w:ascii="Arial" w:hAnsi="Arial" w:cs="Arial"/>
          <w:color w:val="000000" w:themeColor="text1"/>
          <w:sz w:val="24"/>
          <w:szCs w:val="24"/>
        </w:rPr>
        <w:t xml:space="preserve"> and require a potential user to obtain a license from HGS</w:t>
      </w:r>
      <w:r w:rsidRPr="00C365D0">
        <w:rPr>
          <w:rFonts w:ascii="Arial" w:hAnsi="Arial" w:cs="Arial"/>
          <w:color w:val="000000" w:themeColor="text1"/>
          <w:sz w:val="24"/>
          <w:szCs w:val="24"/>
        </w:rPr>
        <w:t xml:space="preserve">. </w:t>
      </w:r>
      <w:r>
        <w:rPr>
          <w:rFonts w:ascii="Arial" w:hAnsi="Arial" w:cs="Arial"/>
          <w:sz w:val="24"/>
          <w:szCs w:val="24"/>
        </w:rPr>
        <w:t xml:space="preserve"> Such protection would strongly undermine the traditional policy of the PTO t</w:t>
      </w:r>
      <w:r w:rsidR="0098104B">
        <w:rPr>
          <w:rFonts w:ascii="Arial" w:hAnsi="Arial" w:cs="Arial"/>
          <w:sz w:val="24"/>
          <w:szCs w:val="24"/>
        </w:rPr>
        <w:t>hat</w:t>
      </w:r>
      <w:r>
        <w:rPr>
          <w:rFonts w:ascii="Arial" w:hAnsi="Arial" w:cs="Arial"/>
          <w:sz w:val="24"/>
          <w:szCs w:val="24"/>
        </w:rPr>
        <w:t xml:space="preserve"> allow</w:t>
      </w:r>
      <w:r w:rsidR="0098104B">
        <w:rPr>
          <w:rFonts w:ascii="Arial" w:hAnsi="Arial" w:cs="Arial"/>
          <w:sz w:val="24"/>
          <w:szCs w:val="24"/>
        </w:rPr>
        <w:t>s</w:t>
      </w:r>
      <w:r>
        <w:rPr>
          <w:rFonts w:ascii="Arial" w:hAnsi="Arial" w:cs="Arial"/>
          <w:sz w:val="24"/>
          <w:szCs w:val="24"/>
        </w:rPr>
        <w:t xml:space="preserve"> unrestricted access to information about patented inventions.</w:t>
      </w:r>
      <w:r w:rsidR="0098104B">
        <w:rPr>
          <w:rFonts w:ascii="Arial" w:hAnsi="Arial" w:cs="Arial"/>
          <w:sz w:val="24"/>
          <w:szCs w:val="24"/>
        </w:rPr>
        <w:t xml:space="preserve">  G</w:t>
      </w:r>
      <w:r w:rsidR="00156825">
        <w:rPr>
          <w:rFonts w:ascii="Arial" w:hAnsi="Arial" w:cs="Arial"/>
          <w:sz w:val="24"/>
          <w:szCs w:val="24"/>
        </w:rPr>
        <w:t xml:space="preserve">ranting HGS’s claim would </w:t>
      </w:r>
      <w:r w:rsidR="0098104B">
        <w:rPr>
          <w:rFonts w:ascii="Arial" w:hAnsi="Arial" w:cs="Arial"/>
          <w:sz w:val="24"/>
          <w:szCs w:val="24"/>
        </w:rPr>
        <w:t xml:space="preserve">also </w:t>
      </w:r>
      <w:r w:rsidR="00156825">
        <w:rPr>
          <w:rFonts w:ascii="Arial" w:hAnsi="Arial" w:cs="Arial"/>
          <w:sz w:val="24"/>
          <w:szCs w:val="24"/>
        </w:rPr>
        <w:t>be</w:t>
      </w:r>
      <w:r w:rsidR="0098104B">
        <w:rPr>
          <w:rFonts w:ascii="Arial" w:hAnsi="Arial" w:cs="Arial"/>
          <w:sz w:val="24"/>
          <w:szCs w:val="24"/>
        </w:rPr>
        <w:t xml:space="preserve"> allow</w:t>
      </w:r>
      <w:r>
        <w:rPr>
          <w:rFonts w:ascii="Arial" w:hAnsi="Arial" w:cs="Arial"/>
          <w:sz w:val="24"/>
          <w:szCs w:val="24"/>
        </w:rPr>
        <w:t xml:space="preserve"> </w:t>
      </w:r>
      <w:r w:rsidR="00156825">
        <w:rPr>
          <w:rFonts w:ascii="Arial" w:hAnsi="Arial" w:cs="Arial"/>
          <w:sz w:val="24"/>
          <w:szCs w:val="24"/>
        </w:rPr>
        <w:t>protection for information that</w:t>
      </w:r>
      <w:r>
        <w:rPr>
          <w:rFonts w:ascii="Arial" w:hAnsi="Arial" w:cs="Arial"/>
          <w:sz w:val="24"/>
          <w:szCs w:val="24"/>
        </w:rPr>
        <w:t xml:space="preserve"> exists in nature.</w:t>
      </w:r>
    </w:p>
    <w:p w14:paraId="0A367E81" w14:textId="77777777" w:rsidR="00735F29" w:rsidRDefault="00156825">
      <w:pPr>
        <w:widowControl w:val="0"/>
        <w:spacing w:line="480" w:lineRule="atLeast"/>
        <w:ind w:firstLine="720"/>
        <w:rPr>
          <w:rFonts w:ascii="Arial" w:hAnsi="Arial" w:cs="Arial"/>
          <w:sz w:val="24"/>
          <w:szCs w:val="24"/>
        </w:rPr>
      </w:pPr>
      <w:r>
        <w:rPr>
          <w:rFonts w:ascii="Arial" w:hAnsi="Arial" w:cs="Arial"/>
          <w:sz w:val="24"/>
          <w:szCs w:val="24"/>
        </w:rPr>
        <w:t>Proponents of patent protection argue</w:t>
      </w:r>
      <w:r w:rsidR="00735F29">
        <w:rPr>
          <w:rFonts w:ascii="Arial" w:hAnsi="Arial" w:cs="Arial"/>
          <w:sz w:val="24"/>
          <w:szCs w:val="24"/>
        </w:rPr>
        <w:t xml:space="preserve"> that granting exclusionary rights to inventions that only have tangible applications is inappropriate in today’s world.</w:t>
      </w:r>
      <w:r w:rsidR="00735F29">
        <w:rPr>
          <w:rStyle w:val="FootnoteReference"/>
          <w:rFonts w:ascii="Arial" w:hAnsi="Arial" w:cs="Arial"/>
          <w:sz w:val="24"/>
          <w:szCs w:val="24"/>
        </w:rPr>
        <w:footnoteReference w:id="257"/>
      </w:r>
      <w:r>
        <w:rPr>
          <w:rFonts w:ascii="Arial" w:hAnsi="Arial" w:cs="Arial"/>
          <w:sz w:val="24"/>
          <w:szCs w:val="24"/>
        </w:rPr>
        <w:t xml:space="preserve">  They say that if </w:t>
      </w:r>
      <w:r w:rsidR="00735F29">
        <w:rPr>
          <w:rFonts w:ascii="Arial" w:hAnsi="Arial" w:cs="Arial"/>
          <w:sz w:val="24"/>
          <w:szCs w:val="24"/>
        </w:rPr>
        <w:t>patent protection is not afforded to information gained from the investigation of DNA sequencing, then the researcher cannot commercially exploit the value of the information</w:t>
      </w:r>
      <w:r>
        <w:rPr>
          <w:rFonts w:ascii="Arial" w:hAnsi="Arial" w:cs="Arial"/>
          <w:sz w:val="24"/>
          <w:szCs w:val="24"/>
        </w:rPr>
        <w:t>,</w:t>
      </w:r>
      <w:r w:rsidR="00735F29">
        <w:rPr>
          <w:rFonts w:ascii="Arial" w:hAnsi="Arial" w:cs="Arial"/>
          <w:sz w:val="24"/>
          <w:szCs w:val="24"/>
        </w:rPr>
        <w:t xml:space="preserve"> and there will be no motivation to invest in such research.</w:t>
      </w:r>
      <w:r w:rsidR="00735F29">
        <w:rPr>
          <w:rStyle w:val="FootnoteReference"/>
          <w:rFonts w:ascii="Arial" w:hAnsi="Arial" w:cs="Arial"/>
          <w:sz w:val="24"/>
          <w:szCs w:val="24"/>
        </w:rPr>
        <w:footnoteReference w:id="258"/>
      </w:r>
      <w:r w:rsidR="00735F29">
        <w:rPr>
          <w:rFonts w:ascii="Arial" w:hAnsi="Arial" w:cs="Arial"/>
          <w:sz w:val="24"/>
          <w:szCs w:val="24"/>
        </w:rPr>
        <w:t xml:space="preserve">  In view of the substantial investment made in both the private and public sectors to sequence the human genome, with no clear commercial potential evident, this argument appears to be specious and speculative.  </w:t>
      </w:r>
    </w:p>
    <w:p w14:paraId="679FC5DF" w14:textId="77777777" w:rsidR="00EA75E6" w:rsidRDefault="00735F29">
      <w:pPr>
        <w:widowControl w:val="0"/>
        <w:spacing w:line="480" w:lineRule="atLeast"/>
        <w:ind w:firstLine="720"/>
        <w:rPr>
          <w:rFonts w:ascii="Arial" w:hAnsi="Arial" w:cs="Arial"/>
          <w:color w:val="FF0000"/>
          <w:sz w:val="24"/>
          <w:szCs w:val="24"/>
        </w:rPr>
      </w:pPr>
      <w:r>
        <w:rPr>
          <w:rFonts w:ascii="Arial" w:hAnsi="Arial" w:cs="Arial"/>
          <w:sz w:val="24"/>
          <w:szCs w:val="24"/>
        </w:rPr>
        <w:t>The patent s</w:t>
      </w:r>
      <w:r w:rsidR="00156825">
        <w:rPr>
          <w:rFonts w:ascii="Arial" w:hAnsi="Arial" w:cs="Arial"/>
          <w:sz w:val="24"/>
          <w:szCs w:val="24"/>
        </w:rPr>
        <w:t xml:space="preserve">ystem was developed because patent protection </w:t>
      </w:r>
      <w:r>
        <w:rPr>
          <w:rFonts w:ascii="Arial" w:hAnsi="Arial" w:cs="Arial"/>
          <w:sz w:val="24"/>
          <w:szCs w:val="24"/>
        </w:rPr>
        <w:t>promote</w:t>
      </w:r>
      <w:r w:rsidR="00156825">
        <w:rPr>
          <w:rFonts w:ascii="Arial" w:hAnsi="Arial" w:cs="Arial"/>
          <w:sz w:val="24"/>
          <w:szCs w:val="24"/>
        </w:rPr>
        <w:t>s</w:t>
      </w:r>
      <w:r>
        <w:rPr>
          <w:rFonts w:ascii="Arial" w:hAnsi="Arial" w:cs="Arial"/>
          <w:sz w:val="24"/>
          <w:szCs w:val="24"/>
        </w:rPr>
        <w:t xml:space="preserve"> the public interest in technological advances more effe</w:t>
      </w:r>
      <w:r w:rsidR="00156825">
        <w:rPr>
          <w:rFonts w:ascii="Arial" w:hAnsi="Arial" w:cs="Arial"/>
          <w:sz w:val="24"/>
          <w:szCs w:val="24"/>
        </w:rPr>
        <w:t xml:space="preserve">ctively than trade secrets </w:t>
      </w:r>
      <w:r w:rsidR="00EA75E6">
        <w:rPr>
          <w:rFonts w:ascii="Arial" w:hAnsi="Arial" w:cs="Arial"/>
          <w:sz w:val="24"/>
          <w:szCs w:val="24"/>
        </w:rPr>
        <w:t xml:space="preserve">policy </w:t>
      </w:r>
      <w:r w:rsidR="00156825">
        <w:rPr>
          <w:rFonts w:ascii="Arial" w:hAnsi="Arial" w:cs="Arial"/>
          <w:sz w:val="24"/>
          <w:szCs w:val="24"/>
        </w:rPr>
        <w:t>do</w:t>
      </w:r>
      <w:r w:rsidR="00EA75E6">
        <w:rPr>
          <w:rFonts w:ascii="Arial" w:hAnsi="Arial" w:cs="Arial"/>
          <w:sz w:val="24"/>
          <w:szCs w:val="24"/>
        </w:rPr>
        <w:t>es</w:t>
      </w:r>
      <w:r>
        <w:rPr>
          <w:rFonts w:ascii="Arial" w:hAnsi="Arial" w:cs="Arial"/>
          <w:sz w:val="24"/>
          <w:szCs w:val="24"/>
        </w:rPr>
        <w:t>.</w:t>
      </w:r>
      <w:r>
        <w:rPr>
          <w:rStyle w:val="FootnoteReference"/>
          <w:rFonts w:ascii="Arial" w:hAnsi="Arial" w:cs="Arial"/>
          <w:sz w:val="24"/>
          <w:szCs w:val="24"/>
        </w:rPr>
        <w:footnoteReference w:id="259"/>
      </w:r>
      <w:r>
        <w:rPr>
          <w:rFonts w:ascii="Arial" w:hAnsi="Arial" w:cs="Arial"/>
          <w:sz w:val="24"/>
          <w:szCs w:val="24"/>
        </w:rPr>
        <w:t xml:space="preserve">  In the </w:t>
      </w:r>
      <w:r w:rsidR="00EA75E6">
        <w:rPr>
          <w:rFonts w:ascii="Arial" w:hAnsi="Arial" w:cs="Arial"/>
          <w:sz w:val="24"/>
          <w:szCs w:val="24"/>
        </w:rPr>
        <w:t xml:space="preserve">current </w:t>
      </w:r>
      <w:r>
        <w:rPr>
          <w:rFonts w:ascii="Arial" w:hAnsi="Arial" w:cs="Arial"/>
          <w:sz w:val="24"/>
          <w:szCs w:val="24"/>
        </w:rPr>
        <w:t xml:space="preserve">DNA controversy, the public interest </w:t>
      </w:r>
      <w:r w:rsidR="00DC3C89">
        <w:rPr>
          <w:rFonts w:ascii="Arial" w:hAnsi="Arial" w:cs="Arial"/>
          <w:sz w:val="24"/>
          <w:szCs w:val="24"/>
        </w:rPr>
        <w:t xml:space="preserve">in technological advances </w:t>
      </w:r>
      <w:r>
        <w:rPr>
          <w:rFonts w:ascii="Arial" w:hAnsi="Arial" w:cs="Arial"/>
          <w:sz w:val="24"/>
          <w:szCs w:val="24"/>
        </w:rPr>
        <w:t xml:space="preserve">not is served by granting patent protection to the discovery of DNA sequences.  The granting of such patents </w:t>
      </w:r>
      <w:r w:rsidR="00DC3C89">
        <w:rPr>
          <w:rFonts w:ascii="Arial" w:hAnsi="Arial" w:cs="Arial"/>
          <w:sz w:val="24"/>
          <w:szCs w:val="24"/>
        </w:rPr>
        <w:t xml:space="preserve">is merely allowing trade secrets </w:t>
      </w:r>
      <w:r w:rsidR="003640EE">
        <w:rPr>
          <w:rFonts w:ascii="Arial" w:hAnsi="Arial" w:cs="Arial"/>
          <w:sz w:val="24"/>
          <w:szCs w:val="24"/>
        </w:rPr>
        <w:t xml:space="preserve">a </w:t>
      </w:r>
      <w:r w:rsidR="00DC3C89">
        <w:rPr>
          <w:rFonts w:ascii="Arial" w:hAnsi="Arial" w:cs="Arial"/>
          <w:sz w:val="24"/>
          <w:szCs w:val="24"/>
        </w:rPr>
        <w:t>in different</w:t>
      </w:r>
      <w:r>
        <w:rPr>
          <w:rFonts w:ascii="Arial" w:hAnsi="Arial" w:cs="Arial"/>
          <w:sz w:val="24"/>
          <w:szCs w:val="24"/>
        </w:rPr>
        <w:t xml:space="preserve">, government sanctioned form.  Changing the meaning of the patent statutes </w:t>
      </w:r>
      <w:r w:rsidR="00EA75E6">
        <w:rPr>
          <w:rFonts w:ascii="Arial" w:hAnsi="Arial" w:cs="Arial"/>
          <w:sz w:val="24"/>
          <w:szCs w:val="24"/>
        </w:rPr>
        <w:t>will</w:t>
      </w:r>
      <w:r>
        <w:rPr>
          <w:rFonts w:ascii="Arial" w:hAnsi="Arial" w:cs="Arial"/>
          <w:sz w:val="24"/>
          <w:szCs w:val="24"/>
        </w:rPr>
        <w:t xml:space="preserve"> only inhibit scientific advance</w:t>
      </w:r>
      <w:r w:rsidR="00DC3C89">
        <w:rPr>
          <w:rFonts w:ascii="Arial" w:hAnsi="Arial" w:cs="Arial"/>
          <w:sz w:val="24"/>
          <w:szCs w:val="24"/>
        </w:rPr>
        <w:t>s in the field of genetics and</w:t>
      </w:r>
      <w:r>
        <w:rPr>
          <w:rFonts w:ascii="Arial" w:hAnsi="Arial" w:cs="Arial"/>
          <w:sz w:val="24"/>
          <w:szCs w:val="24"/>
        </w:rPr>
        <w:t xml:space="preserve"> is not in th</w:t>
      </w:r>
      <w:r w:rsidR="00DC3C89">
        <w:rPr>
          <w:rFonts w:ascii="Arial" w:hAnsi="Arial" w:cs="Arial"/>
          <w:sz w:val="24"/>
          <w:szCs w:val="24"/>
        </w:rPr>
        <w:t xml:space="preserve">e public interest.  </w:t>
      </w:r>
    </w:p>
    <w:p w14:paraId="7776DFE3"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In the field of DNA sequence research, much information is freely circulated by </w:t>
      </w:r>
      <w:r>
        <w:rPr>
          <w:rFonts w:ascii="Arial" w:hAnsi="Arial" w:cs="Arial"/>
          <w:sz w:val="24"/>
          <w:szCs w:val="24"/>
        </w:rPr>
        <w:lastRenderedPageBreak/>
        <w:t>both publicly funded researchers and private corporations</w:t>
      </w:r>
      <w:r w:rsidR="00DC3C89">
        <w:rPr>
          <w:rFonts w:ascii="Arial" w:hAnsi="Arial" w:cs="Arial"/>
          <w:sz w:val="24"/>
          <w:szCs w:val="24"/>
        </w:rPr>
        <w:t xml:space="preserve"> who do not hold patents</w:t>
      </w:r>
      <w:r>
        <w:rPr>
          <w:rFonts w:ascii="Arial" w:hAnsi="Arial" w:cs="Arial"/>
          <w:sz w:val="24"/>
          <w:szCs w:val="24"/>
        </w:rPr>
        <w:t>.</w:t>
      </w:r>
      <w:r>
        <w:rPr>
          <w:rStyle w:val="FootnoteReference"/>
          <w:rFonts w:ascii="Arial" w:hAnsi="Arial" w:cs="Arial"/>
          <w:sz w:val="24"/>
          <w:szCs w:val="24"/>
        </w:rPr>
        <w:footnoteReference w:id="260"/>
      </w:r>
      <w:r w:rsidR="00DC3C89">
        <w:rPr>
          <w:rFonts w:ascii="Arial" w:hAnsi="Arial" w:cs="Arial"/>
          <w:sz w:val="24"/>
          <w:szCs w:val="24"/>
        </w:rPr>
        <w:t xml:space="preserve">  When </w:t>
      </w:r>
      <w:r>
        <w:rPr>
          <w:rFonts w:ascii="Arial" w:hAnsi="Arial" w:cs="Arial"/>
          <w:sz w:val="24"/>
          <w:szCs w:val="24"/>
        </w:rPr>
        <w:t>this fr</w:t>
      </w:r>
      <w:r w:rsidR="00DC3C89">
        <w:rPr>
          <w:rFonts w:ascii="Arial" w:hAnsi="Arial" w:cs="Arial"/>
          <w:sz w:val="24"/>
          <w:szCs w:val="24"/>
        </w:rPr>
        <w:t>eely circulating information</w:t>
      </w:r>
      <w:r>
        <w:rPr>
          <w:rFonts w:ascii="Arial" w:hAnsi="Arial" w:cs="Arial"/>
          <w:sz w:val="24"/>
          <w:szCs w:val="24"/>
        </w:rPr>
        <w:t xml:space="preserve"> lead</w:t>
      </w:r>
      <w:r w:rsidR="00DC3C89">
        <w:rPr>
          <w:rFonts w:ascii="Arial" w:hAnsi="Arial" w:cs="Arial"/>
          <w:sz w:val="24"/>
          <w:szCs w:val="24"/>
        </w:rPr>
        <w:t>s</w:t>
      </w:r>
      <w:r>
        <w:rPr>
          <w:rFonts w:ascii="Arial" w:hAnsi="Arial" w:cs="Arial"/>
          <w:sz w:val="24"/>
          <w:szCs w:val="24"/>
        </w:rPr>
        <w:t xml:space="preserve"> to socially useful discoveries, then the exclusionary rights inherent in patent protection are not necessary</w:t>
      </w:r>
      <w:r w:rsidR="00EA75E6">
        <w:rPr>
          <w:rFonts w:ascii="Arial" w:hAnsi="Arial" w:cs="Arial"/>
          <w:sz w:val="24"/>
          <w:szCs w:val="24"/>
        </w:rPr>
        <w:t>.</w:t>
      </w:r>
      <w:r w:rsidR="000E6A2A">
        <w:rPr>
          <w:rFonts w:ascii="Arial" w:hAnsi="Arial" w:cs="Arial"/>
          <w:sz w:val="24"/>
          <w:szCs w:val="24"/>
        </w:rPr>
        <w:t xml:space="preserve">  Patent protection</w:t>
      </w:r>
      <w:r w:rsidR="00DC3C89">
        <w:rPr>
          <w:rFonts w:ascii="Arial" w:hAnsi="Arial" w:cs="Arial"/>
          <w:sz w:val="24"/>
          <w:szCs w:val="24"/>
        </w:rPr>
        <w:t xml:space="preserve"> may actually hinder the discovery process</w:t>
      </w:r>
      <w:r>
        <w:rPr>
          <w:rFonts w:ascii="Arial" w:hAnsi="Arial" w:cs="Arial"/>
          <w:sz w:val="24"/>
          <w:szCs w:val="24"/>
        </w:rPr>
        <w:t xml:space="preserve">.  </w:t>
      </w:r>
    </w:p>
    <w:p w14:paraId="26780C8A"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Public pol</w:t>
      </w:r>
      <w:r w:rsidR="00DC3C89">
        <w:rPr>
          <w:rFonts w:ascii="Arial" w:hAnsi="Arial" w:cs="Arial"/>
          <w:sz w:val="24"/>
          <w:szCs w:val="24"/>
        </w:rPr>
        <w:t>icy in patent law</w:t>
      </w:r>
      <w:r>
        <w:rPr>
          <w:rFonts w:ascii="Arial" w:hAnsi="Arial" w:cs="Arial"/>
          <w:sz w:val="24"/>
          <w:szCs w:val="24"/>
        </w:rPr>
        <w:t xml:space="preserve"> mitigates against granting patents to researchers who discover genetic sequence information.  The government sought, in developing the patent statutes, to protect the intellectual property of inventors and to promote research.  In order to accomplish this goal, the government balanced the interests of inventors, seeking to earn a return upon their investments, against the interests of the public</w:t>
      </w:r>
      <w:r w:rsidR="00DC3C89">
        <w:rPr>
          <w:rFonts w:ascii="Arial" w:hAnsi="Arial" w:cs="Arial"/>
          <w:sz w:val="24"/>
          <w:szCs w:val="24"/>
        </w:rPr>
        <w:t xml:space="preserve"> in </w:t>
      </w:r>
      <w:r w:rsidR="000E6A2A">
        <w:rPr>
          <w:rFonts w:ascii="Arial" w:hAnsi="Arial" w:cs="Arial"/>
          <w:sz w:val="24"/>
          <w:szCs w:val="24"/>
        </w:rPr>
        <w:t xml:space="preserve">receiving </w:t>
      </w:r>
      <w:r w:rsidR="00DC3C89">
        <w:rPr>
          <w:rFonts w:ascii="Arial" w:hAnsi="Arial" w:cs="Arial"/>
          <w:sz w:val="24"/>
          <w:szCs w:val="24"/>
        </w:rPr>
        <w:t xml:space="preserve">the </w:t>
      </w:r>
      <w:r w:rsidR="000E6A2A">
        <w:rPr>
          <w:rFonts w:ascii="Arial" w:hAnsi="Arial" w:cs="Arial"/>
          <w:sz w:val="24"/>
          <w:szCs w:val="24"/>
        </w:rPr>
        <w:t xml:space="preserve">benefit of the </w:t>
      </w:r>
      <w:r w:rsidR="00DC3C89">
        <w:rPr>
          <w:rFonts w:ascii="Arial" w:hAnsi="Arial" w:cs="Arial"/>
          <w:sz w:val="24"/>
          <w:szCs w:val="24"/>
        </w:rPr>
        <w:t>research</w:t>
      </w:r>
      <w:r>
        <w:rPr>
          <w:rFonts w:ascii="Arial" w:hAnsi="Arial" w:cs="Arial"/>
          <w:sz w:val="24"/>
          <w:szCs w:val="24"/>
        </w:rPr>
        <w:t>.</w:t>
      </w:r>
      <w:r>
        <w:rPr>
          <w:rStyle w:val="FootnoteReference"/>
          <w:rFonts w:ascii="Arial" w:hAnsi="Arial" w:cs="Arial"/>
          <w:sz w:val="24"/>
          <w:szCs w:val="24"/>
        </w:rPr>
        <w:footnoteReference w:id="261"/>
      </w:r>
      <w:r>
        <w:rPr>
          <w:rFonts w:ascii="Arial" w:hAnsi="Arial" w:cs="Arial"/>
          <w:sz w:val="24"/>
          <w:szCs w:val="24"/>
        </w:rPr>
        <w:t xml:space="preserve">  A compromise was reached wh</w:t>
      </w:r>
      <w:r w:rsidR="000E6A2A">
        <w:rPr>
          <w:rFonts w:ascii="Arial" w:hAnsi="Arial" w:cs="Arial"/>
          <w:sz w:val="24"/>
          <w:szCs w:val="24"/>
        </w:rPr>
        <w:t>ere</w:t>
      </w:r>
      <w:r>
        <w:rPr>
          <w:rFonts w:ascii="Arial" w:hAnsi="Arial" w:cs="Arial"/>
          <w:sz w:val="24"/>
          <w:szCs w:val="24"/>
        </w:rPr>
        <w:t xml:space="preserve"> disclosure requirements allow free circulation of the invention’s information immediately</w:t>
      </w:r>
      <w:r w:rsidR="00DC3C89">
        <w:rPr>
          <w:rFonts w:ascii="Arial" w:hAnsi="Arial" w:cs="Arial"/>
          <w:sz w:val="24"/>
          <w:szCs w:val="24"/>
        </w:rPr>
        <w:t xml:space="preserve"> upon applying for a patent, while prevent</w:t>
      </w:r>
      <w:r>
        <w:rPr>
          <w:rFonts w:ascii="Arial" w:hAnsi="Arial" w:cs="Arial"/>
          <w:sz w:val="24"/>
          <w:szCs w:val="24"/>
        </w:rPr>
        <w:t>ing commercial imitation</w:t>
      </w:r>
      <w:r w:rsidR="00F53AB1">
        <w:rPr>
          <w:rFonts w:ascii="Arial" w:hAnsi="Arial" w:cs="Arial"/>
          <w:sz w:val="24"/>
          <w:szCs w:val="24"/>
        </w:rPr>
        <w:t xml:space="preserve"> by rivals</w:t>
      </w:r>
      <w:r>
        <w:rPr>
          <w:rFonts w:ascii="Arial" w:hAnsi="Arial" w:cs="Arial"/>
          <w:sz w:val="24"/>
          <w:szCs w:val="24"/>
        </w:rPr>
        <w:t xml:space="preserve">.  If the </w:t>
      </w:r>
      <w:r w:rsidR="00F53AB1">
        <w:rPr>
          <w:rFonts w:ascii="Arial" w:hAnsi="Arial" w:cs="Arial"/>
          <w:sz w:val="24"/>
          <w:szCs w:val="24"/>
        </w:rPr>
        <w:t>courts allow patent statutes</w:t>
      </w:r>
      <w:r>
        <w:rPr>
          <w:rFonts w:ascii="Arial" w:hAnsi="Arial" w:cs="Arial"/>
          <w:sz w:val="24"/>
          <w:szCs w:val="24"/>
        </w:rPr>
        <w:t xml:space="preserve"> to protect information only, then the original balance of interests shift dramatically toward the patent holder</w:t>
      </w:r>
      <w:r w:rsidR="00DC3C89">
        <w:rPr>
          <w:rFonts w:ascii="Arial" w:hAnsi="Arial" w:cs="Arial"/>
          <w:sz w:val="24"/>
          <w:szCs w:val="24"/>
        </w:rPr>
        <w:t xml:space="preserve"> and away from the public</w:t>
      </w:r>
      <w:r>
        <w:rPr>
          <w:rFonts w:ascii="Arial" w:hAnsi="Arial" w:cs="Arial"/>
          <w:sz w:val="24"/>
          <w:szCs w:val="24"/>
        </w:rPr>
        <w:t>.</w:t>
      </w:r>
      <w:r>
        <w:rPr>
          <w:rStyle w:val="FootnoteReference"/>
          <w:rFonts w:ascii="Arial" w:hAnsi="Arial" w:cs="Arial"/>
          <w:sz w:val="24"/>
          <w:szCs w:val="24"/>
        </w:rPr>
        <w:footnoteReference w:id="262"/>
      </w:r>
      <w:r>
        <w:rPr>
          <w:rFonts w:ascii="Arial" w:hAnsi="Arial" w:cs="Arial"/>
          <w:sz w:val="24"/>
          <w:szCs w:val="24"/>
        </w:rPr>
        <w:t xml:space="preserve">  </w:t>
      </w:r>
    </w:p>
    <w:p w14:paraId="6685D462"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Even if the government believes that </w:t>
      </w:r>
      <w:r w:rsidR="00F53AB1">
        <w:rPr>
          <w:rFonts w:ascii="Arial" w:hAnsi="Arial" w:cs="Arial"/>
          <w:sz w:val="24"/>
          <w:szCs w:val="24"/>
        </w:rPr>
        <w:t>some form of protection for patent</w:t>
      </w:r>
      <w:r>
        <w:rPr>
          <w:rFonts w:ascii="Arial" w:hAnsi="Arial" w:cs="Arial"/>
          <w:sz w:val="24"/>
          <w:szCs w:val="24"/>
        </w:rPr>
        <w:t xml:space="preserve"> information is necessary, the patent system is not the</w:t>
      </w:r>
      <w:r w:rsidR="00F53AB1">
        <w:rPr>
          <w:rFonts w:ascii="Arial" w:hAnsi="Arial" w:cs="Arial"/>
          <w:sz w:val="24"/>
          <w:szCs w:val="24"/>
        </w:rPr>
        <w:t xml:space="preserve"> appropriate way to protect that</w:t>
      </w:r>
      <w:r>
        <w:rPr>
          <w:rFonts w:ascii="Arial" w:hAnsi="Arial" w:cs="Arial"/>
          <w:sz w:val="24"/>
          <w:szCs w:val="24"/>
        </w:rPr>
        <w:t xml:space="preserve"> information.  Unlike other forms of intellectual property protection, the patent system has few safety valves that limit the rights of patent holders when the competing interests of the public are overwhelming.</w:t>
      </w:r>
      <w:r>
        <w:rPr>
          <w:rStyle w:val="FootnoteReference"/>
          <w:rFonts w:ascii="Arial" w:hAnsi="Arial" w:cs="Arial"/>
          <w:sz w:val="24"/>
          <w:szCs w:val="24"/>
        </w:rPr>
        <w:footnoteReference w:id="263"/>
      </w:r>
      <w:r>
        <w:rPr>
          <w:rFonts w:ascii="Arial" w:hAnsi="Arial" w:cs="Arial"/>
          <w:sz w:val="24"/>
          <w:szCs w:val="24"/>
        </w:rPr>
        <w:t xml:space="preserve">  In comparison to copyright law, for example, patent law has no fair use doctrine that would permit socially useful ap</w:t>
      </w:r>
      <w:r w:rsidR="00F53AB1">
        <w:rPr>
          <w:rFonts w:ascii="Arial" w:hAnsi="Arial" w:cs="Arial"/>
          <w:sz w:val="24"/>
          <w:szCs w:val="24"/>
        </w:rPr>
        <w:t>plications of patented</w:t>
      </w:r>
      <w:r>
        <w:rPr>
          <w:rFonts w:ascii="Arial" w:hAnsi="Arial" w:cs="Arial"/>
          <w:sz w:val="24"/>
          <w:szCs w:val="24"/>
        </w:rPr>
        <w:t xml:space="preserve"> information without obtaining a license.</w:t>
      </w:r>
      <w:r>
        <w:rPr>
          <w:rStyle w:val="FootnoteReference"/>
          <w:rFonts w:ascii="Arial" w:hAnsi="Arial" w:cs="Arial"/>
          <w:sz w:val="24"/>
          <w:szCs w:val="24"/>
        </w:rPr>
        <w:footnoteReference w:id="264"/>
      </w:r>
      <w:r>
        <w:rPr>
          <w:rFonts w:ascii="Arial" w:hAnsi="Arial" w:cs="Arial"/>
          <w:sz w:val="24"/>
          <w:szCs w:val="24"/>
        </w:rPr>
        <w:t xml:space="preserve">  Patent law’s narrow research e</w:t>
      </w:r>
      <w:r w:rsidR="00F53AB1">
        <w:rPr>
          <w:rFonts w:ascii="Arial" w:hAnsi="Arial" w:cs="Arial"/>
          <w:sz w:val="24"/>
          <w:szCs w:val="24"/>
        </w:rPr>
        <w:t xml:space="preserve">xception offers no </w:t>
      </w:r>
      <w:r>
        <w:rPr>
          <w:rFonts w:ascii="Arial" w:hAnsi="Arial" w:cs="Arial"/>
          <w:sz w:val="24"/>
          <w:szCs w:val="24"/>
        </w:rPr>
        <w:t xml:space="preserve">protection </w:t>
      </w:r>
      <w:r w:rsidR="00F53AB1">
        <w:rPr>
          <w:rFonts w:ascii="Arial" w:hAnsi="Arial" w:cs="Arial"/>
          <w:sz w:val="24"/>
          <w:szCs w:val="24"/>
        </w:rPr>
        <w:t xml:space="preserve">against claims of infringement </w:t>
      </w:r>
      <w:r>
        <w:rPr>
          <w:rFonts w:ascii="Arial" w:hAnsi="Arial" w:cs="Arial"/>
          <w:sz w:val="24"/>
          <w:szCs w:val="24"/>
        </w:rPr>
        <w:t xml:space="preserve">to researchers whose activity </w:t>
      </w:r>
      <w:r>
        <w:rPr>
          <w:rFonts w:ascii="Arial" w:hAnsi="Arial" w:cs="Arial"/>
          <w:sz w:val="24"/>
          <w:szCs w:val="24"/>
        </w:rPr>
        <w:lastRenderedPageBreak/>
        <w:t>commercially threatens the patent holder.</w:t>
      </w:r>
      <w:r>
        <w:rPr>
          <w:rStyle w:val="FootnoteReference"/>
          <w:rFonts w:ascii="Arial" w:hAnsi="Arial" w:cs="Arial"/>
          <w:sz w:val="24"/>
          <w:szCs w:val="24"/>
        </w:rPr>
        <w:footnoteReference w:id="265"/>
      </w:r>
      <w:r>
        <w:rPr>
          <w:rFonts w:ascii="Arial" w:hAnsi="Arial" w:cs="Arial"/>
          <w:sz w:val="24"/>
          <w:szCs w:val="24"/>
        </w:rPr>
        <w:t xml:space="preserve">  There is no independent</w:t>
      </w:r>
      <w:r w:rsidR="00F53AB1">
        <w:rPr>
          <w:rFonts w:ascii="Arial" w:hAnsi="Arial" w:cs="Arial"/>
          <w:sz w:val="24"/>
          <w:szCs w:val="24"/>
        </w:rPr>
        <w:t xml:space="preserve"> patent infringement defense</w:t>
      </w:r>
      <w:r>
        <w:rPr>
          <w:rFonts w:ascii="Arial" w:hAnsi="Arial" w:cs="Arial"/>
          <w:sz w:val="24"/>
          <w:szCs w:val="24"/>
        </w:rPr>
        <w:t xml:space="preserve"> </w:t>
      </w:r>
      <w:r w:rsidR="00F53AB1">
        <w:rPr>
          <w:rFonts w:ascii="Arial" w:hAnsi="Arial" w:cs="Arial"/>
          <w:sz w:val="24"/>
          <w:szCs w:val="24"/>
        </w:rPr>
        <w:t>similar to defenses that exist</w:t>
      </w:r>
      <w:r>
        <w:rPr>
          <w:rFonts w:ascii="Arial" w:hAnsi="Arial" w:cs="Arial"/>
          <w:sz w:val="24"/>
          <w:szCs w:val="24"/>
        </w:rPr>
        <w:t xml:space="preserve"> in copyright and trade secret law.</w:t>
      </w:r>
      <w:r>
        <w:rPr>
          <w:rStyle w:val="FootnoteReference"/>
          <w:rFonts w:ascii="Arial" w:hAnsi="Arial" w:cs="Arial"/>
          <w:sz w:val="24"/>
          <w:szCs w:val="24"/>
        </w:rPr>
        <w:footnoteReference w:id="266"/>
      </w:r>
      <w:r>
        <w:rPr>
          <w:rFonts w:ascii="Arial" w:hAnsi="Arial" w:cs="Arial"/>
          <w:sz w:val="24"/>
          <w:szCs w:val="24"/>
        </w:rPr>
        <w:t xml:space="preserve">  The is no </w:t>
      </w:r>
      <w:r w:rsidR="00C1139B">
        <w:rPr>
          <w:rFonts w:ascii="Arial" w:hAnsi="Arial" w:cs="Arial"/>
          <w:sz w:val="24"/>
          <w:szCs w:val="24"/>
        </w:rPr>
        <w:t xml:space="preserve">patent law </w:t>
      </w:r>
      <w:r>
        <w:rPr>
          <w:rFonts w:ascii="Arial" w:hAnsi="Arial" w:cs="Arial"/>
          <w:sz w:val="24"/>
          <w:szCs w:val="24"/>
        </w:rPr>
        <w:t xml:space="preserve">defense </w:t>
      </w:r>
      <w:r w:rsidR="00C1139B">
        <w:rPr>
          <w:rFonts w:ascii="Arial" w:hAnsi="Arial" w:cs="Arial"/>
          <w:sz w:val="24"/>
          <w:szCs w:val="24"/>
        </w:rPr>
        <w:t xml:space="preserve">that allows </w:t>
      </w:r>
      <w:r>
        <w:rPr>
          <w:rFonts w:ascii="Arial" w:hAnsi="Arial" w:cs="Arial"/>
          <w:sz w:val="24"/>
          <w:szCs w:val="24"/>
        </w:rPr>
        <w:t xml:space="preserve">reverse engineering </w:t>
      </w:r>
      <w:r w:rsidR="00C1139B">
        <w:rPr>
          <w:rFonts w:ascii="Arial" w:hAnsi="Arial" w:cs="Arial"/>
          <w:sz w:val="24"/>
          <w:szCs w:val="24"/>
        </w:rPr>
        <w:t>like</w:t>
      </w:r>
      <w:r>
        <w:rPr>
          <w:rFonts w:ascii="Arial" w:hAnsi="Arial" w:cs="Arial"/>
          <w:sz w:val="24"/>
          <w:szCs w:val="24"/>
        </w:rPr>
        <w:t xml:space="preserve"> there is in trade secret law.</w:t>
      </w:r>
      <w:r>
        <w:rPr>
          <w:rStyle w:val="FootnoteReference"/>
          <w:rFonts w:ascii="Arial" w:hAnsi="Arial" w:cs="Arial"/>
          <w:sz w:val="24"/>
          <w:szCs w:val="24"/>
        </w:rPr>
        <w:footnoteReference w:id="267"/>
      </w:r>
      <w:r>
        <w:rPr>
          <w:rFonts w:ascii="Arial" w:hAnsi="Arial" w:cs="Arial"/>
          <w:sz w:val="24"/>
          <w:szCs w:val="24"/>
        </w:rPr>
        <w:t xml:space="preserve">  Full disclosure by the patent holder and the limited term of the patent protection are the </w:t>
      </w:r>
      <w:r w:rsidR="00E35BA6">
        <w:rPr>
          <w:rFonts w:ascii="Arial" w:hAnsi="Arial" w:cs="Arial"/>
          <w:sz w:val="24"/>
          <w:szCs w:val="24"/>
        </w:rPr>
        <w:t>only aspects of patent law that</w:t>
      </w:r>
      <w:r w:rsidR="00F53AB1">
        <w:rPr>
          <w:rFonts w:ascii="Arial" w:hAnsi="Arial" w:cs="Arial"/>
          <w:sz w:val="24"/>
          <w:szCs w:val="24"/>
        </w:rPr>
        <w:t xml:space="preserve"> </w:t>
      </w:r>
      <w:r>
        <w:rPr>
          <w:rFonts w:ascii="Arial" w:hAnsi="Arial" w:cs="Arial"/>
          <w:sz w:val="24"/>
          <w:szCs w:val="24"/>
        </w:rPr>
        <w:t>address the interests of the public.</w:t>
      </w:r>
      <w:r>
        <w:rPr>
          <w:rStyle w:val="FootnoteReference"/>
          <w:rFonts w:ascii="Arial" w:hAnsi="Arial" w:cs="Arial"/>
          <w:sz w:val="24"/>
          <w:szCs w:val="24"/>
        </w:rPr>
        <w:footnoteReference w:id="268"/>
      </w:r>
      <w:r w:rsidR="00F53AB1">
        <w:rPr>
          <w:rFonts w:ascii="Arial" w:hAnsi="Arial" w:cs="Arial"/>
          <w:sz w:val="24"/>
          <w:szCs w:val="24"/>
        </w:rPr>
        <w:t xml:space="preserve">  T</w:t>
      </w:r>
      <w:r>
        <w:rPr>
          <w:rFonts w:ascii="Arial" w:hAnsi="Arial" w:cs="Arial"/>
          <w:sz w:val="24"/>
          <w:szCs w:val="24"/>
        </w:rPr>
        <w:t xml:space="preserve">he way the system </w:t>
      </w:r>
      <w:r w:rsidR="00E35BA6">
        <w:rPr>
          <w:rFonts w:ascii="Arial" w:hAnsi="Arial" w:cs="Arial"/>
          <w:sz w:val="24"/>
          <w:szCs w:val="24"/>
        </w:rPr>
        <w:t xml:space="preserve">currently </w:t>
      </w:r>
      <w:r>
        <w:rPr>
          <w:rFonts w:ascii="Arial" w:hAnsi="Arial" w:cs="Arial"/>
          <w:sz w:val="24"/>
          <w:szCs w:val="24"/>
        </w:rPr>
        <w:t>operates, the patent system allows unlicensed use of the information about the invention, but not unlicensed use of the invention itself.</w:t>
      </w:r>
      <w:r>
        <w:rPr>
          <w:rStyle w:val="FootnoteReference"/>
          <w:rFonts w:ascii="Arial" w:hAnsi="Arial" w:cs="Arial"/>
          <w:sz w:val="24"/>
          <w:szCs w:val="24"/>
        </w:rPr>
        <w:footnoteReference w:id="269"/>
      </w:r>
      <w:r>
        <w:rPr>
          <w:rFonts w:ascii="Arial" w:hAnsi="Arial" w:cs="Arial"/>
          <w:sz w:val="24"/>
          <w:szCs w:val="24"/>
        </w:rPr>
        <w:t xml:space="preserve">  Patents that provide protection for the perception and analysis of genetic sequence information</w:t>
      </w:r>
      <w:r w:rsidR="00E35BA6">
        <w:rPr>
          <w:rFonts w:ascii="Arial" w:hAnsi="Arial" w:cs="Arial"/>
          <w:sz w:val="24"/>
          <w:szCs w:val="24"/>
        </w:rPr>
        <w:t xml:space="preserve"> would</w:t>
      </w:r>
      <w:r>
        <w:rPr>
          <w:rFonts w:ascii="Arial" w:hAnsi="Arial" w:cs="Arial"/>
          <w:sz w:val="24"/>
          <w:szCs w:val="24"/>
        </w:rPr>
        <w:t xml:space="preserve"> effectively defeat the purpose of the patent system.</w:t>
      </w:r>
      <w:r>
        <w:rPr>
          <w:rStyle w:val="FootnoteReference"/>
          <w:rFonts w:ascii="Arial" w:hAnsi="Arial" w:cs="Arial"/>
          <w:sz w:val="24"/>
          <w:szCs w:val="24"/>
        </w:rPr>
        <w:footnoteReference w:id="270"/>
      </w:r>
    </w:p>
    <w:p w14:paraId="3731B408" w14:textId="77777777" w:rsidR="00735F29" w:rsidRDefault="00266159">
      <w:pPr>
        <w:widowControl w:val="0"/>
        <w:spacing w:line="480" w:lineRule="atLeast"/>
        <w:ind w:firstLine="720"/>
        <w:rPr>
          <w:rFonts w:ascii="Arial" w:hAnsi="Arial" w:cs="Arial"/>
          <w:sz w:val="24"/>
          <w:szCs w:val="24"/>
        </w:rPr>
      </w:pPr>
      <w:r>
        <w:rPr>
          <w:rFonts w:ascii="Arial" w:hAnsi="Arial" w:cs="Arial"/>
          <w:sz w:val="24"/>
          <w:szCs w:val="24"/>
        </w:rPr>
        <w:t>P</w:t>
      </w:r>
      <w:r w:rsidR="00735F29">
        <w:rPr>
          <w:rFonts w:ascii="Arial" w:hAnsi="Arial" w:cs="Arial"/>
          <w:sz w:val="24"/>
          <w:szCs w:val="24"/>
        </w:rPr>
        <w:t>roviding patent protection for information contained in DNA sequences, whether the protection is of information about DNA molecules and constructs or information about DNA sequences in computer</w:t>
      </w:r>
      <w:r w:rsidR="00C1139B">
        <w:rPr>
          <w:rFonts w:ascii="Arial" w:hAnsi="Arial" w:cs="Arial"/>
          <w:sz w:val="24"/>
          <w:szCs w:val="24"/>
        </w:rPr>
        <w:t>-</w:t>
      </w:r>
      <w:r w:rsidR="00735F29">
        <w:rPr>
          <w:rFonts w:ascii="Arial" w:hAnsi="Arial" w:cs="Arial"/>
          <w:sz w:val="24"/>
          <w:szCs w:val="24"/>
        </w:rPr>
        <w:t>r</w:t>
      </w:r>
      <w:r>
        <w:rPr>
          <w:rFonts w:ascii="Arial" w:hAnsi="Arial" w:cs="Arial"/>
          <w:sz w:val="24"/>
          <w:szCs w:val="24"/>
        </w:rPr>
        <w:t xml:space="preserve">eadable form, would negatively impact and </w:t>
      </w:r>
      <w:proofErr w:type="gramStart"/>
      <w:r>
        <w:rPr>
          <w:rFonts w:ascii="Arial" w:hAnsi="Arial" w:cs="Arial"/>
          <w:sz w:val="24"/>
          <w:szCs w:val="24"/>
        </w:rPr>
        <w:t xml:space="preserve">possibly </w:t>
      </w:r>
      <w:r w:rsidR="003640EE">
        <w:rPr>
          <w:rFonts w:ascii="Arial" w:hAnsi="Arial" w:cs="Arial"/>
          <w:sz w:val="24"/>
          <w:szCs w:val="24"/>
        </w:rPr>
        <w:t>even</w:t>
      </w:r>
      <w:proofErr w:type="gramEnd"/>
      <w:r w:rsidR="003640EE">
        <w:rPr>
          <w:rFonts w:ascii="Arial" w:hAnsi="Arial" w:cs="Arial"/>
          <w:sz w:val="24"/>
          <w:szCs w:val="24"/>
        </w:rPr>
        <w:t xml:space="preserve"> </w:t>
      </w:r>
      <w:r>
        <w:rPr>
          <w:rFonts w:ascii="Arial" w:hAnsi="Arial" w:cs="Arial"/>
          <w:sz w:val="24"/>
          <w:szCs w:val="24"/>
        </w:rPr>
        <w:t>curtail researchers’</w:t>
      </w:r>
      <w:r w:rsidR="00735F29">
        <w:rPr>
          <w:rFonts w:ascii="Arial" w:hAnsi="Arial" w:cs="Arial"/>
          <w:sz w:val="24"/>
          <w:szCs w:val="24"/>
        </w:rPr>
        <w:t xml:space="preserve"> activ</w:t>
      </w:r>
      <w:r>
        <w:rPr>
          <w:rFonts w:ascii="Arial" w:hAnsi="Arial" w:cs="Arial"/>
          <w:sz w:val="24"/>
          <w:szCs w:val="24"/>
        </w:rPr>
        <w:t>ities.  The public in general would be</w:t>
      </w:r>
      <w:r w:rsidR="00735F29">
        <w:rPr>
          <w:rFonts w:ascii="Arial" w:hAnsi="Arial" w:cs="Arial"/>
          <w:sz w:val="24"/>
          <w:szCs w:val="24"/>
        </w:rPr>
        <w:t xml:space="preserve"> harm</w:t>
      </w:r>
      <w:r>
        <w:rPr>
          <w:rFonts w:ascii="Arial" w:hAnsi="Arial" w:cs="Arial"/>
          <w:sz w:val="24"/>
          <w:szCs w:val="24"/>
        </w:rPr>
        <w:t>ed.  The argument that</w:t>
      </w:r>
      <w:r w:rsidR="00735F29">
        <w:rPr>
          <w:rFonts w:ascii="Arial" w:hAnsi="Arial" w:cs="Arial"/>
          <w:sz w:val="24"/>
          <w:szCs w:val="24"/>
        </w:rPr>
        <w:t xml:space="preserve"> risky and costly research and commercial development will cease </w:t>
      </w:r>
      <w:r>
        <w:rPr>
          <w:rFonts w:ascii="Arial" w:hAnsi="Arial" w:cs="Arial"/>
          <w:sz w:val="24"/>
          <w:szCs w:val="24"/>
        </w:rPr>
        <w:t xml:space="preserve">if patent protection is denied is not </w:t>
      </w:r>
      <w:proofErr w:type="gramStart"/>
      <w:r w:rsidR="00C1139B">
        <w:rPr>
          <w:rFonts w:ascii="Arial" w:hAnsi="Arial" w:cs="Arial"/>
          <w:sz w:val="24"/>
          <w:szCs w:val="24"/>
        </w:rPr>
        <w:t xml:space="preserve">nearly </w:t>
      </w:r>
      <w:r>
        <w:rPr>
          <w:rFonts w:ascii="Arial" w:hAnsi="Arial" w:cs="Arial"/>
          <w:sz w:val="24"/>
          <w:szCs w:val="24"/>
        </w:rPr>
        <w:t>as</w:t>
      </w:r>
      <w:proofErr w:type="gramEnd"/>
      <w:r>
        <w:rPr>
          <w:rFonts w:ascii="Arial" w:hAnsi="Arial" w:cs="Arial"/>
          <w:sz w:val="24"/>
          <w:szCs w:val="24"/>
        </w:rPr>
        <w:t xml:space="preserve"> compelling </w:t>
      </w:r>
      <w:r w:rsidR="00735F29">
        <w:rPr>
          <w:rFonts w:ascii="Arial" w:hAnsi="Arial" w:cs="Arial"/>
          <w:sz w:val="24"/>
          <w:szCs w:val="24"/>
        </w:rPr>
        <w:t xml:space="preserve">as </w:t>
      </w:r>
      <w:r w:rsidR="00251B83">
        <w:rPr>
          <w:rFonts w:ascii="Arial" w:hAnsi="Arial" w:cs="Arial"/>
          <w:sz w:val="24"/>
          <w:szCs w:val="24"/>
        </w:rPr>
        <w:t>the argument</w:t>
      </w:r>
      <w:r w:rsidR="00735F29">
        <w:rPr>
          <w:rFonts w:ascii="Arial" w:hAnsi="Arial" w:cs="Arial"/>
          <w:sz w:val="24"/>
          <w:szCs w:val="24"/>
        </w:rPr>
        <w:t xml:space="preserve"> </w:t>
      </w:r>
      <w:r w:rsidR="00251B83">
        <w:rPr>
          <w:rFonts w:ascii="Arial" w:hAnsi="Arial" w:cs="Arial"/>
          <w:sz w:val="24"/>
          <w:szCs w:val="24"/>
        </w:rPr>
        <w:t xml:space="preserve">that </w:t>
      </w:r>
      <w:r w:rsidR="00735F29">
        <w:rPr>
          <w:rFonts w:ascii="Arial" w:hAnsi="Arial" w:cs="Arial"/>
          <w:sz w:val="24"/>
          <w:szCs w:val="24"/>
        </w:rPr>
        <w:t xml:space="preserve">free access to DNA </w:t>
      </w:r>
      <w:r w:rsidR="00251B83">
        <w:rPr>
          <w:rFonts w:ascii="Arial" w:hAnsi="Arial" w:cs="Arial"/>
          <w:sz w:val="24"/>
          <w:szCs w:val="24"/>
        </w:rPr>
        <w:t>sequence information</w:t>
      </w:r>
      <w:r w:rsidR="00735F29">
        <w:rPr>
          <w:rFonts w:ascii="Arial" w:hAnsi="Arial" w:cs="Arial"/>
          <w:sz w:val="24"/>
          <w:szCs w:val="24"/>
        </w:rPr>
        <w:t xml:space="preserve"> promote</w:t>
      </w:r>
      <w:r w:rsidR="00251B83">
        <w:rPr>
          <w:rFonts w:ascii="Arial" w:hAnsi="Arial" w:cs="Arial"/>
          <w:sz w:val="24"/>
          <w:szCs w:val="24"/>
        </w:rPr>
        <w:t>s</w:t>
      </w:r>
      <w:r w:rsidR="00735F29">
        <w:rPr>
          <w:rFonts w:ascii="Arial" w:hAnsi="Arial" w:cs="Arial"/>
          <w:sz w:val="24"/>
          <w:szCs w:val="24"/>
        </w:rPr>
        <w:t xml:space="preserve"> scientific progress.  Although the importance of patent protection in the development of new drugs has been established, the importance of protecting DNA sequence information is purely speculative.  </w:t>
      </w:r>
    </w:p>
    <w:p w14:paraId="08D45720" w14:textId="77777777" w:rsidR="00735F29" w:rsidRDefault="00735F29">
      <w:pPr>
        <w:widowControl w:val="0"/>
        <w:spacing w:line="480" w:lineRule="atLeast"/>
        <w:ind w:firstLine="720"/>
        <w:rPr>
          <w:rFonts w:ascii="Arial" w:hAnsi="Arial" w:cs="Arial"/>
          <w:sz w:val="24"/>
          <w:szCs w:val="24"/>
        </w:rPr>
      </w:pPr>
      <w:r>
        <w:rPr>
          <w:rFonts w:ascii="Arial" w:hAnsi="Arial" w:cs="Arial"/>
          <w:sz w:val="24"/>
          <w:szCs w:val="24"/>
        </w:rPr>
        <w:t xml:space="preserve">Legal scholar Rebecca Eisenberg </w:t>
      </w:r>
      <w:r w:rsidR="00251B83">
        <w:rPr>
          <w:rFonts w:ascii="Arial" w:hAnsi="Arial" w:cs="Arial"/>
          <w:sz w:val="24"/>
          <w:szCs w:val="24"/>
        </w:rPr>
        <w:t>argued that</w:t>
      </w:r>
      <w:r>
        <w:rPr>
          <w:rFonts w:ascii="Arial" w:hAnsi="Arial" w:cs="Arial"/>
          <w:sz w:val="24"/>
          <w:szCs w:val="24"/>
        </w:rPr>
        <w:t xml:space="preserve"> the government should provide </w:t>
      </w:r>
      <w:r>
        <w:rPr>
          <w:rFonts w:ascii="Arial" w:hAnsi="Arial" w:cs="Arial"/>
          <w:sz w:val="24"/>
          <w:szCs w:val="24"/>
        </w:rPr>
        <w:lastRenderedPageBreak/>
        <w:t>patent protection for genome sequencing research</w:t>
      </w:r>
      <w:r w:rsidR="00F77516">
        <w:rPr>
          <w:rFonts w:ascii="Arial" w:hAnsi="Arial" w:cs="Arial"/>
          <w:sz w:val="24"/>
          <w:szCs w:val="24"/>
        </w:rPr>
        <w:t>,</w:t>
      </w:r>
      <w:r>
        <w:rPr>
          <w:rFonts w:ascii="Arial" w:hAnsi="Arial" w:cs="Arial"/>
          <w:sz w:val="24"/>
          <w:szCs w:val="24"/>
        </w:rPr>
        <w:t xml:space="preserve"> in a</w:t>
      </w:r>
      <w:r w:rsidR="00251B83">
        <w:rPr>
          <w:rFonts w:ascii="Arial" w:hAnsi="Arial" w:cs="Arial"/>
          <w:sz w:val="24"/>
          <w:szCs w:val="24"/>
        </w:rPr>
        <w:t>ddition to providing funding</w:t>
      </w:r>
      <w:r>
        <w:rPr>
          <w:rFonts w:ascii="Arial" w:hAnsi="Arial" w:cs="Arial"/>
          <w:sz w:val="24"/>
          <w:szCs w:val="24"/>
        </w:rPr>
        <w:t>.</w:t>
      </w:r>
      <w:r>
        <w:rPr>
          <w:rStyle w:val="FootnoteReference"/>
          <w:rFonts w:ascii="Arial" w:hAnsi="Arial" w:cs="Arial"/>
          <w:sz w:val="24"/>
          <w:szCs w:val="24"/>
        </w:rPr>
        <w:footnoteReference w:id="271"/>
      </w:r>
      <w:r>
        <w:rPr>
          <w:rFonts w:ascii="Arial" w:hAnsi="Arial" w:cs="Arial"/>
          <w:sz w:val="24"/>
          <w:szCs w:val="24"/>
        </w:rPr>
        <w:t xml:space="preserve">  She justified </w:t>
      </w:r>
      <w:r w:rsidR="003640EE">
        <w:rPr>
          <w:rFonts w:ascii="Arial" w:hAnsi="Arial" w:cs="Arial"/>
          <w:sz w:val="24"/>
          <w:szCs w:val="24"/>
        </w:rPr>
        <w:t>her</w:t>
      </w:r>
      <w:r>
        <w:rPr>
          <w:rFonts w:ascii="Arial" w:hAnsi="Arial" w:cs="Arial"/>
          <w:sz w:val="24"/>
          <w:szCs w:val="24"/>
        </w:rPr>
        <w:t xml:space="preserve"> view by stating that sequencing research required patent protection because of its limited scope subject to “an appropriately framed experimental use exemption.”</w:t>
      </w:r>
      <w:r>
        <w:rPr>
          <w:rStyle w:val="FootnoteReference"/>
          <w:rFonts w:ascii="Arial" w:hAnsi="Arial" w:cs="Arial"/>
          <w:sz w:val="24"/>
          <w:szCs w:val="24"/>
        </w:rPr>
        <w:footnoteReference w:id="272"/>
      </w:r>
      <w:r w:rsidR="00251B83">
        <w:rPr>
          <w:rFonts w:ascii="Arial" w:hAnsi="Arial" w:cs="Arial"/>
          <w:sz w:val="24"/>
          <w:szCs w:val="24"/>
        </w:rPr>
        <w:t xml:space="preserve">  She </w:t>
      </w:r>
      <w:r>
        <w:rPr>
          <w:rFonts w:ascii="Arial" w:hAnsi="Arial" w:cs="Arial"/>
          <w:sz w:val="24"/>
          <w:szCs w:val="24"/>
        </w:rPr>
        <w:t>s</w:t>
      </w:r>
      <w:r w:rsidR="00251B83">
        <w:rPr>
          <w:rFonts w:ascii="Arial" w:hAnsi="Arial" w:cs="Arial"/>
          <w:sz w:val="24"/>
          <w:szCs w:val="24"/>
        </w:rPr>
        <w:t>aid</w:t>
      </w:r>
      <w:r>
        <w:rPr>
          <w:rFonts w:ascii="Arial" w:hAnsi="Arial" w:cs="Arial"/>
          <w:sz w:val="24"/>
          <w:szCs w:val="24"/>
        </w:rPr>
        <w:t xml:space="preserve"> that patent protection will promote scientific research more effectively than leaving it in the public domain.</w:t>
      </w:r>
      <w:r>
        <w:rPr>
          <w:rStyle w:val="FootnoteReference"/>
          <w:rFonts w:ascii="Arial" w:hAnsi="Arial" w:cs="Arial"/>
          <w:sz w:val="24"/>
          <w:szCs w:val="24"/>
        </w:rPr>
        <w:footnoteReference w:id="273"/>
      </w:r>
      <w:r>
        <w:rPr>
          <w:rFonts w:ascii="Arial" w:hAnsi="Arial" w:cs="Arial"/>
          <w:sz w:val="24"/>
          <w:szCs w:val="24"/>
        </w:rPr>
        <w:t xml:space="preserve">  The new research, however, looks less like a new invention and more like new scientific information, thus causing uncertainty as to where the boundary is between the rights of the researchers and the rights of the public. </w:t>
      </w:r>
    </w:p>
    <w:p w14:paraId="551F0D49" w14:textId="77777777" w:rsidR="00F85022" w:rsidRDefault="00735F29" w:rsidP="004D7747">
      <w:pPr>
        <w:widowControl w:val="0"/>
        <w:spacing w:line="480" w:lineRule="atLeast"/>
        <w:rPr>
          <w:rFonts w:ascii="Arial" w:hAnsi="Arial" w:cs="Arial"/>
          <w:sz w:val="24"/>
          <w:szCs w:val="24"/>
        </w:rPr>
      </w:pPr>
      <w:r>
        <w:rPr>
          <w:rFonts w:ascii="Arial" w:hAnsi="Arial" w:cs="Arial"/>
          <w:sz w:val="24"/>
          <w:szCs w:val="24"/>
        </w:rPr>
        <w:tab/>
        <w:t>The U.S. Patent and Trademark Office is violating its own guidelines and previous court decisions by granting patents to individuals and companies seeking to patent gene and partial gene sequences.  Clearly, genes are physical phenomena which the courts have defined as not patentable subject matter.  The only exception to this case is that of a novel gene sequence, including the processes and technology utilized to create it, where a human being actually intervenes to create or develop the new sequence or process.  That, however, is not what</w:t>
      </w:r>
      <w:r w:rsidR="004D7747">
        <w:rPr>
          <w:rFonts w:ascii="Arial" w:hAnsi="Arial" w:cs="Arial"/>
          <w:sz w:val="24"/>
          <w:szCs w:val="24"/>
        </w:rPr>
        <w:t xml:space="preserve"> many</w:t>
      </w:r>
      <w:r>
        <w:rPr>
          <w:rFonts w:ascii="Arial" w:hAnsi="Arial" w:cs="Arial"/>
          <w:sz w:val="24"/>
          <w:szCs w:val="24"/>
        </w:rPr>
        <w:t xml:space="preserve"> biotech firms, such as Celera, are attempting to p</w:t>
      </w:r>
      <w:r w:rsidR="00F85022">
        <w:rPr>
          <w:rFonts w:ascii="Arial" w:hAnsi="Arial" w:cs="Arial"/>
          <w:sz w:val="24"/>
          <w:szCs w:val="24"/>
        </w:rPr>
        <w:t>atent.  The subject matter that</w:t>
      </w:r>
      <w:r>
        <w:rPr>
          <w:rFonts w:ascii="Arial" w:hAnsi="Arial" w:cs="Arial"/>
          <w:sz w:val="24"/>
          <w:szCs w:val="24"/>
        </w:rPr>
        <w:t xml:space="preserve"> they are trying to monopolize is the mapping and descriptions of gene</w:t>
      </w:r>
      <w:r w:rsidR="00F77516">
        <w:rPr>
          <w:rFonts w:ascii="Arial" w:hAnsi="Arial" w:cs="Arial"/>
          <w:sz w:val="24"/>
          <w:szCs w:val="24"/>
        </w:rPr>
        <w:t>s</w:t>
      </w:r>
      <w:r>
        <w:rPr>
          <w:rFonts w:ascii="Arial" w:hAnsi="Arial" w:cs="Arial"/>
          <w:sz w:val="24"/>
          <w:szCs w:val="24"/>
        </w:rPr>
        <w:t xml:space="preserve"> and partial gene sequences which occur in nature.   The most obvious solution is for the Patent Office to reject biotechnology patent applications on such subject matter, and, as an added safeguard, for active, involved citizens to petition their legislative representatives to pass laws preventing biotech firms from patenting naturally-occurring genes and partial gene sequences.  This may then reverse the recent </w:t>
      </w:r>
      <w:r w:rsidR="00F85022">
        <w:rPr>
          <w:rFonts w:ascii="Arial" w:hAnsi="Arial" w:cs="Arial"/>
          <w:sz w:val="24"/>
          <w:szCs w:val="24"/>
        </w:rPr>
        <w:t xml:space="preserve">troubling </w:t>
      </w:r>
      <w:r>
        <w:rPr>
          <w:rFonts w:ascii="Arial" w:hAnsi="Arial" w:cs="Arial"/>
          <w:sz w:val="24"/>
          <w:szCs w:val="24"/>
        </w:rPr>
        <w:t xml:space="preserve">trend toward scientific secrecy and restore the free flow of scientific knowledge between laboratories doing genetic research.  </w:t>
      </w:r>
    </w:p>
    <w:p w14:paraId="234D9F3C" w14:textId="77777777" w:rsidR="004D7747" w:rsidRPr="004D7747" w:rsidRDefault="004D7747" w:rsidP="004D7747">
      <w:pPr>
        <w:widowControl w:val="0"/>
        <w:spacing w:line="480" w:lineRule="atLeast"/>
        <w:rPr>
          <w:rFonts w:ascii="Arial" w:hAnsi="Arial" w:cs="Arial"/>
          <w:sz w:val="24"/>
          <w:szCs w:val="24"/>
        </w:rPr>
      </w:pPr>
    </w:p>
    <w:p w14:paraId="73E281FB" w14:textId="77777777" w:rsidR="00735F29" w:rsidRPr="007131E0" w:rsidRDefault="00735F29" w:rsidP="004D7747">
      <w:pPr>
        <w:widowControl w:val="0"/>
        <w:spacing w:line="480" w:lineRule="atLeast"/>
        <w:jc w:val="center"/>
        <w:rPr>
          <w:rFonts w:ascii="Arial" w:hAnsi="Arial" w:cs="Arial"/>
          <w:sz w:val="24"/>
          <w:szCs w:val="24"/>
        </w:rPr>
      </w:pPr>
      <w:r>
        <w:rPr>
          <w:rFonts w:ascii="Arial" w:hAnsi="Arial" w:cs="Arial"/>
          <w:b/>
          <w:bCs/>
          <w:sz w:val="24"/>
          <w:szCs w:val="24"/>
        </w:rPr>
        <w:lastRenderedPageBreak/>
        <w:t>Bibliography</w:t>
      </w:r>
    </w:p>
    <w:p w14:paraId="53A17B6F" w14:textId="77777777" w:rsidR="00735F29" w:rsidRDefault="00735F29">
      <w:pPr>
        <w:pStyle w:val="FootnoteText"/>
        <w:rPr>
          <w:sz w:val="24"/>
          <w:szCs w:val="24"/>
        </w:rPr>
      </w:pPr>
    </w:p>
    <w:p w14:paraId="750937E6" w14:textId="77777777" w:rsidR="00735F29" w:rsidRDefault="00735F29">
      <w:pPr>
        <w:pStyle w:val="FootnoteText"/>
        <w:rPr>
          <w:rFonts w:ascii="Arial" w:hAnsi="Arial" w:cs="Arial"/>
          <w:sz w:val="24"/>
          <w:szCs w:val="24"/>
        </w:rPr>
      </w:pPr>
      <w:r>
        <w:rPr>
          <w:rFonts w:ascii="Arial" w:hAnsi="Arial" w:cs="Arial"/>
          <w:sz w:val="24"/>
          <w:szCs w:val="24"/>
        </w:rPr>
        <w:t xml:space="preserve">Begley, </w:t>
      </w:r>
      <w:r>
        <w:rPr>
          <w:rFonts w:ascii="Arial" w:hAnsi="Arial" w:cs="Arial"/>
          <w:i/>
          <w:iCs/>
          <w:sz w:val="24"/>
          <w:szCs w:val="24"/>
        </w:rPr>
        <w:t>Decoding the Human Body</w:t>
      </w:r>
      <w:r>
        <w:rPr>
          <w:rFonts w:ascii="Arial" w:hAnsi="Arial" w:cs="Arial"/>
          <w:sz w:val="24"/>
          <w:szCs w:val="24"/>
        </w:rPr>
        <w:t>, Newsweek, April 10, 2000</w:t>
      </w:r>
    </w:p>
    <w:p w14:paraId="7DB265F1" w14:textId="77777777" w:rsidR="00735F29" w:rsidRDefault="00735F29">
      <w:pPr>
        <w:widowControl w:val="0"/>
        <w:rPr>
          <w:rFonts w:ascii="Arial" w:hAnsi="Arial" w:cs="Arial"/>
          <w:sz w:val="24"/>
          <w:szCs w:val="24"/>
        </w:rPr>
      </w:pPr>
    </w:p>
    <w:p w14:paraId="3FFDC443" w14:textId="77777777" w:rsidR="00735F29" w:rsidRDefault="00735F29">
      <w:pPr>
        <w:widowControl w:val="0"/>
        <w:rPr>
          <w:rFonts w:ascii="Arial" w:hAnsi="Arial" w:cs="Arial"/>
          <w:sz w:val="24"/>
          <w:szCs w:val="24"/>
        </w:rPr>
      </w:pPr>
      <w:proofErr w:type="spellStart"/>
      <w:r>
        <w:rPr>
          <w:rFonts w:ascii="Arial" w:hAnsi="Arial" w:cs="Arial"/>
          <w:sz w:val="24"/>
          <w:szCs w:val="24"/>
        </w:rPr>
        <w:t>Bereano</w:t>
      </w:r>
      <w:proofErr w:type="spellEnd"/>
      <w:r>
        <w:rPr>
          <w:rFonts w:ascii="Arial" w:hAnsi="Arial" w:cs="Arial"/>
          <w:sz w:val="24"/>
          <w:szCs w:val="24"/>
        </w:rPr>
        <w:t xml:space="preserve">, </w:t>
      </w:r>
      <w:proofErr w:type="spellStart"/>
      <w:r>
        <w:rPr>
          <w:rFonts w:ascii="Arial" w:hAnsi="Arial" w:cs="Arial"/>
          <w:i/>
          <w:iCs/>
          <w:sz w:val="24"/>
          <w:szCs w:val="24"/>
        </w:rPr>
        <w:t>Guaymi</w:t>
      </w:r>
      <w:proofErr w:type="spellEnd"/>
      <w:r>
        <w:rPr>
          <w:rFonts w:ascii="Arial" w:hAnsi="Arial" w:cs="Arial"/>
          <w:i/>
          <w:iCs/>
          <w:sz w:val="24"/>
          <w:szCs w:val="24"/>
        </w:rPr>
        <w:t xml:space="preserve"> Tribe was </w:t>
      </w:r>
      <w:proofErr w:type="spellStart"/>
      <w:r>
        <w:rPr>
          <w:rFonts w:ascii="Arial" w:hAnsi="Arial" w:cs="Arial"/>
          <w:i/>
          <w:iCs/>
          <w:sz w:val="24"/>
          <w:szCs w:val="24"/>
        </w:rPr>
        <w:t>Suprised</w:t>
      </w:r>
      <w:proofErr w:type="spellEnd"/>
      <w:r>
        <w:rPr>
          <w:rFonts w:ascii="Arial" w:hAnsi="Arial" w:cs="Arial"/>
          <w:i/>
          <w:iCs/>
          <w:sz w:val="24"/>
          <w:szCs w:val="24"/>
        </w:rPr>
        <w:t xml:space="preserve"> to Discover They were Invented</w:t>
      </w:r>
      <w:r>
        <w:rPr>
          <w:rFonts w:ascii="Arial" w:hAnsi="Arial" w:cs="Arial"/>
          <w:sz w:val="24"/>
          <w:szCs w:val="24"/>
        </w:rPr>
        <w:t>, The Seattle Times (Aug. 27, 1995)</w:t>
      </w:r>
    </w:p>
    <w:p w14:paraId="055F25F8" w14:textId="77777777" w:rsidR="00735F29" w:rsidRDefault="00735F29">
      <w:pPr>
        <w:widowControl w:val="0"/>
        <w:rPr>
          <w:rFonts w:ascii="Arial" w:hAnsi="Arial" w:cs="Arial"/>
          <w:sz w:val="24"/>
          <w:szCs w:val="24"/>
        </w:rPr>
      </w:pPr>
    </w:p>
    <w:p w14:paraId="2E405697" w14:textId="77777777" w:rsidR="00735F29" w:rsidRDefault="00735F29">
      <w:pPr>
        <w:rPr>
          <w:rFonts w:ascii="Arial" w:hAnsi="Arial" w:cs="Arial"/>
          <w:sz w:val="24"/>
          <w:szCs w:val="24"/>
        </w:rPr>
      </w:pPr>
      <w:r>
        <w:rPr>
          <w:rFonts w:ascii="Arial" w:hAnsi="Arial" w:cs="Arial"/>
          <w:sz w:val="24"/>
          <w:szCs w:val="24"/>
        </w:rPr>
        <w:t xml:space="preserve">Bhagat et al., </w:t>
      </w:r>
      <w:r>
        <w:rPr>
          <w:rFonts w:ascii="Arial" w:hAnsi="Arial" w:cs="Arial"/>
          <w:i/>
          <w:iCs/>
          <w:sz w:val="24"/>
          <w:szCs w:val="24"/>
        </w:rPr>
        <w:t>The Costs of Inefficient Bargaining and Financial Distress: Evidence from Corporate Lawsuits</w:t>
      </w:r>
      <w:r>
        <w:rPr>
          <w:rFonts w:ascii="Arial" w:hAnsi="Arial" w:cs="Arial"/>
          <w:sz w:val="24"/>
          <w:szCs w:val="24"/>
        </w:rPr>
        <w:t>, 35 J. Fin. Econ. 221 (1994)</w:t>
      </w:r>
    </w:p>
    <w:p w14:paraId="75469ADF" w14:textId="77777777" w:rsidR="00735F29" w:rsidRDefault="00735F29">
      <w:pPr>
        <w:widowControl w:val="0"/>
        <w:rPr>
          <w:rFonts w:ascii="Arial" w:hAnsi="Arial" w:cs="Arial"/>
          <w:sz w:val="24"/>
          <w:szCs w:val="24"/>
        </w:rPr>
      </w:pPr>
    </w:p>
    <w:p w14:paraId="30B049CF" w14:textId="77777777" w:rsidR="00735F29" w:rsidRDefault="00735F29">
      <w:pPr>
        <w:pStyle w:val="FootnoteText"/>
        <w:rPr>
          <w:rFonts w:ascii="Arial" w:hAnsi="Arial" w:cs="Arial"/>
          <w:sz w:val="24"/>
          <w:szCs w:val="24"/>
        </w:rPr>
      </w:pPr>
      <w:r>
        <w:rPr>
          <w:rFonts w:ascii="Arial" w:hAnsi="Arial" w:cs="Arial"/>
          <w:sz w:val="24"/>
          <w:szCs w:val="24"/>
        </w:rPr>
        <w:t xml:space="preserve">Borger, </w:t>
      </w:r>
      <w:r>
        <w:rPr>
          <w:rFonts w:ascii="Arial" w:hAnsi="Arial" w:cs="Arial"/>
          <w:i/>
          <w:iCs/>
          <w:sz w:val="24"/>
          <w:szCs w:val="24"/>
        </w:rPr>
        <w:t>Rush to Patent Genes is Hampering Medical Research,</w:t>
      </w:r>
      <w:r>
        <w:rPr>
          <w:rFonts w:ascii="Arial" w:hAnsi="Arial" w:cs="Arial"/>
          <w:sz w:val="24"/>
          <w:szCs w:val="24"/>
        </w:rPr>
        <w:t xml:space="preserve"> (visited May 19, 2002)&lt;http://www.purefood.org/Patent/rushpatent.cfm&gt;</w:t>
      </w:r>
    </w:p>
    <w:p w14:paraId="760C5A25" w14:textId="77777777" w:rsidR="00735F29" w:rsidRDefault="00735F29">
      <w:pPr>
        <w:pStyle w:val="FootnoteText"/>
        <w:rPr>
          <w:rFonts w:ascii="Arial" w:hAnsi="Arial" w:cs="Arial"/>
          <w:sz w:val="24"/>
          <w:szCs w:val="24"/>
        </w:rPr>
      </w:pPr>
    </w:p>
    <w:p w14:paraId="52EB3660" w14:textId="77777777" w:rsidR="00735F29" w:rsidRDefault="00735F29">
      <w:pPr>
        <w:pStyle w:val="FootnoteText"/>
        <w:rPr>
          <w:rFonts w:ascii="Arial" w:hAnsi="Arial" w:cs="Arial"/>
          <w:sz w:val="24"/>
          <w:szCs w:val="24"/>
        </w:rPr>
      </w:pPr>
      <w:r>
        <w:rPr>
          <w:rFonts w:ascii="Arial" w:hAnsi="Arial" w:cs="Arial"/>
          <w:sz w:val="24"/>
          <w:szCs w:val="24"/>
        </w:rPr>
        <w:t xml:space="preserve">Bryant, </w:t>
      </w:r>
      <w:r>
        <w:rPr>
          <w:rFonts w:ascii="Arial" w:hAnsi="Arial" w:cs="Arial"/>
          <w:i/>
          <w:iCs/>
          <w:sz w:val="24"/>
          <w:szCs w:val="24"/>
        </w:rPr>
        <w:t xml:space="preserve">The Gold Rush, </w:t>
      </w:r>
      <w:r>
        <w:rPr>
          <w:rFonts w:ascii="Arial" w:hAnsi="Arial" w:cs="Arial"/>
          <w:sz w:val="24"/>
          <w:szCs w:val="24"/>
        </w:rPr>
        <w:t>Newsweek (April 10, 2000)</w:t>
      </w:r>
    </w:p>
    <w:p w14:paraId="2491E14F" w14:textId="77777777" w:rsidR="00735F29" w:rsidRDefault="00735F29">
      <w:pPr>
        <w:widowControl w:val="0"/>
        <w:rPr>
          <w:rFonts w:ascii="Arial" w:hAnsi="Arial" w:cs="Arial"/>
          <w:sz w:val="24"/>
          <w:szCs w:val="24"/>
        </w:rPr>
      </w:pPr>
    </w:p>
    <w:p w14:paraId="0B7D64C6" w14:textId="77777777" w:rsidR="00735F29" w:rsidRDefault="00735F29">
      <w:pPr>
        <w:widowControl w:val="0"/>
        <w:rPr>
          <w:rFonts w:ascii="Arial" w:hAnsi="Arial" w:cs="Arial"/>
          <w:sz w:val="24"/>
          <w:szCs w:val="24"/>
        </w:rPr>
      </w:pPr>
      <w:r>
        <w:rPr>
          <w:rFonts w:ascii="Arial" w:hAnsi="Arial" w:cs="Arial"/>
          <w:sz w:val="24"/>
          <w:szCs w:val="24"/>
        </w:rPr>
        <w:t xml:space="preserve">Bryant &amp; </w:t>
      </w:r>
      <w:proofErr w:type="spellStart"/>
      <w:r>
        <w:rPr>
          <w:rFonts w:ascii="Arial" w:hAnsi="Arial" w:cs="Arial"/>
          <w:sz w:val="24"/>
          <w:szCs w:val="24"/>
        </w:rPr>
        <w:t>Beals</w:t>
      </w:r>
      <w:proofErr w:type="spellEnd"/>
      <w:r>
        <w:rPr>
          <w:rFonts w:ascii="Arial" w:hAnsi="Arial" w:cs="Arial"/>
          <w:sz w:val="24"/>
          <w:szCs w:val="24"/>
        </w:rPr>
        <w:t xml:space="preserve">, </w:t>
      </w:r>
      <w:r>
        <w:rPr>
          <w:rFonts w:ascii="Arial" w:hAnsi="Arial" w:cs="Arial"/>
          <w:i/>
          <w:iCs/>
          <w:sz w:val="24"/>
          <w:szCs w:val="24"/>
        </w:rPr>
        <w:t>Who Will Own the Code of Life?</w:t>
      </w:r>
      <w:r w:rsidR="00F85022">
        <w:rPr>
          <w:rFonts w:ascii="Arial" w:hAnsi="Arial" w:cs="Arial"/>
          <w:i/>
          <w:iCs/>
          <w:sz w:val="24"/>
          <w:szCs w:val="24"/>
        </w:rPr>
        <w:t xml:space="preserve"> </w:t>
      </w:r>
      <w:r>
        <w:rPr>
          <w:rFonts w:ascii="Arial" w:hAnsi="Arial" w:cs="Arial"/>
          <w:sz w:val="24"/>
          <w:szCs w:val="24"/>
        </w:rPr>
        <w:t>Newsweek (April 10, 2000)</w:t>
      </w:r>
    </w:p>
    <w:p w14:paraId="648FC7EF" w14:textId="77777777" w:rsidR="00735F29" w:rsidRDefault="00735F29">
      <w:pPr>
        <w:widowControl w:val="0"/>
        <w:rPr>
          <w:rFonts w:ascii="Arial" w:hAnsi="Arial" w:cs="Arial"/>
          <w:sz w:val="24"/>
          <w:szCs w:val="24"/>
        </w:rPr>
      </w:pPr>
    </w:p>
    <w:p w14:paraId="7AF60B04" w14:textId="77777777" w:rsidR="00735F29" w:rsidRDefault="00735F29">
      <w:pPr>
        <w:rPr>
          <w:rFonts w:ascii="Arial" w:hAnsi="Arial" w:cs="Arial"/>
          <w:sz w:val="24"/>
          <w:szCs w:val="24"/>
        </w:rPr>
      </w:pPr>
      <w:proofErr w:type="spellStart"/>
      <w:r>
        <w:rPr>
          <w:rFonts w:ascii="Arial" w:hAnsi="Arial" w:cs="Arial"/>
          <w:sz w:val="24"/>
          <w:szCs w:val="24"/>
        </w:rPr>
        <w:t>Calabresi</w:t>
      </w:r>
      <w:proofErr w:type="spellEnd"/>
      <w:r>
        <w:rPr>
          <w:rFonts w:ascii="Arial" w:hAnsi="Arial" w:cs="Arial"/>
          <w:sz w:val="24"/>
          <w:szCs w:val="24"/>
        </w:rPr>
        <w:t xml:space="preserve"> and Melamed, </w:t>
      </w:r>
      <w:r>
        <w:rPr>
          <w:rFonts w:ascii="Arial" w:hAnsi="Arial" w:cs="Arial"/>
          <w:i/>
          <w:iCs/>
          <w:sz w:val="24"/>
          <w:szCs w:val="24"/>
        </w:rPr>
        <w:t>Property Rules, Liability Rules and Inalienability: One View of the Cathedral</w:t>
      </w:r>
      <w:r>
        <w:rPr>
          <w:rFonts w:ascii="Arial" w:hAnsi="Arial" w:cs="Arial"/>
          <w:sz w:val="24"/>
          <w:szCs w:val="24"/>
        </w:rPr>
        <w:t xml:space="preserve">, 85 </w:t>
      </w:r>
      <w:proofErr w:type="spellStart"/>
      <w:r>
        <w:rPr>
          <w:rFonts w:ascii="Arial" w:hAnsi="Arial" w:cs="Arial"/>
          <w:sz w:val="24"/>
          <w:szCs w:val="24"/>
        </w:rPr>
        <w:t>Harv</w:t>
      </w:r>
      <w:proofErr w:type="spellEnd"/>
      <w:r>
        <w:rPr>
          <w:rFonts w:ascii="Arial" w:hAnsi="Arial" w:cs="Arial"/>
          <w:sz w:val="24"/>
          <w:szCs w:val="24"/>
        </w:rPr>
        <w:t xml:space="preserve">. L. Rev. 1089 (1972) </w:t>
      </w:r>
    </w:p>
    <w:p w14:paraId="4C118792" w14:textId="77777777" w:rsidR="00735F29" w:rsidRDefault="00735F29">
      <w:pPr>
        <w:pStyle w:val="FootnoteText"/>
        <w:rPr>
          <w:rFonts w:ascii="Arial" w:hAnsi="Arial" w:cs="Arial"/>
          <w:sz w:val="24"/>
          <w:szCs w:val="24"/>
        </w:rPr>
      </w:pPr>
    </w:p>
    <w:p w14:paraId="578AD443" w14:textId="77777777" w:rsidR="00735F29" w:rsidRDefault="00735F29">
      <w:pPr>
        <w:widowControl w:val="0"/>
        <w:rPr>
          <w:rFonts w:ascii="Arial" w:hAnsi="Arial" w:cs="Arial"/>
          <w:sz w:val="24"/>
          <w:szCs w:val="24"/>
        </w:rPr>
      </w:pPr>
      <w:r>
        <w:rPr>
          <w:rFonts w:ascii="Arial" w:hAnsi="Arial" w:cs="Arial"/>
          <w:sz w:val="24"/>
          <w:szCs w:val="24"/>
        </w:rPr>
        <w:t xml:space="preserve">D. Chisum, Chisum on Patents 7.01 (1999) </w:t>
      </w:r>
    </w:p>
    <w:p w14:paraId="03FE0195" w14:textId="77777777" w:rsidR="00735F29" w:rsidRDefault="00735F29">
      <w:pPr>
        <w:widowControl w:val="0"/>
        <w:rPr>
          <w:rFonts w:ascii="Arial" w:hAnsi="Arial" w:cs="Arial"/>
          <w:sz w:val="24"/>
          <w:szCs w:val="24"/>
        </w:rPr>
      </w:pPr>
    </w:p>
    <w:p w14:paraId="428F728B" w14:textId="77777777" w:rsidR="00735F29" w:rsidRDefault="00735F29">
      <w:pPr>
        <w:pStyle w:val="FootnoteText"/>
        <w:rPr>
          <w:rFonts w:ascii="Arial" w:hAnsi="Arial" w:cs="Arial"/>
          <w:sz w:val="24"/>
          <w:szCs w:val="24"/>
        </w:rPr>
      </w:pPr>
      <w:r>
        <w:rPr>
          <w:rFonts w:ascii="Arial" w:hAnsi="Arial" w:cs="Arial"/>
          <w:sz w:val="24"/>
          <w:szCs w:val="24"/>
        </w:rPr>
        <w:t xml:space="preserve">Chisum, </w:t>
      </w:r>
      <w:r>
        <w:rPr>
          <w:rFonts w:ascii="Arial" w:hAnsi="Arial" w:cs="Arial"/>
          <w:i/>
          <w:iCs/>
          <w:sz w:val="24"/>
          <w:szCs w:val="24"/>
        </w:rPr>
        <w:t>The Harmonization of International Patent Law</w:t>
      </w:r>
      <w:r>
        <w:rPr>
          <w:rFonts w:ascii="Arial" w:hAnsi="Arial" w:cs="Arial"/>
          <w:sz w:val="24"/>
          <w:szCs w:val="24"/>
        </w:rPr>
        <w:t>, 26 J. Marshall L. Rev. 437, 449 (1993)</w:t>
      </w:r>
    </w:p>
    <w:p w14:paraId="142A07EE" w14:textId="77777777" w:rsidR="00735F29" w:rsidRDefault="00735F29">
      <w:pPr>
        <w:pStyle w:val="FootnoteText"/>
        <w:rPr>
          <w:rFonts w:ascii="Arial" w:hAnsi="Arial" w:cs="Arial"/>
          <w:sz w:val="24"/>
          <w:szCs w:val="24"/>
        </w:rPr>
      </w:pPr>
    </w:p>
    <w:p w14:paraId="2B7EE93D" w14:textId="77777777" w:rsidR="00735F29" w:rsidRDefault="00735F29">
      <w:pPr>
        <w:pStyle w:val="FootnoteText"/>
        <w:rPr>
          <w:rFonts w:ascii="Arial" w:hAnsi="Arial" w:cs="Arial"/>
          <w:sz w:val="24"/>
          <w:szCs w:val="24"/>
        </w:rPr>
      </w:pPr>
      <w:r>
        <w:rPr>
          <w:rFonts w:ascii="Arial" w:hAnsi="Arial" w:cs="Arial"/>
          <w:sz w:val="24"/>
          <w:szCs w:val="24"/>
        </w:rPr>
        <w:t xml:space="preserve">Coase, </w:t>
      </w:r>
      <w:r>
        <w:rPr>
          <w:rFonts w:ascii="Arial" w:hAnsi="Arial" w:cs="Arial"/>
          <w:i/>
          <w:iCs/>
          <w:sz w:val="24"/>
          <w:szCs w:val="24"/>
        </w:rPr>
        <w:t>The Problem of Social Cost</w:t>
      </w:r>
      <w:r>
        <w:rPr>
          <w:rFonts w:ascii="Arial" w:hAnsi="Arial" w:cs="Arial"/>
          <w:sz w:val="24"/>
          <w:szCs w:val="24"/>
        </w:rPr>
        <w:t xml:space="preserve">, 3 J.L. &amp; Econ. 1 (1960) </w:t>
      </w:r>
    </w:p>
    <w:p w14:paraId="3EC69058" w14:textId="77777777" w:rsidR="00735F29" w:rsidRDefault="00735F29">
      <w:pPr>
        <w:pStyle w:val="FootnoteText"/>
        <w:rPr>
          <w:rFonts w:ascii="Arial" w:hAnsi="Arial" w:cs="Arial"/>
          <w:sz w:val="24"/>
          <w:szCs w:val="24"/>
        </w:rPr>
      </w:pPr>
    </w:p>
    <w:p w14:paraId="629C48DF" w14:textId="77777777" w:rsidR="00735F29" w:rsidRDefault="00735F29">
      <w:pPr>
        <w:pStyle w:val="FootnoteText"/>
        <w:rPr>
          <w:rFonts w:ascii="Arial" w:hAnsi="Arial" w:cs="Arial"/>
          <w:sz w:val="24"/>
          <w:szCs w:val="24"/>
        </w:rPr>
      </w:pPr>
      <w:r>
        <w:rPr>
          <w:rFonts w:ascii="Arial" w:hAnsi="Arial" w:cs="Arial"/>
          <w:sz w:val="24"/>
          <w:szCs w:val="24"/>
        </w:rPr>
        <w:t xml:space="preserve">Cooter, </w:t>
      </w:r>
      <w:r>
        <w:rPr>
          <w:rFonts w:ascii="Arial" w:hAnsi="Arial" w:cs="Arial"/>
          <w:i/>
          <w:iCs/>
          <w:sz w:val="24"/>
          <w:szCs w:val="24"/>
        </w:rPr>
        <w:t>Coase Theorem</w:t>
      </w:r>
      <w:r>
        <w:rPr>
          <w:rFonts w:ascii="Arial" w:hAnsi="Arial" w:cs="Arial"/>
          <w:sz w:val="24"/>
          <w:szCs w:val="24"/>
        </w:rPr>
        <w:t xml:space="preserve">, 1 The </w:t>
      </w:r>
      <w:r w:rsidR="00F85022">
        <w:rPr>
          <w:rFonts w:ascii="Arial" w:hAnsi="Arial" w:cs="Arial"/>
          <w:sz w:val="24"/>
          <w:szCs w:val="24"/>
        </w:rPr>
        <w:t xml:space="preserve">New Palgrave:  A Dictionary of </w:t>
      </w:r>
      <w:r>
        <w:rPr>
          <w:rFonts w:ascii="Arial" w:hAnsi="Arial" w:cs="Arial"/>
          <w:sz w:val="24"/>
          <w:szCs w:val="24"/>
        </w:rPr>
        <w:t>Economics 457 (1987)</w:t>
      </w:r>
    </w:p>
    <w:p w14:paraId="20A4891A" w14:textId="77777777" w:rsidR="00735F29" w:rsidRDefault="00735F29">
      <w:pPr>
        <w:pStyle w:val="FootnoteText"/>
        <w:rPr>
          <w:rFonts w:ascii="Arial" w:hAnsi="Arial" w:cs="Arial"/>
          <w:sz w:val="24"/>
          <w:szCs w:val="24"/>
        </w:rPr>
      </w:pPr>
    </w:p>
    <w:p w14:paraId="632C681C" w14:textId="77777777" w:rsidR="00735F29" w:rsidRDefault="00735F29">
      <w:pPr>
        <w:pStyle w:val="FootnoteText"/>
        <w:rPr>
          <w:rFonts w:ascii="Arial" w:hAnsi="Arial" w:cs="Arial"/>
          <w:sz w:val="24"/>
          <w:szCs w:val="24"/>
        </w:rPr>
      </w:pPr>
      <w:proofErr w:type="spellStart"/>
      <w:r>
        <w:rPr>
          <w:rFonts w:ascii="Arial" w:hAnsi="Arial" w:cs="Arial"/>
          <w:sz w:val="24"/>
          <w:szCs w:val="24"/>
        </w:rPr>
        <w:t>Dreyfuss</w:t>
      </w:r>
      <w:proofErr w:type="spellEnd"/>
      <w:r>
        <w:rPr>
          <w:rFonts w:ascii="Arial" w:hAnsi="Arial" w:cs="Arial"/>
          <w:sz w:val="24"/>
          <w:szCs w:val="24"/>
        </w:rPr>
        <w:t xml:space="preserve">, </w:t>
      </w:r>
      <w:r>
        <w:rPr>
          <w:rFonts w:ascii="Arial" w:hAnsi="Arial" w:cs="Arial"/>
          <w:i/>
          <w:iCs/>
          <w:sz w:val="24"/>
          <w:szCs w:val="24"/>
        </w:rPr>
        <w:t>The Federal Circuit:  A Case Study in Specialized Courts</w:t>
      </w:r>
      <w:r>
        <w:rPr>
          <w:rFonts w:ascii="Arial" w:hAnsi="Arial" w:cs="Arial"/>
          <w:sz w:val="24"/>
          <w:szCs w:val="24"/>
        </w:rPr>
        <w:t>, 64 N.Y.U. L. Rev. 1 (1989)</w:t>
      </w:r>
    </w:p>
    <w:p w14:paraId="39A2E6D2" w14:textId="77777777" w:rsidR="00735F29" w:rsidRDefault="00735F29">
      <w:pPr>
        <w:pStyle w:val="FootnoteText"/>
        <w:rPr>
          <w:rFonts w:ascii="Arial" w:hAnsi="Arial" w:cs="Arial"/>
          <w:sz w:val="24"/>
          <w:szCs w:val="24"/>
        </w:rPr>
      </w:pPr>
    </w:p>
    <w:p w14:paraId="397DC84D" w14:textId="77777777" w:rsidR="00735F29" w:rsidRDefault="00735F29">
      <w:pPr>
        <w:pStyle w:val="FootnoteText"/>
        <w:rPr>
          <w:rFonts w:ascii="Arial" w:hAnsi="Arial" w:cs="Arial"/>
          <w:sz w:val="24"/>
          <w:szCs w:val="24"/>
        </w:rPr>
      </w:pPr>
      <w:proofErr w:type="spellStart"/>
      <w:r>
        <w:rPr>
          <w:rFonts w:ascii="Arial" w:hAnsi="Arial" w:cs="Arial"/>
          <w:sz w:val="24"/>
          <w:szCs w:val="24"/>
        </w:rPr>
        <w:t>Ducor</w:t>
      </w:r>
      <w:proofErr w:type="spellEnd"/>
      <w:r>
        <w:rPr>
          <w:rFonts w:ascii="Arial" w:hAnsi="Arial" w:cs="Arial"/>
          <w:sz w:val="24"/>
          <w:szCs w:val="24"/>
        </w:rPr>
        <w:t xml:space="preserve">, </w:t>
      </w:r>
      <w:r>
        <w:rPr>
          <w:rFonts w:ascii="Arial" w:hAnsi="Arial" w:cs="Arial"/>
          <w:i/>
          <w:iCs/>
          <w:sz w:val="24"/>
          <w:szCs w:val="24"/>
        </w:rPr>
        <w:t>Are Patents and Research Compatible?</w:t>
      </w:r>
      <w:r>
        <w:rPr>
          <w:rFonts w:ascii="Arial" w:hAnsi="Arial" w:cs="Arial"/>
          <w:sz w:val="24"/>
          <w:szCs w:val="24"/>
        </w:rPr>
        <w:t xml:space="preserve"> 387 Nature 13 (1997)</w:t>
      </w:r>
    </w:p>
    <w:p w14:paraId="297A0CCA" w14:textId="77777777" w:rsidR="00735F29" w:rsidRDefault="00735F29">
      <w:pPr>
        <w:widowControl w:val="0"/>
        <w:rPr>
          <w:rFonts w:ascii="Arial" w:hAnsi="Arial" w:cs="Arial"/>
          <w:sz w:val="24"/>
          <w:szCs w:val="24"/>
        </w:rPr>
      </w:pPr>
    </w:p>
    <w:p w14:paraId="4A495A8E" w14:textId="77777777" w:rsidR="00735F29" w:rsidRDefault="00735F29">
      <w:pPr>
        <w:widowControl w:val="0"/>
        <w:rPr>
          <w:rFonts w:ascii="Arial" w:hAnsi="Arial" w:cs="Arial"/>
          <w:sz w:val="24"/>
          <w:szCs w:val="24"/>
        </w:rPr>
      </w:pPr>
      <w:proofErr w:type="spellStart"/>
      <w:r>
        <w:rPr>
          <w:rFonts w:ascii="Arial" w:hAnsi="Arial" w:cs="Arial"/>
          <w:sz w:val="24"/>
          <w:szCs w:val="24"/>
        </w:rPr>
        <w:t>Ducor</w:t>
      </w:r>
      <w:proofErr w:type="spellEnd"/>
      <w:r>
        <w:rPr>
          <w:rFonts w:ascii="Arial" w:hAnsi="Arial" w:cs="Arial"/>
          <w:sz w:val="24"/>
          <w:szCs w:val="24"/>
        </w:rPr>
        <w:t xml:space="preserve">, </w:t>
      </w:r>
      <w:r>
        <w:rPr>
          <w:rFonts w:ascii="Arial" w:hAnsi="Arial" w:cs="Arial"/>
          <w:i/>
          <w:iCs/>
          <w:sz w:val="24"/>
          <w:szCs w:val="24"/>
        </w:rPr>
        <w:t xml:space="preserve">Recombinant Products and </w:t>
      </w:r>
      <w:proofErr w:type="spellStart"/>
      <w:r>
        <w:rPr>
          <w:rFonts w:ascii="Arial" w:hAnsi="Arial" w:cs="Arial"/>
          <w:i/>
          <w:iCs/>
          <w:sz w:val="24"/>
          <w:szCs w:val="24"/>
        </w:rPr>
        <w:t>Nonobviousness</w:t>
      </w:r>
      <w:proofErr w:type="spellEnd"/>
      <w:r>
        <w:rPr>
          <w:rFonts w:ascii="Arial" w:hAnsi="Arial" w:cs="Arial"/>
          <w:i/>
          <w:iCs/>
          <w:sz w:val="24"/>
          <w:szCs w:val="24"/>
        </w:rPr>
        <w:t>: A Typology</w:t>
      </w:r>
      <w:r>
        <w:rPr>
          <w:rFonts w:ascii="Arial" w:hAnsi="Arial" w:cs="Arial"/>
          <w:sz w:val="24"/>
          <w:szCs w:val="24"/>
        </w:rPr>
        <w:t>, 13 Computer &amp; High Tech. L.J. 1 (1997)</w:t>
      </w:r>
    </w:p>
    <w:p w14:paraId="7B23C3C3" w14:textId="77777777" w:rsidR="00735F29" w:rsidRDefault="00735F29">
      <w:pPr>
        <w:pStyle w:val="FootnoteText"/>
        <w:rPr>
          <w:rFonts w:ascii="Arial" w:hAnsi="Arial" w:cs="Arial"/>
          <w:sz w:val="24"/>
          <w:szCs w:val="24"/>
        </w:rPr>
      </w:pPr>
    </w:p>
    <w:p w14:paraId="261A094D" w14:textId="77777777" w:rsidR="00735F29" w:rsidRDefault="00735F29">
      <w:pPr>
        <w:rPr>
          <w:rFonts w:ascii="Arial" w:hAnsi="Arial" w:cs="Arial"/>
          <w:sz w:val="24"/>
          <w:szCs w:val="24"/>
        </w:rPr>
      </w:pPr>
      <w:proofErr w:type="spellStart"/>
      <w:r>
        <w:rPr>
          <w:rFonts w:ascii="Arial" w:hAnsi="Arial" w:cs="Arial"/>
          <w:sz w:val="24"/>
          <w:szCs w:val="24"/>
        </w:rPr>
        <w:t>Eggertsson</w:t>
      </w:r>
      <w:proofErr w:type="spellEnd"/>
      <w:r>
        <w:rPr>
          <w:rFonts w:ascii="Arial" w:hAnsi="Arial" w:cs="Arial"/>
          <w:sz w:val="24"/>
          <w:szCs w:val="24"/>
        </w:rPr>
        <w:t xml:space="preserve">, </w:t>
      </w:r>
      <w:r>
        <w:rPr>
          <w:rFonts w:ascii="Arial" w:hAnsi="Arial" w:cs="Arial"/>
          <w:i/>
          <w:iCs/>
          <w:sz w:val="24"/>
          <w:szCs w:val="24"/>
        </w:rPr>
        <w:t>Economic Behavior and Institutions,</w:t>
      </w:r>
      <w:r>
        <w:rPr>
          <w:rFonts w:ascii="Arial" w:hAnsi="Arial" w:cs="Arial"/>
          <w:sz w:val="24"/>
          <w:szCs w:val="24"/>
        </w:rPr>
        <w:t xml:space="preserve"> (1990)</w:t>
      </w:r>
    </w:p>
    <w:p w14:paraId="4FE39362" w14:textId="77777777" w:rsidR="00735F29" w:rsidRDefault="00735F29">
      <w:pPr>
        <w:pStyle w:val="FootnoteText"/>
        <w:rPr>
          <w:rFonts w:ascii="Arial" w:hAnsi="Arial" w:cs="Arial"/>
          <w:sz w:val="24"/>
          <w:szCs w:val="24"/>
        </w:rPr>
      </w:pPr>
    </w:p>
    <w:p w14:paraId="6899EA38" w14:textId="77777777" w:rsidR="00735F29" w:rsidRDefault="00735F29">
      <w:pPr>
        <w:rPr>
          <w:rFonts w:ascii="Arial" w:hAnsi="Arial" w:cs="Arial"/>
          <w:sz w:val="24"/>
          <w:szCs w:val="24"/>
        </w:rPr>
      </w:pPr>
      <w:r>
        <w:rPr>
          <w:rFonts w:ascii="Arial" w:hAnsi="Arial" w:cs="Arial"/>
          <w:sz w:val="24"/>
          <w:szCs w:val="24"/>
        </w:rPr>
        <w:t xml:space="preserve">Eisenberg, </w:t>
      </w:r>
      <w:r>
        <w:rPr>
          <w:rFonts w:ascii="Arial" w:hAnsi="Arial" w:cs="Arial"/>
          <w:i/>
          <w:iCs/>
          <w:sz w:val="24"/>
          <w:szCs w:val="24"/>
        </w:rPr>
        <w:t>Patents and the Progress of Science: Exclusive Rights and Experimental Use</w:t>
      </w:r>
      <w:r>
        <w:rPr>
          <w:rFonts w:ascii="Arial" w:hAnsi="Arial" w:cs="Arial"/>
          <w:sz w:val="24"/>
          <w:szCs w:val="24"/>
        </w:rPr>
        <w:t>, 56 U. Chi. L. Rev. 1017 (1989).</w:t>
      </w:r>
    </w:p>
    <w:p w14:paraId="73BB5B74" w14:textId="77777777" w:rsidR="00735F29" w:rsidRDefault="00735F29">
      <w:pPr>
        <w:pStyle w:val="FootnoteText"/>
        <w:rPr>
          <w:rFonts w:ascii="Arial" w:hAnsi="Arial" w:cs="Arial"/>
          <w:sz w:val="24"/>
          <w:szCs w:val="24"/>
        </w:rPr>
      </w:pPr>
    </w:p>
    <w:p w14:paraId="75B06DAB" w14:textId="77777777" w:rsidR="00735F29" w:rsidRDefault="00735F29">
      <w:pPr>
        <w:pStyle w:val="FootnoteText"/>
        <w:rPr>
          <w:rFonts w:ascii="Arial" w:hAnsi="Arial" w:cs="Arial"/>
          <w:sz w:val="24"/>
          <w:szCs w:val="24"/>
        </w:rPr>
      </w:pPr>
      <w:r>
        <w:rPr>
          <w:rFonts w:ascii="Arial" w:hAnsi="Arial" w:cs="Arial"/>
          <w:sz w:val="24"/>
          <w:szCs w:val="24"/>
        </w:rPr>
        <w:t xml:space="preserve">Eisenberg, </w:t>
      </w:r>
      <w:r>
        <w:rPr>
          <w:rFonts w:ascii="Arial" w:hAnsi="Arial" w:cs="Arial"/>
          <w:i/>
          <w:iCs/>
          <w:sz w:val="24"/>
          <w:szCs w:val="24"/>
        </w:rPr>
        <w:t>Patenting the Human Genome</w:t>
      </w:r>
      <w:r>
        <w:rPr>
          <w:rFonts w:ascii="Arial" w:hAnsi="Arial" w:cs="Arial"/>
          <w:sz w:val="24"/>
          <w:szCs w:val="24"/>
        </w:rPr>
        <w:t>, 39 Emory L.J. 721 (1990)</w:t>
      </w:r>
    </w:p>
    <w:p w14:paraId="0C6C3522" w14:textId="77777777" w:rsidR="00735F29" w:rsidRDefault="00735F29">
      <w:pPr>
        <w:pStyle w:val="FootnoteText"/>
        <w:rPr>
          <w:rFonts w:ascii="Arial" w:hAnsi="Arial" w:cs="Arial"/>
          <w:sz w:val="24"/>
          <w:szCs w:val="24"/>
        </w:rPr>
      </w:pPr>
    </w:p>
    <w:p w14:paraId="2E3EFE25" w14:textId="77777777" w:rsidR="00735F29" w:rsidRDefault="00735F29">
      <w:pPr>
        <w:pStyle w:val="FootnoteText"/>
        <w:rPr>
          <w:rFonts w:ascii="Arial" w:hAnsi="Arial" w:cs="Arial"/>
          <w:sz w:val="24"/>
          <w:szCs w:val="24"/>
        </w:rPr>
      </w:pPr>
      <w:r>
        <w:rPr>
          <w:rFonts w:ascii="Arial" w:hAnsi="Arial" w:cs="Arial"/>
          <w:sz w:val="24"/>
          <w:szCs w:val="24"/>
        </w:rPr>
        <w:lastRenderedPageBreak/>
        <w:t xml:space="preserve">Eisenberg, </w:t>
      </w:r>
      <w:r>
        <w:rPr>
          <w:rFonts w:ascii="Arial" w:hAnsi="Arial" w:cs="Arial"/>
          <w:i/>
          <w:iCs/>
          <w:sz w:val="24"/>
          <w:szCs w:val="24"/>
        </w:rPr>
        <w:t>Re-examining the Role of Patents in Appropriating the Value of DNA Sequences</w:t>
      </w:r>
      <w:r>
        <w:rPr>
          <w:rFonts w:ascii="Arial" w:hAnsi="Arial" w:cs="Arial"/>
          <w:sz w:val="24"/>
          <w:szCs w:val="24"/>
        </w:rPr>
        <w:t>, 49 Emory L.J. 783, 784 (2000)</w:t>
      </w:r>
    </w:p>
    <w:p w14:paraId="41A88C09" w14:textId="77777777" w:rsidR="00735F29" w:rsidRDefault="00735F29">
      <w:pPr>
        <w:widowControl w:val="0"/>
        <w:rPr>
          <w:rFonts w:ascii="Arial" w:hAnsi="Arial" w:cs="Arial"/>
          <w:sz w:val="24"/>
          <w:szCs w:val="24"/>
        </w:rPr>
      </w:pPr>
    </w:p>
    <w:p w14:paraId="7A1110C1" w14:textId="77777777" w:rsidR="00735F29" w:rsidRDefault="00735F29">
      <w:pPr>
        <w:pStyle w:val="FootnoteText"/>
        <w:rPr>
          <w:rFonts w:ascii="Arial" w:hAnsi="Arial" w:cs="Arial"/>
          <w:sz w:val="24"/>
          <w:szCs w:val="24"/>
        </w:rPr>
      </w:pPr>
      <w:r>
        <w:rPr>
          <w:rFonts w:ascii="Arial" w:hAnsi="Arial" w:cs="Arial"/>
          <w:sz w:val="24"/>
          <w:szCs w:val="24"/>
        </w:rPr>
        <w:t xml:space="preserve">Fleischmann et al., </w:t>
      </w:r>
      <w:r>
        <w:rPr>
          <w:rFonts w:ascii="Arial" w:hAnsi="Arial" w:cs="Arial"/>
          <w:i/>
          <w:iCs/>
          <w:sz w:val="24"/>
          <w:szCs w:val="24"/>
        </w:rPr>
        <w:t xml:space="preserve">Whole-Genome Random Sequencing and Assembly of </w:t>
      </w:r>
      <w:proofErr w:type="spellStart"/>
      <w:r>
        <w:rPr>
          <w:rFonts w:ascii="Arial" w:hAnsi="Arial" w:cs="Arial"/>
          <w:i/>
          <w:iCs/>
          <w:sz w:val="24"/>
          <w:szCs w:val="24"/>
        </w:rPr>
        <w:t>Haemophilus</w:t>
      </w:r>
      <w:proofErr w:type="spellEnd"/>
      <w:r>
        <w:rPr>
          <w:rFonts w:ascii="Arial" w:hAnsi="Arial" w:cs="Arial"/>
          <w:i/>
          <w:iCs/>
          <w:sz w:val="24"/>
          <w:szCs w:val="24"/>
        </w:rPr>
        <w:t xml:space="preserve"> influenzae Rd.</w:t>
      </w:r>
      <w:r>
        <w:rPr>
          <w:rFonts w:ascii="Arial" w:hAnsi="Arial" w:cs="Arial"/>
          <w:sz w:val="24"/>
          <w:szCs w:val="24"/>
        </w:rPr>
        <w:t>, 269 Science 496 (1995)</w:t>
      </w:r>
    </w:p>
    <w:p w14:paraId="7BBCB3FF" w14:textId="77777777" w:rsidR="00735F29" w:rsidRDefault="00735F29">
      <w:pPr>
        <w:rPr>
          <w:rFonts w:ascii="Arial" w:hAnsi="Arial" w:cs="Arial"/>
          <w:sz w:val="24"/>
          <w:szCs w:val="24"/>
        </w:rPr>
      </w:pPr>
    </w:p>
    <w:p w14:paraId="11522F75" w14:textId="77777777" w:rsidR="00735F29" w:rsidRDefault="00735F29">
      <w:pPr>
        <w:rPr>
          <w:rFonts w:ascii="Arial" w:hAnsi="Arial" w:cs="Arial"/>
          <w:sz w:val="24"/>
          <w:szCs w:val="24"/>
        </w:rPr>
      </w:pPr>
      <w:r>
        <w:rPr>
          <w:rFonts w:ascii="Arial" w:hAnsi="Arial" w:cs="Arial"/>
          <w:sz w:val="24"/>
          <w:szCs w:val="24"/>
        </w:rPr>
        <w:t>2 Goldstein, Copyright 7.1.1, at 7:2 (2d ed. 1996)</w:t>
      </w:r>
    </w:p>
    <w:p w14:paraId="18F34BAF" w14:textId="77777777" w:rsidR="00735F29" w:rsidRDefault="00735F29">
      <w:pPr>
        <w:pStyle w:val="FootnoteText"/>
        <w:rPr>
          <w:rFonts w:ascii="Arial" w:hAnsi="Arial" w:cs="Arial"/>
          <w:sz w:val="24"/>
          <w:szCs w:val="24"/>
        </w:rPr>
      </w:pPr>
    </w:p>
    <w:p w14:paraId="48AB4A8C" w14:textId="77777777" w:rsidR="00735F29" w:rsidRDefault="00735F29">
      <w:pPr>
        <w:rPr>
          <w:rFonts w:ascii="Arial" w:hAnsi="Arial" w:cs="Arial"/>
          <w:sz w:val="24"/>
          <w:szCs w:val="24"/>
        </w:rPr>
      </w:pPr>
      <w:r>
        <w:rPr>
          <w:rFonts w:ascii="Arial" w:hAnsi="Arial" w:cs="Arial"/>
          <w:sz w:val="24"/>
          <w:szCs w:val="24"/>
        </w:rPr>
        <w:t xml:space="preserve">Heller &amp; Eisenberg, </w:t>
      </w:r>
      <w:r>
        <w:rPr>
          <w:rFonts w:ascii="Arial" w:hAnsi="Arial" w:cs="Arial"/>
          <w:i/>
          <w:iCs/>
          <w:sz w:val="24"/>
          <w:szCs w:val="24"/>
        </w:rPr>
        <w:t>Can Patents Deter Innovation?</w:t>
      </w:r>
      <w:r>
        <w:rPr>
          <w:rFonts w:ascii="Arial" w:hAnsi="Arial" w:cs="Arial"/>
          <w:sz w:val="24"/>
          <w:szCs w:val="24"/>
        </w:rPr>
        <w:t xml:space="preserve"> </w:t>
      </w:r>
      <w:r>
        <w:rPr>
          <w:rFonts w:ascii="Arial" w:hAnsi="Arial" w:cs="Arial"/>
          <w:i/>
          <w:iCs/>
          <w:sz w:val="24"/>
          <w:szCs w:val="24"/>
        </w:rPr>
        <w:t xml:space="preserve">The </w:t>
      </w:r>
      <w:proofErr w:type="spellStart"/>
      <w:r>
        <w:rPr>
          <w:rFonts w:ascii="Arial" w:hAnsi="Arial" w:cs="Arial"/>
          <w:i/>
          <w:iCs/>
          <w:sz w:val="24"/>
          <w:szCs w:val="24"/>
        </w:rPr>
        <w:t>Anticommons</w:t>
      </w:r>
      <w:proofErr w:type="spellEnd"/>
      <w:r>
        <w:rPr>
          <w:rFonts w:ascii="Arial" w:hAnsi="Arial" w:cs="Arial"/>
          <w:i/>
          <w:iCs/>
          <w:sz w:val="24"/>
          <w:szCs w:val="24"/>
        </w:rPr>
        <w:t xml:space="preserve"> in Biomedical Research</w:t>
      </w:r>
      <w:r>
        <w:rPr>
          <w:rFonts w:ascii="Arial" w:hAnsi="Arial" w:cs="Arial"/>
          <w:sz w:val="24"/>
          <w:szCs w:val="24"/>
        </w:rPr>
        <w:t>, 280 Science 698 (1998)</w:t>
      </w:r>
    </w:p>
    <w:p w14:paraId="6E57ABC2" w14:textId="77777777" w:rsidR="00735F29" w:rsidRDefault="00735F29">
      <w:pPr>
        <w:pStyle w:val="FootnoteText"/>
        <w:rPr>
          <w:rFonts w:ascii="Arial" w:hAnsi="Arial" w:cs="Arial"/>
          <w:sz w:val="24"/>
          <w:szCs w:val="24"/>
        </w:rPr>
      </w:pPr>
    </w:p>
    <w:p w14:paraId="34651595" w14:textId="77777777" w:rsidR="00735F29" w:rsidRDefault="00735F29">
      <w:pPr>
        <w:pStyle w:val="FootnoteText"/>
        <w:rPr>
          <w:rFonts w:ascii="Arial" w:hAnsi="Arial" w:cs="Arial"/>
          <w:sz w:val="24"/>
          <w:szCs w:val="24"/>
        </w:rPr>
      </w:pPr>
      <w:r>
        <w:rPr>
          <w:rFonts w:ascii="Arial" w:hAnsi="Arial" w:cs="Arial"/>
          <w:sz w:val="24"/>
          <w:szCs w:val="24"/>
        </w:rPr>
        <w:t xml:space="preserve">Henderson, et. al., </w:t>
      </w:r>
      <w:r>
        <w:rPr>
          <w:rFonts w:ascii="Arial" w:hAnsi="Arial" w:cs="Arial"/>
          <w:i/>
          <w:iCs/>
          <w:sz w:val="24"/>
          <w:szCs w:val="24"/>
        </w:rPr>
        <w:t>Universities as a Source of Commercial Technology:  A Detailed Analysis of University Patenting, 1965-1988</w:t>
      </w:r>
      <w:r>
        <w:rPr>
          <w:rFonts w:ascii="Arial" w:hAnsi="Arial" w:cs="Arial"/>
          <w:sz w:val="24"/>
          <w:szCs w:val="24"/>
        </w:rPr>
        <w:t>, Nat’l Bureau of Econ. Research Working Paper No. 5068 (1995)</w:t>
      </w:r>
    </w:p>
    <w:p w14:paraId="24F9C262" w14:textId="77777777" w:rsidR="00735F29" w:rsidRDefault="00735F29">
      <w:pPr>
        <w:widowControl w:val="0"/>
        <w:rPr>
          <w:rFonts w:ascii="Arial" w:hAnsi="Arial" w:cs="Arial"/>
          <w:sz w:val="24"/>
          <w:szCs w:val="24"/>
        </w:rPr>
      </w:pPr>
    </w:p>
    <w:p w14:paraId="1CA2E77F" w14:textId="77777777" w:rsidR="00735F29" w:rsidRDefault="00735F29">
      <w:pPr>
        <w:pStyle w:val="FootnoteText"/>
        <w:rPr>
          <w:rFonts w:ascii="Arial" w:hAnsi="Arial" w:cs="Arial"/>
          <w:sz w:val="24"/>
          <w:szCs w:val="24"/>
        </w:rPr>
      </w:pPr>
      <w:r>
        <w:rPr>
          <w:rFonts w:ascii="Arial" w:hAnsi="Arial" w:cs="Arial"/>
          <w:sz w:val="24"/>
          <w:szCs w:val="24"/>
        </w:rPr>
        <w:t xml:space="preserve">Human Genome Sciences Inc., Press Release, </w:t>
      </w:r>
      <w:r>
        <w:rPr>
          <w:rFonts w:ascii="Arial" w:hAnsi="Arial" w:cs="Arial"/>
          <w:i/>
          <w:iCs/>
          <w:sz w:val="24"/>
          <w:szCs w:val="24"/>
        </w:rPr>
        <w:t>Human Genome Sciences Receives Patent on AIDS Virus Entry Point</w:t>
      </w:r>
      <w:r>
        <w:rPr>
          <w:rFonts w:ascii="Arial" w:hAnsi="Arial" w:cs="Arial"/>
          <w:sz w:val="24"/>
          <w:szCs w:val="24"/>
        </w:rPr>
        <w:t>, http://www.hgsi.com.news/press/00-12-16,&lt;uscore&gt;CCR5.html (February 16, 2000)</w:t>
      </w:r>
    </w:p>
    <w:p w14:paraId="3097A7F6" w14:textId="77777777" w:rsidR="00735F29" w:rsidRDefault="00735F29">
      <w:pPr>
        <w:pStyle w:val="FootnoteText"/>
        <w:rPr>
          <w:rFonts w:ascii="Arial" w:hAnsi="Arial" w:cs="Arial"/>
          <w:sz w:val="24"/>
          <w:szCs w:val="24"/>
        </w:rPr>
      </w:pPr>
    </w:p>
    <w:p w14:paraId="45136461" w14:textId="77777777" w:rsidR="00735F29" w:rsidRDefault="00735F29">
      <w:pPr>
        <w:pStyle w:val="FootnoteText"/>
        <w:rPr>
          <w:rFonts w:ascii="Arial" w:hAnsi="Arial" w:cs="Arial"/>
          <w:sz w:val="24"/>
          <w:szCs w:val="24"/>
        </w:rPr>
      </w:pPr>
      <w:proofErr w:type="spellStart"/>
      <w:r>
        <w:rPr>
          <w:rFonts w:ascii="Arial" w:hAnsi="Arial" w:cs="Arial"/>
          <w:sz w:val="24"/>
          <w:szCs w:val="24"/>
        </w:rPr>
        <w:t>Kastriner</w:t>
      </w:r>
      <w:proofErr w:type="spellEnd"/>
      <w:r>
        <w:rPr>
          <w:rFonts w:ascii="Arial" w:hAnsi="Arial" w:cs="Arial"/>
          <w:sz w:val="24"/>
          <w:szCs w:val="24"/>
        </w:rPr>
        <w:t xml:space="preserve">, </w:t>
      </w:r>
      <w:r>
        <w:rPr>
          <w:rFonts w:ascii="Arial" w:hAnsi="Arial" w:cs="Arial"/>
          <w:i/>
          <w:iCs/>
          <w:sz w:val="24"/>
          <w:szCs w:val="24"/>
        </w:rPr>
        <w:t>The Revival of Confidence in the Patent System</w:t>
      </w:r>
      <w:r>
        <w:rPr>
          <w:rFonts w:ascii="Arial" w:hAnsi="Arial" w:cs="Arial"/>
          <w:sz w:val="24"/>
          <w:szCs w:val="24"/>
        </w:rPr>
        <w:t>, 73 J. Pat. &amp; Trademark Off. Soc’y 5 (1991)</w:t>
      </w:r>
    </w:p>
    <w:p w14:paraId="13FEB92E" w14:textId="77777777" w:rsidR="00735F29" w:rsidRDefault="00735F29">
      <w:pPr>
        <w:widowControl w:val="0"/>
        <w:rPr>
          <w:rFonts w:ascii="Arial" w:hAnsi="Arial" w:cs="Arial"/>
          <w:sz w:val="24"/>
          <w:szCs w:val="24"/>
        </w:rPr>
      </w:pPr>
    </w:p>
    <w:p w14:paraId="2E12C851" w14:textId="77777777" w:rsidR="00735F29" w:rsidRDefault="00735F29">
      <w:pPr>
        <w:pStyle w:val="FootnoteText"/>
        <w:rPr>
          <w:rFonts w:ascii="Arial" w:hAnsi="Arial" w:cs="Arial"/>
          <w:sz w:val="24"/>
          <w:szCs w:val="24"/>
        </w:rPr>
      </w:pPr>
      <w:r>
        <w:rPr>
          <w:rFonts w:ascii="Arial" w:hAnsi="Arial" w:cs="Arial"/>
          <w:sz w:val="24"/>
          <w:szCs w:val="24"/>
        </w:rPr>
        <w:t xml:space="preserve">King, </w:t>
      </w:r>
      <w:r>
        <w:rPr>
          <w:rFonts w:ascii="Arial" w:hAnsi="Arial" w:cs="Arial"/>
          <w:i/>
          <w:iCs/>
          <w:sz w:val="24"/>
          <w:szCs w:val="24"/>
        </w:rPr>
        <w:t>Code Green:  Gene Quest Will Bring Glory to Some</w:t>
      </w:r>
      <w:r>
        <w:rPr>
          <w:rFonts w:ascii="Arial" w:hAnsi="Arial" w:cs="Arial"/>
          <w:sz w:val="24"/>
          <w:szCs w:val="24"/>
        </w:rPr>
        <w:t xml:space="preserve">; </w:t>
      </w:r>
      <w:r>
        <w:rPr>
          <w:rFonts w:ascii="Arial" w:hAnsi="Arial" w:cs="Arial"/>
          <w:i/>
          <w:iCs/>
          <w:sz w:val="24"/>
          <w:szCs w:val="24"/>
        </w:rPr>
        <w:t>Incyte Will Stick With Cash</w:t>
      </w:r>
      <w:r>
        <w:rPr>
          <w:rFonts w:ascii="Arial" w:hAnsi="Arial" w:cs="Arial"/>
          <w:sz w:val="24"/>
          <w:szCs w:val="24"/>
        </w:rPr>
        <w:t>, Wall St. J., Feb. 10, 2000, at A1</w:t>
      </w:r>
    </w:p>
    <w:p w14:paraId="219BA485" w14:textId="77777777" w:rsidR="00735F29" w:rsidRDefault="00735F29">
      <w:pPr>
        <w:rPr>
          <w:rFonts w:ascii="Arial" w:hAnsi="Arial" w:cs="Arial"/>
          <w:sz w:val="24"/>
          <w:szCs w:val="24"/>
        </w:rPr>
      </w:pPr>
    </w:p>
    <w:p w14:paraId="6B0334AA" w14:textId="77777777" w:rsidR="00735F29" w:rsidRDefault="00735F29">
      <w:pPr>
        <w:rPr>
          <w:rFonts w:ascii="Arial" w:hAnsi="Arial" w:cs="Arial"/>
          <w:sz w:val="24"/>
          <w:szCs w:val="24"/>
        </w:rPr>
      </w:pPr>
      <w:r>
        <w:rPr>
          <w:rFonts w:ascii="Arial" w:hAnsi="Arial" w:cs="Arial"/>
          <w:sz w:val="24"/>
          <w:szCs w:val="24"/>
        </w:rPr>
        <w:t xml:space="preserve">Knight, </w:t>
      </w:r>
      <w:r>
        <w:rPr>
          <w:rFonts w:ascii="Arial" w:hAnsi="Arial" w:cs="Arial"/>
          <w:i/>
          <w:iCs/>
          <w:sz w:val="24"/>
          <w:szCs w:val="24"/>
        </w:rPr>
        <w:t>Risk, Uncertainty and Profit</w:t>
      </w:r>
      <w:r>
        <w:rPr>
          <w:rFonts w:ascii="Arial" w:hAnsi="Arial" w:cs="Arial"/>
          <w:sz w:val="24"/>
          <w:szCs w:val="24"/>
        </w:rPr>
        <w:t xml:space="preserve"> (1921)</w:t>
      </w:r>
    </w:p>
    <w:p w14:paraId="7508605B" w14:textId="77777777" w:rsidR="00735F29" w:rsidRDefault="00735F29">
      <w:pPr>
        <w:rPr>
          <w:rFonts w:ascii="Arial" w:hAnsi="Arial" w:cs="Arial"/>
          <w:sz w:val="24"/>
          <w:szCs w:val="24"/>
        </w:rPr>
      </w:pPr>
    </w:p>
    <w:p w14:paraId="5D6573F9" w14:textId="77777777" w:rsidR="00735F29" w:rsidRDefault="00735F29">
      <w:pPr>
        <w:rPr>
          <w:rFonts w:ascii="Arial" w:hAnsi="Arial" w:cs="Arial"/>
          <w:sz w:val="24"/>
          <w:szCs w:val="24"/>
        </w:rPr>
      </w:pPr>
      <w:proofErr w:type="spellStart"/>
      <w:r>
        <w:rPr>
          <w:rFonts w:ascii="Arial" w:hAnsi="Arial" w:cs="Arial"/>
          <w:sz w:val="24"/>
          <w:szCs w:val="24"/>
        </w:rPr>
        <w:t>Kortum</w:t>
      </w:r>
      <w:proofErr w:type="spellEnd"/>
      <w:r>
        <w:rPr>
          <w:rFonts w:ascii="Arial" w:hAnsi="Arial" w:cs="Arial"/>
          <w:sz w:val="24"/>
          <w:szCs w:val="24"/>
        </w:rPr>
        <w:t xml:space="preserve"> &amp; Lerner, </w:t>
      </w:r>
      <w:r>
        <w:rPr>
          <w:rFonts w:ascii="Arial" w:hAnsi="Arial" w:cs="Arial"/>
          <w:i/>
          <w:iCs/>
          <w:sz w:val="24"/>
          <w:szCs w:val="24"/>
        </w:rPr>
        <w:t xml:space="preserve">Does Venture Capital Spur Innovation? </w:t>
      </w:r>
      <w:r>
        <w:rPr>
          <w:rFonts w:ascii="Arial" w:hAnsi="Arial" w:cs="Arial"/>
          <w:sz w:val="24"/>
          <w:szCs w:val="24"/>
        </w:rPr>
        <w:t>(National Bureau of Economic Research Working Paper No. W6846) (1998)</w:t>
      </w:r>
    </w:p>
    <w:p w14:paraId="181F0D79" w14:textId="77777777" w:rsidR="00735F29" w:rsidRDefault="00735F29">
      <w:pPr>
        <w:rPr>
          <w:rFonts w:ascii="Arial" w:hAnsi="Arial" w:cs="Arial"/>
          <w:sz w:val="24"/>
          <w:szCs w:val="24"/>
        </w:rPr>
      </w:pPr>
    </w:p>
    <w:p w14:paraId="7A5491A7" w14:textId="77777777" w:rsidR="00735F29" w:rsidRDefault="00735F29">
      <w:pPr>
        <w:rPr>
          <w:rFonts w:ascii="Arial" w:hAnsi="Arial" w:cs="Arial"/>
          <w:sz w:val="24"/>
          <w:szCs w:val="24"/>
        </w:rPr>
      </w:pPr>
      <w:proofErr w:type="spellStart"/>
      <w:r>
        <w:rPr>
          <w:rFonts w:ascii="Arial" w:hAnsi="Arial" w:cs="Arial"/>
          <w:sz w:val="24"/>
          <w:szCs w:val="24"/>
        </w:rPr>
        <w:t>Lanjouw</w:t>
      </w:r>
      <w:proofErr w:type="spellEnd"/>
      <w:r>
        <w:rPr>
          <w:rFonts w:ascii="Arial" w:hAnsi="Arial" w:cs="Arial"/>
          <w:sz w:val="24"/>
          <w:szCs w:val="24"/>
        </w:rPr>
        <w:t xml:space="preserve">, </w:t>
      </w:r>
      <w:r>
        <w:rPr>
          <w:rFonts w:ascii="Arial" w:hAnsi="Arial" w:cs="Arial"/>
          <w:i/>
          <w:iCs/>
          <w:sz w:val="24"/>
          <w:szCs w:val="24"/>
        </w:rPr>
        <w:t>Economic Consequences of a Changing Litigation Environment:</w:t>
      </w:r>
      <w:r w:rsidR="00F85022">
        <w:rPr>
          <w:rFonts w:ascii="Arial" w:hAnsi="Arial" w:cs="Arial"/>
          <w:i/>
          <w:iCs/>
          <w:sz w:val="24"/>
          <w:szCs w:val="24"/>
        </w:rPr>
        <w:t xml:space="preserve"> </w:t>
      </w:r>
      <w:r>
        <w:rPr>
          <w:rFonts w:ascii="Arial" w:hAnsi="Arial" w:cs="Arial"/>
          <w:i/>
          <w:iCs/>
          <w:sz w:val="24"/>
          <w:szCs w:val="24"/>
        </w:rPr>
        <w:t xml:space="preserve"> The Case of Patents</w:t>
      </w:r>
      <w:r>
        <w:rPr>
          <w:rFonts w:ascii="Arial" w:hAnsi="Arial" w:cs="Arial"/>
          <w:sz w:val="24"/>
          <w:szCs w:val="24"/>
        </w:rPr>
        <w:t xml:space="preserve"> (National Bureau of Economic Research Working Paper No. 4835) (1994)</w:t>
      </w:r>
    </w:p>
    <w:p w14:paraId="1964A470" w14:textId="77777777" w:rsidR="00735F29" w:rsidRDefault="00735F29">
      <w:pPr>
        <w:rPr>
          <w:rFonts w:ascii="Arial" w:hAnsi="Arial" w:cs="Arial"/>
          <w:sz w:val="24"/>
          <w:szCs w:val="24"/>
        </w:rPr>
      </w:pPr>
    </w:p>
    <w:p w14:paraId="45051E66" w14:textId="77777777" w:rsidR="00735F29" w:rsidRDefault="00735F29">
      <w:pPr>
        <w:rPr>
          <w:rFonts w:ascii="Arial" w:hAnsi="Arial" w:cs="Arial"/>
          <w:sz w:val="24"/>
          <w:szCs w:val="24"/>
        </w:rPr>
      </w:pPr>
      <w:r>
        <w:rPr>
          <w:rFonts w:ascii="Arial" w:hAnsi="Arial" w:cs="Arial"/>
          <w:sz w:val="24"/>
          <w:szCs w:val="24"/>
        </w:rPr>
        <w:t xml:space="preserve">Lerner, </w:t>
      </w:r>
      <w:r>
        <w:rPr>
          <w:rFonts w:ascii="Arial" w:hAnsi="Arial" w:cs="Arial"/>
          <w:i/>
          <w:iCs/>
          <w:sz w:val="24"/>
          <w:szCs w:val="24"/>
        </w:rPr>
        <w:t>Patenting in the Shadow of Competitors</w:t>
      </w:r>
      <w:r>
        <w:rPr>
          <w:rFonts w:ascii="Arial" w:hAnsi="Arial" w:cs="Arial"/>
          <w:sz w:val="24"/>
          <w:szCs w:val="24"/>
        </w:rPr>
        <w:t>, 38 J.L. &amp; Econ. 463, 470 (1995)</w:t>
      </w:r>
    </w:p>
    <w:p w14:paraId="706C145B" w14:textId="77777777" w:rsidR="00735F29" w:rsidRDefault="00735F29">
      <w:pPr>
        <w:widowControl w:val="0"/>
        <w:rPr>
          <w:rFonts w:ascii="Arial" w:hAnsi="Arial" w:cs="Arial"/>
          <w:sz w:val="24"/>
          <w:szCs w:val="24"/>
        </w:rPr>
      </w:pPr>
    </w:p>
    <w:p w14:paraId="7D55D713" w14:textId="77777777" w:rsidR="00735F29" w:rsidRDefault="00735F29">
      <w:pPr>
        <w:widowControl w:val="0"/>
        <w:rPr>
          <w:rFonts w:ascii="Arial" w:hAnsi="Arial" w:cs="Arial"/>
          <w:sz w:val="24"/>
          <w:szCs w:val="24"/>
        </w:rPr>
      </w:pPr>
      <w:r>
        <w:rPr>
          <w:rFonts w:ascii="Arial" w:hAnsi="Arial" w:cs="Arial"/>
          <w:sz w:val="24"/>
          <w:szCs w:val="24"/>
        </w:rPr>
        <w:t xml:space="preserve">Long, </w:t>
      </w:r>
      <w:r>
        <w:rPr>
          <w:rFonts w:ascii="Arial" w:hAnsi="Arial" w:cs="Arial"/>
          <w:i/>
          <w:iCs/>
          <w:sz w:val="24"/>
          <w:szCs w:val="24"/>
        </w:rPr>
        <w:t xml:space="preserve">Proprietary Rights and Why Initial Allocations Matter, </w:t>
      </w:r>
      <w:r>
        <w:rPr>
          <w:rFonts w:ascii="Arial" w:hAnsi="Arial" w:cs="Arial"/>
          <w:sz w:val="24"/>
          <w:szCs w:val="24"/>
        </w:rPr>
        <w:t>49 Emory L.J. 823, 823-4 (2000)</w:t>
      </w:r>
    </w:p>
    <w:p w14:paraId="6128E305" w14:textId="77777777" w:rsidR="00735F29" w:rsidRDefault="00735F29">
      <w:pPr>
        <w:pStyle w:val="FootnoteText"/>
        <w:rPr>
          <w:rFonts w:ascii="Arial" w:hAnsi="Arial" w:cs="Arial"/>
          <w:sz w:val="24"/>
          <w:szCs w:val="24"/>
        </w:rPr>
      </w:pPr>
    </w:p>
    <w:p w14:paraId="789A1F0A" w14:textId="77777777" w:rsidR="00735F29" w:rsidRDefault="00735F29">
      <w:pPr>
        <w:rPr>
          <w:rFonts w:ascii="Arial" w:hAnsi="Arial" w:cs="Arial"/>
          <w:sz w:val="24"/>
          <w:szCs w:val="24"/>
        </w:rPr>
      </w:pPr>
      <w:r>
        <w:rPr>
          <w:rFonts w:ascii="Arial" w:hAnsi="Arial" w:cs="Arial"/>
          <w:sz w:val="24"/>
          <w:szCs w:val="24"/>
        </w:rPr>
        <w:t xml:space="preserve">Long, </w:t>
      </w:r>
      <w:r>
        <w:rPr>
          <w:rFonts w:ascii="Arial" w:hAnsi="Arial" w:cs="Arial"/>
          <w:i/>
          <w:iCs/>
          <w:sz w:val="24"/>
          <w:szCs w:val="24"/>
        </w:rPr>
        <w:t>Patents and Cumulative Innovation</w:t>
      </w:r>
      <w:r>
        <w:rPr>
          <w:rFonts w:ascii="Arial" w:hAnsi="Arial" w:cs="Arial"/>
          <w:sz w:val="24"/>
          <w:szCs w:val="24"/>
        </w:rPr>
        <w:t xml:space="preserve">, 2 Wash. U. J. L. &amp; </w:t>
      </w:r>
      <w:proofErr w:type="spellStart"/>
      <w:r>
        <w:rPr>
          <w:rFonts w:ascii="Arial" w:hAnsi="Arial" w:cs="Arial"/>
          <w:sz w:val="24"/>
          <w:szCs w:val="24"/>
        </w:rPr>
        <w:t>Pol'y</w:t>
      </w:r>
      <w:proofErr w:type="spellEnd"/>
      <w:r>
        <w:rPr>
          <w:rFonts w:ascii="Arial" w:hAnsi="Arial" w:cs="Arial"/>
          <w:sz w:val="24"/>
          <w:szCs w:val="24"/>
        </w:rPr>
        <w:t xml:space="preserve"> 229 (2000)</w:t>
      </w:r>
    </w:p>
    <w:p w14:paraId="4BA5B5DF" w14:textId="77777777" w:rsidR="00735F29" w:rsidRDefault="00735F29">
      <w:pPr>
        <w:pStyle w:val="FootnoteText"/>
        <w:rPr>
          <w:rFonts w:ascii="Arial" w:hAnsi="Arial" w:cs="Arial"/>
          <w:sz w:val="24"/>
          <w:szCs w:val="24"/>
        </w:rPr>
      </w:pPr>
    </w:p>
    <w:p w14:paraId="2F3F13F0" w14:textId="77777777" w:rsidR="00735F29" w:rsidRDefault="00735F29">
      <w:pPr>
        <w:pStyle w:val="FootnoteText"/>
        <w:rPr>
          <w:rFonts w:ascii="Arial" w:hAnsi="Arial" w:cs="Arial"/>
          <w:sz w:val="24"/>
          <w:szCs w:val="24"/>
        </w:rPr>
      </w:pPr>
      <w:r>
        <w:rPr>
          <w:rFonts w:ascii="Arial" w:hAnsi="Arial" w:cs="Arial"/>
          <w:sz w:val="24"/>
          <w:szCs w:val="24"/>
        </w:rPr>
        <w:t xml:space="preserve">Maxam and Gilbert, </w:t>
      </w:r>
      <w:r>
        <w:rPr>
          <w:rFonts w:ascii="Arial" w:hAnsi="Arial" w:cs="Arial"/>
          <w:i/>
          <w:iCs/>
          <w:sz w:val="24"/>
          <w:szCs w:val="24"/>
        </w:rPr>
        <w:t>A New Method for Sequencing DNA</w:t>
      </w:r>
      <w:r>
        <w:rPr>
          <w:rFonts w:ascii="Arial" w:hAnsi="Arial" w:cs="Arial"/>
          <w:sz w:val="24"/>
          <w:szCs w:val="24"/>
        </w:rPr>
        <w:t>, 74 Proc. Nat’l Acad. Sci. 560 (1977)</w:t>
      </w:r>
    </w:p>
    <w:p w14:paraId="21ECB58E" w14:textId="77777777" w:rsidR="00735F29" w:rsidRDefault="00735F29">
      <w:pPr>
        <w:pStyle w:val="FootnoteText"/>
        <w:rPr>
          <w:rFonts w:ascii="Arial" w:hAnsi="Arial" w:cs="Arial"/>
          <w:sz w:val="24"/>
          <w:szCs w:val="24"/>
        </w:rPr>
      </w:pPr>
    </w:p>
    <w:p w14:paraId="10FDDA7C" w14:textId="77777777" w:rsidR="00735F29" w:rsidRDefault="00735F29">
      <w:pPr>
        <w:rPr>
          <w:rFonts w:ascii="Arial" w:hAnsi="Arial" w:cs="Arial"/>
          <w:sz w:val="24"/>
          <w:szCs w:val="24"/>
        </w:rPr>
      </w:pPr>
      <w:r>
        <w:rPr>
          <w:rFonts w:ascii="Arial" w:hAnsi="Arial" w:cs="Arial"/>
          <w:sz w:val="24"/>
          <w:szCs w:val="24"/>
        </w:rPr>
        <w:t xml:space="preserve">Merges, </w:t>
      </w:r>
      <w:r>
        <w:rPr>
          <w:rFonts w:ascii="Arial" w:hAnsi="Arial" w:cs="Arial"/>
          <w:i/>
          <w:iCs/>
          <w:sz w:val="24"/>
          <w:szCs w:val="24"/>
        </w:rPr>
        <w:t xml:space="preserve">Contracting Into Liability Rules: </w:t>
      </w:r>
      <w:r w:rsidR="00F85022">
        <w:rPr>
          <w:rFonts w:ascii="Arial" w:hAnsi="Arial" w:cs="Arial"/>
          <w:i/>
          <w:iCs/>
          <w:sz w:val="24"/>
          <w:szCs w:val="24"/>
        </w:rPr>
        <w:t xml:space="preserve"> </w:t>
      </w:r>
      <w:r>
        <w:rPr>
          <w:rFonts w:ascii="Arial" w:hAnsi="Arial" w:cs="Arial"/>
          <w:i/>
          <w:iCs/>
          <w:sz w:val="24"/>
          <w:szCs w:val="24"/>
        </w:rPr>
        <w:t>Intellectual Property Rights and Collective Rights Organizations</w:t>
      </w:r>
      <w:r>
        <w:rPr>
          <w:rFonts w:ascii="Arial" w:hAnsi="Arial" w:cs="Arial"/>
          <w:sz w:val="24"/>
          <w:szCs w:val="24"/>
        </w:rPr>
        <w:t>, 84 Calif. L. Rev. 1293 (1996)</w:t>
      </w:r>
    </w:p>
    <w:p w14:paraId="75B38EFA" w14:textId="77777777" w:rsidR="00735F29" w:rsidRDefault="00735F29">
      <w:pPr>
        <w:pStyle w:val="FootnoteText"/>
        <w:rPr>
          <w:rFonts w:ascii="Arial" w:hAnsi="Arial" w:cs="Arial"/>
          <w:sz w:val="24"/>
          <w:szCs w:val="24"/>
        </w:rPr>
      </w:pPr>
    </w:p>
    <w:p w14:paraId="0480F50D" w14:textId="77777777" w:rsidR="00735F29" w:rsidRDefault="00735F29">
      <w:pPr>
        <w:pStyle w:val="FootnoteText"/>
        <w:rPr>
          <w:rFonts w:ascii="Arial" w:hAnsi="Arial" w:cs="Arial"/>
          <w:sz w:val="24"/>
          <w:szCs w:val="24"/>
        </w:rPr>
      </w:pPr>
      <w:r>
        <w:rPr>
          <w:rFonts w:ascii="Arial" w:hAnsi="Arial" w:cs="Arial"/>
          <w:sz w:val="24"/>
          <w:szCs w:val="24"/>
        </w:rPr>
        <w:lastRenderedPageBreak/>
        <w:t xml:space="preserve">Michael, et. al., </w:t>
      </w:r>
      <w:r>
        <w:rPr>
          <w:rFonts w:ascii="Arial" w:hAnsi="Arial" w:cs="Arial"/>
          <w:i/>
          <w:iCs/>
          <w:sz w:val="24"/>
          <w:szCs w:val="24"/>
        </w:rPr>
        <w:t>The Role of CCR5 and CCR2 Polymorphisms in HIV-1 Transmission and Disease Progression</w:t>
      </w:r>
      <w:r>
        <w:rPr>
          <w:rFonts w:ascii="Arial" w:hAnsi="Arial" w:cs="Arial"/>
          <w:sz w:val="24"/>
          <w:szCs w:val="24"/>
        </w:rPr>
        <w:t xml:space="preserve">, 3 Nat. Med. 1160 (1997) </w:t>
      </w:r>
    </w:p>
    <w:p w14:paraId="62459A4F" w14:textId="77777777" w:rsidR="00735F29" w:rsidRDefault="00735F29">
      <w:pPr>
        <w:pStyle w:val="FootnoteText"/>
        <w:rPr>
          <w:rFonts w:ascii="Arial" w:hAnsi="Arial" w:cs="Arial"/>
          <w:sz w:val="24"/>
          <w:szCs w:val="24"/>
        </w:rPr>
      </w:pPr>
    </w:p>
    <w:p w14:paraId="233DB772" w14:textId="77777777" w:rsidR="00735F29" w:rsidRDefault="00735F29">
      <w:pPr>
        <w:pStyle w:val="FootnoteText"/>
        <w:rPr>
          <w:rFonts w:ascii="Arial" w:hAnsi="Arial" w:cs="Arial"/>
          <w:sz w:val="24"/>
          <w:szCs w:val="24"/>
        </w:rPr>
      </w:pPr>
      <w:r>
        <w:rPr>
          <w:rFonts w:ascii="Arial" w:hAnsi="Arial" w:cs="Arial"/>
          <w:sz w:val="24"/>
          <w:szCs w:val="24"/>
        </w:rPr>
        <w:t xml:space="preserve">Mullis, et. al., </w:t>
      </w:r>
      <w:r>
        <w:rPr>
          <w:rFonts w:ascii="Arial" w:hAnsi="Arial" w:cs="Arial"/>
          <w:i/>
          <w:iCs/>
          <w:sz w:val="24"/>
          <w:szCs w:val="24"/>
        </w:rPr>
        <w:t>System for Automated Performance of the Polymerase Chain Reaction</w:t>
      </w:r>
      <w:r>
        <w:rPr>
          <w:rFonts w:ascii="Arial" w:hAnsi="Arial" w:cs="Arial"/>
          <w:sz w:val="24"/>
          <w:szCs w:val="24"/>
        </w:rPr>
        <w:t>, U.S. Patent No. 5, 656,493 (August 12, 1997)</w:t>
      </w:r>
    </w:p>
    <w:p w14:paraId="11B355BA" w14:textId="77777777" w:rsidR="00735F29" w:rsidRDefault="00735F29">
      <w:pPr>
        <w:pStyle w:val="FootnoteText"/>
        <w:rPr>
          <w:rFonts w:ascii="Arial" w:hAnsi="Arial" w:cs="Arial"/>
          <w:sz w:val="24"/>
          <w:szCs w:val="24"/>
        </w:rPr>
      </w:pPr>
    </w:p>
    <w:p w14:paraId="27EC74B9" w14:textId="77777777" w:rsidR="00735F29" w:rsidRDefault="00735F29">
      <w:pPr>
        <w:rPr>
          <w:rFonts w:ascii="Arial" w:hAnsi="Arial" w:cs="Arial"/>
          <w:sz w:val="24"/>
          <w:szCs w:val="24"/>
        </w:rPr>
      </w:pPr>
      <w:r>
        <w:rPr>
          <w:rFonts w:ascii="Arial" w:hAnsi="Arial" w:cs="Arial"/>
          <w:sz w:val="24"/>
          <w:szCs w:val="24"/>
        </w:rPr>
        <w:t>Nat'l Research Council, Intellectual Property Rights and Research Tools in Molecular Biology 57 (1997) Report of the National Institutes of Health (NIH) Working Group on Research Tools, Presented to the Advisory Committee to the Director, June 4, 1998 (visited June 28, 2002)</w:t>
      </w:r>
      <w:r>
        <w:rPr>
          <w:rFonts w:ascii="Arial" w:hAnsi="Arial" w:cs="Arial"/>
          <w:sz w:val="24"/>
          <w:szCs w:val="24"/>
        </w:rPr>
        <w:br/>
        <w:t>&lt;http://www.nih.gov./news/researchtools/index.htm&gt;</w:t>
      </w:r>
    </w:p>
    <w:p w14:paraId="3546A0DE" w14:textId="77777777" w:rsidR="00735F29" w:rsidRDefault="00735F29">
      <w:pPr>
        <w:pStyle w:val="FootnoteText"/>
        <w:rPr>
          <w:rFonts w:ascii="Arial" w:hAnsi="Arial" w:cs="Arial"/>
          <w:sz w:val="24"/>
          <w:szCs w:val="24"/>
        </w:rPr>
      </w:pPr>
    </w:p>
    <w:p w14:paraId="71963F4F" w14:textId="77777777" w:rsidR="00735F29" w:rsidRDefault="00735F29">
      <w:pPr>
        <w:pStyle w:val="FootnoteText"/>
        <w:rPr>
          <w:rFonts w:ascii="Arial" w:hAnsi="Arial" w:cs="Arial"/>
          <w:sz w:val="24"/>
          <w:szCs w:val="24"/>
        </w:rPr>
      </w:pPr>
      <w:r>
        <w:rPr>
          <w:rFonts w:ascii="Arial" w:hAnsi="Arial" w:cs="Arial"/>
          <w:sz w:val="24"/>
          <w:szCs w:val="24"/>
        </w:rPr>
        <w:t xml:space="preserve">Note, </w:t>
      </w:r>
      <w:r>
        <w:rPr>
          <w:rFonts w:ascii="Arial" w:hAnsi="Arial" w:cs="Arial"/>
          <w:i/>
          <w:iCs/>
          <w:sz w:val="24"/>
          <w:szCs w:val="24"/>
        </w:rPr>
        <w:t>Intellectual Property Rights in Genes and Gene Fragments: A Registration Solution for Expressed Sequence Tags,</w:t>
      </w:r>
      <w:r>
        <w:rPr>
          <w:rFonts w:ascii="Arial" w:hAnsi="Arial" w:cs="Arial"/>
          <w:sz w:val="24"/>
          <w:szCs w:val="24"/>
        </w:rPr>
        <w:t xml:space="preserve"> 85 Iowa L. Rev. 735, 738 (2000)</w:t>
      </w:r>
    </w:p>
    <w:p w14:paraId="2C07B1A9" w14:textId="77777777" w:rsidR="00735F29" w:rsidRDefault="00735F29">
      <w:pPr>
        <w:widowControl w:val="0"/>
        <w:rPr>
          <w:rFonts w:ascii="Arial" w:hAnsi="Arial" w:cs="Arial"/>
          <w:sz w:val="24"/>
          <w:szCs w:val="24"/>
        </w:rPr>
      </w:pPr>
    </w:p>
    <w:p w14:paraId="3E3772E4" w14:textId="77777777" w:rsidR="00735F29" w:rsidRDefault="00735F29">
      <w:pPr>
        <w:widowControl w:val="0"/>
        <w:rPr>
          <w:rFonts w:ascii="Arial" w:hAnsi="Arial" w:cs="Arial"/>
          <w:sz w:val="24"/>
          <w:szCs w:val="24"/>
        </w:rPr>
      </w:pPr>
      <w:r>
        <w:rPr>
          <w:rFonts w:ascii="Arial" w:hAnsi="Arial" w:cs="Arial"/>
          <w:sz w:val="24"/>
          <w:szCs w:val="24"/>
        </w:rPr>
        <w:t xml:space="preserve">Note, </w:t>
      </w:r>
      <w:r>
        <w:rPr>
          <w:rFonts w:ascii="Arial" w:hAnsi="Arial" w:cs="Arial"/>
          <w:i/>
          <w:iCs/>
          <w:sz w:val="24"/>
          <w:szCs w:val="24"/>
        </w:rPr>
        <w:t>Human Genes Without Functions: Biotechnology Tests the Patent Utility Standard</w:t>
      </w:r>
      <w:r>
        <w:rPr>
          <w:rFonts w:ascii="Arial" w:hAnsi="Arial" w:cs="Arial"/>
          <w:sz w:val="24"/>
          <w:szCs w:val="24"/>
        </w:rPr>
        <w:t>, 27 Suffolk U. L. Rev. 1631 (1993)</w:t>
      </w:r>
    </w:p>
    <w:p w14:paraId="703F6E24" w14:textId="77777777" w:rsidR="00735F29" w:rsidRDefault="00735F29">
      <w:pPr>
        <w:pStyle w:val="FootnoteText"/>
        <w:rPr>
          <w:rFonts w:ascii="Arial" w:hAnsi="Arial" w:cs="Arial"/>
          <w:sz w:val="24"/>
          <w:szCs w:val="24"/>
        </w:rPr>
      </w:pPr>
    </w:p>
    <w:p w14:paraId="4C7148B3" w14:textId="77777777" w:rsidR="00735F29" w:rsidRDefault="00735F29">
      <w:pPr>
        <w:rPr>
          <w:rFonts w:ascii="Arial" w:hAnsi="Arial" w:cs="Arial"/>
          <w:sz w:val="24"/>
          <w:szCs w:val="24"/>
        </w:rPr>
      </w:pPr>
      <w:r>
        <w:rPr>
          <w:rFonts w:ascii="Arial" w:hAnsi="Arial" w:cs="Arial"/>
          <w:sz w:val="24"/>
          <w:szCs w:val="24"/>
        </w:rPr>
        <w:t xml:space="preserve">O'Rourke, </w:t>
      </w:r>
      <w:r>
        <w:rPr>
          <w:rFonts w:ascii="Arial" w:hAnsi="Arial" w:cs="Arial"/>
          <w:i/>
          <w:iCs/>
          <w:sz w:val="24"/>
          <w:szCs w:val="24"/>
        </w:rPr>
        <w:t>Towards a Doctrine of Fair Use in Patent Law</w:t>
      </w:r>
      <w:r>
        <w:rPr>
          <w:rFonts w:ascii="Arial" w:hAnsi="Arial" w:cs="Arial"/>
          <w:sz w:val="24"/>
          <w:szCs w:val="24"/>
        </w:rPr>
        <w:t>, 100 Colum. L. Rev. 1177 (2000)</w:t>
      </w:r>
    </w:p>
    <w:p w14:paraId="30FECAFA" w14:textId="77777777" w:rsidR="00735F29" w:rsidRDefault="00735F29">
      <w:pPr>
        <w:pStyle w:val="FootnoteText"/>
        <w:rPr>
          <w:rFonts w:ascii="Arial" w:hAnsi="Arial" w:cs="Arial"/>
          <w:sz w:val="24"/>
          <w:szCs w:val="24"/>
        </w:rPr>
      </w:pPr>
    </w:p>
    <w:p w14:paraId="39BDAB64" w14:textId="77777777" w:rsidR="00735F29" w:rsidRDefault="00735F29">
      <w:pPr>
        <w:pStyle w:val="FootnoteText"/>
        <w:rPr>
          <w:rFonts w:ascii="Arial" w:hAnsi="Arial" w:cs="Arial"/>
          <w:sz w:val="24"/>
          <w:szCs w:val="24"/>
        </w:rPr>
      </w:pPr>
      <w:r>
        <w:rPr>
          <w:rFonts w:ascii="Arial" w:hAnsi="Arial" w:cs="Arial"/>
          <w:i/>
          <w:iCs/>
          <w:sz w:val="24"/>
          <w:szCs w:val="24"/>
        </w:rPr>
        <w:t>Patenting DNA,</w:t>
      </w:r>
      <w:r>
        <w:rPr>
          <w:rFonts w:ascii="Arial" w:hAnsi="Arial" w:cs="Arial"/>
          <w:sz w:val="24"/>
          <w:szCs w:val="24"/>
        </w:rPr>
        <w:t xml:space="preserve"> (visited May 9, 2002)&lt;http://www.sciencefriday.com/pages /1999/hour</w:t>
      </w:r>
    </w:p>
    <w:p w14:paraId="3C64FB9D" w14:textId="77777777" w:rsidR="00735F29" w:rsidRDefault="00735F29">
      <w:pPr>
        <w:pStyle w:val="FootnoteText"/>
        <w:rPr>
          <w:rFonts w:ascii="Arial" w:hAnsi="Arial" w:cs="Arial"/>
          <w:sz w:val="24"/>
          <w:szCs w:val="24"/>
        </w:rPr>
      </w:pPr>
      <w:r>
        <w:rPr>
          <w:rFonts w:ascii="Arial" w:hAnsi="Arial" w:cs="Arial"/>
          <w:sz w:val="24"/>
          <w:szCs w:val="24"/>
        </w:rPr>
        <w:t>_1102999.html&gt;</w:t>
      </w:r>
    </w:p>
    <w:p w14:paraId="0915792D" w14:textId="77777777" w:rsidR="00735F29" w:rsidRDefault="00735F29">
      <w:pPr>
        <w:pStyle w:val="FootnoteText"/>
        <w:rPr>
          <w:rFonts w:ascii="Arial" w:hAnsi="Arial" w:cs="Arial"/>
          <w:sz w:val="24"/>
          <w:szCs w:val="24"/>
        </w:rPr>
      </w:pPr>
    </w:p>
    <w:p w14:paraId="17D65D3C" w14:textId="77777777" w:rsidR="00735F29" w:rsidRDefault="00735F29">
      <w:pPr>
        <w:pStyle w:val="FootnoteText"/>
        <w:rPr>
          <w:rFonts w:ascii="Arial" w:hAnsi="Arial" w:cs="Arial"/>
          <w:sz w:val="24"/>
          <w:szCs w:val="24"/>
        </w:rPr>
      </w:pPr>
      <w:r>
        <w:rPr>
          <w:rFonts w:ascii="Arial" w:hAnsi="Arial" w:cs="Arial"/>
          <w:sz w:val="24"/>
          <w:szCs w:val="24"/>
        </w:rPr>
        <w:t>Rai,</w:t>
      </w:r>
      <w:r>
        <w:rPr>
          <w:rFonts w:ascii="Arial" w:hAnsi="Arial" w:cs="Arial"/>
          <w:i/>
          <w:iCs/>
          <w:sz w:val="24"/>
          <w:szCs w:val="24"/>
        </w:rPr>
        <w:t xml:space="preserve"> Regulating Scientific Research:  Intellectual Property and the Norms of Science</w:t>
      </w:r>
      <w:r>
        <w:rPr>
          <w:rFonts w:ascii="Arial" w:hAnsi="Arial" w:cs="Arial"/>
          <w:sz w:val="24"/>
          <w:szCs w:val="24"/>
        </w:rPr>
        <w:t>, 94 Nw. U. L. Rev. 123 (1999)</w:t>
      </w:r>
    </w:p>
    <w:p w14:paraId="15C38EE1" w14:textId="77777777" w:rsidR="00735F29" w:rsidRDefault="00735F29">
      <w:pPr>
        <w:pStyle w:val="FootnoteText"/>
        <w:rPr>
          <w:rFonts w:ascii="Arial" w:hAnsi="Arial" w:cs="Arial"/>
          <w:sz w:val="24"/>
          <w:szCs w:val="24"/>
        </w:rPr>
      </w:pPr>
    </w:p>
    <w:p w14:paraId="0A4D1D8A" w14:textId="77777777" w:rsidR="00735F29" w:rsidRDefault="00735F29">
      <w:pPr>
        <w:pStyle w:val="FootnoteText"/>
        <w:rPr>
          <w:rFonts w:ascii="Arial" w:hAnsi="Arial" w:cs="Arial"/>
          <w:sz w:val="24"/>
          <w:szCs w:val="24"/>
        </w:rPr>
      </w:pPr>
      <w:r>
        <w:rPr>
          <w:rFonts w:ascii="Arial" w:hAnsi="Arial" w:cs="Arial"/>
          <w:sz w:val="24"/>
          <w:szCs w:val="24"/>
        </w:rPr>
        <w:t xml:space="preserve">Sanger et. al., </w:t>
      </w:r>
      <w:r>
        <w:rPr>
          <w:rFonts w:ascii="Arial" w:hAnsi="Arial" w:cs="Arial"/>
          <w:i/>
          <w:iCs/>
          <w:sz w:val="24"/>
          <w:szCs w:val="24"/>
        </w:rPr>
        <w:t>DNA Sequencing With Chain-Terminating Inhibitors</w:t>
      </w:r>
      <w:r>
        <w:rPr>
          <w:rFonts w:ascii="Arial" w:hAnsi="Arial" w:cs="Arial"/>
          <w:sz w:val="24"/>
          <w:szCs w:val="24"/>
        </w:rPr>
        <w:t>, 74 Proc. Nat’l. Acad. Sci. 5463 (1977).</w:t>
      </w:r>
    </w:p>
    <w:p w14:paraId="4B72FBC4" w14:textId="77777777" w:rsidR="00735F29" w:rsidRDefault="00735F29">
      <w:pPr>
        <w:widowControl w:val="0"/>
        <w:rPr>
          <w:rFonts w:ascii="Arial" w:hAnsi="Arial" w:cs="Arial"/>
          <w:i/>
          <w:iCs/>
          <w:sz w:val="24"/>
          <w:szCs w:val="24"/>
        </w:rPr>
      </w:pPr>
    </w:p>
    <w:p w14:paraId="153176BB" w14:textId="77777777" w:rsidR="00735F29" w:rsidRDefault="00735F29">
      <w:pPr>
        <w:widowControl w:val="0"/>
        <w:rPr>
          <w:rFonts w:ascii="Arial" w:hAnsi="Arial" w:cs="Arial"/>
          <w:sz w:val="24"/>
          <w:szCs w:val="24"/>
        </w:rPr>
      </w:pPr>
      <w:r>
        <w:rPr>
          <w:rFonts w:ascii="Arial" w:hAnsi="Arial" w:cs="Arial"/>
          <w:i/>
          <w:iCs/>
          <w:sz w:val="24"/>
          <w:szCs w:val="24"/>
        </w:rPr>
        <w:t>Sixty Minutes</w:t>
      </w:r>
      <w:r>
        <w:rPr>
          <w:rFonts w:ascii="Arial" w:hAnsi="Arial" w:cs="Arial"/>
          <w:sz w:val="24"/>
          <w:szCs w:val="24"/>
        </w:rPr>
        <w:t>, (CBS television broadcast, July 29, 2001)</w:t>
      </w:r>
    </w:p>
    <w:p w14:paraId="25A4A652" w14:textId="77777777" w:rsidR="00735F29" w:rsidRDefault="00735F29">
      <w:pPr>
        <w:pStyle w:val="FootnoteText"/>
        <w:rPr>
          <w:rFonts w:ascii="Arial" w:hAnsi="Arial" w:cs="Arial"/>
          <w:sz w:val="24"/>
          <w:szCs w:val="24"/>
        </w:rPr>
      </w:pPr>
    </w:p>
    <w:p w14:paraId="388D6F15" w14:textId="77777777" w:rsidR="00735F29" w:rsidRDefault="00735F29">
      <w:pPr>
        <w:pStyle w:val="FootnoteText"/>
        <w:rPr>
          <w:rFonts w:ascii="Arial" w:hAnsi="Arial" w:cs="Arial"/>
          <w:sz w:val="24"/>
          <w:szCs w:val="24"/>
        </w:rPr>
      </w:pPr>
      <w:r>
        <w:rPr>
          <w:rFonts w:ascii="Arial" w:hAnsi="Arial" w:cs="Arial"/>
          <w:sz w:val="24"/>
          <w:szCs w:val="24"/>
        </w:rPr>
        <w:t xml:space="preserve">Smith, et. al., </w:t>
      </w:r>
      <w:r>
        <w:rPr>
          <w:rFonts w:ascii="Arial" w:hAnsi="Arial" w:cs="Arial"/>
          <w:i/>
          <w:iCs/>
          <w:sz w:val="24"/>
          <w:szCs w:val="24"/>
        </w:rPr>
        <w:t>Contrasting Genetic Influence of CCR2 and CCR5Variants on HIV-1 Infection and Disease Progression</w:t>
      </w:r>
      <w:r>
        <w:rPr>
          <w:rFonts w:ascii="Arial" w:hAnsi="Arial" w:cs="Arial"/>
          <w:sz w:val="24"/>
          <w:szCs w:val="24"/>
        </w:rPr>
        <w:t>, 277 Science 959 (1997)</w:t>
      </w:r>
    </w:p>
    <w:p w14:paraId="24EB438F" w14:textId="77777777" w:rsidR="00735F29" w:rsidRDefault="00735F29">
      <w:pPr>
        <w:pStyle w:val="FootnoteText"/>
        <w:rPr>
          <w:rFonts w:ascii="Arial" w:hAnsi="Arial" w:cs="Arial"/>
          <w:sz w:val="24"/>
          <w:szCs w:val="24"/>
        </w:rPr>
      </w:pPr>
    </w:p>
    <w:p w14:paraId="708B9100" w14:textId="77777777" w:rsidR="00735F29" w:rsidRDefault="00735F29">
      <w:pPr>
        <w:rPr>
          <w:rFonts w:ascii="Arial" w:hAnsi="Arial" w:cs="Arial"/>
          <w:sz w:val="24"/>
          <w:szCs w:val="24"/>
        </w:rPr>
      </w:pPr>
      <w:r>
        <w:rPr>
          <w:rFonts w:ascii="Arial" w:hAnsi="Arial" w:cs="Arial"/>
          <w:sz w:val="24"/>
          <w:szCs w:val="24"/>
        </w:rPr>
        <w:t xml:space="preserve">Thomas, </w:t>
      </w:r>
      <w:r>
        <w:rPr>
          <w:rFonts w:ascii="Arial" w:hAnsi="Arial" w:cs="Arial"/>
          <w:i/>
          <w:iCs/>
          <w:sz w:val="24"/>
          <w:szCs w:val="24"/>
        </w:rPr>
        <w:t>The Post-Industrial Patent System</w:t>
      </w:r>
      <w:r>
        <w:rPr>
          <w:rFonts w:ascii="Arial" w:hAnsi="Arial" w:cs="Arial"/>
          <w:sz w:val="24"/>
          <w:szCs w:val="24"/>
        </w:rPr>
        <w:t xml:space="preserve">, 10 Fordham </w:t>
      </w:r>
      <w:proofErr w:type="spellStart"/>
      <w:r>
        <w:rPr>
          <w:rFonts w:ascii="Arial" w:hAnsi="Arial" w:cs="Arial"/>
          <w:sz w:val="24"/>
          <w:szCs w:val="24"/>
        </w:rPr>
        <w:t>Intell</w:t>
      </w:r>
      <w:proofErr w:type="spellEnd"/>
      <w:r>
        <w:rPr>
          <w:rFonts w:ascii="Arial" w:hAnsi="Arial" w:cs="Arial"/>
          <w:sz w:val="24"/>
          <w:szCs w:val="24"/>
        </w:rPr>
        <w:t>. Prop. Media &amp; Ent. L.J. 3 (1999)</w:t>
      </w:r>
    </w:p>
    <w:p w14:paraId="354694DA" w14:textId="77777777" w:rsidR="00735F29" w:rsidRDefault="00735F29">
      <w:pPr>
        <w:pStyle w:val="FootnoteText"/>
        <w:rPr>
          <w:rFonts w:ascii="Arial" w:hAnsi="Arial" w:cs="Arial"/>
          <w:sz w:val="24"/>
          <w:szCs w:val="24"/>
        </w:rPr>
      </w:pPr>
    </w:p>
    <w:p w14:paraId="6FC93FBE" w14:textId="77777777" w:rsidR="00735F29" w:rsidRDefault="00735F29">
      <w:pPr>
        <w:pStyle w:val="FootnoteText"/>
        <w:rPr>
          <w:rFonts w:ascii="Arial" w:hAnsi="Arial" w:cs="Arial"/>
          <w:sz w:val="24"/>
          <w:szCs w:val="24"/>
        </w:rPr>
      </w:pPr>
      <w:r>
        <w:rPr>
          <w:rFonts w:ascii="Arial" w:hAnsi="Arial" w:cs="Arial"/>
          <w:sz w:val="24"/>
          <w:szCs w:val="24"/>
        </w:rPr>
        <w:t>U.S. Patent and Trademark Office, Website: www.upto.gov /offices /</w:t>
      </w:r>
      <w:proofErr w:type="spellStart"/>
      <w:r>
        <w:rPr>
          <w:rFonts w:ascii="Arial" w:hAnsi="Arial" w:cs="Arial"/>
          <w:sz w:val="24"/>
          <w:szCs w:val="24"/>
        </w:rPr>
        <w:t>pac</w:t>
      </w:r>
      <w:proofErr w:type="spellEnd"/>
      <w:r>
        <w:rPr>
          <w:rFonts w:ascii="Arial" w:hAnsi="Arial" w:cs="Arial"/>
          <w:sz w:val="24"/>
          <w:szCs w:val="24"/>
        </w:rPr>
        <w:t xml:space="preserve"> /doc/general/what.html</w:t>
      </w:r>
    </w:p>
    <w:p w14:paraId="169F3FFB" w14:textId="77777777" w:rsidR="00735F29" w:rsidRDefault="00735F29">
      <w:pPr>
        <w:widowControl w:val="0"/>
        <w:rPr>
          <w:rFonts w:ascii="Arial" w:hAnsi="Arial" w:cs="Arial"/>
          <w:sz w:val="24"/>
          <w:szCs w:val="24"/>
        </w:rPr>
      </w:pPr>
    </w:p>
    <w:p w14:paraId="76663FA5" w14:textId="77777777" w:rsidR="004D7747" w:rsidRDefault="004D7747">
      <w:pPr>
        <w:widowControl w:val="0"/>
        <w:jc w:val="center"/>
        <w:rPr>
          <w:rFonts w:ascii="Arial" w:hAnsi="Arial" w:cs="Arial"/>
          <w:i/>
          <w:iCs/>
          <w:sz w:val="24"/>
          <w:szCs w:val="24"/>
        </w:rPr>
      </w:pPr>
    </w:p>
    <w:p w14:paraId="4BA49760" w14:textId="77777777" w:rsidR="004D7747" w:rsidRDefault="004D7747">
      <w:pPr>
        <w:widowControl w:val="0"/>
        <w:jc w:val="center"/>
        <w:rPr>
          <w:rFonts w:ascii="Arial" w:hAnsi="Arial" w:cs="Arial"/>
          <w:i/>
          <w:iCs/>
          <w:sz w:val="24"/>
          <w:szCs w:val="24"/>
        </w:rPr>
      </w:pPr>
    </w:p>
    <w:p w14:paraId="0450103A" w14:textId="77777777" w:rsidR="004D7747" w:rsidRDefault="004D7747">
      <w:pPr>
        <w:widowControl w:val="0"/>
        <w:jc w:val="center"/>
        <w:rPr>
          <w:rFonts w:ascii="Arial" w:hAnsi="Arial" w:cs="Arial"/>
          <w:i/>
          <w:iCs/>
          <w:sz w:val="24"/>
          <w:szCs w:val="24"/>
        </w:rPr>
      </w:pPr>
    </w:p>
    <w:p w14:paraId="0E8B2617" w14:textId="77777777" w:rsidR="004D7747" w:rsidRDefault="004D7747">
      <w:pPr>
        <w:widowControl w:val="0"/>
        <w:jc w:val="center"/>
        <w:rPr>
          <w:rFonts w:ascii="Arial" w:hAnsi="Arial" w:cs="Arial"/>
          <w:i/>
          <w:iCs/>
          <w:sz w:val="24"/>
          <w:szCs w:val="24"/>
        </w:rPr>
      </w:pPr>
    </w:p>
    <w:p w14:paraId="0B40E97F" w14:textId="77777777" w:rsidR="004D7747" w:rsidRDefault="004D7747">
      <w:pPr>
        <w:widowControl w:val="0"/>
        <w:jc w:val="center"/>
        <w:rPr>
          <w:rFonts w:ascii="Arial" w:hAnsi="Arial" w:cs="Arial"/>
          <w:i/>
          <w:iCs/>
          <w:sz w:val="24"/>
          <w:szCs w:val="24"/>
        </w:rPr>
      </w:pPr>
    </w:p>
    <w:p w14:paraId="544A55E6" w14:textId="77777777" w:rsidR="00735F29" w:rsidRDefault="00735F29">
      <w:pPr>
        <w:widowControl w:val="0"/>
        <w:jc w:val="center"/>
        <w:rPr>
          <w:rFonts w:ascii="Arial" w:hAnsi="Arial" w:cs="Arial"/>
          <w:i/>
          <w:iCs/>
          <w:sz w:val="24"/>
          <w:szCs w:val="24"/>
        </w:rPr>
      </w:pPr>
      <w:r>
        <w:rPr>
          <w:rFonts w:ascii="Arial" w:hAnsi="Arial" w:cs="Arial"/>
          <w:i/>
          <w:iCs/>
          <w:sz w:val="24"/>
          <w:szCs w:val="24"/>
        </w:rPr>
        <w:lastRenderedPageBreak/>
        <w:t>Patents &amp; Statutes</w:t>
      </w:r>
    </w:p>
    <w:p w14:paraId="42CE2B33" w14:textId="77777777" w:rsidR="00735F29" w:rsidRDefault="00735F29">
      <w:pPr>
        <w:widowControl w:val="0"/>
        <w:jc w:val="center"/>
        <w:rPr>
          <w:rFonts w:ascii="Arial" w:hAnsi="Arial" w:cs="Arial"/>
          <w:sz w:val="24"/>
          <w:szCs w:val="24"/>
        </w:rPr>
      </w:pPr>
    </w:p>
    <w:p w14:paraId="7A5C2AC6" w14:textId="77777777" w:rsidR="00735F29" w:rsidRDefault="00735F29">
      <w:pPr>
        <w:pStyle w:val="FootnoteText"/>
        <w:rPr>
          <w:rFonts w:ascii="Arial" w:hAnsi="Arial" w:cs="Arial"/>
          <w:sz w:val="24"/>
          <w:szCs w:val="24"/>
        </w:rPr>
      </w:pPr>
      <w:r>
        <w:rPr>
          <w:rFonts w:ascii="Arial" w:hAnsi="Arial" w:cs="Arial"/>
          <w:sz w:val="24"/>
          <w:szCs w:val="24"/>
        </w:rPr>
        <w:t xml:space="preserve">Cohen, et. al., </w:t>
      </w:r>
      <w:r>
        <w:rPr>
          <w:rFonts w:ascii="Arial" w:hAnsi="Arial" w:cs="Arial"/>
          <w:i/>
          <w:iCs/>
          <w:sz w:val="24"/>
          <w:szCs w:val="24"/>
        </w:rPr>
        <w:t>Process for Producing Biologically Functional Molecular Chimeras</w:t>
      </w:r>
      <w:r>
        <w:rPr>
          <w:rFonts w:ascii="Arial" w:hAnsi="Arial" w:cs="Arial"/>
          <w:sz w:val="24"/>
          <w:szCs w:val="24"/>
        </w:rPr>
        <w:t>, U.S. Patent No. 4,237,224 (Dec. 2, 1980)</w:t>
      </w:r>
    </w:p>
    <w:p w14:paraId="3CE1F9AC" w14:textId="77777777" w:rsidR="00735F29" w:rsidRDefault="00735F29">
      <w:pPr>
        <w:widowControl w:val="0"/>
        <w:rPr>
          <w:rFonts w:ascii="Arial" w:hAnsi="Arial" w:cs="Arial"/>
          <w:sz w:val="24"/>
          <w:szCs w:val="24"/>
        </w:rPr>
      </w:pPr>
    </w:p>
    <w:p w14:paraId="44340C2F" w14:textId="77777777" w:rsidR="00735F29" w:rsidRDefault="00735F29">
      <w:pPr>
        <w:pStyle w:val="FootnoteText"/>
        <w:rPr>
          <w:rFonts w:ascii="Arial" w:hAnsi="Arial" w:cs="Arial"/>
          <w:sz w:val="24"/>
          <w:szCs w:val="24"/>
        </w:rPr>
      </w:pPr>
      <w:r>
        <w:rPr>
          <w:rFonts w:ascii="Arial" w:hAnsi="Arial" w:cs="Arial"/>
          <w:sz w:val="24"/>
          <w:szCs w:val="24"/>
        </w:rPr>
        <w:t xml:space="preserve">Mullis, et. al., </w:t>
      </w:r>
      <w:r>
        <w:rPr>
          <w:rFonts w:ascii="Arial" w:hAnsi="Arial" w:cs="Arial"/>
          <w:i/>
          <w:iCs/>
          <w:sz w:val="24"/>
          <w:szCs w:val="24"/>
        </w:rPr>
        <w:t>System for Automated Performance of the Polymerase Chain Reaction</w:t>
      </w:r>
      <w:r>
        <w:rPr>
          <w:rFonts w:ascii="Arial" w:hAnsi="Arial" w:cs="Arial"/>
          <w:sz w:val="24"/>
          <w:szCs w:val="24"/>
        </w:rPr>
        <w:t>, U.S. Patent No. 5, 656,493 (August 12, 1997)</w:t>
      </w:r>
    </w:p>
    <w:p w14:paraId="1BC4329B" w14:textId="77777777" w:rsidR="00735F29" w:rsidRDefault="00735F29">
      <w:pPr>
        <w:widowControl w:val="0"/>
        <w:rPr>
          <w:rFonts w:ascii="Arial" w:hAnsi="Arial" w:cs="Arial"/>
          <w:sz w:val="24"/>
          <w:szCs w:val="24"/>
        </w:rPr>
      </w:pPr>
    </w:p>
    <w:p w14:paraId="50D61B61" w14:textId="77777777" w:rsidR="00735F29" w:rsidRDefault="00735F29">
      <w:pPr>
        <w:pStyle w:val="FootnoteText"/>
        <w:rPr>
          <w:rFonts w:ascii="Arial" w:hAnsi="Arial" w:cs="Arial"/>
          <w:sz w:val="24"/>
          <w:szCs w:val="24"/>
        </w:rPr>
      </w:pPr>
      <w:r>
        <w:rPr>
          <w:rFonts w:ascii="Arial" w:hAnsi="Arial" w:cs="Arial"/>
          <w:sz w:val="24"/>
          <w:szCs w:val="24"/>
        </w:rPr>
        <w:t xml:space="preserve">Nucleotide Sequence of the </w:t>
      </w:r>
      <w:proofErr w:type="spellStart"/>
      <w:r>
        <w:rPr>
          <w:rFonts w:ascii="Arial" w:hAnsi="Arial" w:cs="Arial"/>
          <w:sz w:val="24"/>
          <w:szCs w:val="24"/>
        </w:rPr>
        <w:t>Haemophilus</w:t>
      </w:r>
      <w:proofErr w:type="spellEnd"/>
      <w:r>
        <w:rPr>
          <w:rFonts w:ascii="Arial" w:hAnsi="Arial" w:cs="Arial"/>
          <w:sz w:val="24"/>
          <w:szCs w:val="24"/>
        </w:rPr>
        <w:t xml:space="preserve"> </w:t>
      </w:r>
      <w:proofErr w:type="spellStart"/>
      <w:r>
        <w:rPr>
          <w:rFonts w:ascii="Arial" w:hAnsi="Arial" w:cs="Arial"/>
          <w:sz w:val="24"/>
          <w:szCs w:val="24"/>
        </w:rPr>
        <w:t>influenzea</w:t>
      </w:r>
      <w:proofErr w:type="spellEnd"/>
      <w:r>
        <w:rPr>
          <w:rFonts w:ascii="Arial" w:hAnsi="Arial" w:cs="Arial"/>
          <w:sz w:val="24"/>
          <w:szCs w:val="24"/>
        </w:rPr>
        <w:t xml:space="preserve"> Rd Genome, Fragments thereof, and Uses Thereof, WO 96/33276, PCT/US96/05320 (international patent application filed under the Patent Cooperation Treaty on October 24, 1996).</w:t>
      </w:r>
    </w:p>
    <w:p w14:paraId="40E5457C" w14:textId="77777777" w:rsidR="00735F29" w:rsidRDefault="00735F29">
      <w:pPr>
        <w:widowControl w:val="0"/>
        <w:rPr>
          <w:rFonts w:ascii="Arial" w:hAnsi="Arial" w:cs="Arial"/>
          <w:sz w:val="24"/>
          <w:szCs w:val="24"/>
        </w:rPr>
      </w:pPr>
    </w:p>
    <w:p w14:paraId="36A77971" w14:textId="77777777" w:rsidR="00735F29" w:rsidRDefault="00735F29">
      <w:pPr>
        <w:widowControl w:val="0"/>
        <w:rPr>
          <w:rFonts w:ascii="Arial" w:hAnsi="Arial" w:cs="Arial"/>
          <w:sz w:val="24"/>
          <w:szCs w:val="24"/>
        </w:rPr>
      </w:pPr>
      <w:r>
        <w:rPr>
          <w:rFonts w:ascii="Arial" w:hAnsi="Arial" w:cs="Arial"/>
          <w:sz w:val="24"/>
          <w:szCs w:val="24"/>
        </w:rPr>
        <w:t>U.S. Patent No. 4,703,008, October 27, 1987</w:t>
      </w:r>
    </w:p>
    <w:p w14:paraId="51EAC442" w14:textId="77777777" w:rsidR="00735F29" w:rsidRDefault="00735F29">
      <w:pPr>
        <w:widowControl w:val="0"/>
        <w:rPr>
          <w:rFonts w:ascii="Arial" w:hAnsi="Arial" w:cs="Arial"/>
          <w:sz w:val="24"/>
          <w:szCs w:val="24"/>
        </w:rPr>
      </w:pPr>
    </w:p>
    <w:p w14:paraId="3677FA82" w14:textId="77777777" w:rsidR="00735F29" w:rsidRDefault="00735F29">
      <w:pPr>
        <w:pStyle w:val="FootnoteText"/>
        <w:rPr>
          <w:rFonts w:ascii="Arial" w:hAnsi="Arial" w:cs="Arial"/>
          <w:sz w:val="24"/>
          <w:szCs w:val="24"/>
        </w:rPr>
      </w:pPr>
      <w:r>
        <w:rPr>
          <w:rFonts w:ascii="Arial" w:hAnsi="Arial" w:cs="Arial"/>
          <w:sz w:val="24"/>
          <w:szCs w:val="24"/>
        </w:rPr>
        <w:t xml:space="preserve">Yi Li, et. al., </w:t>
      </w:r>
      <w:r>
        <w:rPr>
          <w:rFonts w:ascii="Arial" w:hAnsi="Arial" w:cs="Arial"/>
          <w:i/>
          <w:iCs/>
          <w:sz w:val="24"/>
          <w:szCs w:val="24"/>
        </w:rPr>
        <w:t xml:space="preserve">Polynucleotides Encoding Human G-Protein </w:t>
      </w:r>
      <w:proofErr w:type="spellStart"/>
      <w:r>
        <w:rPr>
          <w:rFonts w:ascii="Arial" w:hAnsi="Arial" w:cs="Arial"/>
          <w:i/>
          <w:iCs/>
          <w:sz w:val="24"/>
          <w:szCs w:val="24"/>
        </w:rPr>
        <w:t>Chemoki</w:t>
      </w:r>
      <w:proofErr w:type="spellEnd"/>
      <w:r>
        <w:rPr>
          <w:rFonts w:ascii="Arial" w:hAnsi="Arial" w:cs="Arial"/>
          <w:i/>
          <w:iCs/>
          <w:sz w:val="24"/>
          <w:szCs w:val="24"/>
        </w:rPr>
        <w:t xml:space="preserve"> ne </w:t>
      </w:r>
      <w:proofErr w:type="spellStart"/>
      <w:r>
        <w:rPr>
          <w:rFonts w:ascii="Arial" w:hAnsi="Arial" w:cs="Arial"/>
          <w:i/>
          <w:iCs/>
          <w:sz w:val="24"/>
          <w:szCs w:val="24"/>
        </w:rPr>
        <w:t>ReceptorHDGN</w:t>
      </w:r>
      <w:proofErr w:type="spellEnd"/>
      <w:r>
        <w:rPr>
          <w:rFonts w:ascii="Arial" w:hAnsi="Arial" w:cs="Arial"/>
          <w:sz w:val="24"/>
          <w:szCs w:val="24"/>
        </w:rPr>
        <w:t>, U.S. Patent No. 6,025,154 (Feb. 15, 2000)</w:t>
      </w:r>
    </w:p>
    <w:p w14:paraId="33D22199" w14:textId="77777777" w:rsidR="00735F29" w:rsidRDefault="00735F29">
      <w:pPr>
        <w:widowControl w:val="0"/>
        <w:rPr>
          <w:rFonts w:ascii="Arial" w:hAnsi="Arial" w:cs="Arial"/>
          <w:sz w:val="24"/>
          <w:szCs w:val="24"/>
        </w:rPr>
      </w:pPr>
    </w:p>
    <w:p w14:paraId="1F5FB24A" w14:textId="77777777" w:rsidR="00735F29" w:rsidRDefault="00735F29">
      <w:pPr>
        <w:widowControl w:val="0"/>
        <w:rPr>
          <w:rFonts w:ascii="Arial" w:hAnsi="Arial" w:cs="Arial"/>
          <w:sz w:val="24"/>
          <w:szCs w:val="24"/>
        </w:rPr>
      </w:pPr>
      <w:r>
        <w:rPr>
          <w:rFonts w:ascii="Arial" w:hAnsi="Arial" w:cs="Arial"/>
          <w:sz w:val="24"/>
          <w:szCs w:val="24"/>
        </w:rPr>
        <w:t xml:space="preserve">The Bayh-Dole Act, 35 U.S.C. 200-11 (1994) </w:t>
      </w:r>
    </w:p>
    <w:p w14:paraId="35479434" w14:textId="77777777" w:rsidR="00735F29" w:rsidRDefault="00735F29">
      <w:pPr>
        <w:widowControl w:val="0"/>
        <w:rPr>
          <w:rFonts w:ascii="Arial" w:hAnsi="Arial" w:cs="Arial"/>
          <w:sz w:val="24"/>
          <w:szCs w:val="24"/>
        </w:rPr>
      </w:pPr>
    </w:p>
    <w:p w14:paraId="160D6822" w14:textId="77777777" w:rsidR="00735F29" w:rsidRDefault="00735F29">
      <w:pPr>
        <w:rPr>
          <w:rFonts w:ascii="Arial" w:hAnsi="Arial" w:cs="Arial"/>
          <w:sz w:val="24"/>
          <w:szCs w:val="24"/>
        </w:rPr>
      </w:pPr>
      <w:r>
        <w:rPr>
          <w:rFonts w:ascii="Arial" w:hAnsi="Arial" w:cs="Arial"/>
          <w:sz w:val="24"/>
          <w:szCs w:val="24"/>
        </w:rPr>
        <w:t>Examination Guidelines for Computer-Related Inventions, 61 Fed. Reg. 7478 17 U.S.C. 107 (1994)</w:t>
      </w:r>
    </w:p>
    <w:p w14:paraId="1B60A0A5" w14:textId="77777777" w:rsidR="00735F29" w:rsidRDefault="00735F29">
      <w:pPr>
        <w:rPr>
          <w:rFonts w:ascii="Arial" w:hAnsi="Arial" w:cs="Arial"/>
          <w:sz w:val="24"/>
          <w:szCs w:val="24"/>
        </w:rPr>
      </w:pPr>
    </w:p>
    <w:p w14:paraId="64FF8792" w14:textId="77777777" w:rsidR="00735F29" w:rsidRDefault="00735F29">
      <w:pPr>
        <w:rPr>
          <w:rFonts w:ascii="Arial" w:hAnsi="Arial" w:cs="Arial"/>
          <w:sz w:val="24"/>
          <w:szCs w:val="24"/>
        </w:rPr>
      </w:pPr>
      <w:r>
        <w:rPr>
          <w:rFonts w:ascii="Arial" w:hAnsi="Arial" w:cs="Arial"/>
          <w:sz w:val="24"/>
          <w:szCs w:val="24"/>
        </w:rPr>
        <w:t>Examination Guidelines for Computer-Related Inventions, 61 Fed. Reg. 7478 (1996)</w:t>
      </w:r>
    </w:p>
    <w:p w14:paraId="3A00DDA2" w14:textId="77777777" w:rsidR="00735F29" w:rsidRDefault="00735F29">
      <w:pPr>
        <w:widowControl w:val="0"/>
        <w:rPr>
          <w:rFonts w:ascii="Arial" w:hAnsi="Arial" w:cs="Arial"/>
          <w:sz w:val="24"/>
          <w:szCs w:val="24"/>
        </w:rPr>
      </w:pPr>
    </w:p>
    <w:p w14:paraId="4E43516A" w14:textId="77777777" w:rsidR="00735F29" w:rsidRDefault="00735F29">
      <w:pPr>
        <w:widowControl w:val="0"/>
        <w:rPr>
          <w:rFonts w:ascii="Arial" w:hAnsi="Arial" w:cs="Arial"/>
          <w:sz w:val="24"/>
          <w:szCs w:val="24"/>
        </w:rPr>
      </w:pPr>
      <w:r>
        <w:rPr>
          <w:rFonts w:ascii="Arial" w:hAnsi="Arial" w:cs="Arial"/>
          <w:sz w:val="24"/>
          <w:szCs w:val="24"/>
        </w:rPr>
        <w:t xml:space="preserve">Federal Courts Improvement Act of 1982, Pub. L. No. 97-164, 96 Stat. 25, (1982) </w:t>
      </w:r>
    </w:p>
    <w:p w14:paraId="079726E1" w14:textId="77777777" w:rsidR="00735F29" w:rsidRDefault="00735F29">
      <w:pPr>
        <w:widowControl w:val="0"/>
        <w:rPr>
          <w:rFonts w:ascii="Arial" w:hAnsi="Arial" w:cs="Arial"/>
          <w:sz w:val="24"/>
          <w:szCs w:val="24"/>
        </w:rPr>
      </w:pPr>
    </w:p>
    <w:p w14:paraId="4CBB3145" w14:textId="77777777" w:rsidR="00735F29" w:rsidRDefault="00735F29">
      <w:pPr>
        <w:pStyle w:val="FootnoteText"/>
        <w:rPr>
          <w:rFonts w:ascii="Arial" w:hAnsi="Arial" w:cs="Arial"/>
          <w:sz w:val="24"/>
          <w:szCs w:val="24"/>
        </w:rPr>
      </w:pPr>
      <w:r>
        <w:rPr>
          <w:rFonts w:ascii="Arial" w:hAnsi="Arial" w:cs="Arial"/>
          <w:sz w:val="24"/>
          <w:szCs w:val="24"/>
        </w:rPr>
        <w:t>Stevenson-</w:t>
      </w:r>
      <w:proofErr w:type="spellStart"/>
      <w:r>
        <w:rPr>
          <w:rFonts w:ascii="Arial" w:hAnsi="Arial" w:cs="Arial"/>
          <w:sz w:val="24"/>
          <w:szCs w:val="24"/>
        </w:rPr>
        <w:t>Wydler</w:t>
      </w:r>
      <w:proofErr w:type="spellEnd"/>
      <w:r>
        <w:rPr>
          <w:rFonts w:ascii="Arial" w:hAnsi="Arial" w:cs="Arial"/>
          <w:sz w:val="24"/>
          <w:szCs w:val="24"/>
        </w:rPr>
        <w:t xml:space="preserve"> Technology Innovation Act, 15 U.S.C. 3701-14 (1998)</w:t>
      </w:r>
    </w:p>
    <w:p w14:paraId="445E125C" w14:textId="77777777" w:rsidR="00735F29" w:rsidRDefault="00735F29">
      <w:pPr>
        <w:widowControl w:val="0"/>
        <w:rPr>
          <w:rFonts w:ascii="Arial" w:hAnsi="Arial" w:cs="Arial"/>
          <w:sz w:val="24"/>
          <w:szCs w:val="24"/>
        </w:rPr>
      </w:pPr>
    </w:p>
    <w:p w14:paraId="67F33BA5" w14:textId="77777777" w:rsidR="00735F29" w:rsidRDefault="00735F29">
      <w:pPr>
        <w:widowControl w:val="0"/>
        <w:rPr>
          <w:rFonts w:ascii="Arial" w:hAnsi="Arial" w:cs="Arial"/>
          <w:sz w:val="24"/>
          <w:szCs w:val="24"/>
        </w:rPr>
      </w:pPr>
      <w:r>
        <w:rPr>
          <w:rFonts w:ascii="Arial" w:hAnsi="Arial" w:cs="Arial"/>
          <w:sz w:val="24"/>
          <w:szCs w:val="24"/>
        </w:rPr>
        <w:t>35 U.S.C. 100-03 (2202)</w:t>
      </w:r>
    </w:p>
    <w:p w14:paraId="79441C2E" w14:textId="77777777" w:rsidR="00735F29" w:rsidRDefault="00735F29">
      <w:pPr>
        <w:widowControl w:val="0"/>
        <w:rPr>
          <w:rFonts w:ascii="Arial" w:hAnsi="Arial" w:cs="Arial"/>
          <w:sz w:val="24"/>
          <w:szCs w:val="24"/>
        </w:rPr>
      </w:pPr>
    </w:p>
    <w:p w14:paraId="44F9F87D" w14:textId="77777777" w:rsidR="00735F29" w:rsidRDefault="00735F29">
      <w:pPr>
        <w:widowControl w:val="0"/>
        <w:rPr>
          <w:rFonts w:ascii="Arial" w:hAnsi="Arial" w:cs="Arial"/>
          <w:sz w:val="24"/>
          <w:szCs w:val="24"/>
        </w:rPr>
      </w:pPr>
      <w:r>
        <w:rPr>
          <w:rFonts w:ascii="Arial" w:hAnsi="Arial" w:cs="Arial"/>
          <w:sz w:val="24"/>
          <w:szCs w:val="24"/>
        </w:rPr>
        <w:t>35 U.S.C. 101 (1994)</w:t>
      </w:r>
    </w:p>
    <w:p w14:paraId="44BE9CEA" w14:textId="77777777" w:rsidR="00735F29" w:rsidRDefault="00735F29">
      <w:pPr>
        <w:widowControl w:val="0"/>
        <w:rPr>
          <w:rFonts w:ascii="Arial" w:hAnsi="Arial" w:cs="Arial"/>
          <w:sz w:val="24"/>
          <w:szCs w:val="24"/>
        </w:rPr>
      </w:pPr>
    </w:p>
    <w:p w14:paraId="5F969E1D" w14:textId="77777777" w:rsidR="00735F29" w:rsidRDefault="00735F29">
      <w:pPr>
        <w:pStyle w:val="FootnoteText"/>
        <w:rPr>
          <w:rFonts w:ascii="Arial" w:hAnsi="Arial" w:cs="Arial"/>
          <w:sz w:val="24"/>
          <w:szCs w:val="24"/>
        </w:rPr>
      </w:pPr>
      <w:r>
        <w:rPr>
          <w:rFonts w:ascii="Arial" w:hAnsi="Arial" w:cs="Arial"/>
          <w:sz w:val="24"/>
          <w:szCs w:val="24"/>
        </w:rPr>
        <w:t xml:space="preserve">35 U.S.C. 112 (1994) </w:t>
      </w:r>
    </w:p>
    <w:p w14:paraId="303CA7F6" w14:textId="77777777" w:rsidR="00735F29" w:rsidRDefault="00735F29">
      <w:pPr>
        <w:rPr>
          <w:rFonts w:ascii="Arial" w:hAnsi="Arial" w:cs="Arial"/>
          <w:sz w:val="24"/>
          <w:szCs w:val="24"/>
        </w:rPr>
      </w:pPr>
    </w:p>
    <w:p w14:paraId="220451A6" w14:textId="77777777" w:rsidR="00735F29" w:rsidRDefault="00735F29">
      <w:pPr>
        <w:rPr>
          <w:rFonts w:ascii="Arial" w:hAnsi="Arial" w:cs="Arial"/>
          <w:sz w:val="24"/>
          <w:szCs w:val="24"/>
        </w:rPr>
      </w:pPr>
      <w:r>
        <w:rPr>
          <w:rFonts w:ascii="Arial" w:hAnsi="Arial" w:cs="Arial"/>
          <w:sz w:val="24"/>
          <w:szCs w:val="24"/>
        </w:rPr>
        <w:t>35 U.S.C. 122 (1994), amended by 35 U.S.C.A. 122(a) (West Supp. 2000)</w:t>
      </w:r>
    </w:p>
    <w:p w14:paraId="1ABD1982" w14:textId="77777777" w:rsidR="00735F29" w:rsidRDefault="00735F29">
      <w:pPr>
        <w:rPr>
          <w:rFonts w:ascii="Arial" w:hAnsi="Arial" w:cs="Arial"/>
          <w:sz w:val="24"/>
          <w:szCs w:val="24"/>
        </w:rPr>
      </w:pPr>
    </w:p>
    <w:p w14:paraId="63885FA6" w14:textId="77777777" w:rsidR="00735F29" w:rsidRDefault="00735F29">
      <w:pPr>
        <w:rPr>
          <w:rFonts w:ascii="Arial" w:hAnsi="Arial" w:cs="Arial"/>
          <w:sz w:val="24"/>
          <w:szCs w:val="24"/>
        </w:rPr>
      </w:pPr>
      <w:r>
        <w:rPr>
          <w:rFonts w:ascii="Arial" w:hAnsi="Arial" w:cs="Arial"/>
          <w:sz w:val="24"/>
          <w:szCs w:val="24"/>
        </w:rPr>
        <w:t xml:space="preserve">35 U.S.C. 154 (a)(2), (a)(4) (1994) </w:t>
      </w:r>
    </w:p>
    <w:p w14:paraId="01CA51D4" w14:textId="77777777" w:rsidR="00735F29" w:rsidRDefault="00735F29">
      <w:pPr>
        <w:rPr>
          <w:rFonts w:ascii="Arial" w:hAnsi="Arial" w:cs="Arial"/>
          <w:sz w:val="24"/>
          <w:szCs w:val="24"/>
        </w:rPr>
      </w:pPr>
    </w:p>
    <w:p w14:paraId="49B1E26B" w14:textId="77777777" w:rsidR="00735F29" w:rsidRDefault="00735F29">
      <w:pPr>
        <w:rPr>
          <w:rFonts w:ascii="Arial" w:hAnsi="Arial" w:cs="Arial"/>
          <w:sz w:val="24"/>
          <w:szCs w:val="24"/>
        </w:rPr>
      </w:pPr>
      <w:r>
        <w:rPr>
          <w:rFonts w:ascii="Arial" w:hAnsi="Arial" w:cs="Arial"/>
          <w:sz w:val="24"/>
          <w:szCs w:val="24"/>
        </w:rPr>
        <w:t>35 U.S.C. 284, 285 (1994)</w:t>
      </w:r>
    </w:p>
    <w:p w14:paraId="484809C0" w14:textId="77777777" w:rsidR="00735F29" w:rsidRDefault="00735F29">
      <w:pPr>
        <w:widowControl w:val="0"/>
        <w:rPr>
          <w:rFonts w:ascii="Arial" w:hAnsi="Arial" w:cs="Arial"/>
          <w:sz w:val="24"/>
          <w:szCs w:val="24"/>
        </w:rPr>
      </w:pPr>
    </w:p>
    <w:p w14:paraId="0EAAE44B" w14:textId="77777777" w:rsidR="00735F29" w:rsidRDefault="00735F29">
      <w:pPr>
        <w:widowControl w:val="0"/>
        <w:jc w:val="center"/>
        <w:rPr>
          <w:rFonts w:ascii="Arial" w:hAnsi="Arial" w:cs="Arial"/>
          <w:i/>
          <w:iCs/>
          <w:sz w:val="24"/>
          <w:szCs w:val="24"/>
        </w:rPr>
      </w:pPr>
    </w:p>
    <w:p w14:paraId="4D04C70B" w14:textId="77777777" w:rsidR="00735F29" w:rsidRDefault="00735F29">
      <w:pPr>
        <w:widowControl w:val="0"/>
        <w:jc w:val="center"/>
        <w:rPr>
          <w:rFonts w:ascii="Arial" w:hAnsi="Arial" w:cs="Arial"/>
          <w:i/>
          <w:iCs/>
          <w:sz w:val="24"/>
          <w:szCs w:val="24"/>
        </w:rPr>
      </w:pPr>
    </w:p>
    <w:p w14:paraId="4B54DADF" w14:textId="77777777" w:rsidR="004D7747" w:rsidRDefault="004D7747">
      <w:pPr>
        <w:widowControl w:val="0"/>
        <w:jc w:val="center"/>
        <w:rPr>
          <w:rFonts w:ascii="Arial" w:hAnsi="Arial" w:cs="Arial"/>
          <w:i/>
          <w:iCs/>
          <w:sz w:val="24"/>
          <w:szCs w:val="24"/>
        </w:rPr>
      </w:pPr>
    </w:p>
    <w:p w14:paraId="115D69BE" w14:textId="77777777" w:rsidR="004D7747" w:rsidRDefault="004D7747">
      <w:pPr>
        <w:widowControl w:val="0"/>
        <w:jc w:val="center"/>
        <w:rPr>
          <w:rFonts w:ascii="Arial" w:hAnsi="Arial" w:cs="Arial"/>
          <w:i/>
          <w:iCs/>
          <w:sz w:val="24"/>
          <w:szCs w:val="24"/>
        </w:rPr>
      </w:pPr>
    </w:p>
    <w:p w14:paraId="47AE5180" w14:textId="77777777" w:rsidR="004D7747" w:rsidRDefault="004D7747">
      <w:pPr>
        <w:widowControl w:val="0"/>
        <w:jc w:val="center"/>
        <w:rPr>
          <w:rFonts w:ascii="Arial" w:hAnsi="Arial" w:cs="Arial"/>
          <w:i/>
          <w:iCs/>
          <w:sz w:val="24"/>
          <w:szCs w:val="24"/>
        </w:rPr>
      </w:pPr>
    </w:p>
    <w:p w14:paraId="05796D2D" w14:textId="77777777" w:rsidR="004D7747" w:rsidRDefault="004D7747">
      <w:pPr>
        <w:widowControl w:val="0"/>
        <w:jc w:val="center"/>
        <w:rPr>
          <w:rFonts w:ascii="Arial" w:hAnsi="Arial" w:cs="Arial"/>
          <w:i/>
          <w:iCs/>
          <w:sz w:val="24"/>
          <w:szCs w:val="24"/>
        </w:rPr>
      </w:pPr>
    </w:p>
    <w:p w14:paraId="1E5E0A60" w14:textId="77777777" w:rsidR="00735F29" w:rsidRDefault="00735F29">
      <w:pPr>
        <w:widowControl w:val="0"/>
        <w:jc w:val="center"/>
        <w:rPr>
          <w:rFonts w:ascii="Arial" w:hAnsi="Arial" w:cs="Arial"/>
          <w:i/>
          <w:iCs/>
          <w:sz w:val="24"/>
          <w:szCs w:val="24"/>
        </w:rPr>
      </w:pPr>
      <w:r>
        <w:rPr>
          <w:rFonts w:ascii="Arial" w:hAnsi="Arial" w:cs="Arial"/>
          <w:i/>
          <w:iCs/>
          <w:sz w:val="24"/>
          <w:szCs w:val="24"/>
        </w:rPr>
        <w:lastRenderedPageBreak/>
        <w:t>Cases</w:t>
      </w:r>
    </w:p>
    <w:p w14:paraId="18C0D31A" w14:textId="77777777" w:rsidR="00735F29" w:rsidRDefault="00735F29">
      <w:pPr>
        <w:widowControl w:val="0"/>
        <w:jc w:val="center"/>
        <w:rPr>
          <w:rFonts w:ascii="Arial" w:hAnsi="Arial" w:cs="Arial"/>
          <w:sz w:val="24"/>
          <w:szCs w:val="24"/>
        </w:rPr>
      </w:pPr>
    </w:p>
    <w:p w14:paraId="386F5833" w14:textId="77777777" w:rsidR="00735F29" w:rsidRDefault="00735F29">
      <w:pPr>
        <w:rPr>
          <w:rFonts w:ascii="Arial" w:hAnsi="Arial" w:cs="Arial"/>
          <w:sz w:val="24"/>
          <w:szCs w:val="24"/>
        </w:rPr>
      </w:pPr>
      <w:r>
        <w:rPr>
          <w:rFonts w:ascii="Arial" w:hAnsi="Arial" w:cs="Arial"/>
          <w:sz w:val="24"/>
          <w:szCs w:val="24"/>
        </w:rPr>
        <w:t xml:space="preserve">In re </w:t>
      </w:r>
      <w:proofErr w:type="spellStart"/>
      <w:r>
        <w:rPr>
          <w:rFonts w:ascii="Arial" w:hAnsi="Arial" w:cs="Arial"/>
          <w:sz w:val="24"/>
          <w:szCs w:val="24"/>
        </w:rPr>
        <w:t>Alappat</w:t>
      </w:r>
      <w:proofErr w:type="spellEnd"/>
      <w:r>
        <w:rPr>
          <w:rFonts w:ascii="Arial" w:hAnsi="Arial" w:cs="Arial"/>
          <w:sz w:val="24"/>
          <w:szCs w:val="24"/>
        </w:rPr>
        <w:t xml:space="preserve">, 33 F.3d 1526 (Fed. Cir. 1996) </w:t>
      </w:r>
    </w:p>
    <w:p w14:paraId="22976882" w14:textId="77777777" w:rsidR="00735F29" w:rsidRDefault="00735F29">
      <w:pPr>
        <w:rPr>
          <w:rFonts w:ascii="Arial" w:hAnsi="Arial" w:cs="Arial"/>
          <w:sz w:val="24"/>
          <w:szCs w:val="24"/>
        </w:rPr>
      </w:pPr>
    </w:p>
    <w:p w14:paraId="2590FDBF" w14:textId="77777777" w:rsidR="00735F29" w:rsidRDefault="00735F29">
      <w:pPr>
        <w:rPr>
          <w:rFonts w:ascii="Arial" w:hAnsi="Arial" w:cs="Arial"/>
          <w:sz w:val="24"/>
          <w:szCs w:val="24"/>
        </w:rPr>
      </w:pPr>
      <w:r>
        <w:rPr>
          <w:rFonts w:ascii="Arial" w:hAnsi="Arial" w:cs="Arial"/>
          <w:sz w:val="24"/>
          <w:szCs w:val="24"/>
        </w:rPr>
        <w:t>Amgen, Inc. v. Chugai Pharmaceutical Co., 13 U.S.P.Q.2d (BNA) 1737, 1959 (D. Mass. 1990)</w:t>
      </w:r>
    </w:p>
    <w:p w14:paraId="46635CE8" w14:textId="77777777" w:rsidR="00735F29" w:rsidRDefault="00735F29">
      <w:pPr>
        <w:pStyle w:val="FootnoteText"/>
        <w:rPr>
          <w:rFonts w:ascii="Arial" w:hAnsi="Arial" w:cs="Arial"/>
          <w:sz w:val="24"/>
          <w:szCs w:val="24"/>
        </w:rPr>
      </w:pPr>
    </w:p>
    <w:p w14:paraId="6CF005EC" w14:textId="77777777" w:rsidR="00735F29" w:rsidRDefault="00735F29">
      <w:pPr>
        <w:widowControl w:val="0"/>
        <w:rPr>
          <w:rFonts w:ascii="Arial" w:hAnsi="Arial" w:cs="Arial"/>
          <w:sz w:val="24"/>
          <w:szCs w:val="24"/>
        </w:rPr>
      </w:pPr>
      <w:r>
        <w:rPr>
          <w:rFonts w:ascii="Arial" w:hAnsi="Arial" w:cs="Arial"/>
          <w:sz w:val="24"/>
          <w:szCs w:val="24"/>
        </w:rPr>
        <w:t xml:space="preserve">In re </w:t>
      </w:r>
      <w:proofErr w:type="spellStart"/>
      <w:r>
        <w:rPr>
          <w:rFonts w:ascii="Arial" w:hAnsi="Arial" w:cs="Arial"/>
          <w:sz w:val="24"/>
          <w:szCs w:val="24"/>
        </w:rPr>
        <w:t>Argoudelis</w:t>
      </w:r>
      <w:proofErr w:type="spellEnd"/>
      <w:r>
        <w:rPr>
          <w:rFonts w:ascii="Arial" w:hAnsi="Arial" w:cs="Arial"/>
          <w:sz w:val="24"/>
          <w:szCs w:val="24"/>
        </w:rPr>
        <w:t>, 434 F.2d 1390 (C.C.P.A. 1970)</w:t>
      </w:r>
    </w:p>
    <w:p w14:paraId="4F20202D" w14:textId="77777777" w:rsidR="00735F29" w:rsidRDefault="00735F29">
      <w:pPr>
        <w:rPr>
          <w:rFonts w:ascii="Arial" w:hAnsi="Arial" w:cs="Arial"/>
          <w:sz w:val="24"/>
          <w:szCs w:val="24"/>
        </w:rPr>
      </w:pPr>
    </w:p>
    <w:p w14:paraId="1E7F387D" w14:textId="77777777" w:rsidR="00735F29" w:rsidRDefault="00735F29">
      <w:pPr>
        <w:rPr>
          <w:rFonts w:ascii="Arial" w:hAnsi="Arial" w:cs="Arial"/>
          <w:sz w:val="24"/>
          <w:szCs w:val="24"/>
        </w:rPr>
      </w:pPr>
      <w:r>
        <w:rPr>
          <w:rFonts w:ascii="Arial" w:hAnsi="Arial" w:cs="Arial"/>
          <w:sz w:val="24"/>
          <w:szCs w:val="24"/>
        </w:rPr>
        <w:t xml:space="preserve">AT &amp; T v. Excel Communications, 172 F.3d 1352 (Fed. Cir. 1999) </w:t>
      </w:r>
    </w:p>
    <w:p w14:paraId="11A6DA98" w14:textId="77777777" w:rsidR="00735F29" w:rsidRDefault="00735F29">
      <w:pPr>
        <w:pStyle w:val="FootnoteText"/>
        <w:rPr>
          <w:rFonts w:ascii="Arial" w:hAnsi="Arial" w:cs="Arial"/>
          <w:sz w:val="24"/>
          <w:szCs w:val="24"/>
        </w:rPr>
      </w:pPr>
    </w:p>
    <w:p w14:paraId="491CC220" w14:textId="77777777" w:rsidR="00735F29" w:rsidRDefault="00735F29">
      <w:pPr>
        <w:rPr>
          <w:rFonts w:ascii="Arial" w:hAnsi="Arial" w:cs="Arial"/>
          <w:sz w:val="24"/>
          <w:szCs w:val="24"/>
        </w:rPr>
      </w:pPr>
      <w:r>
        <w:rPr>
          <w:rFonts w:ascii="Arial" w:hAnsi="Arial" w:cs="Arial"/>
          <w:sz w:val="24"/>
          <w:szCs w:val="24"/>
        </w:rPr>
        <w:t xml:space="preserve">Chicago Lock Co. v. </w:t>
      </w:r>
      <w:proofErr w:type="spellStart"/>
      <w:r>
        <w:rPr>
          <w:rFonts w:ascii="Arial" w:hAnsi="Arial" w:cs="Arial"/>
          <w:sz w:val="24"/>
          <w:szCs w:val="24"/>
        </w:rPr>
        <w:t>Fanberg</w:t>
      </w:r>
      <w:proofErr w:type="spellEnd"/>
      <w:r>
        <w:rPr>
          <w:rFonts w:ascii="Arial" w:hAnsi="Arial" w:cs="Arial"/>
          <w:sz w:val="24"/>
          <w:szCs w:val="24"/>
        </w:rPr>
        <w:t>, 676 F.2d 400, 404 (9th Cir. 1982)</w:t>
      </w:r>
    </w:p>
    <w:p w14:paraId="6F501559" w14:textId="77777777" w:rsidR="00735F29" w:rsidRDefault="00735F29">
      <w:pPr>
        <w:pStyle w:val="FootnoteText"/>
        <w:rPr>
          <w:rFonts w:ascii="Arial" w:hAnsi="Arial" w:cs="Arial"/>
          <w:sz w:val="24"/>
          <w:szCs w:val="24"/>
        </w:rPr>
      </w:pPr>
    </w:p>
    <w:p w14:paraId="6E4FDB5C" w14:textId="77777777" w:rsidR="00735F29" w:rsidRDefault="00735F29">
      <w:pPr>
        <w:widowControl w:val="0"/>
        <w:rPr>
          <w:rFonts w:ascii="Arial" w:hAnsi="Arial" w:cs="Arial"/>
          <w:sz w:val="24"/>
          <w:szCs w:val="24"/>
        </w:rPr>
      </w:pPr>
      <w:r>
        <w:rPr>
          <w:rFonts w:ascii="Arial" w:hAnsi="Arial" w:cs="Arial"/>
          <w:sz w:val="24"/>
          <w:szCs w:val="24"/>
        </w:rPr>
        <w:t>Diamond v. Chakrabarty, 447 U.S. 303, 309 (1980)</w:t>
      </w:r>
    </w:p>
    <w:p w14:paraId="089F4526" w14:textId="77777777" w:rsidR="00735F29" w:rsidRDefault="00735F29">
      <w:pPr>
        <w:rPr>
          <w:rFonts w:ascii="Arial" w:hAnsi="Arial" w:cs="Arial"/>
          <w:sz w:val="24"/>
          <w:szCs w:val="24"/>
        </w:rPr>
      </w:pPr>
    </w:p>
    <w:p w14:paraId="612C657F" w14:textId="77777777" w:rsidR="00735F29" w:rsidRDefault="00735F29">
      <w:pPr>
        <w:rPr>
          <w:rFonts w:ascii="Arial" w:hAnsi="Arial" w:cs="Arial"/>
          <w:sz w:val="24"/>
          <w:szCs w:val="24"/>
        </w:rPr>
      </w:pPr>
      <w:r>
        <w:rPr>
          <w:rFonts w:ascii="Arial" w:hAnsi="Arial" w:cs="Arial"/>
          <w:sz w:val="24"/>
          <w:szCs w:val="24"/>
        </w:rPr>
        <w:t xml:space="preserve">Dickey-John Corp. v. International </w:t>
      </w:r>
      <w:proofErr w:type="spellStart"/>
      <w:r>
        <w:rPr>
          <w:rFonts w:ascii="Arial" w:hAnsi="Arial" w:cs="Arial"/>
          <w:sz w:val="24"/>
          <w:szCs w:val="24"/>
        </w:rPr>
        <w:t>Tapetronics</w:t>
      </w:r>
      <w:proofErr w:type="spellEnd"/>
      <w:r>
        <w:rPr>
          <w:rFonts w:ascii="Arial" w:hAnsi="Arial" w:cs="Arial"/>
          <w:sz w:val="24"/>
          <w:szCs w:val="24"/>
        </w:rPr>
        <w:t xml:space="preserve"> Corp., 710 F.2d 329, 348 n.9 (7th Cir. 1983) </w:t>
      </w:r>
    </w:p>
    <w:p w14:paraId="7F3E96CB" w14:textId="77777777" w:rsidR="00735F29" w:rsidRDefault="00735F29">
      <w:pPr>
        <w:pStyle w:val="FootnoteText"/>
        <w:rPr>
          <w:rFonts w:ascii="Arial" w:hAnsi="Arial" w:cs="Arial"/>
          <w:sz w:val="24"/>
          <w:szCs w:val="24"/>
        </w:rPr>
      </w:pPr>
    </w:p>
    <w:p w14:paraId="1F2BEBE6" w14:textId="77777777" w:rsidR="00735F29" w:rsidRDefault="00735F29">
      <w:pPr>
        <w:pStyle w:val="FootnoteText"/>
        <w:rPr>
          <w:rFonts w:ascii="Arial" w:hAnsi="Arial" w:cs="Arial"/>
          <w:sz w:val="24"/>
          <w:szCs w:val="24"/>
        </w:rPr>
      </w:pPr>
      <w:r>
        <w:rPr>
          <w:rFonts w:ascii="Arial" w:hAnsi="Arial" w:cs="Arial"/>
          <w:sz w:val="24"/>
          <w:szCs w:val="24"/>
        </w:rPr>
        <w:t xml:space="preserve">Funk Bros. Seed Co. v. </w:t>
      </w:r>
      <w:proofErr w:type="spellStart"/>
      <w:r>
        <w:rPr>
          <w:rFonts w:ascii="Arial" w:hAnsi="Arial" w:cs="Arial"/>
          <w:sz w:val="24"/>
          <w:szCs w:val="24"/>
        </w:rPr>
        <w:t>Kalo</w:t>
      </w:r>
      <w:proofErr w:type="spellEnd"/>
      <w:r>
        <w:rPr>
          <w:rFonts w:ascii="Arial" w:hAnsi="Arial" w:cs="Arial"/>
          <w:sz w:val="24"/>
          <w:szCs w:val="24"/>
        </w:rPr>
        <w:t xml:space="preserve"> Inoculant Co., 333 U.S. 127 (1948)</w:t>
      </w:r>
    </w:p>
    <w:p w14:paraId="73059DA9" w14:textId="77777777" w:rsidR="00735F29" w:rsidRDefault="00735F29">
      <w:pPr>
        <w:rPr>
          <w:rFonts w:ascii="Arial" w:hAnsi="Arial" w:cs="Arial"/>
          <w:sz w:val="24"/>
          <w:szCs w:val="24"/>
        </w:rPr>
      </w:pPr>
    </w:p>
    <w:p w14:paraId="397E44B2" w14:textId="77777777" w:rsidR="00735F29" w:rsidRDefault="00735F29">
      <w:pPr>
        <w:pStyle w:val="FootnoteText"/>
        <w:rPr>
          <w:rFonts w:ascii="Arial" w:hAnsi="Arial" w:cs="Arial"/>
          <w:sz w:val="24"/>
          <w:szCs w:val="24"/>
        </w:rPr>
      </w:pPr>
      <w:r>
        <w:rPr>
          <w:rFonts w:ascii="Arial" w:hAnsi="Arial" w:cs="Arial"/>
          <w:sz w:val="24"/>
          <w:szCs w:val="24"/>
        </w:rPr>
        <w:t xml:space="preserve">Kewanee Oil v. </w:t>
      </w:r>
      <w:proofErr w:type="spellStart"/>
      <w:r>
        <w:rPr>
          <w:rFonts w:ascii="Arial" w:hAnsi="Arial" w:cs="Arial"/>
          <w:sz w:val="24"/>
          <w:szCs w:val="24"/>
        </w:rPr>
        <w:t>Bicron</w:t>
      </w:r>
      <w:proofErr w:type="spellEnd"/>
      <w:r>
        <w:rPr>
          <w:rFonts w:ascii="Arial" w:hAnsi="Arial" w:cs="Arial"/>
          <w:sz w:val="24"/>
          <w:szCs w:val="24"/>
        </w:rPr>
        <w:t>, 416 U.S. 470, 490 (1974)</w:t>
      </w:r>
    </w:p>
    <w:p w14:paraId="3C1E3482" w14:textId="77777777" w:rsidR="00735F29" w:rsidRDefault="00735F29">
      <w:pPr>
        <w:rPr>
          <w:rFonts w:ascii="Arial" w:hAnsi="Arial" w:cs="Arial"/>
          <w:sz w:val="24"/>
          <w:szCs w:val="24"/>
        </w:rPr>
      </w:pPr>
      <w:r>
        <w:rPr>
          <w:rFonts w:ascii="Arial" w:hAnsi="Arial" w:cs="Arial"/>
          <w:sz w:val="24"/>
          <w:szCs w:val="24"/>
        </w:rPr>
        <w:br/>
        <w:t>In re Lowry, 32 F.3d 1579 (Fed. Cir. 1994)</w:t>
      </w:r>
    </w:p>
    <w:p w14:paraId="6DD142E1" w14:textId="77777777" w:rsidR="00735F29" w:rsidRDefault="00735F29">
      <w:pPr>
        <w:rPr>
          <w:rFonts w:ascii="Arial" w:hAnsi="Arial" w:cs="Arial"/>
          <w:sz w:val="24"/>
          <w:szCs w:val="24"/>
        </w:rPr>
      </w:pPr>
    </w:p>
    <w:p w14:paraId="0FFFA1E9" w14:textId="77777777" w:rsidR="00735F29" w:rsidRDefault="00735F29">
      <w:pPr>
        <w:rPr>
          <w:rFonts w:ascii="Arial" w:hAnsi="Arial" w:cs="Arial"/>
          <w:sz w:val="24"/>
          <w:szCs w:val="24"/>
        </w:rPr>
      </w:pPr>
      <w:r>
        <w:rPr>
          <w:rFonts w:ascii="Arial" w:hAnsi="Arial" w:cs="Arial"/>
          <w:sz w:val="24"/>
          <w:szCs w:val="24"/>
        </w:rPr>
        <w:t>Merck &amp; Co. v. Olin Mathieson Chem. Corp., 253 F.2d 156 (4</w:t>
      </w:r>
      <w:r>
        <w:rPr>
          <w:rFonts w:ascii="Arial" w:hAnsi="Arial" w:cs="Arial"/>
          <w:sz w:val="24"/>
          <w:szCs w:val="24"/>
          <w:vertAlign w:val="superscript"/>
        </w:rPr>
        <w:t>th</w:t>
      </w:r>
      <w:r>
        <w:rPr>
          <w:rFonts w:ascii="Arial" w:hAnsi="Arial" w:cs="Arial"/>
          <w:sz w:val="24"/>
          <w:szCs w:val="24"/>
        </w:rPr>
        <w:t xml:space="preserve"> Cir. 1958)</w:t>
      </w:r>
    </w:p>
    <w:p w14:paraId="5CF317F9" w14:textId="77777777" w:rsidR="00735F29" w:rsidRDefault="00735F29">
      <w:pPr>
        <w:pStyle w:val="FootnoteText"/>
        <w:rPr>
          <w:rFonts w:ascii="Arial" w:hAnsi="Arial" w:cs="Arial"/>
          <w:sz w:val="24"/>
          <w:szCs w:val="24"/>
        </w:rPr>
      </w:pPr>
    </w:p>
    <w:p w14:paraId="74EB8B5D" w14:textId="77777777" w:rsidR="00735F29" w:rsidRDefault="00735F29">
      <w:pPr>
        <w:rPr>
          <w:rFonts w:ascii="Arial" w:hAnsi="Arial" w:cs="Arial"/>
          <w:sz w:val="24"/>
          <w:szCs w:val="24"/>
        </w:rPr>
      </w:pPr>
      <w:r>
        <w:rPr>
          <w:rFonts w:ascii="Arial" w:hAnsi="Arial" w:cs="Arial"/>
          <w:sz w:val="24"/>
          <w:szCs w:val="24"/>
        </w:rPr>
        <w:t xml:space="preserve">Roche Prods., Inc. v. </w:t>
      </w:r>
      <w:proofErr w:type="spellStart"/>
      <w:r>
        <w:rPr>
          <w:rFonts w:ascii="Arial" w:hAnsi="Arial" w:cs="Arial"/>
          <w:sz w:val="24"/>
          <w:szCs w:val="24"/>
        </w:rPr>
        <w:t>Bolar</w:t>
      </w:r>
      <w:proofErr w:type="spellEnd"/>
      <w:r>
        <w:rPr>
          <w:rFonts w:ascii="Arial" w:hAnsi="Arial" w:cs="Arial"/>
          <w:sz w:val="24"/>
          <w:szCs w:val="24"/>
        </w:rPr>
        <w:t xml:space="preserve"> Pharmaceuticals, Inc., 733 F.2d 858 (Fed. Cir. 1984)</w:t>
      </w:r>
    </w:p>
    <w:p w14:paraId="0B4E5BCF" w14:textId="77777777" w:rsidR="00735F29" w:rsidRDefault="00735F29">
      <w:pPr>
        <w:pStyle w:val="FootnoteText"/>
        <w:rPr>
          <w:rFonts w:ascii="Arial" w:hAnsi="Arial" w:cs="Arial"/>
          <w:sz w:val="24"/>
          <w:szCs w:val="24"/>
        </w:rPr>
      </w:pPr>
    </w:p>
    <w:p w14:paraId="5824D2C3" w14:textId="77777777" w:rsidR="00735F29" w:rsidRDefault="00735F29">
      <w:pPr>
        <w:pStyle w:val="FootnoteText"/>
        <w:rPr>
          <w:rFonts w:ascii="Arial" w:hAnsi="Arial" w:cs="Arial"/>
          <w:sz w:val="24"/>
          <w:szCs w:val="24"/>
        </w:rPr>
      </w:pPr>
      <w:r>
        <w:rPr>
          <w:rFonts w:ascii="Arial" w:hAnsi="Arial" w:cs="Arial"/>
          <w:sz w:val="24"/>
          <w:szCs w:val="24"/>
        </w:rPr>
        <w:t>Rockwell Graphic Sys., Inc. v. DEV Indus., Inc., 925 F.2d 174 (7th Cir. 1991)</w:t>
      </w:r>
    </w:p>
    <w:p w14:paraId="17B67662" w14:textId="77777777" w:rsidR="00735F29" w:rsidRDefault="00735F29">
      <w:pPr>
        <w:pStyle w:val="FootnoteText"/>
        <w:rPr>
          <w:rFonts w:ascii="Arial" w:hAnsi="Arial" w:cs="Arial"/>
          <w:sz w:val="24"/>
          <w:szCs w:val="24"/>
        </w:rPr>
      </w:pPr>
    </w:p>
    <w:p w14:paraId="4DE84486" w14:textId="77777777" w:rsidR="00735F29" w:rsidRDefault="00735F29">
      <w:pPr>
        <w:rPr>
          <w:rFonts w:ascii="Arial" w:hAnsi="Arial" w:cs="Arial"/>
          <w:sz w:val="24"/>
          <w:szCs w:val="24"/>
        </w:rPr>
      </w:pPr>
      <w:r>
        <w:rPr>
          <w:rFonts w:ascii="Arial" w:hAnsi="Arial" w:cs="Arial"/>
          <w:sz w:val="24"/>
          <w:szCs w:val="24"/>
        </w:rPr>
        <w:t>State Street Bank &amp; Trust v. Signature Financial Group, 149 F.3d 1368 (Fed. Cir. 1998), cert. denied, 525 U.S. 1093 (1999)</w:t>
      </w:r>
    </w:p>
    <w:p w14:paraId="6299A7FD" w14:textId="77777777" w:rsidR="00735F29" w:rsidRDefault="00735F29">
      <w:pPr>
        <w:rPr>
          <w:rFonts w:ascii="Arial" w:hAnsi="Arial" w:cs="Arial"/>
          <w:sz w:val="24"/>
          <w:szCs w:val="24"/>
        </w:rPr>
      </w:pPr>
    </w:p>
    <w:p w14:paraId="3BCE708C" w14:textId="77777777" w:rsidR="00735F29" w:rsidRDefault="00735F29">
      <w:pPr>
        <w:rPr>
          <w:rFonts w:ascii="Arial" w:hAnsi="Arial" w:cs="Arial"/>
          <w:sz w:val="24"/>
          <w:szCs w:val="24"/>
        </w:rPr>
      </w:pPr>
      <w:r>
        <w:rPr>
          <w:rFonts w:ascii="Arial" w:hAnsi="Arial" w:cs="Arial"/>
          <w:sz w:val="24"/>
          <w:szCs w:val="24"/>
        </w:rPr>
        <w:t>Titanium Metals Corp. v. Banner, 778 F2d 775, 782 (Fed. Cir. 1985)</w:t>
      </w:r>
    </w:p>
    <w:p w14:paraId="79C08A51" w14:textId="77777777" w:rsidR="00735F29" w:rsidRDefault="00735F29">
      <w:pPr>
        <w:rPr>
          <w:rFonts w:ascii="Arial" w:hAnsi="Arial" w:cs="Arial"/>
          <w:sz w:val="24"/>
          <w:szCs w:val="24"/>
        </w:rPr>
      </w:pPr>
    </w:p>
    <w:p w14:paraId="6A872EFF" w14:textId="77777777" w:rsidR="00735F29" w:rsidRDefault="00735F29">
      <w:pPr>
        <w:rPr>
          <w:rFonts w:ascii="Arial" w:hAnsi="Arial" w:cs="Arial"/>
          <w:sz w:val="24"/>
          <w:szCs w:val="24"/>
        </w:rPr>
      </w:pPr>
      <w:r>
        <w:rPr>
          <w:rFonts w:ascii="Arial" w:hAnsi="Arial" w:cs="Arial"/>
          <w:sz w:val="24"/>
          <w:szCs w:val="24"/>
        </w:rPr>
        <w:t xml:space="preserve">Underwater Devices, Inc. v. Morrison-Knudsen Co., 717 F.2d 1380 (Fed. Cir. 1983) </w:t>
      </w:r>
    </w:p>
    <w:p w14:paraId="5F22EA4A" w14:textId="77777777" w:rsidR="00735F29" w:rsidRDefault="00735F29">
      <w:pPr>
        <w:widowControl w:val="0"/>
        <w:rPr>
          <w:rFonts w:ascii="Arial" w:hAnsi="Arial" w:cs="Arial"/>
          <w:sz w:val="24"/>
          <w:szCs w:val="24"/>
        </w:rPr>
      </w:pPr>
    </w:p>
    <w:p w14:paraId="59830A2C" w14:textId="77777777" w:rsidR="00735F29" w:rsidRDefault="00735F29">
      <w:pPr>
        <w:pStyle w:val="FootnoteText"/>
        <w:rPr>
          <w:rFonts w:ascii="Arial" w:hAnsi="Arial" w:cs="Arial"/>
          <w:sz w:val="24"/>
          <w:szCs w:val="24"/>
        </w:rPr>
      </w:pPr>
    </w:p>
    <w:p w14:paraId="132A2C67" w14:textId="77777777" w:rsidR="00735F29" w:rsidRDefault="00735F29">
      <w:pPr>
        <w:rPr>
          <w:rFonts w:ascii="Arial" w:hAnsi="Arial" w:cs="Arial"/>
          <w:sz w:val="24"/>
          <w:szCs w:val="24"/>
        </w:rPr>
      </w:pPr>
    </w:p>
    <w:p w14:paraId="53F62CE8" w14:textId="77777777" w:rsidR="00735F29" w:rsidRDefault="00735F29">
      <w:pPr>
        <w:rPr>
          <w:rFonts w:ascii="Arial" w:hAnsi="Arial" w:cs="Arial"/>
          <w:sz w:val="24"/>
          <w:szCs w:val="24"/>
        </w:rPr>
      </w:pPr>
    </w:p>
    <w:sectPr w:rsidR="00735F29">
      <w:headerReference w:type="default" r:id="rId8"/>
      <w:footerReference w:type="default" r:id="rId9"/>
      <w:headerReference w:type="first" r:id="rId10"/>
      <w:pgSz w:w="12242" w:h="15842"/>
      <w:pgMar w:top="1440" w:right="1440" w:bottom="1440" w:left="1440" w:header="720" w:footer="1375" w:gutter="0"/>
      <w:pgNumType w:start="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 Westphal" w:initials="EW">
    <w:p w14:paraId="262590AE" w14:textId="77777777" w:rsidR="00692C6C" w:rsidRDefault="005D68E6">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2590A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821DB" w14:textId="77777777" w:rsidR="00EB0F9F" w:rsidRDefault="00EB0F9F">
      <w:r>
        <w:separator/>
      </w:r>
    </w:p>
  </w:endnote>
  <w:endnote w:type="continuationSeparator" w:id="0">
    <w:p w14:paraId="12DA24B0" w14:textId="77777777" w:rsidR="00EB0F9F" w:rsidRDefault="00EB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DA0D" w14:textId="77777777" w:rsidR="005D68E6" w:rsidRDefault="005D68E6">
    <w:pPr>
      <w:widowControl w:val="0"/>
      <w:tabs>
        <w:tab w:val="center" w:pos="4320"/>
        <w:tab w:val="right" w:pos="8640"/>
      </w:tabs>
      <w:jc w:val="center"/>
      <w:rPr>
        <w:rFonts w:ascii="Arial" w:hAnsi="Arial" w:cs="Arial"/>
        <w:sz w:val="24"/>
        <w:szCs w:val="24"/>
      </w:rPr>
    </w:pPr>
    <w:r>
      <w:rPr>
        <w:rFonts w:ascii="Arial" w:hAnsi="Arial" w:cs="Arial"/>
        <w:sz w:val="24"/>
        <w:szCs w:val="24"/>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F5F5" w14:textId="77777777" w:rsidR="00EB0F9F" w:rsidRDefault="00EB0F9F">
      <w:r>
        <w:separator/>
      </w:r>
    </w:p>
  </w:footnote>
  <w:footnote w:type="continuationSeparator" w:id="0">
    <w:p w14:paraId="68861636" w14:textId="77777777" w:rsidR="00EB0F9F" w:rsidRDefault="00EB0F9F">
      <w:r>
        <w:continuationSeparator/>
      </w:r>
    </w:p>
  </w:footnote>
  <w:footnote w:id="1">
    <w:p w14:paraId="4935461E" w14:textId="77777777" w:rsidR="00692C6C" w:rsidRDefault="005D68E6">
      <w:pPr>
        <w:pStyle w:val="FootnoteText"/>
      </w:pPr>
      <w:r>
        <w:rPr>
          <w:rStyle w:val="FootnoteReference"/>
        </w:rPr>
        <w:footnoteRef/>
      </w:r>
      <w:r>
        <w:t xml:space="preserve"> Begley, </w:t>
      </w:r>
      <w:r>
        <w:rPr>
          <w:i/>
          <w:iCs/>
        </w:rPr>
        <w:t>Decoding the Human Body</w:t>
      </w:r>
      <w:r>
        <w:t>, Newsweek, April 10, 2000, at 50-51.</w:t>
      </w:r>
    </w:p>
  </w:footnote>
  <w:footnote w:id="2">
    <w:p w14:paraId="1BCFD26E" w14:textId="77777777" w:rsidR="00692C6C" w:rsidRDefault="005D68E6">
      <w:pPr>
        <w:pStyle w:val="FootnoteText"/>
      </w:pPr>
      <w:r>
        <w:rPr>
          <w:rStyle w:val="FootnoteReference"/>
        </w:rPr>
        <w:footnoteRef/>
      </w:r>
      <w:r>
        <w:t xml:space="preserve"> Note, </w:t>
      </w:r>
      <w:r>
        <w:rPr>
          <w:i/>
          <w:iCs/>
        </w:rPr>
        <w:t>Intellectual Property Rights in Genes and Gene Fragments: A Registration Solution for Expressed Sequence Tags,</w:t>
      </w:r>
      <w:r>
        <w:t xml:space="preserve"> 85 Iowa L. Rev. 735, 738 (2000).</w:t>
      </w:r>
    </w:p>
  </w:footnote>
  <w:footnote w:id="3">
    <w:p w14:paraId="0EC87E29" w14:textId="77777777" w:rsidR="00692C6C" w:rsidRDefault="005D68E6">
      <w:pPr>
        <w:pStyle w:val="FootnoteText"/>
      </w:pPr>
      <w:r>
        <w:rPr>
          <w:rStyle w:val="FootnoteReference"/>
        </w:rPr>
        <w:footnoteRef/>
      </w:r>
      <w:r>
        <w:t xml:space="preserve"> </w:t>
      </w:r>
      <w:r>
        <w:rPr>
          <w:i/>
          <w:iCs/>
        </w:rPr>
        <w:t>Id.</w:t>
      </w:r>
    </w:p>
  </w:footnote>
  <w:footnote w:id="4">
    <w:p w14:paraId="3C9CA736" w14:textId="77777777" w:rsidR="00692C6C" w:rsidRDefault="005D68E6">
      <w:pPr>
        <w:pStyle w:val="FootnoteText"/>
      </w:pPr>
      <w:r>
        <w:rPr>
          <w:rStyle w:val="FootnoteReference"/>
        </w:rPr>
        <w:footnoteRef/>
      </w:r>
      <w:r>
        <w:t xml:space="preserve"> </w:t>
      </w:r>
      <w:r>
        <w:rPr>
          <w:i/>
          <w:iCs/>
        </w:rPr>
        <w:t>Id.</w:t>
      </w:r>
    </w:p>
  </w:footnote>
  <w:footnote w:id="5">
    <w:p w14:paraId="60C7A4EC" w14:textId="77777777" w:rsidR="00692C6C" w:rsidRDefault="005D68E6">
      <w:r>
        <w:rPr>
          <w:rStyle w:val="FootnoteReference"/>
        </w:rPr>
        <w:footnoteRef/>
      </w:r>
      <w:r>
        <w:t xml:space="preserve"> </w:t>
      </w:r>
      <w:r>
        <w:rPr>
          <w:i/>
          <w:iCs/>
        </w:rPr>
        <w:t>See</w:t>
      </w:r>
      <w:r>
        <w:t xml:space="preserve">, e.g., </w:t>
      </w:r>
      <w:r>
        <w:t xml:space="preserve">Ducor, </w:t>
      </w:r>
      <w:r>
        <w:rPr>
          <w:i/>
          <w:iCs/>
        </w:rPr>
        <w:t>Recombinant Products and Nonobviousness: A Typology</w:t>
      </w:r>
      <w:r>
        <w:t xml:space="preserve">, 13 Computer &amp; High Tech. L.J. 1 (1997); Note, </w:t>
      </w:r>
      <w:r>
        <w:rPr>
          <w:i/>
          <w:iCs/>
        </w:rPr>
        <w:t>Human Genes Without Functions: Biotechnology Tests the Patent Utility Standard</w:t>
      </w:r>
      <w:r>
        <w:t>,</w:t>
      </w:r>
      <w:r>
        <w:br/>
        <w:t>27 Suffolk U. L. Rev. 1631 (1993).</w:t>
      </w:r>
    </w:p>
  </w:footnote>
  <w:footnote w:id="6">
    <w:p w14:paraId="660ED78F" w14:textId="77777777" w:rsidR="00692C6C" w:rsidRDefault="005D68E6">
      <w:pPr>
        <w:pStyle w:val="FootnoteText"/>
      </w:pPr>
      <w:r>
        <w:rPr>
          <w:rStyle w:val="FootnoteReference"/>
        </w:rPr>
        <w:footnoteRef/>
      </w:r>
      <w:r>
        <w:t xml:space="preserve"> </w:t>
      </w:r>
      <w:r>
        <w:rPr>
          <w:i/>
          <w:iCs/>
        </w:rPr>
        <w:t xml:space="preserve">Supra, </w:t>
      </w:r>
      <w:r>
        <w:t>note 1 at 67.</w:t>
      </w:r>
    </w:p>
  </w:footnote>
  <w:footnote w:id="7">
    <w:p w14:paraId="62708361" w14:textId="77777777" w:rsidR="00692C6C" w:rsidRDefault="005D68E6">
      <w:pPr>
        <w:pStyle w:val="FootnoteText"/>
      </w:pPr>
      <w:r>
        <w:rPr>
          <w:rStyle w:val="FootnoteReference"/>
        </w:rPr>
        <w:footnoteRef/>
      </w:r>
      <w:r>
        <w:t xml:space="preserve"> </w:t>
      </w:r>
      <w:r>
        <w:rPr>
          <w:i/>
          <w:iCs/>
        </w:rPr>
        <w:t>Id.</w:t>
      </w:r>
    </w:p>
  </w:footnote>
  <w:footnote w:id="8">
    <w:p w14:paraId="116D18CD" w14:textId="77777777" w:rsidR="00692C6C" w:rsidRDefault="005D68E6">
      <w:pPr>
        <w:pStyle w:val="FootnoteText"/>
      </w:pPr>
      <w:r>
        <w:rPr>
          <w:rStyle w:val="FootnoteReference"/>
        </w:rPr>
        <w:footnoteRef/>
      </w:r>
      <w:r>
        <w:t xml:space="preserve"> </w:t>
      </w:r>
      <w:r>
        <w:rPr>
          <w:i/>
          <w:iCs/>
        </w:rPr>
        <w:t>Id.</w:t>
      </w:r>
    </w:p>
  </w:footnote>
  <w:footnote w:id="9">
    <w:p w14:paraId="215D2DEB" w14:textId="77777777" w:rsidR="00692C6C" w:rsidRDefault="005D68E6">
      <w:r>
        <w:rPr>
          <w:rStyle w:val="FootnoteReference"/>
        </w:rPr>
        <w:footnoteRef/>
      </w:r>
      <w:r>
        <w:t xml:space="preserve"> Eisenberg, </w:t>
      </w:r>
      <w:r>
        <w:rPr>
          <w:i/>
          <w:iCs/>
        </w:rPr>
        <w:t>Patenting the Human Genome</w:t>
      </w:r>
      <w:r>
        <w:t>, 39 Emory L.J. 721 (1990).</w:t>
      </w:r>
    </w:p>
  </w:footnote>
  <w:footnote w:id="10">
    <w:p w14:paraId="0EB741C1" w14:textId="77777777" w:rsidR="00692C6C" w:rsidRDefault="005D68E6">
      <w:pPr>
        <w:pStyle w:val="FootnoteText"/>
      </w:pPr>
      <w:r>
        <w:rPr>
          <w:rStyle w:val="FootnoteReference"/>
        </w:rPr>
        <w:footnoteRef/>
      </w:r>
      <w:r>
        <w:t xml:space="preserve"> Eisenberg, </w:t>
      </w:r>
      <w:r>
        <w:rPr>
          <w:i/>
          <w:iCs/>
        </w:rPr>
        <w:t>Re-examining the Role of Patents in Appropriating the Value of DNA Sequences</w:t>
      </w:r>
      <w:r>
        <w:t>, 49 Emory L.J. 783, 784 (2000).</w:t>
      </w:r>
    </w:p>
  </w:footnote>
  <w:footnote w:id="11">
    <w:p w14:paraId="27623120" w14:textId="77777777" w:rsidR="00692C6C" w:rsidRDefault="005D68E6">
      <w:pPr>
        <w:pStyle w:val="FootnoteText"/>
      </w:pPr>
      <w:r>
        <w:rPr>
          <w:rStyle w:val="FootnoteReference"/>
        </w:rPr>
        <w:footnoteRef/>
      </w:r>
      <w:r>
        <w:t xml:space="preserve"> </w:t>
      </w:r>
      <w:r>
        <w:rPr>
          <w:i/>
          <w:iCs/>
        </w:rPr>
        <w:t>Sixty Minutes</w:t>
      </w:r>
      <w:r>
        <w:t xml:space="preserve">, (CBS television broadcast, July 29, 2001). </w:t>
      </w:r>
    </w:p>
  </w:footnote>
  <w:footnote w:id="12">
    <w:p w14:paraId="7D037250" w14:textId="77777777" w:rsidR="00692C6C" w:rsidRDefault="005D68E6">
      <w:pPr>
        <w:pStyle w:val="FootnoteText"/>
      </w:pPr>
      <w:r>
        <w:rPr>
          <w:rStyle w:val="FootnoteReference"/>
        </w:rPr>
        <w:footnoteRef/>
      </w:r>
      <w:r>
        <w:t xml:space="preserve"> </w:t>
      </w:r>
      <w:r>
        <w:rPr>
          <w:i/>
          <w:iCs/>
        </w:rPr>
        <w:t>Id.</w:t>
      </w:r>
    </w:p>
  </w:footnote>
  <w:footnote w:id="13">
    <w:p w14:paraId="0845512A" w14:textId="77777777" w:rsidR="00692C6C" w:rsidRDefault="005D68E6">
      <w:pPr>
        <w:pStyle w:val="FootnoteText"/>
      </w:pPr>
      <w:r>
        <w:rPr>
          <w:rStyle w:val="FootnoteReference"/>
        </w:rPr>
        <w:footnoteRef/>
      </w:r>
      <w:r>
        <w:t xml:space="preserve"> </w:t>
      </w:r>
      <w:r>
        <w:rPr>
          <w:i/>
          <w:iCs/>
        </w:rPr>
        <w:t>Id.</w:t>
      </w:r>
    </w:p>
  </w:footnote>
  <w:footnote w:id="14">
    <w:p w14:paraId="66477386" w14:textId="77777777" w:rsidR="00692C6C" w:rsidRDefault="005D68E6">
      <w:r>
        <w:rPr>
          <w:rStyle w:val="FootnoteReference"/>
        </w:rPr>
        <w:footnoteRef/>
      </w:r>
      <w:r>
        <w:t xml:space="preserve"> </w:t>
      </w:r>
      <w:r>
        <w:rPr>
          <w:i/>
          <w:iCs/>
        </w:rPr>
        <w:t>See, e.g.</w:t>
      </w:r>
      <w:r>
        <w:t>, U.S. Patent No. 4,703,008, October 27, 1987 (DNA sequences encoding erythropoietin).</w:t>
      </w:r>
    </w:p>
  </w:footnote>
  <w:footnote w:id="15">
    <w:p w14:paraId="5E27CF84" w14:textId="77777777" w:rsidR="00692C6C" w:rsidRDefault="005D68E6">
      <w:pPr>
        <w:pStyle w:val="FootnoteText"/>
      </w:pPr>
      <w:r>
        <w:rPr>
          <w:rStyle w:val="FootnoteReference"/>
        </w:rPr>
        <w:footnoteRef/>
      </w:r>
      <w:r>
        <w:t xml:space="preserve"> Eisenberg, </w:t>
      </w:r>
      <w:r>
        <w:rPr>
          <w:i/>
          <w:iCs/>
        </w:rPr>
        <w:t>supra</w:t>
      </w:r>
      <w:r>
        <w:t xml:space="preserve"> note 10, at 784.</w:t>
      </w:r>
    </w:p>
  </w:footnote>
  <w:footnote w:id="16">
    <w:p w14:paraId="3850F41D" w14:textId="77777777" w:rsidR="00692C6C" w:rsidRDefault="005D68E6">
      <w:r>
        <w:rPr>
          <w:rStyle w:val="FootnoteReference"/>
        </w:rPr>
        <w:footnoteRef/>
      </w:r>
      <w:r>
        <w:t xml:space="preserve"> </w:t>
      </w:r>
      <w:r>
        <w:rPr>
          <w:i/>
          <w:iCs/>
        </w:rPr>
        <w:t>See, e.g</w:t>
      </w:r>
      <w:r>
        <w:t>., Amgen, 927 F.2d at 1200 ("A gene is a chemical compound, albeit a complex one.").</w:t>
      </w:r>
    </w:p>
  </w:footnote>
  <w:footnote w:id="17">
    <w:p w14:paraId="14B1CB5D" w14:textId="77777777" w:rsidR="00692C6C" w:rsidRDefault="005D68E6">
      <w:pPr>
        <w:pStyle w:val="FootnoteText"/>
      </w:pPr>
      <w:r>
        <w:rPr>
          <w:rStyle w:val="FootnoteReference"/>
        </w:rPr>
        <w:footnoteRef/>
      </w:r>
      <w:r>
        <w:t xml:space="preserve"> </w:t>
      </w:r>
      <w:r>
        <w:rPr>
          <w:i/>
          <w:iCs/>
        </w:rPr>
        <w:t>Id.</w:t>
      </w:r>
    </w:p>
  </w:footnote>
  <w:footnote w:id="18">
    <w:p w14:paraId="03D36590" w14:textId="77777777" w:rsidR="00692C6C" w:rsidRDefault="005D68E6">
      <w:pPr>
        <w:widowControl w:val="0"/>
        <w:spacing w:line="240" w:lineRule="atLeast"/>
      </w:pPr>
      <w:r>
        <w:rPr>
          <w:rStyle w:val="FootnoteReference"/>
        </w:rPr>
        <w:footnoteRef/>
      </w:r>
      <w:r>
        <w:t xml:space="preserve"> </w:t>
      </w:r>
      <w:r>
        <w:t xml:space="preserve">Bereano, </w:t>
      </w:r>
      <w:r>
        <w:rPr>
          <w:i/>
          <w:iCs/>
        </w:rPr>
        <w:t>Guaymi Tribe was Suprised to Discover They were Invented</w:t>
      </w:r>
      <w:r>
        <w:t>, The Seattle Times, Aug. 27, 1995, at B5.</w:t>
      </w:r>
    </w:p>
  </w:footnote>
  <w:footnote w:id="19">
    <w:p w14:paraId="5FEBF052" w14:textId="77777777" w:rsidR="00692C6C" w:rsidRDefault="005D68E6">
      <w:pPr>
        <w:pStyle w:val="FootnoteText"/>
      </w:pPr>
      <w:r>
        <w:rPr>
          <w:rStyle w:val="FootnoteReference"/>
        </w:rPr>
        <w:footnoteRef/>
      </w:r>
      <w:r>
        <w:t xml:space="preserve"> </w:t>
      </w:r>
      <w:r>
        <w:rPr>
          <w:i/>
          <w:iCs/>
        </w:rPr>
        <w:t>Id.</w:t>
      </w:r>
    </w:p>
  </w:footnote>
  <w:footnote w:id="20">
    <w:p w14:paraId="796F5DAA" w14:textId="77777777" w:rsidR="00692C6C" w:rsidRDefault="005D68E6">
      <w:pPr>
        <w:pStyle w:val="FootnoteText"/>
      </w:pPr>
      <w:r>
        <w:rPr>
          <w:rStyle w:val="FootnoteReference"/>
        </w:rPr>
        <w:footnoteRef/>
      </w:r>
      <w:r>
        <w:t xml:space="preserve"> </w:t>
      </w:r>
      <w:r>
        <w:rPr>
          <w:i/>
          <w:iCs/>
        </w:rPr>
        <w:t>Id.</w:t>
      </w:r>
    </w:p>
  </w:footnote>
  <w:footnote w:id="21">
    <w:p w14:paraId="406947D5" w14:textId="77777777" w:rsidR="00692C6C" w:rsidRDefault="005D68E6">
      <w:pPr>
        <w:pStyle w:val="FootnoteText"/>
      </w:pPr>
      <w:r>
        <w:rPr>
          <w:rStyle w:val="FootnoteReference"/>
        </w:rPr>
        <w:footnoteRef/>
      </w:r>
      <w:r>
        <w:t xml:space="preserve"> </w:t>
      </w:r>
      <w:r>
        <w:rPr>
          <w:i/>
          <w:iCs/>
        </w:rPr>
        <w:t>Id.</w:t>
      </w:r>
    </w:p>
  </w:footnote>
  <w:footnote w:id="22">
    <w:p w14:paraId="21F580A3" w14:textId="77777777" w:rsidR="00692C6C" w:rsidRDefault="005D68E6">
      <w:pPr>
        <w:pStyle w:val="FootnoteText"/>
      </w:pPr>
      <w:r>
        <w:rPr>
          <w:rStyle w:val="FootnoteReference"/>
        </w:rPr>
        <w:footnoteRef/>
      </w:r>
      <w:r>
        <w:t xml:space="preserve"> </w:t>
      </w:r>
      <w:r>
        <w:rPr>
          <w:i/>
          <w:iCs/>
        </w:rPr>
        <w:t>Id.</w:t>
      </w:r>
    </w:p>
  </w:footnote>
  <w:footnote w:id="23">
    <w:p w14:paraId="6254A0EA" w14:textId="77777777" w:rsidR="00692C6C" w:rsidRDefault="005D68E6">
      <w:pPr>
        <w:pStyle w:val="FootnoteText"/>
      </w:pPr>
      <w:r>
        <w:rPr>
          <w:rStyle w:val="FootnoteReference"/>
        </w:rPr>
        <w:footnoteRef/>
      </w:r>
      <w:r>
        <w:t xml:space="preserve"> Eisenberg, </w:t>
      </w:r>
      <w:r>
        <w:rPr>
          <w:i/>
          <w:iCs/>
        </w:rPr>
        <w:t>supra</w:t>
      </w:r>
      <w:r>
        <w:t xml:space="preserve"> note 10, at 785.</w:t>
      </w:r>
    </w:p>
  </w:footnote>
  <w:footnote w:id="24">
    <w:p w14:paraId="63AE1795" w14:textId="77777777" w:rsidR="00692C6C" w:rsidRDefault="005D68E6">
      <w:pPr>
        <w:pStyle w:val="FootnoteText"/>
      </w:pPr>
      <w:r>
        <w:rPr>
          <w:rStyle w:val="FootnoteReference"/>
        </w:rPr>
        <w:footnoteRef/>
      </w:r>
      <w:r>
        <w:t xml:space="preserve"> </w:t>
      </w:r>
      <w:r>
        <w:rPr>
          <w:i/>
          <w:iCs/>
        </w:rPr>
        <w:t>Id</w:t>
      </w:r>
      <w:r>
        <w:t>.</w:t>
      </w:r>
    </w:p>
  </w:footnote>
  <w:footnote w:id="25">
    <w:p w14:paraId="28CBA285" w14:textId="77777777" w:rsidR="00692C6C" w:rsidRDefault="005D68E6">
      <w:r>
        <w:rPr>
          <w:rStyle w:val="FootnoteReference"/>
        </w:rPr>
        <w:footnoteRef/>
      </w:r>
      <w:r>
        <w:t xml:space="preserve"> 35 U.S.C. 101 (1994).</w:t>
      </w:r>
    </w:p>
  </w:footnote>
  <w:footnote w:id="26">
    <w:p w14:paraId="272697AB" w14:textId="77777777" w:rsidR="00692C6C" w:rsidRDefault="005D68E6">
      <w:r>
        <w:rPr>
          <w:rStyle w:val="FootnoteReference"/>
        </w:rPr>
        <w:footnoteRef/>
      </w:r>
      <w:r>
        <w:t xml:space="preserve"> Diamond v. Chakrabarty, 447 U.S. 303, 309 (1980) (citing S. Rep. No. 82-1979, at 5 (1952); H.R. Rep. No. 82-1923, at 6 (1952)).</w:t>
      </w:r>
    </w:p>
  </w:footnote>
  <w:footnote w:id="27">
    <w:p w14:paraId="0E953C50" w14:textId="77777777" w:rsidR="00692C6C" w:rsidRDefault="005D68E6">
      <w:r>
        <w:rPr>
          <w:rStyle w:val="FootnoteReference"/>
        </w:rPr>
        <w:footnoteRef/>
      </w:r>
      <w:r>
        <w:t xml:space="preserve"> </w:t>
      </w:r>
      <w:r>
        <w:rPr>
          <w:i/>
          <w:iCs/>
        </w:rPr>
        <w:t>See, e.g</w:t>
      </w:r>
      <w:r>
        <w:t>.</w:t>
      </w:r>
      <w:r>
        <w:rPr>
          <w:i/>
          <w:iCs/>
        </w:rPr>
        <w:t>, supra</w:t>
      </w:r>
      <w:r>
        <w:t xml:space="preserve"> note 10. </w:t>
      </w:r>
    </w:p>
  </w:footnote>
  <w:footnote w:id="28">
    <w:p w14:paraId="0E377D97" w14:textId="77777777" w:rsidR="00692C6C" w:rsidRDefault="005D68E6">
      <w:pPr>
        <w:pStyle w:val="FootnoteText"/>
      </w:pPr>
      <w:r>
        <w:rPr>
          <w:rStyle w:val="FootnoteReference"/>
        </w:rPr>
        <w:footnoteRef/>
      </w:r>
      <w:r>
        <w:t xml:space="preserve"> </w:t>
      </w:r>
      <w:r>
        <w:rPr>
          <w:i/>
          <w:iCs/>
        </w:rPr>
        <w:t>Id.</w:t>
      </w:r>
    </w:p>
  </w:footnote>
  <w:footnote w:id="29">
    <w:p w14:paraId="01D9CA00" w14:textId="77777777" w:rsidR="00692C6C" w:rsidRDefault="005D68E6">
      <w:pPr>
        <w:pStyle w:val="FootnoteText"/>
      </w:pPr>
      <w:r>
        <w:rPr>
          <w:rStyle w:val="FootnoteReference"/>
        </w:rPr>
        <w:footnoteRef/>
      </w:r>
      <w:r>
        <w:t xml:space="preserve"> 35 U.S.C. 100-03 (2202); U.S. Patent and Trademark Office, Website: www.upto.gov /offices /</w:t>
      </w:r>
      <w:r>
        <w:t xml:space="preserve">pac/ doc/general/what.html. </w:t>
      </w:r>
    </w:p>
  </w:footnote>
  <w:footnote w:id="30">
    <w:p w14:paraId="1B2701B2" w14:textId="77777777" w:rsidR="00692C6C" w:rsidRDefault="005D68E6">
      <w:pPr>
        <w:pStyle w:val="FootnoteText"/>
      </w:pPr>
      <w:r>
        <w:rPr>
          <w:rStyle w:val="FootnoteReference"/>
        </w:rPr>
        <w:footnoteRef/>
      </w:r>
      <w:r>
        <w:t xml:space="preserve"> </w:t>
      </w:r>
      <w:r>
        <w:rPr>
          <w:i/>
          <w:iCs/>
        </w:rPr>
        <w:t>Id.</w:t>
      </w:r>
    </w:p>
  </w:footnote>
  <w:footnote w:id="31">
    <w:p w14:paraId="4278DD23" w14:textId="77777777" w:rsidR="00692C6C" w:rsidRDefault="005D68E6">
      <w:pPr>
        <w:pStyle w:val="FootnoteText"/>
      </w:pPr>
      <w:r>
        <w:rPr>
          <w:rStyle w:val="FootnoteReference"/>
        </w:rPr>
        <w:footnoteRef/>
      </w:r>
      <w:r>
        <w:t xml:space="preserve"> </w:t>
      </w:r>
      <w:r>
        <w:rPr>
          <w:i/>
          <w:iCs/>
        </w:rPr>
        <w:t>Id.</w:t>
      </w:r>
    </w:p>
  </w:footnote>
  <w:footnote w:id="32">
    <w:p w14:paraId="31C85F88" w14:textId="77777777" w:rsidR="00692C6C" w:rsidRDefault="005D68E6">
      <w:pPr>
        <w:pStyle w:val="FootnoteText"/>
      </w:pPr>
      <w:r>
        <w:rPr>
          <w:rStyle w:val="FootnoteReference"/>
        </w:rPr>
        <w:footnoteRef/>
      </w:r>
      <w:r>
        <w:t xml:space="preserve"> </w:t>
      </w:r>
      <w:r>
        <w:rPr>
          <w:i/>
          <w:iCs/>
        </w:rPr>
        <w:t>Id.</w:t>
      </w:r>
    </w:p>
  </w:footnote>
  <w:footnote w:id="33">
    <w:p w14:paraId="6F05B9BF" w14:textId="77777777" w:rsidR="00692C6C" w:rsidRDefault="005D68E6">
      <w:pPr>
        <w:pStyle w:val="FootnoteText"/>
      </w:pPr>
      <w:r>
        <w:rPr>
          <w:rStyle w:val="FootnoteReference"/>
        </w:rPr>
        <w:footnoteRef/>
      </w:r>
      <w:r>
        <w:t xml:space="preserve"> Eisenberg, </w:t>
      </w:r>
      <w:r>
        <w:rPr>
          <w:i/>
          <w:iCs/>
        </w:rPr>
        <w:t>supra</w:t>
      </w:r>
      <w:r>
        <w:t xml:space="preserve"> note 10, at 785.</w:t>
      </w:r>
    </w:p>
  </w:footnote>
  <w:footnote w:id="34">
    <w:p w14:paraId="49B3D051" w14:textId="77777777" w:rsidR="00692C6C" w:rsidRDefault="005D68E6">
      <w:pPr>
        <w:pStyle w:val="FootnoteText"/>
      </w:pPr>
      <w:r>
        <w:rPr>
          <w:rStyle w:val="FootnoteReference"/>
        </w:rPr>
        <w:footnoteRef/>
      </w:r>
      <w:r>
        <w:t xml:space="preserve"> </w:t>
      </w:r>
      <w:r>
        <w:rPr>
          <w:i/>
          <w:iCs/>
        </w:rPr>
        <w:t>Id.</w:t>
      </w:r>
    </w:p>
  </w:footnote>
  <w:footnote w:id="35">
    <w:p w14:paraId="124B9E0D" w14:textId="77777777" w:rsidR="00692C6C" w:rsidRDefault="005D68E6">
      <w:pPr>
        <w:pStyle w:val="FootnoteText"/>
      </w:pPr>
      <w:r>
        <w:rPr>
          <w:rStyle w:val="FootnoteReference"/>
        </w:rPr>
        <w:footnoteRef/>
      </w:r>
      <w:r>
        <w:t xml:space="preserve"> </w:t>
      </w:r>
      <w:r>
        <w:rPr>
          <w:i/>
          <w:iCs/>
        </w:rPr>
        <w:t>Id</w:t>
      </w:r>
      <w:r>
        <w:t>. at 785-6.</w:t>
      </w:r>
    </w:p>
  </w:footnote>
  <w:footnote w:id="36">
    <w:p w14:paraId="79FB1E67" w14:textId="77777777" w:rsidR="00692C6C" w:rsidRDefault="005D68E6">
      <w:r>
        <w:rPr>
          <w:rStyle w:val="FootnoteReference"/>
        </w:rPr>
        <w:footnoteRef/>
      </w:r>
      <w:r>
        <w:t xml:space="preserve"> Amgen, Inc. v. Chugai Pharmaceutical Co., 13 U.S.P.Q.2d (BNA) 1737, 1959 (D. Mass. 1990).</w:t>
      </w:r>
    </w:p>
  </w:footnote>
  <w:footnote w:id="37">
    <w:p w14:paraId="31CA52C6" w14:textId="77777777" w:rsidR="00692C6C" w:rsidRDefault="005D68E6">
      <w:r>
        <w:rPr>
          <w:rStyle w:val="FootnoteReference"/>
        </w:rPr>
        <w:footnoteRef/>
      </w:r>
      <w:r>
        <w:rPr>
          <w:i/>
          <w:iCs/>
        </w:rPr>
        <w:t xml:space="preserve"> See, e.g.</w:t>
      </w:r>
      <w:r>
        <w:t>, Merck &amp; Co. v. Olin Mathieson Chem. Corp., 253 F.2d 156 (4</w:t>
      </w:r>
      <w:r>
        <w:rPr>
          <w:vertAlign w:val="superscript"/>
        </w:rPr>
        <w:t>th</w:t>
      </w:r>
      <w:r>
        <w:t xml:space="preserve"> Cir. 1958) (upholding the patentability of purified Vitamin B-12).</w:t>
      </w:r>
    </w:p>
  </w:footnote>
  <w:footnote w:id="38">
    <w:p w14:paraId="39D64B6C" w14:textId="77777777" w:rsidR="00692C6C" w:rsidRDefault="005D68E6">
      <w:pPr>
        <w:pStyle w:val="FootnoteText"/>
      </w:pPr>
      <w:r>
        <w:rPr>
          <w:rStyle w:val="FootnoteReference"/>
        </w:rPr>
        <w:footnoteRef/>
      </w:r>
      <w:r>
        <w:t xml:space="preserve"> Eisenberg, </w:t>
      </w:r>
      <w:r>
        <w:rPr>
          <w:i/>
          <w:iCs/>
        </w:rPr>
        <w:t>supra</w:t>
      </w:r>
      <w:r>
        <w:t xml:space="preserve"> note 10, at 786.</w:t>
      </w:r>
    </w:p>
  </w:footnote>
  <w:footnote w:id="39">
    <w:p w14:paraId="6D1851BD" w14:textId="77777777" w:rsidR="00692C6C" w:rsidRDefault="005D68E6">
      <w:pPr>
        <w:pStyle w:val="FootnoteText"/>
      </w:pPr>
      <w:r>
        <w:rPr>
          <w:rStyle w:val="FootnoteReference"/>
        </w:rPr>
        <w:footnoteRef/>
      </w:r>
      <w:r>
        <w:t xml:space="preserve"> </w:t>
      </w:r>
      <w:r>
        <w:rPr>
          <w:i/>
          <w:iCs/>
        </w:rPr>
        <w:t>Id.</w:t>
      </w:r>
    </w:p>
  </w:footnote>
  <w:footnote w:id="40">
    <w:p w14:paraId="5904A1E4" w14:textId="77777777" w:rsidR="00692C6C" w:rsidRDefault="005D68E6">
      <w:pPr>
        <w:pStyle w:val="FootnoteText"/>
      </w:pPr>
      <w:r>
        <w:rPr>
          <w:rStyle w:val="FootnoteReference"/>
        </w:rPr>
        <w:footnoteRef/>
      </w:r>
      <w:r>
        <w:t xml:space="preserve"> </w:t>
      </w:r>
      <w:r>
        <w:rPr>
          <w:i/>
          <w:iCs/>
        </w:rPr>
        <w:t>Id.</w:t>
      </w:r>
    </w:p>
  </w:footnote>
  <w:footnote w:id="41">
    <w:p w14:paraId="21C386C4" w14:textId="77777777" w:rsidR="00692C6C" w:rsidRDefault="005D68E6">
      <w:pPr>
        <w:pStyle w:val="FootnoteText"/>
      </w:pPr>
      <w:r>
        <w:rPr>
          <w:rStyle w:val="FootnoteReference"/>
        </w:rPr>
        <w:footnoteRef/>
      </w:r>
      <w:r>
        <w:t xml:space="preserve"> </w:t>
      </w:r>
      <w:r>
        <w:rPr>
          <w:i/>
          <w:iCs/>
        </w:rPr>
        <w:t>Id.</w:t>
      </w:r>
    </w:p>
  </w:footnote>
  <w:footnote w:id="42">
    <w:p w14:paraId="6515C5FF" w14:textId="77777777" w:rsidR="00692C6C" w:rsidRDefault="005D68E6">
      <w:r>
        <w:rPr>
          <w:rStyle w:val="FootnoteReference"/>
        </w:rPr>
        <w:footnoteRef/>
      </w:r>
      <w:r>
        <w:t xml:space="preserve"> </w:t>
      </w:r>
      <w:r>
        <w:rPr>
          <w:i/>
          <w:iCs/>
        </w:rPr>
        <w:t>See, e.g.</w:t>
      </w:r>
      <w:r>
        <w:t xml:space="preserve">, Chakrabarty, 447 U.S. at 309 ("Einstein could not patent his celebrated law that E=mc[su'2']; nor could Newton have patented the law of gravity. Such discoveries are "manifestations of ... nature, free to all men and reserved exclusively to none.'") (citing Funk Bros. Seed Co. v. </w:t>
      </w:r>
      <w:r>
        <w:t>Kalo Inoculant Co., 333 U.S. 127, 130 (1948)); Dickey-John Corp. v. International Tapetronics Corp., 710 F.2d 329, 348 n.9 (7th Cir. 1983) ("Yet patent law has never been the domain of the abstract - one cannot patent the very discoveries which make the greatest contributions to human knowledge, such as Einstein's discovery of the photoelectric effect nor has it ever been considered that the lure of commercial reward provided by a patent was needed to encourage such contributions. Patent law's domain has always been the application of the great discoveries of the human intellect to the mundane problems of everyday existence.").</w:t>
      </w:r>
    </w:p>
  </w:footnote>
  <w:footnote w:id="43">
    <w:p w14:paraId="0F59BBB4" w14:textId="77777777" w:rsidR="00692C6C" w:rsidRDefault="005D68E6">
      <w:r>
        <w:rPr>
          <w:rStyle w:val="FootnoteReference"/>
        </w:rPr>
        <w:footnoteRef/>
      </w:r>
      <w:r>
        <w:t xml:space="preserve"> 35 U.S.C. 112, 154(a)(4) (1994). </w:t>
      </w:r>
      <w:r>
        <w:rPr>
          <w:i/>
          <w:iCs/>
        </w:rPr>
        <w:t>See</w:t>
      </w:r>
      <w:r>
        <w:t xml:space="preserve"> In re </w:t>
      </w:r>
      <w:r>
        <w:t>Argoudelis, 434 F.2d 1390 (C.C.P.A. 1970).</w:t>
      </w:r>
    </w:p>
  </w:footnote>
  <w:footnote w:id="44">
    <w:p w14:paraId="0082A9BB" w14:textId="77777777" w:rsidR="00692C6C" w:rsidRDefault="005D68E6">
      <w:pPr>
        <w:pStyle w:val="FootnoteText"/>
      </w:pPr>
      <w:r>
        <w:rPr>
          <w:rStyle w:val="FootnoteReference"/>
        </w:rPr>
        <w:footnoteRef/>
      </w:r>
      <w:r>
        <w:t xml:space="preserve"> </w:t>
      </w:r>
      <w:r>
        <w:rPr>
          <w:i/>
          <w:iCs/>
        </w:rPr>
        <w:t>Id.</w:t>
      </w:r>
    </w:p>
  </w:footnote>
  <w:footnote w:id="45">
    <w:p w14:paraId="2FB62D65" w14:textId="77777777" w:rsidR="00692C6C" w:rsidRDefault="005D68E6">
      <w:r>
        <w:rPr>
          <w:rStyle w:val="FootnoteReference"/>
        </w:rPr>
        <w:footnoteRef/>
      </w:r>
      <w:r>
        <w:t xml:space="preserve"> D. Chisum, Chisum on Patents 7.01, at 7-3 (1999).</w:t>
      </w:r>
    </w:p>
  </w:footnote>
  <w:footnote w:id="46">
    <w:p w14:paraId="7AF859F3" w14:textId="77777777" w:rsidR="00692C6C" w:rsidRDefault="005D68E6">
      <w:pPr>
        <w:pStyle w:val="FootnoteText"/>
      </w:pPr>
      <w:r>
        <w:rPr>
          <w:rStyle w:val="FootnoteReference"/>
        </w:rPr>
        <w:footnoteRef/>
      </w:r>
      <w:r>
        <w:t xml:space="preserve"> Eisenberg, </w:t>
      </w:r>
      <w:r>
        <w:rPr>
          <w:i/>
          <w:iCs/>
        </w:rPr>
        <w:t>supra</w:t>
      </w:r>
      <w:r>
        <w:t xml:space="preserve"> note 10, at 787.</w:t>
      </w:r>
    </w:p>
  </w:footnote>
  <w:footnote w:id="47">
    <w:p w14:paraId="249FB7F4" w14:textId="77777777" w:rsidR="00692C6C" w:rsidRDefault="005D68E6">
      <w:pPr>
        <w:pStyle w:val="FootnoteText"/>
      </w:pPr>
      <w:r>
        <w:rPr>
          <w:rStyle w:val="FootnoteReference"/>
        </w:rPr>
        <w:footnoteRef/>
      </w:r>
      <w:r>
        <w:t xml:space="preserve"> </w:t>
      </w:r>
      <w:r>
        <w:rPr>
          <w:i/>
          <w:iCs/>
        </w:rPr>
        <w:t>Id.</w:t>
      </w:r>
    </w:p>
  </w:footnote>
  <w:footnote w:id="48">
    <w:p w14:paraId="1E60C078" w14:textId="77777777" w:rsidR="00692C6C" w:rsidRDefault="005D68E6">
      <w:pPr>
        <w:pStyle w:val="FootnoteText"/>
      </w:pPr>
      <w:r>
        <w:rPr>
          <w:rStyle w:val="FootnoteReference"/>
        </w:rPr>
        <w:footnoteRef/>
      </w:r>
      <w:r>
        <w:t xml:space="preserve"> </w:t>
      </w:r>
      <w:r>
        <w:rPr>
          <w:i/>
          <w:iCs/>
        </w:rPr>
        <w:t>Id.</w:t>
      </w:r>
    </w:p>
  </w:footnote>
  <w:footnote w:id="49">
    <w:p w14:paraId="00C4713F" w14:textId="77777777" w:rsidR="00692C6C" w:rsidRDefault="005D68E6">
      <w:pPr>
        <w:pStyle w:val="FootnoteText"/>
      </w:pPr>
      <w:r>
        <w:rPr>
          <w:rStyle w:val="FootnoteReference"/>
        </w:rPr>
        <w:footnoteRef/>
      </w:r>
      <w:r>
        <w:t xml:space="preserve"> </w:t>
      </w:r>
      <w:r>
        <w:rPr>
          <w:i/>
          <w:iCs/>
        </w:rPr>
        <w:t>Id.</w:t>
      </w:r>
    </w:p>
  </w:footnote>
  <w:footnote w:id="50">
    <w:p w14:paraId="0B393377" w14:textId="77777777" w:rsidR="00692C6C" w:rsidRDefault="005D68E6">
      <w:pPr>
        <w:pStyle w:val="FootnoteText"/>
      </w:pPr>
      <w:r>
        <w:rPr>
          <w:rStyle w:val="FootnoteReference"/>
        </w:rPr>
        <w:footnoteRef/>
      </w:r>
      <w:r>
        <w:t xml:space="preserve"> </w:t>
      </w:r>
      <w:r>
        <w:rPr>
          <w:i/>
          <w:iCs/>
        </w:rPr>
        <w:t>Id.</w:t>
      </w:r>
    </w:p>
  </w:footnote>
  <w:footnote w:id="51">
    <w:p w14:paraId="2C780AD7" w14:textId="77777777" w:rsidR="00692C6C" w:rsidRDefault="005D68E6">
      <w:pPr>
        <w:pStyle w:val="FootnoteText"/>
      </w:pPr>
      <w:r>
        <w:rPr>
          <w:rStyle w:val="FootnoteReference"/>
        </w:rPr>
        <w:footnoteRef/>
      </w:r>
      <w:r>
        <w:t xml:space="preserve"> </w:t>
      </w:r>
      <w:r>
        <w:rPr>
          <w:i/>
          <w:iCs/>
        </w:rPr>
        <w:t>Id.</w:t>
      </w:r>
    </w:p>
  </w:footnote>
  <w:footnote w:id="52">
    <w:p w14:paraId="14449856" w14:textId="77777777" w:rsidR="00692C6C" w:rsidRDefault="005D68E6">
      <w:pPr>
        <w:pStyle w:val="FootnoteText"/>
      </w:pPr>
      <w:r>
        <w:rPr>
          <w:rStyle w:val="FootnoteReference"/>
        </w:rPr>
        <w:footnoteRef/>
      </w:r>
      <w:r>
        <w:t xml:space="preserve"> Bryant &amp; </w:t>
      </w:r>
      <w:r>
        <w:t xml:space="preserve">Beals, </w:t>
      </w:r>
      <w:r>
        <w:rPr>
          <w:i/>
          <w:iCs/>
        </w:rPr>
        <w:t>Who Will Own the Code of Life?</w:t>
      </w:r>
      <w:r>
        <w:t xml:space="preserve"> Newsweek, April 10, 2000, at 67.</w:t>
      </w:r>
    </w:p>
  </w:footnote>
  <w:footnote w:id="53">
    <w:p w14:paraId="2694DC3F" w14:textId="77777777" w:rsidR="00692C6C" w:rsidRDefault="005D68E6">
      <w:pPr>
        <w:pStyle w:val="FootnoteText"/>
      </w:pPr>
      <w:r>
        <w:rPr>
          <w:rStyle w:val="FootnoteReference"/>
        </w:rPr>
        <w:footnoteRef/>
      </w:r>
      <w:r>
        <w:t xml:space="preserve"> </w:t>
      </w:r>
      <w:r>
        <w:rPr>
          <w:i/>
          <w:iCs/>
        </w:rPr>
        <w:t>Id.</w:t>
      </w:r>
    </w:p>
  </w:footnote>
  <w:footnote w:id="54">
    <w:p w14:paraId="37D2132C" w14:textId="77777777" w:rsidR="00692C6C" w:rsidRDefault="005D68E6">
      <w:pPr>
        <w:pStyle w:val="FootnoteText"/>
      </w:pPr>
      <w:r>
        <w:rPr>
          <w:rStyle w:val="FootnoteReference"/>
        </w:rPr>
        <w:footnoteRef/>
      </w:r>
      <w:r>
        <w:t xml:space="preserve"> </w:t>
      </w:r>
      <w:r>
        <w:rPr>
          <w:i/>
          <w:iCs/>
        </w:rPr>
        <w:t>Id.</w:t>
      </w:r>
    </w:p>
  </w:footnote>
  <w:footnote w:id="55">
    <w:p w14:paraId="11365C9C" w14:textId="77777777" w:rsidR="00692C6C" w:rsidRDefault="005D68E6">
      <w:pPr>
        <w:pStyle w:val="FootnoteText"/>
      </w:pPr>
      <w:r>
        <w:rPr>
          <w:rStyle w:val="FootnoteReference"/>
        </w:rPr>
        <w:footnoteRef/>
      </w:r>
      <w:r>
        <w:t xml:space="preserve"> </w:t>
      </w:r>
      <w:r>
        <w:rPr>
          <w:i/>
          <w:iCs/>
        </w:rPr>
        <w:t>See supra</w:t>
      </w:r>
      <w:r>
        <w:t xml:space="preserve"> note 11 and accompanying text</w:t>
      </w:r>
      <w:r>
        <w:rPr>
          <w:i/>
          <w:iCs/>
        </w:rPr>
        <w:t>.</w:t>
      </w:r>
    </w:p>
  </w:footnote>
  <w:footnote w:id="56">
    <w:p w14:paraId="6D8B91C1" w14:textId="77777777" w:rsidR="00692C6C" w:rsidRDefault="005D68E6">
      <w:pPr>
        <w:pStyle w:val="FootnoteText"/>
      </w:pPr>
      <w:r>
        <w:rPr>
          <w:rStyle w:val="FootnoteReference"/>
        </w:rPr>
        <w:footnoteRef/>
      </w:r>
      <w:r>
        <w:t xml:space="preserve"> </w:t>
      </w:r>
      <w:r>
        <w:rPr>
          <w:i/>
          <w:iCs/>
        </w:rPr>
        <w:t>Id.</w:t>
      </w:r>
    </w:p>
  </w:footnote>
  <w:footnote w:id="57">
    <w:p w14:paraId="1E638516" w14:textId="77777777" w:rsidR="00692C6C" w:rsidRDefault="005D68E6">
      <w:pPr>
        <w:pStyle w:val="FootnoteText"/>
      </w:pPr>
      <w:r>
        <w:rPr>
          <w:rStyle w:val="FootnoteReference"/>
        </w:rPr>
        <w:footnoteRef/>
      </w:r>
      <w:r>
        <w:t xml:space="preserve"> </w:t>
      </w:r>
      <w:r>
        <w:rPr>
          <w:i/>
          <w:iCs/>
        </w:rPr>
        <w:t>Id.</w:t>
      </w:r>
    </w:p>
  </w:footnote>
  <w:footnote w:id="58">
    <w:p w14:paraId="6AF56D17" w14:textId="77777777" w:rsidR="00692C6C" w:rsidRDefault="005D68E6">
      <w:pPr>
        <w:pStyle w:val="FootnoteText"/>
      </w:pPr>
      <w:r>
        <w:rPr>
          <w:rStyle w:val="FootnoteReference"/>
        </w:rPr>
        <w:footnoteRef/>
      </w:r>
      <w:r>
        <w:t xml:space="preserve"> </w:t>
      </w:r>
      <w:r>
        <w:rPr>
          <w:i/>
          <w:iCs/>
        </w:rPr>
        <w:t>Id.</w:t>
      </w:r>
    </w:p>
  </w:footnote>
  <w:footnote w:id="59">
    <w:p w14:paraId="6466EBDC" w14:textId="77777777" w:rsidR="00692C6C" w:rsidRDefault="005D68E6">
      <w:pPr>
        <w:pStyle w:val="FootnoteText"/>
      </w:pPr>
      <w:r>
        <w:rPr>
          <w:rStyle w:val="FootnoteReference"/>
        </w:rPr>
        <w:footnoteRef/>
      </w:r>
      <w:r>
        <w:t xml:space="preserve"> Diamond v. Chakrabarty, 447 U.S. 303 (1980); Long, </w:t>
      </w:r>
      <w:r>
        <w:rPr>
          <w:i/>
          <w:iCs/>
        </w:rPr>
        <w:t xml:space="preserve">Proprietary Rights and Why Initial Allocations Matter, </w:t>
      </w:r>
      <w:r>
        <w:t>49 Emory L.J. 823, 823-4 (2000).</w:t>
      </w:r>
    </w:p>
  </w:footnote>
  <w:footnote w:id="60">
    <w:p w14:paraId="5B735553" w14:textId="77777777" w:rsidR="00692C6C" w:rsidRDefault="005D68E6">
      <w:pPr>
        <w:pStyle w:val="FootnoteText"/>
      </w:pPr>
      <w:r>
        <w:rPr>
          <w:rStyle w:val="FootnoteReference"/>
        </w:rPr>
        <w:footnoteRef/>
      </w:r>
      <w:r>
        <w:t xml:space="preserve"> Maxam and Gilbert, </w:t>
      </w:r>
      <w:r>
        <w:rPr>
          <w:i/>
          <w:iCs/>
        </w:rPr>
        <w:t>A New Method for Sequencing DNA</w:t>
      </w:r>
      <w:r>
        <w:t xml:space="preserve">, 74 Proc. Nat’l Acad. Sci. 560 (1977); Sanger et. al., </w:t>
      </w:r>
      <w:r>
        <w:rPr>
          <w:i/>
          <w:iCs/>
        </w:rPr>
        <w:t>DNA Sequencing With Chain-Terminating Inhibitors</w:t>
      </w:r>
      <w:r>
        <w:t>, 74 Proc. Nat’l. Acad. Sci. 5463 (1977).</w:t>
      </w:r>
    </w:p>
  </w:footnote>
  <w:footnote w:id="61">
    <w:p w14:paraId="729D3B66" w14:textId="77777777" w:rsidR="00692C6C" w:rsidRDefault="005D68E6">
      <w:pPr>
        <w:pStyle w:val="FootnoteText"/>
      </w:pPr>
      <w:r>
        <w:rPr>
          <w:rStyle w:val="FootnoteReference"/>
        </w:rPr>
        <w:footnoteRef/>
      </w:r>
      <w:r>
        <w:t xml:space="preserve"> Cohen, et. al., </w:t>
      </w:r>
      <w:r>
        <w:rPr>
          <w:i/>
          <w:iCs/>
        </w:rPr>
        <w:t>Process for Producing Biologically Functional Molecular Chimeras</w:t>
      </w:r>
      <w:r>
        <w:t>, U.S. Patent No. 4,237,224 (Dec. 2, 1980)</w:t>
      </w:r>
    </w:p>
  </w:footnote>
  <w:footnote w:id="62">
    <w:p w14:paraId="14FCA7A0" w14:textId="77777777" w:rsidR="00692C6C" w:rsidRDefault="005D68E6">
      <w:pPr>
        <w:pStyle w:val="FootnoteText"/>
      </w:pPr>
      <w:r>
        <w:rPr>
          <w:rStyle w:val="FootnoteReference"/>
        </w:rPr>
        <w:footnoteRef/>
      </w:r>
      <w:r>
        <w:t xml:space="preserve"> </w:t>
      </w:r>
      <w:r>
        <w:t xml:space="preserve">Ducor, </w:t>
      </w:r>
      <w:r>
        <w:rPr>
          <w:i/>
          <w:iCs/>
        </w:rPr>
        <w:t xml:space="preserve">Are Patents and Research </w:t>
      </w:r>
      <w:r>
        <w:rPr>
          <w:i/>
          <w:iCs/>
        </w:rPr>
        <w:t>Compatible?</w:t>
      </w:r>
      <w:r w:rsidR="0089511C">
        <w:t>, 387 Nature 13 (1997a</w:t>
      </w:r>
    </w:p>
  </w:footnote>
  <w:footnote w:id="63">
    <w:p w14:paraId="3BB76A6F" w14:textId="77777777" w:rsidR="00692C6C" w:rsidRDefault="005D68E6">
      <w:pPr>
        <w:pStyle w:val="FootnoteText"/>
      </w:pPr>
      <w:r>
        <w:rPr>
          <w:rStyle w:val="FootnoteReference"/>
        </w:rPr>
        <w:footnoteRef/>
      </w:r>
      <w:r>
        <w:t xml:space="preserve"> </w:t>
      </w:r>
      <w:r>
        <w:rPr>
          <w:i/>
          <w:iCs/>
        </w:rPr>
        <w:t>See,</w:t>
      </w:r>
      <w:r>
        <w:t xml:space="preserve">Long, </w:t>
      </w:r>
      <w:r>
        <w:rPr>
          <w:i/>
          <w:iCs/>
        </w:rPr>
        <w:t>supra,</w:t>
      </w:r>
      <w:r>
        <w:t xml:space="preserve"> note 59 at 824.</w:t>
      </w:r>
    </w:p>
  </w:footnote>
  <w:footnote w:id="64">
    <w:p w14:paraId="067AFED7" w14:textId="77777777" w:rsidR="00692C6C" w:rsidRDefault="005D68E6">
      <w:pPr>
        <w:pStyle w:val="FootnoteText"/>
      </w:pPr>
      <w:r>
        <w:rPr>
          <w:rStyle w:val="FootnoteReference"/>
        </w:rPr>
        <w:footnoteRef/>
      </w:r>
      <w:r>
        <w:t xml:space="preserve"> Henderson, et. al., </w:t>
      </w:r>
      <w:r>
        <w:rPr>
          <w:i/>
          <w:iCs/>
        </w:rPr>
        <w:t>Universities as a Source of Commercial Technology:  A Detailed Analysis of University Patenting, 1965-1988</w:t>
      </w:r>
      <w:r>
        <w:t>, Nat’l Bureau of Econ. Research Working Paper No. 5068 (1995).</w:t>
      </w:r>
    </w:p>
  </w:footnote>
  <w:footnote w:id="65">
    <w:p w14:paraId="378F41C4" w14:textId="77777777" w:rsidR="00692C6C" w:rsidRDefault="005D68E6">
      <w:pPr>
        <w:pStyle w:val="FootnoteText"/>
      </w:pPr>
      <w:r>
        <w:rPr>
          <w:rStyle w:val="FootnoteReference"/>
        </w:rPr>
        <w:footnoteRef/>
      </w:r>
      <w:r>
        <w:t xml:space="preserve"> </w:t>
      </w:r>
      <w:r>
        <w:rPr>
          <w:i/>
          <w:iCs/>
        </w:rPr>
        <w:t>See, e.g.</w:t>
      </w:r>
      <w:r>
        <w:t xml:space="preserve">, Mullis, et. al., </w:t>
      </w:r>
      <w:r>
        <w:rPr>
          <w:i/>
          <w:iCs/>
        </w:rPr>
        <w:t xml:space="preserve">System for Automated Performance of the </w:t>
      </w:r>
      <w:r>
        <w:rPr>
          <w:i/>
          <w:iCs/>
        </w:rPr>
        <w:t>PolymeraseChain Reaction</w:t>
      </w:r>
      <w:r>
        <w:t xml:space="preserve">, U.S. Patent No. 5, 656,493 (August 12, 1997)(allows rapid replication of DNA); Rai, </w:t>
      </w:r>
      <w:r>
        <w:rPr>
          <w:i/>
          <w:iCs/>
        </w:rPr>
        <w:t>Regulating Scientific Research:  Intellectual Property and the Norms of Science</w:t>
      </w:r>
      <w:r>
        <w:t>, 94 Nw. U. L. Rev. 123 (1999)(some patented inventions will require much more basic research to realize any commercial potential)</w:t>
      </w:r>
      <w:r>
        <w:rPr>
          <w:i/>
          <w:iCs/>
        </w:rPr>
        <w:t xml:space="preserve"> </w:t>
      </w:r>
    </w:p>
  </w:footnote>
  <w:footnote w:id="66">
    <w:p w14:paraId="0DDAD6DF" w14:textId="77777777" w:rsidR="00692C6C" w:rsidRDefault="005D68E6">
      <w:pPr>
        <w:pStyle w:val="FootnoteText"/>
      </w:pPr>
      <w:r>
        <w:rPr>
          <w:rStyle w:val="FootnoteReference"/>
        </w:rPr>
        <w:footnoteRef/>
      </w:r>
      <w:r>
        <w:t xml:space="preserve"> Long, </w:t>
      </w:r>
      <w:r>
        <w:rPr>
          <w:i/>
          <w:iCs/>
        </w:rPr>
        <w:t>supra</w:t>
      </w:r>
      <w:r>
        <w:t>, note 59, at 824-5.</w:t>
      </w:r>
    </w:p>
  </w:footnote>
  <w:footnote w:id="67">
    <w:p w14:paraId="1F71D43F" w14:textId="77777777" w:rsidR="00692C6C" w:rsidRDefault="005D68E6">
      <w:pPr>
        <w:pStyle w:val="FootnoteText"/>
      </w:pPr>
      <w:r>
        <w:rPr>
          <w:rStyle w:val="FootnoteReference"/>
        </w:rPr>
        <w:footnoteRef/>
      </w:r>
      <w:r>
        <w:t xml:space="preserve"> </w:t>
      </w:r>
      <w:r>
        <w:rPr>
          <w:i/>
          <w:iCs/>
        </w:rPr>
        <w:t>See</w:t>
      </w:r>
      <w:r>
        <w:t xml:space="preserve"> Federal Courts Improvement Act of 1982, Pub. L. No. 97-164, 96 Stat. 25, 1982; </w:t>
      </w:r>
      <w:r>
        <w:t xml:space="preserve">Dreyfuss, </w:t>
      </w:r>
      <w:r>
        <w:rPr>
          <w:i/>
          <w:iCs/>
        </w:rPr>
        <w:t>The Federal Circuit:  A Case Study in Specialized Courts</w:t>
      </w:r>
      <w:r>
        <w:t xml:space="preserve">, 64 N.Y.U. L. Rev. 1 (1989); Kastriner, </w:t>
      </w:r>
      <w:r>
        <w:rPr>
          <w:i/>
          <w:iCs/>
        </w:rPr>
        <w:t>The Revival of Confidence in the Patent System</w:t>
      </w:r>
      <w:r>
        <w:t>, 73 J. Pat. &amp; Trademark Off. Soc’y 5 (1991); Funk Bros. Seed Co. v. Kalo Inoculant Co., 333 U.S. 127 (1948)(living subject matter is a product of nature and not patentable); the Bayh-Dole Act, 35 U.S.C. 200-11 (1994) and the Stevenson-Wydler Technology Innovation Act, 15 U.S.C. 3701-14 (1998)(two statutes that encourage patenting of government sponsored research)</w:t>
      </w:r>
    </w:p>
  </w:footnote>
  <w:footnote w:id="68">
    <w:p w14:paraId="6CE8474E" w14:textId="77777777" w:rsidR="00692C6C" w:rsidRDefault="005D68E6">
      <w:pPr>
        <w:pStyle w:val="FootnoteText"/>
      </w:pPr>
      <w:r>
        <w:rPr>
          <w:rStyle w:val="FootnoteReference"/>
        </w:rPr>
        <w:footnoteRef/>
      </w:r>
      <w:r>
        <w:t xml:space="preserve"> Long, </w:t>
      </w:r>
      <w:r>
        <w:rPr>
          <w:i/>
          <w:iCs/>
        </w:rPr>
        <w:t>supra</w:t>
      </w:r>
      <w:r>
        <w:t xml:space="preserve">  note 59, at 825.</w:t>
      </w:r>
    </w:p>
  </w:footnote>
  <w:footnote w:id="69">
    <w:p w14:paraId="2604740C" w14:textId="77777777" w:rsidR="00692C6C" w:rsidRDefault="005D68E6">
      <w:pPr>
        <w:pStyle w:val="FootnoteText"/>
      </w:pPr>
      <w:r>
        <w:rPr>
          <w:rStyle w:val="FootnoteReference"/>
        </w:rPr>
        <w:footnoteRef/>
      </w:r>
      <w:r>
        <w:t xml:space="preserve"> 35 U.S.C. 102 (1994).</w:t>
      </w:r>
    </w:p>
  </w:footnote>
  <w:footnote w:id="70">
    <w:p w14:paraId="13E4BBD1" w14:textId="77777777" w:rsidR="00692C6C" w:rsidRDefault="005D68E6">
      <w:pPr>
        <w:pStyle w:val="FootnoteText"/>
      </w:pPr>
      <w:r>
        <w:rPr>
          <w:rStyle w:val="FootnoteReference"/>
        </w:rPr>
        <w:footnoteRef/>
      </w:r>
      <w:r>
        <w:t xml:space="preserve"> </w:t>
      </w:r>
      <w:r>
        <w:rPr>
          <w:i/>
          <w:iCs/>
        </w:rPr>
        <w:t>See</w:t>
      </w:r>
      <w:r>
        <w:t xml:space="preserve"> Chisum, </w:t>
      </w:r>
      <w:r>
        <w:rPr>
          <w:i/>
          <w:iCs/>
        </w:rPr>
        <w:t>The Harmonization of International Patent Law</w:t>
      </w:r>
      <w:r>
        <w:t>, 26 J. Marshall L. Rev. 437, 449 (1993).</w:t>
      </w:r>
      <w:r>
        <w:rPr>
          <w:i/>
          <w:iCs/>
        </w:rPr>
        <w:t xml:space="preserve"> </w:t>
      </w:r>
    </w:p>
  </w:footnote>
  <w:footnote w:id="71">
    <w:p w14:paraId="4905F108" w14:textId="77777777" w:rsidR="00692C6C" w:rsidRDefault="005D68E6">
      <w:pPr>
        <w:pStyle w:val="FootnoteText"/>
      </w:pPr>
      <w:r>
        <w:rPr>
          <w:rStyle w:val="FootnoteReference"/>
        </w:rPr>
        <w:footnoteRef/>
      </w:r>
      <w:r>
        <w:t xml:space="preserve"> </w:t>
      </w:r>
      <w:r>
        <w:rPr>
          <w:i/>
          <w:iCs/>
        </w:rPr>
        <w:t>Id.</w:t>
      </w:r>
    </w:p>
  </w:footnote>
  <w:footnote w:id="72">
    <w:p w14:paraId="03FC8AEA" w14:textId="77777777" w:rsidR="00692C6C" w:rsidRDefault="005D68E6">
      <w:pPr>
        <w:pStyle w:val="FootnoteText"/>
      </w:pPr>
      <w:r>
        <w:rPr>
          <w:rStyle w:val="FootnoteReference"/>
        </w:rPr>
        <w:footnoteRef/>
      </w:r>
      <w:r>
        <w:t xml:space="preserve"> Yi Li, et. al., </w:t>
      </w:r>
      <w:r>
        <w:rPr>
          <w:i/>
          <w:iCs/>
        </w:rPr>
        <w:t xml:space="preserve">Polynucleotides Encoding Human G-Protein </w:t>
      </w:r>
      <w:r>
        <w:rPr>
          <w:i/>
          <w:iCs/>
        </w:rPr>
        <w:t>Chemoki ne ReceptorHDGN</w:t>
      </w:r>
      <w:r>
        <w:t>, U.S. Patent No. 6,025,154 (Feb. 15, 2000).</w:t>
      </w:r>
    </w:p>
  </w:footnote>
  <w:footnote w:id="73">
    <w:p w14:paraId="0A69DFAB" w14:textId="77777777" w:rsidR="00692C6C" w:rsidRDefault="005D68E6">
      <w:pPr>
        <w:pStyle w:val="FootnoteText"/>
      </w:pPr>
      <w:r>
        <w:rPr>
          <w:rStyle w:val="FootnoteReference"/>
        </w:rPr>
        <w:footnoteRef/>
      </w:r>
      <w:r>
        <w:t xml:space="preserve"> Michael, et. al., </w:t>
      </w:r>
      <w:r>
        <w:rPr>
          <w:i/>
          <w:iCs/>
        </w:rPr>
        <w:t>The Role of CCR5 and CCR2 Polymorphisms in HIV-1 Transmission and Disease Progression</w:t>
      </w:r>
      <w:r>
        <w:t xml:space="preserve">, 3 Nat. Med. 1160 (1997); Smith, et. al., </w:t>
      </w:r>
      <w:r>
        <w:rPr>
          <w:i/>
          <w:iCs/>
        </w:rPr>
        <w:t>Contrasting Genetic Influence of CCR2 and CCR5Variants on HIV-1 Infection and Disease Progression</w:t>
      </w:r>
      <w:r>
        <w:t>, 277 Science 959 (1997)</w:t>
      </w:r>
    </w:p>
  </w:footnote>
  <w:footnote w:id="74">
    <w:p w14:paraId="1AB6607D" w14:textId="77777777" w:rsidR="00692C6C" w:rsidRDefault="005D68E6">
      <w:pPr>
        <w:pStyle w:val="FootnoteText"/>
      </w:pPr>
      <w:r>
        <w:rPr>
          <w:rStyle w:val="FootnoteReference"/>
        </w:rPr>
        <w:footnoteRef/>
      </w:r>
      <w:r>
        <w:t xml:space="preserve"> Human Genome Sciences Inc., Press Release, </w:t>
      </w:r>
      <w:r>
        <w:rPr>
          <w:i/>
          <w:iCs/>
        </w:rPr>
        <w:t>Human Genome Sciences Receives Patent on AIDS Virus Entry Point</w:t>
      </w:r>
      <w:r>
        <w:t>, http://www.hgsi.com.news/press/00-12-16,&lt;uscore&gt;CCR5.html (February 16, 2000).</w:t>
      </w:r>
    </w:p>
  </w:footnote>
  <w:footnote w:id="75">
    <w:p w14:paraId="61A06C2E" w14:textId="77777777" w:rsidR="00692C6C" w:rsidRDefault="005D68E6">
      <w:pPr>
        <w:pStyle w:val="FootnoteText"/>
      </w:pPr>
      <w:r>
        <w:rPr>
          <w:rStyle w:val="FootnoteReference"/>
        </w:rPr>
        <w:footnoteRef/>
      </w:r>
      <w:r>
        <w:t xml:space="preserve"> Long, </w:t>
      </w:r>
      <w:r>
        <w:rPr>
          <w:i/>
          <w:iCs/>
        </w:rPr>
        <w:t>supra</w:t>
      </w:r>
      <w:r>
        <w:t xml:space="preserve"> note 59, at 827.</w:t>
      </w:r>
    </w:p>
  </w:footnote>
  <w:footnote w:id="76">
    <w:p w14:paraId="62631992" w14:textId="77777777" w:rsidR="00692C6C" w:rsidRDefault="005D68E6">
      <w:pPr>
        <w:pStyle w:val="FootnoteText"/>
      </w:pPr>
      <w:r>
        <w:rPr>
          <w:rStyle w:val="FootnoteReference"/>
        </w:rPr>
        <w:footnoteRef/>
      </w:r>
      <w:r>
        <w:t xml:space="preserve"> </w:t>
      </w:r>
      <w:r>
        <w:rPr>
          <w:i/>
          <w:iCs/>
        </w:rPr>
        <w:t>Id.</w:t>
      </w:r>
    </w:p>
  </w:footnote>
  <w:footnote w:id="77">
    <w:p w14:paraId="0ED8CF5B" w14:textId="77777777" w:rsidR="00692C6C" w:rsidRDefault="005D68E6">
      <w:pPr>
        <w:pStyle w:val="FootnoteText"/>
      </w:pPr>
      <w:r>
        <w:rPr>
          <w:rStyle w:val="FootnoteReference"/>
        </w:rPr>
        <w:footnoteRef/>
      </w:r>
      <w:r>
        <w:t xml:space="preserve"> Coase, </w:t>
      </w:r>
      <w:r>
        <w:rPr>
          <w:i/>
          <w:iCs/>
        </w:rPr>
        <w:t>The Problem of Social Cost</w:t>
      </w:r>
      <w:r>
        <w:t xml:space="preserve">, 3 J.L. &amp; Econ. 1 (1960); Cooter, </w:t>
      </w:r>
      <w:r>
        <w:rPr>
          <w:i/>
          <w:iCs/>
        </w:rPr>
        <w:t>Coase Theorem</w:t>
      </w:r>
      <w:r>
        <w:t xml:space="preserve">, 1 The </w:t>
      </w:r>
      <w:r w:rsidR="00FA2CD6">
        <w:t xml:space="preserve">New Palgrave:  A Dictionary of </w:t>
      </w:r>
      <w:r>
        <w:t>Economics 457 (1987).</w:t>
      </w:r>
    </w:p>
  </w:footnote>
  <w:footnote w:id="78">
    <w:p w14:paraId="2E979D51" w14:textId="77777777" w:rsidR="00692C6C" w:rsidRDefault="005D68E6">
      <w:pPr>
        <w:pStyle w:val="FootnoteText"/>
      </w:pPr>
      <w:r>
        <w:rPr>
          <w:rStyle w:val="FootnoteReference"/>
        </w:rPr>
        <w:footnoteRef/>
      </w:r>
      <w:r>
        <w:t xml:space="preserve"> </w:t>
      </w:r>
      <w:r>
        <w:rPr>
          <w:i/>
          <w:iCs/>
        </w:rPr>
        <w:t>Id.</w:t>
      </w:r>
      <w:r>
        <w:t xml:space="preserve"> at 15.</w:t>
      </w:r>
    </w:p>
  </w:footnote>
  <w:footnote w:id="79">
    <w:p w14:paraId="097AFC4E" w14:textId="77777777" w:rsidR="00692C6C" w:rsidRDefault="005D68E6">
      <w:pPr>
        <w:pStyle w:val="FootnoteText"/>
      </w:pPr>
      <w:r>
        <w:rPr>
          <w:rStyle w:val="FootnoteReference"/>
        </w:rPr>
        <w:footnoteRef/>
      </w:r>
      <w:r>
        <w:t xml:space="preserve"> </w:t>
      </w:r>
      <w:r>
        <w:rPr>
          <w:i/>
          <w:iCs/>
        </w:rPr>
        <w:t>Id.</w:t>
      </w:r>
    </w:p>
  </w:footnote>
  <w:footnote w:id="80">
    <w:p w14:paraId="4E2DE193" w14:textId="77777777" w:rsidR="00692C6C" w:rsidRDefault="005D68E6">
      <w:r>
        <w:rPr>
          <w:rStyle w:val="FootnoteReference"/>
        </w:rPr>
        <w:footnoteRef/>
      </w:r>
      <w:r>
        <w:t xml:space="preserve"> </w:t>
      </w:r>
      <w:r>
        <w:t xml:space="preserve">Calabresi and Melamed, </w:t>
      </w:r>
      <w:r>
        <w:rPr>
          <w:i/>
          <w:iCs/>
        </w:rPr>
        <w:t>Property Rules, Liability Rules and Inalienability: One View of the Cathedral</w:t>
      </w:r>
      <w:r>
        <w:t>, 85 Harv. L. Rev. 1089, 1094-95 (1972</w:t>
      </w:r>
      <w:r>
        <w:t>)..</w:t>
      </w:r>
    </w:p>
  </w:footnote>
  <w:footnote w:id="81">
    <w:p w14:paraId="5133A8CE" w14:textId="77777777" w:rsidR="00692C6C" w:rsidRDefault="005D68E6">
      <w:r>
        <w:rPr>
          <w:rStyle w:val="FootnoteReference"/>
        </w:rPr>
        <w:footnoteRef/>
      </w:r>
      <w:r>
        <w:t xml:space="preserve"> </w:t>
      </w:r>
      <w:r>
        <w:rPr>
          <w:i/>
          <w:iCs/>
        </w:rPr>
        <w:t>See</w:t>
      </w:r>
      <w:r>
        <w:t xml:space="preserve"> </w:t>
      </w:r>
      <w:r>
        <w:t xml:space="preserve">Eggertsson, </w:t>
      </w:r>
      <w:r>
        <w:rPr>
          <w:i/>
          <w:iCs/>
        </w:rPr>
        <w:t>Economic Behavior and Institutions,</w:t>
      </w:r>
      <w:r>
        <w:t xml:space="preserve"> 105 (1990).</w:t>
      </w:r>
    </w:p>
  </w:footnote>
  <w:footnote w:id="82">
    <w:p w14:paraId="45DFCFF6" w14:textId="77777777" w:rsidR="00692C6C" w:rsidRDefault="005D68E6">
      <w:pPr>
        <w:pStyle w:val="FootnoteText"/>
      </w:pPr>
      <w:r>
        <w:rPr>
          <w:rStyle w:val="FootnoteReference"/>
        </w:rPr>
        <w:footnoteRef/>
      </w:r>
      <w:r>
        <w:t xml:space="preserve"> Long, </w:t>
      </w:r>
      <w:r>
        <w:rPr>
          <w:i/>
          <w:iCs/>
        </w:rPr>
        <w:t>supra</w:t>
      </w:r>
      <w:r>
        <w:t xml:space="preserve"> note 59, at 827-8.</w:t>
      </w:r>
    </w:p>
  </w:footnote>
  <w:footnote w:id="83">
    <w:p w14:paraId="3639E423" w14:textId="77777777" w:rsidR="00692C6C" w:rsidRDefault="005D68E6">
      <w:pPr>
        <w:pStyle w:val="FootnoteText"/>
      </w:pPr>
      <w:r>
        <w:rPr>
          <w:rStyle w:val="FootnoteReference"/>
        </w:rPr>
        <w:footnoteRef/>
      </w:r>
      <w:r>
        <w:t xml:space="preserve"> </w:t>
      </w:r>
      <w:r>
        <w:rPr>
          <w:i/>
          <w:iCs/>
        </w:rPr>
        <w:t>Id.</w:t>
      </w:r>
      <w:r>
        <w:t xml:space="preserve"> at 827-8.</w:t>
      </w:r>
    </w:p>
  </w:footnote>
  <w:footnote w:id="84">
    <w:p w14:paraId="65F1EF66" w14:textId="77777777" w:rsidR="00692C6C" w:rsidRDefault="005D68E6">
      <w:r>
        <w:rPr>
          <w:rStyle w:val="FootnoteReference"/>
        </w:rPr>
        <w:footnoteRef/>
      </w:r>
      <w:r>
        <w:t xml:space="preserve"> </w:t>
      </w:r>
      <w:r>
        <w:rPr>
          <w:i/>
          <w:iCs/>
        </w:rPr>
        <w:t>See</w:t>
      </w:r>
      <w:r>
        <w:t xml:space="preserve"> 35 U.S.C. 122 (1994), amended by 35 U.S.C.A. 122(a) (West Supp. 2000).</w:t>
      </w:r>
    </w:p>
  </w:footnote>
  <w:footnote w:id="85">
    <w:p w14:paraId="0D7A1059" w14:textId="77777777" w:rsidR="00692C6C" w:rsidRDefault="005D68E6">
      <w:pPr>
        <w:pStyle w:val="FootnoteText"/>
      </w:pPr>
      <w:r>
        <w:rPr>
          <w:rStyle w:val="FootnoteReference"/>
        </w:rPr>
        <w:footnoteRef/>
      </w:r>
      <w:r>
        <w:t xml:space="preserve"> Long, </w:t>
      </w:r>
      <w:r>
        <w:rPr>
          <w:i/>
          <w:iCs/>
        </w:rPr>
        <w:t>supra</w:t>
      </w:r>
      <w:r>
        <w:t xml:space="preserve"> note 59, at 828.</w:t>
      </w:r>
    </w:p>
  </w:footnote>
  <w:footnote w:id="86">
    <w:p w14:paraId="1ED1D637" w14:textId="77777777" w:rsidR="00692C6C" w:rsidRDefault="005D68E6">
      <w:r>
        <w:rPr>
          <w:rStyle w:val="FootnoteReference"/>
        </w:rPr>
        <w:footnoteRef/>
      </w:r>
      <w:r>
        <w:t xml:space="preserve"> </w:t>
      </w:r>
      <w:r>
        <w:rPr>
          <w:i/>
          <w:iCs/>
        </w:rPr>
        <w:t>See</w:t>
      </w:r>
      <w:r>
        <w:t xml:space="preserve"> Nat'l Research Council, Intellectual Property Rights and Research Tools in Molecular Biology 57 (1997); Report of the National Institutes of Health (NIH) Working Group on Re</w:t>
      </w:r>
      <w:r w:rsidR="00FF492D">
        <w:t>search Tools, p</w:t>
      </w:r>
      <w:r>
        <w:t>resented to the Advisory Committee to the Director, June 4, 1998 (visited June 28, 2002)</w:t>
      </w:r>
      <w:r>
        <w:br/>
        <w:t>&lt;http://www.nih.gov./news/researchtools/index.htm&gt; ("Report").</w:t>
      </w:r>
    </w:p>
  </w:footnote>
  <w:footnote w:id="87">
    <w:p w14:paraId="7313B213" w14:textId="77777777" w:rsidR="00692C6C" w:rsidRDefault="005D68E6">
      <w:pPr>
        <w:pStyle w:val="FootnoteText"/>
      </w:pPr>
      <w:r>
        <w:rPr>
          <w:rStyle w:val="FootnoteReference"/>
        </w:rPr>
        <w:footnoteRef/>
      </w:r>
      <w:r>
        <w:t xml:space="preserve"> Long, </w:t>
      </w:r>
      <w:r>
        <w:rPr>
          <w:i/>
          <w:iCs/>
        </w:rPr>
        <w:t>supra</w:t>
      </w:r>
      <w:r>
        <w:t xml:space="preserve"> note 59, at 828.</w:t>
      </w:r>
    </w:p>
  </w:footnote>
  <w:footnote w:id="88">
    <w:p w14:paraId="55A388A6" w14:textId="77777777" w:rsidR="00692C6C" w:rsidRDefault="005D68E6">
      <w:pPr>
        <w:pStyle w:val="FootnoteText"/>
      </w:pPr>
      <w:r>
        <w:rPr>
          <w:rStyle w:val="FootnoteReference"/>
        </w:rPr>
        <w:footnoteRef/>
      </w:r>
      <w:r>
        <w:t xml:space="preserve"> </w:t>
      </w:r>
      <w:r>
        <w:rPr>
          <w:i/>
          <w:iCs/>
        </w:rPr>
        <w:t>Id.</w:t>
      </w:r>
    </w:p>
  </w:footnote>
  <w:footnote w:id="89">
    <w:p w14:paraId="7DBE2AFB" w14:textId="77777777" w:rsidR="00692C6C" w:rsidRDefault="005D68E6">
      <w:r>
        <w:rPr>
          <w:rStyle w:val="FootnoteReference"/>
        </w:rPr>
        <w:footnoteRef/>
      </w:r>
      <w:r>
        <w:t xml:space="preserve"> </w:t>
      </w:r>
      <w:r>
        <w:t xml:space="preserve">Report, </w:t>
      </w:r>
      <w:r>
        <w:rPr>
          <w:i/>
          <w:iCs/>
        </w:rPr>
        <w:t>supra</w:t>
      </w:r>
      <w:r>
        <w:t xml:space="preserve"> note 86.</w:t>
      </w:r>
    </w:p>
  </w:footnote>
  <w:footnote w:id="90">
    <w:p w14:paraId="0383E7DB" w14:textId="77777777" w:rsidR="00692C6C" w:rsidRDefault="005D68E6">
      <w:pPr>
        <w:pStyle w:val="FootnoteText"/>
      </w:pPr>
      <w:r>
        <w:rPr>
          <w:rStyle w:val="FootnoteReference"/>
        </w:rPr>
        <w:footnoteRef/>
      </w:r>
      <w:r>
        <w:t xml:space="preserve"> </w:t>
      </w:r>
      <w:r>
        <w:rPr>
          <w:i/>
          <w:iCs/>
        </w:rPr>
        <w:t>Id.</w:t>
      </w:r>
    </w:p>
  </w:footnote>
  <w:footnote w:id="91">
    <w:p w14:paraId="76627C05" w14:textId="77777777" w:rsidR="00692C6C" w:rsidRDefault="005D68E6">
      <w:r>
        <w:rPr>
          <w:rStyle w:val="FootnoteReference"/>
        </w:rPr>
        <w:footnoteRef/>
      </w:r>
      <w:r>
        <w:t xml:space="preserve"> </w:t>
      </w:r>
      <w:r>
        <w:rPr>
          <w:i/>
          <w:iCs/>
        </w:rPr>
        <w:t>See</w:t>
      </w:r>
      <w:r>
        <w:t xml:space="preserve"> Heller &amp; Eisenberg, </w:t>
      </w:r>
      <w:r>
        <w:rPr>
          <w:i/>
          <w:iCs/>
        </w:rPr>
        <w:t>Can Patents Deter Innovation?</w:t>
      </w:r>
      <w:r>
        <w:t xml:space="preserve"> </w:t>
      </w:r>
      <w:r>
        <w:rPr>
          <w:i/>
          <w:iCs/>
        </w:rPr>
        <w:t xml:space="preserve">The </w:t>
      </w:r>
      <w:r>
        <w:rPr>
          <w:i/>
          <w:iCs/>
        </w:rPr>
        <w:t>Anticommons in Biomedical Research</w:t>
      </w:r>
      <w:r>
        <w:t>, 280 Science 698, 699 (1998).</w:t>
      </w:r>
    </w:p>
  </w:footnote>
  <w:footnote w:id="92">
    <w:p w14:paraId="3B3CC640" w14:textId="77777777" w:rsidR="00692C6C" w:rsidRDefault="005D68E6">
      <w:pPr>
        <w:pStyle w:val="FootnoteText"/>
      </w:pPr>
      <w:r>
        <w:rPr>
          <w:rStyle w:val="FootnoteReference"/>
        </w:rPr>
        <w:footnoteRef/>
      </w:r>
      <w:r>
        <w:t xml:space="preserve"> </w:t>
      </w:r>
      <w:r>
        <w:rPr>
          <w:i/>
          <w:iCs/>
        </w:rPr>
        <w:t>Id.</w:t>
      </w:r>
    </w:p>
  </w:footnote>
  <w:footnote w:id="93">
    <w:p w14:paraId="258E5799" w14:textId="77777777" w:rsidR="00692C6C" w:rsidRDefault="005D68E6">
      <w:pPr>
        <w:pStyle w:val="FootnoteText"/>
      </w:pPr>
      <w:r>
        <w:rPr>
          <w:rStyle w:val="FootnoteReference"/>
        </w:rPr>
        <w:footnoteRef/>
      </w:r>
      <w:r>
        <w:t xml:space="preserve"> </w:t>
      </w:r>
      <w:r>
        <w:rPr>
          <w:i/>
          <w:iCs/>
        </w:rPr>
        <w:t>Id.</w:t>
      </w:r>
    </w:p>
  </w:footnote>
  <w:footnote w:id="94">
    <w:p w14:paraId="60C353F5" w14:textId="77777777" w:rsidR="00692C6C" w:rsidRDefault="005D68E6">
      <w:r>
        <w:rPr>
          <w:rStyle w:val="FootnoteReference"/>
        </w:rPr>
        <w:footnoteRef/>
      </w:r>
      <w:r>
        <w:t xml:space="preserve"> </w:t>
      </w:r>
      <w:r>
        <w:rPr>
          <w:i/>
          <w:iCs/>
        </w:rPr>
        <w:t>Id.</w:t>
      </w:r>
      <w:r>
        <w:t xml:space="preserve"> at 698-99.</w:t>
      </w:r>
    </w:p>
  </w:footnote>
  <w:footnote w:id="95">
    <w:p w14:paraId="4078D3DE" w14:textId="77777777" w:rsidR="00692C6C" w:rsidRDefault="005D68E6">
      <w:r>
        <w:rPr>
          <w:rStyle w:val="FootnoteReference"/>
        </w:rPr>
        <w:footnoteRef/>
      </w:r>
      <w:r>
        <w:t xml:space="preserve"> Merges, </w:t>
      </w:r>
      <w:r>
        <w:rPr>
          <w:i/>
          <w:iCs/>
        </w:rPr>
        <w:t>Contracting Into Liability Rules: Intellectual Property Rights and Collective Rights Organizations</w:t>
      </w:r>
      <w:r>
        <w:t>, 84 Calif. L. Rev. 1293, 1294 (1996).</w:t>
      </w:r>
    </w:p>
  </w:footnote>
  <w:footnote w:id="96">
    <w:p w14:paraId="7664BAC5" w14:textId="77777777" w:rsidR="00692C6C" w:rsidRDefault="005D68E6">
      <w:pPr>
        <w:pStyle w:val="FootnoteText"/>
      </w:pPr>
      <w:r>
        <w:rPr>
          <w:rStyle w:val="FootnoteReference"/>
        </w:rPr>
        <w:footnoteRef/>
      </w:r>
      <w:r>
        <w:t xml:space="preserve"> </w:t>
      </w:r>
      <w:r>
        <w:rPr>
          <w:i/>
          <w:iCs/>
        </w:rPr>
        <w:t>Id.</w:t>
      </w:r>
    </w:p>
  </w:footnote>
  <w:footnote w:id="97">
    <w:p w14:paraId="115E1094" w14:textId="77777777" w:rsidR="00692C6C" w:rsidRDefault="005D68E6">
      <w:r>
        <w:rPr>
          <w:rStyle w:val="FootnoteReference"/>
        </w:rPr>
        <w:footnoteRef/>
      </w:r>
      <w:r>
        <w:t xml:space="preserve"> </w:t>
      </w:r>
      <w:r>
        <w:t xml:space="preserve">Lanjouw, </w:t>
      </w:r>
      <w:r>
        <w:rPr>
          <w:i/>
          <w:iCs/>
        </w:rPr>
        <w:t>Economic Consequences of a Changing Litigation Environment: The Case of Patents</w:t>
      </w:r>
      <w:r>
        <w:t xml:space="preserve"> (National Bureau of Economic Research Working</w:t>
      </w:r>
      <w:r>
        <w:br/>
        <w:t>Paper No. 4835) (1994).</w:t>
      </w:r>
    </w:p>
  </w:footnote>
  <w:footnote w:id="98">
    <w:p w14:paraId="60AEBEBA" w14:textId="77777777" w:rsidR="00692C6C" w:rsidRDefault="005D68E6">
      <w:pPr>
        <w:pStyle w:val="FootnoteText"/>
      </w:pPr>
      <w:r>
        <w:rPr>
          <w:rStyle w:val="FootnoteReference"/>
        </w:rPr>
        <w:footnoteRef/>
      </w:r>
      <w:r>
        <w:t xml:space="preserve"> </w:t>
      </w:r>
      <w:r>
        <w:rPr>
          <w:i/>
          <w:iCs/>
        </w:rPr>
        <w:t>Id.</w:t>
      </w:r>
    </w:p>
  </w:footnote>
  <w:footnote w:id="99">
    <w:p w14:paraId="2AD7D1EB" w14:textId="77777777" w:rsidR="00692C6C" w:rsidRDefault="005D68E6">
      <w:r>
        <w:rPr>
          <w:rStyle w:val="FootnoteReference"/>
        </w:rPr>
        <w:footnoteRef/>
      </w:r>
      <w:r>
        <w:t xml:space="preserve"> Lerner, </w:t>
      </w:r>
      <w:r>
        <w:rPr>
          <w:i/>
          <w:iCs/>
        </w:rPr>
        <w:t>Patenting in the Shadow of Competitors</w:t>
      </w:r>
      <w:r>
        <w:t xml:space="preserve">, 38 J.L. &amp; Econ. 463, 470 (1995); </w:t>
      </w:r>
      <w:r>
        <w:rPr>
          <w:i/>
          <w:iCs/>
        </w:rPr>
        <w:t>see also</w:t>
      </w:r>
      <w:r>
        <w:t xml:space="preserve"> Bhagat et al., </w:t>
      </w:r>
      <w:r>
        <w:rPr>
          <w:i/>
          <w:iCs/>
        </w:rPr>
        <w:t>The Costs of Inefficient Bargaining and Financial Distress: Evidence from Corporate Lawsuits</w:t>
      </w:r>
      <w:r>
        <w:t>,</w:t>
      </w:r>
      <w:r>
        <w:br/>
        <w:t>35 J. Fin. Econ. 221 (1994)</w:t>
      </w:r>
    </w:p>
  </w:footnote>
  <w:footnote w:id="100">
    <w:p w14:paraId="349CF0E0" w14:textId="77777777" w:rsidR="00692C6C" w:rsidRDefault="005D68E6">
      <w:r>
        <w:rPr>
          <w:rStyle w:val="FootnoteReference"/>
        </w:rPr>
        <w:footnoteRef/>
      </w:r>
      <w:r>
        <w:t xml:space="preserve"> Underwater Devices, Inc. v. Morrison-Knudsen Co., 717 F.2d 1380, 1389 (Fed. Cir. 1983); s</w:t>
      </w:r>
      <w:r>
        <w:rPr>
          <w:i/>
          <w:iCs/>
        </w:rPr>
        <w:t>ee</w:t>
      </w:r>
      <w:r>
        <w:t xml:space="preserve"> 35 U.S.C. 284, 285 (1994).</w:t>
      </w:r>
    </w:p>
  </w:footnote>
  <w:footnote w:id="101">
    <w:p w14:paraId="03D18650" w14:textId="77777777" w:rsidR="00692C6C" w:rsidRDefault="001B1E04" w:rsidP="001B1E04">
      <w:pPr>
        <w:pStyle w:val="FootnoteText"/>
      </w:pPr>
      <w:r>
        <w:rPr>
          <w:rStyle w:val="FootnoteReference"/>
        </w:rPr>
        <w:footnoteRef/>
      </w:r>
      <w:r>
        <w:t xml:space="preserve"> </w:t>
      </w:r>
      <w:r>
        <w:rPr>
          <w:i/>
          <w:iCs/>
        </w:rPr>
        <w:t>Id.</w:t>
      </w:r>
    </w:p>
  </w:footnote>
  <w:footnote w:id="102">
    <w:p w14:paraId="181A62BD" w14:textId="77777777" w:rsidR="00692C6C" w:rsidRDefault="005D68E6">
      <w:r>
        <w:rPr>
          <w:rStyle w:val="FootnoteReference"/>
        </w:rPr>
        <w:footnoteRef/>
      </w:r>
      <w:r>
        <w:t xml:space="preserve"> Knight, </w:t>
      </w:r>
      <w:r>
        <w:rPr>
          <w:i/>
          <w:iCs/>
        </w:rPr>
        <w:t>Risk, Uncertainty and Profit</w:t>
      </w:r>
      <w:r>
        <w:t xml:space="preserve"> 197-263 (1921).</w:t>
      </w:r>
    </w:p>
  </w:footnote>
  <w:footnote w:id="103">
    <w:p w14:paraId="474A9E90" w14:textId="77777777" w:rsidR="00692C6C" w:rsidRDefault="005D68E6">
      <w:r>
        <w:rPr>
          <w:rStyle w:val="FootnoteReference"/>
        </w:rPr>
        <w:footnoteRef/>
      </w:r>
      <w:r>
        <w:t xml:space="preserve"> </w:t>
      </w:r>
      <w:r>
        <w:rPr>
          <w:i/>
          <w:iCs/>
        </w:rPr>
        <w:t>See</w:t>
      </w:r>
      <w:r>
        <w:t xml:space="preserve"> Long, </w:t>
      </w:r>
      <w:r>
        <w:rPr>
          <w:i/>
          <w:iCs/>
        </w:rPr>
        <w:t>Patents and Cumulative Innovation</w:t>
      </w:r>
      <w:r>
        <w:t xml:space="preserve">, 2 Wash. U. J. L. &amp; </w:t>
      </w:r>
      <w:r>
        <w:t>Pol'y 229 (2000).</w:t>
      </w:r>
    </w:p>
  </w:footnote>
  <w:footnote w:id="104">
    <w:p w14:paraId="14B1D31B" w14:textId="77777777" w:rsidR="00692C6C" w:rsidRDefault="005D68E6">
      <w:pPr>
        <w:pStyle w:val="FootnoteText"/>
      </w:pPr>
      <w:r>
        <w:rPr>
          <w:rStyle w:val="FootnoteReference"/>
        </w:rPr>
        <w:footnoteRef/>
      </w:r>
      <w:r>
        <w:t xml:space="preserve"> Long, </w:t>
      </w:r>
      <w:r>
        <w:rPr>
          <w:i/>
          <w:iCs/>
        </w:rPr>
        <w:t>supra</w:t>
      </w:r>
      <w:r>
        <w:t xml:space="preserve"> note 59, at 832.</w:t>
      </w:r>
    </w:p>
  </w:footnote>
  <w:footnote w:id="105">
    <w:p w14:paraId="04FC6FA8" w14:textId="77777777" w:rsidR="00692C6C" w:rsidRDefault="005D68E6">
      <w:pPr>
        <w:pStyle w:val="FootnoteText"/>
      </w:pPr>
      <w:r>
        <w:rPr>
          <w:rStyle w:val="FootnoteReference"/>
        </w:rPr>
        <w:footnoteRef/>
      </w:r>
      <w:r>
        <w:t xml:space="preserve"> </w:t>
      </w:r>
      <w:r>
        <w:rPr>
          <w:i/>
          <w:iCs/>
        </w:rPr>
        <w:t>Id.</w:t>
      </w:r>
      <w:r>
        <w:t xml:space="preserve"> at 833.</w:t>
      </w:r>
    </w:p>
  </w:footnote>
  <w:footnote w:id="106">
    <w:p w14:paraId="63542006" w14:textId="77777777" w:rsidR="00692C6C" w:rsidRDefault="005D68E6">
      <w:r>
        <w:rPr>
          <w:rStyle w:val="FootnoteReference"/>
        </w:rPr>
        <w:footnoteRef/>
      </w:r>
      <w:r>
        <w:t xml:space="preserve"> 35 U.S.C. 112 (1994).</w:t>
      </w:r>
    </w:p>
  </w:footnote>
  <w:footnote w:id="107">
    <w:p w14:paraId="2D5D7586" w14:textId="77777777" w:rsidR="00692C6C" w:rsidRDefault="005D68E6">
      <w:pPr>
        <w:pStyle w:val="FootnoteText"/>
      </w:pPr>
      <w:r>
        <w:rPr>
          <w:rStyle w:val="FootnoteReference"/>
        </w:rPr>
        <w:footnoteRef/>
      </w:r>
      <w:r>
        <w:t xml:space="preserve"> Long, </w:t>
      </w:r>
      <w:r>
        <w:rPr>
          <w:i/>
          <w:iCs/>
        </w:rPr>
        <w:t>supra</w:t>
      </w:r>
      <w:r>
        <w:t xml:space="preserve"> note 59, at 832.</w:t>
      </w:r>
    </w:p>
  </w:footnote>
  <w:footnote w:id="108">
    <w:p w14:paraId="75726C5E" w14:textId="77777777" w:rsidR="00692C6C" w:rsidRDefault="005D68E6">
      <w:pPr>
        <w:pStyle w:val="FootnoteText"/>
      </w:pPr>
      <w:r>
        <w:rPr>
          <w:rStyle w:val="FootnoteReference"/>
        </w:rPr>
        <w:footnoteRef/>
      </w:r>
      <w:r>
        <w:t xml:space="preserve"> </w:t>
      </w:r>
      <w:r>
        <w:rPr>
          <w:i/>
          <w:iCs/>
        </w:rPr>
        <w:t>Id.</w:t>
      </w:r>
    </w:p>
  </w:footnote>
  <w:footnote w:id="109">
    <w:p w14:paraId="41B4586C" w14:textId="77777777" w:rsidR="00692C6C" w:rsidRDefault="005D68E6">
      <w:pPr>
        <w:pStyle w:val="FootnoteText"/>
      </w:pPr>
      <w:r>
        <w:rPr>
          <w:rStyle w:val="FootnoteReference"/>
        </w:rPr>
        <w:footnoteRef/>
      </w:r>
      <w:r>
        <w:t xml:space="preserve"> </w:t>
      </w:r>
      <w:r>
        <w:rPr>
          <w:i/>
          <w:iCs/>
        </w:rPr>
        <w:t xml:space="preserve">Id. </w:t>
      </w:r>
      <w:r>
        <w:t>at 833.</w:t>
      </w:r>
    </w:p>
  </w:footnote>
  <w:footnote w:id="110">
    <w:p w14:paraId="3EB0EDE4" w14:textId="77777777" w:rsidR="00692C6C" w:rsidRDefault="005D68E6">
      <w:pPr>
        <w:pStyle w:val="FootnoteText"/>
      </w:pPr>
      <w:r>
        <w:rPr>
          <w:rStyle w:val="FootnoteReference"/>
        </w:rPr>
        <w:footnoteRef/>
      </w:r>
      <w:r>
        <w:t xml:space="preserve"> </w:t>
      </w:r>
      <w:r>
        <w:rPr>
          <w:i/>
          <w:iCs/>
        </w:rPr>
        <w:t>Id.</w:t>
      </w:r>
      <w:r>
        <w:t xml:space="preserve"> at 836</w:t>
      </w:r>
    </w:p>
  </w:footnote>
  <w:footnote w:id="111">
    <w:p w14:paraId="24A328AF" w14:textId="77777777" w:rsidR="00692C6C" w:rsidRDefault="00A87206" w:rsidP="00A87206">
      <w:r>
        <w:rPr>
          <w:rStyle w:val="FootnoteReference"/>
        </w:rPr>
        <w:footnoteRef/>
      </w:r>
      <w:r>
        <w:t xml:space="preserve"> </w:t>
      </w:r>
      <w:r>
        <w:rPr>
          <w:i/>
          <w:iCs/>
        </w:rPr>
        <w:t>See</w:t>
      </w:r>
      <w:r>
        <w:t xml:space="preserve"> Heller &amp; Eisenberg, </w:t>
      </w:r>
      <w:r>
        <w:rPr>
          <w:i/>
          <w:iCs/>
        </w:rPr>
        <w:t>supra</w:t>
      </w:r>
      <w:r>
        <w:t xml:space="preserve"> note 91.</w:t>
      </w:r>
    </w:p>
  </w:footnote>
  <w:footnote w:id="112">
    <w:p w14:paraId="225C87C9" w14:textId="77777777" w:rsidR="00692C6C" w:rsidRDefault="00A87206" w:rsidP="00A87206">
      <w:pPr>
        <w:pStyle w:val="FootnoteText"/>
      </w:pPr>
      <w:r>
        <w:rPr>
          <w:rStyle w:val="FootnoteReference"/>
        </w:rPr>
        <w:footnoteRef/>
      </w:r>
      <w:r>
        <w:t xml:space="preserve"> Long, </w:t>
      </w:r>
      <w:r>
        <w:rPr>
          <w:i/>
          <w:iCs/>
        </w:rPr>
        <w:t>supra,</w:t>
      </w:r>
      <w:r>
        <w:t xml:space="preserve"> note 59,</w:t>
      </w:r>
      <w:r>
        <w:rPr>
          <w:i/>
          <w:iCs/>
        </w:rPr>
        <w:t xml:space="preserve"> </w:t>
      </w:r>
      <w:r>
        <w:t>at 834.</w:t>
      </w:r>
    </w:p>
  </w:footnote>
  <w:footnote w:id="113">
    <w:p w14:paraId="52D1E510" w14:textId="77777777" w:rsidR="00692C6C" w:rsidRDefault="005D68E6">
      <w:pPr>
        <w:pStyle w:val="FootnoteText"/>
      </w:pPr>
      <w:r>
        <w:rPr>
          <w:rStyle w:val="FootnoteReference"/>
        </w:rPr>
        <w:footnoteRef/>
      </w:r>
      <w:r>
        <w:t xml:space="preserve"> </w:t>
      </w:r>
      <w:r>
        <w:rPr>
          <w:i/>
          <w:iCs/>
        </w:rPr>
        <w:t>Id.</w:t>
      </w:r>
    </w:p>
  </w:footnote>
  <w:footnote w:id="114">
    <w:p w14:paraId="594D75BF" w14:textId="77777777" w:rsidR="00692C6C" w:rsidRDefault="005D68E6">
      <w:pPr>
        <w:pStyle w:val="FootnoteText"/>
      </w:pPr>
      <w:r>
        <w:rPr>
          <w:rStyle w:val="FootnoteReference"/>
        </w:rPr>
        <w:footnoteRef/>
      </w:r>
      <w:r>
        <w:t xml:space="preserve"> </w:t>
      </w:r>
      <w:r>
        <w:rPr>
          <w:i/>
          <w:iCs/>
        </w:rPr>
        <w:t>Id.</w:t>
      </w:r>
    </w:p>
  </w:footnote>
  <w:footnote w:id="115">
    <w:p w14:paraId="0BAAFF8D" w14:textId="77777777" w:rsidR="00692C6C" w:rsidRDefault="00384403" w:rsidP="00384403">
      <w:pPr>
        <w:pStyle w:val="FootnoteText"/>
      </w:pPr>
      <w:r>
        <w:rPr>
          <w:rStyle w:val="FootnoteReference"/>
        </w:rPr>
        <w:footnoteRef/>
      </w:r>
      <w:r>
        <w:t xml:space="preserve"> </w:t>
      </w:r>
      <w:r>
        <w:rPr>
          <w:i/>
          <w:iCs/>
        </w:rPr>
        <w:t>Id.</w:t>
      </w:r>
    </w:p>
  </w:footnote>
  <w:footnote w:id="116">
    <w:p w14:paraId="3A1A6B90" w14:textId="77777777" w:rsidR="00692C6C" w:rsidRDefault="00384403" w:rsidP="00384403">
      <w:pPr>
        <w:pStyle w:val="FootnoteText"/>
      </w:pPr>
      <w:r>
        <w:rPr>
          <w:rStyle w:val="FootnoteReference"/>
        </w:rPr>
        <w:footnoteRef/>
      </w:r>
      <w:r>
        <w:t xml:space="preserve"> </w:t>
      </w:r>
      <w:r>
        <w:rPr>
          <w:i/>
          <w:iCs/>
        </w:rPr>
        <w:t>Id.</w:t>
      </w:r>
    </w:p>
  </w:footnote>
  <w:footnote w:id="117">
    <w:p w14:paraId="229D34A7" w14:textId="77777777" w:rsidR="00692C6C" w:rsidRDefault="00384403" w:rsidP="00384403">
      <w:pPr>
        <w:pStyle w:val="FootnoteText"/>
      </w:pPr>
      <w:r>
        <w:rPr>
          <w:rStyle w:val="FootnoteReference"/>
        </w:rPr>
        <w:footnoteRef/>
      </w:r>
      <w:r>
        <w:t xml:space="preserve"> </w:t>
      </w:r>
      <w:r>
        <w:rPr>
          <w:i/>
          <w:iCs/>
        </w:rPr>
        <w:t>Id.</w:t>
      </w:r>
    </w:p>
  </w:footnote>
  <w:footnote w:id="118">
    <w:p w14:paraId="03F9AD22" w14:textId="77777777" w:rsidR="00692C6C" w:rsidRDefault="005D68E6">
      <w:pPr>
        <w:pStyle w:val="FootnoteText"/>
      </w:pPr>
      <w:r>
        <w:rPr>
          <w:rStyle w:val="FootnoteReference"/>
        </w:rPr>
        <w:footnoteRef/>
      </w:r>
      <w:r>
        <w:t xml:space="preserve"> </w:t>
      </w:r>
      <w:r>
        <w:rPr>
          <w:i/>
          <w:iCs/>
        </w:rPr>
        <w:t>Id.</w:t>
      </w:r>
    </w:p>
  </w:footnote>
  <w:footnote w:id="119">
    <w:p w14:paraId="1C73A940" w14:textId="77777777" w:rsidR="00692C6C" w:rsidRDefault="005D68E6">
      <w:pPr>
        <w:pStyle w:val="FootnoteText"/>
      </w:pPr>
      <w:r>
        <w:rPr>
          <w:rStyle w:val="FootnoteReference"/>
        </w:rPr>
        <w:footnoteRef/>
      </w:r>
      <w:r>
        <w:t xml:space="preserve"> </w:t>
      </w:r>
      <w:r>
        <w:rPr>
          <w:i/>
          <w:iCs/>
        </w:rPr>
        <w:t>Id.</w:t>
      </w:r>
    </w:p>
  </w:footnote>
  <w:footnote w:id="120">
    <w:p w14:paraId="1C30C30F" w14:textId="77777777" w:rsidR="00692C6C" w:rsidRDefault="005D68E6">
      <w:r>
        <w:rPr>
          <w:rStyle w:val="FootnoteReference"/>
        </w:rPr>
        <w:footnoteRef/>
      </w:r>
      <w:r>
        <w:t xml:space="preserve"> </w:t>
      </w:r>
      <w:r>
        <w:rPr>
          <w:i/>
          <w:iCs/>
        </w:rPr>
        <w:t>See</w:t>
      </w:r>
      <w:r>
        <w:t xml:space="preserve"> </w:t>
      </w:r>
      <w:r>
        <w:t xml:space="preserve">Kortum &amp; Lerner, </w:t>
      </w:r>
      <w:r>
        <w:rPr>
          <w:i/>
          <w:iCs/>
        </w:rPr>
        <w:t xml:space="preserve">Does Venture Capital Spur Innovation? </w:t>
      </w:r>
      <w:r>
        <w:t>(National Bureau of Economic Research Working Paper No. W6846) (1998)</w:t>
      </w:r>
    </w:p>
  </w:footnote>
  <w:footnote w:id="121">
    <w:p w14:paraId="15B7E2E1" w14:textId="77777777" w:rsidR="00692C6C" w:rsidRDefault="005D68E6">
      <w:pPr>
        <w:pStyle w:val="FootnoteText"/>
      </w:pPr>
      <w:r>
        <w:rPr>
          <w:rStyle w:val="FootnoteReference"/>
        </w:rPr>
        <w:footnoteRef/>
      </w:r>
      <w:r>
        <w:t xml:space="preserve"> Long, </w:t>
      </w:r>
      <w:r>
        <w:rPr>
          <w:i/>
          <w:iCs/>
        </w:rPr>
        <w:t>supra</w:t>
      </w:r>
      <w:r>
        <w:t xml:space="preserve"> note 59, at 835.</w:t>
      </w:r>
    </w:p>
  </w:footnote>
  <w:footnote w:id="122">
    <w:p w14:paraId="4A878FB4" w14:textId="77777777" w:rsidR="00692C6C" w:rsidRDefault="005D68E6">
      <w:pPr>
        <w:pStyle w:val="FootnoteText"/>
      </w:pPr>
      <w:r>
        <w:rPr>
          <w:rStyle w:val="FootnoteReference"/>
        </w:rPr>
        <w:footnoteRef/>
      </w:r>
      <w:r>
        <w:t xml:space="preserve"> </w:t>
      </w:r>
      <w:r>
        <w:rPr>
          <w:i/>
          <w:iCs/>
        </w:rPr>
        <w:t>Id.</w:t>
      </w:r>
    </w:p>
  </w:footnote>
  <w:footnote w:id="123">
    <w:p w14:paraId="4DA0CE8C" w14:textId="77777777" w:rsidR="00692C6C" w:rsidRDefault="005D68E6">
      <w:pPr>
        <w:pStyle w:val="FootnoteText"/>
      </w:pPr>
      <w:r>
        <w:rPr>
          <w:rStyle w:val="FootnoteReference"/>
        </w:rPr>
        <w:footnoteRef/>
      </w:r>
      <w:r>
        <w:t xml:space="preserve"> Eisenberg, </w:t>
      </w:r>
      <w:r>
        <w:rPr>
          <w:i/>
          <w:iCs/>
        </w:rPr>
        <w:t xml:space="preserve">supra, </w:t>
      </w:r>
      <w:r>
        <w:t xml:space="preserve">note 10 at 788. </w:t>
      </w:r>
    </w:p>
  </w:footnote>
  <w:footnote w:id="124">
    <w:p w14:paraId="2D20A8C0" w14:textId="77777777" w:rsidR="00692C6C" w:rsidRDefault="005D68E6">
      <w:pPr>
        <w:pStyle w:val="FootnoteText"/>
      </w:pPr>
      <w:r>
        <w:rPr>
          <w:rStyle w:val="FootnoteReference"/>
        </w:rPr>
        <w:footnoteRef/>
      </w:r>
      <w:r>
        <w:t xml:space="preserve"> </w:t>
      </w:r>
      <w:r>
        <w:rPr>
          <w:i/>
          <w:iCs/>
        </w:rPr>
        <w:t>Id.</w:t>
      </w:r>
    </w:p>
  </w:footnote>
  <w:footnote w:id="125">
    <w:p w14:paraId="58F6AA0F" w14:textId="77777777" w:rsidR="00692C6C" w:rsidRDefault="005D68E6">
      <w:pPr>
        <w:pStyle w:val="FootnoteText"/>
      </w:pPr>
      <w:r>
        <w:rPr>
          <w:rStyle w:val="FootnoteReference"/>
        </w:rPr>
        <w:footnoteRef/>
      </w:r>
      <w:r>
        <w:t xml:space="preserve"> </w:t>
      </w:r>
      <w:r>
        <w:rPr>
          <w:i/>
          <w:iCs/>
        </w:rPr>
        <w:t>Id.</w:t>
      </w:r>
    </w:p>
  </w:footnote>
  <w:footnote w:id="126">
    <w:p w14:paraId="09E6F943" w14:textId="77777777" w:rsidR="00692C6C" w:rsidRDefault="005D68E6">
      <w:pPr>
        <w:pStyle w:val="FootnoteText"/>
      </w:pPr>
      <w:r>
        <w:rPr>
          <w:rStyle w:val="FootnoteReference"/>
        </w:rPr>
        <w:footnoteRef/>
      </w:r>
      <w:r>
        <w:t xml:space="preserve"> </w:t>
      </w:r>
      <w:r>
        <w:rPr>
          <w:i/>
          <w:iCs/>
        </w:rPr>
        <w:t>Id.</w:t>
      </w:r>
    </w:p>
  </w:footnote>
  <w:footnote w:id="127">
    <w:p w14:paraId="7CF543D2" w14:textId="77777777" w:rsidR="00692C6C" w:rsidRDefault="005D68E6">
      <w:pPr>
        <w:pStyle w:val="FootnoteText"/>
      </w:pPr>
      <w:r>
        <w:rPr>
          <w:rStyle w:val="FootnoteReference"/>
        </w:rPr>
        <w:footnoteRef/>
      </w:r>
      <w:r>
        <w:t xml:space="preserve">  </w:t>
      </w:r>
      <w:r>
        <w:rPr>
          <w:i/>
          <w:iCs/>
        </w:rPr>
        <w:t xml:space="preserve">See </w:t>
      </w:r>
      <w:r>
        <w:t>Titanium Metals Corp. v. Banner, 778 F2d 775, 782 (Fed. Cir. 1985)(a claim that covers several compositions is invalid if one of the compositions is prior art.); 35 U.S.C. 112 (1994)(language of the patent claim defines the scope of exclusionary protection).</w:t>
      </w:r>
    </w:p>
  </w:footnote>
  <w:footnote w:id="128">
    <w:p w14:paraId="6837D03D" w14:textId="77777777" w:rsidR="00692C6C" w:rsidRDefault="005D68E6">
      <w:pPr>
        <w:pStyle w:val="FootnoteText"/>
      </w:pPr>
      <w:r>
        <w:rPr>
          <w:rStyle w:val="FootnoteReference"/>
        </w:rPr>
        <w:footnoteRef/>
      </w:r>
      <w:r>
        <w:t xml:space="preserve"> </w:t>
      </w:r>
      <w:r>
        <w:rPr>
          <w:i/>
          <w:iCs/>
        </w:rPr>
        <w:t>Id</w:t>
      </w:r>
      <w:r>
        <w:t>. at 6.</w:t>
      </w:r>
    </w:p>
  </w:footnote>
  <w:footnote w:id="129">
    <w:p w14:paraId="403CA53A" w14:textId="77777777" w:rsidR="00692C6C" w:rsidRDefault="005D68E6">
      <w:pPr>
        <w:pStyle w:val="FootnoteText"/>
      </w:pPr>
      <w:r>
        <w:rPr>
          <w:rStyle w:val="FootnoteReference"/>
        </w:rPr>
        <w:footnoteRef/>
      </w:r>
      <w:r>
        <w:t xml:space="preserve"> </w:t>
      </w:r>
      <w:r>
        <w:rPr>
          <w:i/>
          <w:iCs/>
        </w:rPr>
        <w:t>Id</w:t>
      </w:r>
      <w:r>
        <w:t>.</w:t>
      </w:r>
    </w:p>
  </w:footnote>
  <w:footnote w:id="130">
    <w:p w14:paraId="719B7F94" w14:textId="77777777" w:rsidR="00692C6C" w:rsidRDefault="005D68E6">
      <w:pPr>
        <w:pStyle w:val="FootnoteText"/>
      </w:pPr>
      <w:r>
        <w:rPr>
          <w:rStyle w:val="FootnoteReference"/>
        </w:rPr>
        <w:footnoteRef/>
      </w:r>
      <w:r>
        <w:t xml:space="preserve"> King, </w:t>
      </w:r>
      <w:r>
        <w:rPr>
          <w:i/>
          <w:iCs/>
        </w:rPr>
        <w:t>Code Green:  Gene Quest Will Bring Glory to Some</w:t>
      </w:r>
      <w:r>
        <w:t xml:space="preserve">; </w:t>
      </w:r>
      <w:r>
        <w:rPr>
          <w:i/>
          <w:iCs/>
        </w:rPr>
        <w:t>Incyte Will Stick With Cash</w:t>
      </w:r>
      <w:r>
        <w:t xml:space="preserve">, Wall St. J., Feb. 10, 2000, at A1. </w:t>
      </w:r>
    </w:p>
  </w:footnote>
  <w:footnote w:id="131">
    <w:p w14:paraId="757A44FA" w14:textId="77777777" w:rsidR="00692C6C" w:rsidRDefault="005D68E6">
      <w:pPr>
        <w:pStyle w:val="FootnoteText"/>
      </w:pPr>
      <w:r>
        <w:rPr>
          <w:rStyle w:val="FootnoteReference"/>
        </w:rPr>
        <w:footnoteRef/>
      </w:r>
      <w:r>
        <w:t xml:space="preserve">  </w:t>
      </w:r>
      <w:r>
        <w:rPr>
          <w:i/>
          <w:iCs/>
        </w:rPr>
        <w:t>See supra</w:t>
      </w:r>
      <w:r>
        <w:t xml:space="preserve"> note 11 and accompanying text.</w:t>
      </w:r>
    </w:p>
  </w:footnote>
  <w:footnote w:id="132">
    <w:p w14:paraId="6EB52088" w14:textId="77777777" w:rsidR="00692C6C" w:rsidRDefault="005D68E6">
      <w:pPr>
        <w:pStyle w:val="FootnoteText"/>
      </w:pPr>
      <w:r>
        <w:rPr>
          <w:rStyle w:val="FootnoteReference"/>
        </w:rPr>
        <w:footnoteRef/>
      </w:r>
      <w:r>
        <w:t xml:space="preserve"> </w:t>
      </w:r>
      <w:r>
        <w:rPr>
          <w:i/>
          <w:iCs/>
        </w:rPr>
        <w:t>Id.</w:t>
      </w:r>
    </w:p>
  </w:footnote>
  <w:footnote w:id="133">
    <w:p w14:paraId="35ADE908" w14:textId="77777777" w:rsidR="00692C6C" w:rsidRDefault="005D68E6">
      <w:pPr>
        <w:pStyle w:val="FootnoteText"/>
      </w:pPr>
      <w:r>
        <w:rPr>
          <w:rStyle w:val="FootnoteReference"/>
        </w:rPr>
        <w:footnoteRef/>
      </w:r>
      <w:r>
        <w:t xml:space="preserve"> </w:t>
      </w:r>
      <w:r>
        <w:rPr>
          <w:i/>
          <w:iCs/>
        </w:rPr>
        <w:t>Id.</w:t>
      </w:r>
    </w:p>
  </w:footnote>
  <w:footnote w:id="134">
    <w:p w14:paraId="6BD1B9D6" w14:textId="77777777" w:rsidR="00692C6C" w:rsidRDefault="005D68E6">
      <w:pPr>
        <w:pStyle w:val="FootnoteText"/>
      </w:pPr>
      <w:r>
        <w:rPr>
          <w:rStyle w:val="FootnoteReference"/>
        </w:rPr>
        <w:footnoteRef/>
      </w:r>
      <w:r>
        <w:t xml:space="preserve"> </w:t>
      </w:r>
      <w:r>
        <w:rPr>
          <w:i/>
          <w:iCs/>
        </w:rPr>
        <w:t>Id.</w:t>
      </w:r>
    </w:p>
  </w:footnote>
  <w:footnote w:id="135">
    <w:p w14:paraId="67D33017" w14:textId="77777777" w:rsidR="00692C6C" w:rsidRDefault="005D68E6">
      <w:pPr>
        <w:pStyle w:val="FootnoteText"/>
      </w:pPr>
      <w:r>
        <w:rPr>
          <w:rStyle w:val="FootnoteReference"/>
        </w:rPr>
        <w:footnoteRef/>
      </w:r>
      <w:r>
        <w:t xml:space="preserve"> </w:t>
      </w:r>
      <w:r>
        <w:rPr>
          <w:i/>
          <w:iCs/>
        </w:rPr>
        <w:t>Id.</w:t>
      </w:r>
    </w:p>
  </w:footnote>
  <w:footnote w:id="136">
    <w:p w14:paraId="2BE8CB2F" w14:textId="77777777" w:rsidR="00692C6C" w:rsidRDefault="005D68E6">
      <w:pPr>
        <w:pStyle w:val="FootnoteText"/>
      </w:pPr>
      <w:r>
        <w:rPr>
          <w:rStyle w:val="FootnoteReference"/>
        </w:rPr>
        <w:footnoteRef/>
      </w:r>
      <w:r>
        <w:t xml:space="preserve"> </w:t>
      </w:r>
      <w:r>
        <w:rPr>
          <w:i/>
          <w:iCs/>
        </w:rPr>
        <w:t>Id.</w:t>
      </w:r>
    </w:p>
  </w:footnote>
  <w:footnote w:id="137">
    <w:p w14:paraId="1CC781F9" w14:textId="77777777" w:rsidR="00692C6C" w:rsidRDefault="005D68E6">
      <w:pPr>
        <w:pStyle w:val="FootnoteText"/>
      </w:pPr>
      <w:r>
        <w:rPr>
          <w:rStyle w:val="FootnoteReference"/>
        </w:rPr>
        <w:footnoteRef/>
      </w:r>
      <w:r>
        <w:t xml:space="preserve"> </w:t>
      </w:r>
      <w:r>
        <w:rPr>
          <w:i/>
          <w:iCs/>
        </w:rPr>
        <w:t>Id.</w:t>
      </w:r>
    </w:p>
  </w:footnote>
  <w:footnote w:id="138">
    <w:p w14:paraId="2CD1F444" w14:textId="77777777" w:rsidR="00692C6C" w:rsidRDefault="005D68E6">
      <w:pPr>
        <w:pStyle w:val="FootnoteText"/>
      </w:pPr>
      <w:r>
        <w:rPr>
          <w:rStyle w:val="FootnoteReference"/>
        </w:rPr>
        <w:footnoteRef/>
      </w:r>
      <w:r>
        <w:t xml:space="preserve"> </w:t>
      </w:r>
      <w:r>
        <w:rPr>
          <w:i/>
          <w:iCs/>
        </w:rPr>
        <w:t>Id.</w:t>
      </w:r>
    </w:p>
  </w:footnote>
  <w:footnote w:id="139">
    <w:p w14:paraId="0D94A122" w14:textId="77777777" w:rsidR="00692C6C" w:rsidRDefault="005D68E6">
      <w:pPr>
        <w:pStyle w:val="FootnoteText"/>
      </w:pPr>
      <w:r>
        <w:rPr>
          <w:rStyle w:val="FootnoteReference"/>
        </w:rPr>
        <w:footnoteRef/>
      </w:r>
      <w:r>
        <w:t xml:space="preserve"> </w:t>
      </w:r>
      <w:r>
        <w:rPr>
          <w:i/>
          <w:iCs/>
        </w:rPr>
        <w:t>Id.</w:t>
      </w:r>
    </w:p>
  </w:footnote>
  <w:footnote w:id="140">
    <w:p w14:paraId="19F65352" w14:textId="77777777" w:rsidR="00692C6C" w:rsidRDefault="005D68E6">
      <w:pPr>
        <w:pStyle w:val="FootnoteText"/>
      </w:pPr>
      <w:r>
        <w:rPr>
          <w:rStyle w:val="FootnoteReference"/>
        </w:rPr>
        <w:footnoteRef/>
      </w:r>
      <w:r>
        <w:t xml:space="preserve"> </w:t>
      </w:r>
      <w:r>
        <w:rPr>
          <w:i/>
          <w:iCs/>
        </w:rPr>
        <w:t>Id.</w:t>
      </w:r>
    </w:p>
  </w:footnote>
  <w:footnote w:id="141">
    <w:p w14:paraId="19E72C96" w14:textId="77777777" w:rsidR="00692C6C" w:rsidRDefault="005D68E6">
      <w:pPr>
        <w:pStyle w:val="FootnoteText"/>
      </w:pPr>
      <w:r>
        <w:rPr>
          <w:rStyle w:val="FootnoteReference"/>
        </w:rPr>
        <w:footnoteRef/>
      </w:r>
      <w:r>
        <w:t xml:space="preserve"> </w:t>
      </w:r>
      <w:r>
        <w:rPr>
          <w:i/>
          <w:iCs/>
        </w:rPr>
        <w:t>Id.</w:t>
      </w:r>
    </w:p>
  </w:footnote>
  <w:footnote w:id="142">
    <w:p w14:paraId="54A62805" w14:textId="77777777" w:rsidR="00692C6C" w:rsidRDefault="005D68E6">
      <w:pPr>
        <w:pStyle w:val="FootnoteText"/>
      </w:pPr>
      <w:r>
        <w:rPr>
          <w:rStyle w:val="FootnoteReference"/>
        </w:rPr>
        <w:footnoteRef/>
      </w:r>
      <w:r>
        <w:t xml:space="preserve"> </w:t>
      </w:r>
      <w:r>
        <w:rPr>
          <w:i/>
          <w:iCs/>
        </w:rPr>
        <w:t>Id.</w:t>
      </w:r>
    </w:p>
  </w:footnote>
  <w:footnote w:id="143">
    <w:p w14:paraId="055A2422" w14:textId="77777777" w:rsidR="00692C6C" w:rsidRDefault="005D68E6">
      <w:pPr>
        <w:pStyle w:val="FootnoteText"/>
      </w:pPr>
      <w:r>
        <w:rPr>
          <w:rStyle w:val="FootnoteReference"/>
        </w:rPr>
        <w:footnoteRef/>
      </w:r>
      <w:r>
        <w:t xml:space="preserve"> </w:t>
      </w:r>
      <w:r>
        <w:rPr>
          <w:i/>
          <w:iCs/>
        </w:rPr>
        <w:t>Id.</w:t>
      </w:r>
    </w:p>
  </w:footnote>
  <w:footnote w:id="144">
    <w:p w14:paraId="6E28D76F" w14:textId="77777777" w:rsidR="00692C6C" w:rsidRDefault="005D68E6">
      <w:pPr>
        <w:pStyle w:val="FootnoteText"/>
      </w:pPr>
      <w:r>
        <w:rPr>
          <w:rStyle w:val="FootnoteReference"/>
        </w:rPr>
        <w:footnoteRef/>
      </w:r>
      <w:r>
        <w:t xml:space="preserve"> </w:t>
      </w:r>
      <w:r>
        <w:rPr>
          <w:i/>
          <w:iCs/>
        </w:rPr>
        <w:t>Id.</w:t>
      </w:r>
    </w:p>
  </w:footnote>
  <w:footnote w:id="145">
    <w:p w14:paraId="2FDDA82C" w14:textId="77777777" w:rsidR="00692C6C" w:rsidRDefault="005D68E6">
      <w:pPr>
        <w:pStyle w:val="FootnoteText"/>
      </w:pPr>
      <w:r>
        <w:rPr>
          <w:rStyle w:val="FootnoteReference"/>
        </w:rPr>
        <w:footnoteRef/>
      </w:r>
      <w:r>
        <w:t xml:space="preserve"> </w:t>
      </w:r>
      <w:r>
        <w:rPr>
          <w:i/>
          <w:iCs/>
        </w:rPr>
        <w:t>Id.</w:t>
      </w:r>
    </w:p>
  </w:footnote>
  <w:footnote w:id="146">
    <w:p w14:paraId="65897AB8" w14:textId="77777777" w:rsidR="00692C6C" w:rsidRDefault="005D68E6">
      <w:pPr>
        <w:pStyle w:val="FootnoteText"/>
      </w:pPr>
      <w:r>
        <w:rPr>
          <w:rStyle w:val="FootnoteReference"/>
        </w:rPr>
        <w:footnoteRef/>
      </w:r>
      <w:r>
        <w:t xml:space="preserve"> </w:t>
      </w:r>
      <w:r>
        <w:rPr>
          <w:i/>
          <w:iCs/>
        </w:rPr>
        <w:t>Id.</w:t>
      </w:r>
    </w:p>
  </w:footnote>
  <w:footnote w:id="147">
    <w:p w14:paraId="6635E3C5" w14:textId="77777777" w:rsidR="00692C6C" w:rsidRDefault="005D68E6">
      <w:pPr>
        <w:pStyle w:val="FootnoteText"/>
      </w:pPr>
      <w:r>
        <w:rPr>
          <w:rStyle w:val="FootnoteReference"/>
        </w:rPr>
        <w:footnoteRef/>
      </w:r>
      <w:r>
        <w:t xml:space="preserve"> </w:t>
      </w:r>
      <w:r>
        <w:rPr>
          <w:i/>
          <w:iCs/>
        </w:rPr>
        <w:t>Id.</w:t>
      </w:r>
    </w:p>
  </w:footnote>
  <w:footnote w:id="148">
    <w:p w14:paraId="3C6FF13B" w14:textId="77777777" w:rsidR="00692C6C" w:rsidRDefault="005D68E6">
      <w:pPr>
        <w:pStyle w:val="FootnoteText"/>
      </w:pPr>
      <w:r>
        <w:rPr>
          <w:rStyle w:val="FootnoteReference"/>
        </w:rPr>
        <w:footnoteRef/>
      </w:r>
      <w:r>
        <w:t xml:space="preserve"> </w:t>
      </w:r>
      <w:r>
        <w:rPr>
          <w:i/>
          <w:iCs/>
        </w:rPr>
        <w:t>Id.</w:t>
      </w:r>
    </w:p>
  </w:footnote>
  <w:footnote w:id="149">
    <w:p w14:paraId="2D863728" w14:textId="77777777" w:rsidR="00692C6C" w:rsidRDefault="005D68E6">
      <w:pPr>
        <w:pStyle w:val="FootnoteText"/>
      </w:pPr>
      <w:r>
        <w:rPr>
          <w:rStyle w:val="FootnoteReference"/>
        </w:rPr>
        <w:footnoteRef/>
      </w:r>
      <w:r>
        <w:t xml:space="preserve"> </w:t>
      </w:r>
      <w:r>
        <w:rPr>
          <w:i/>
          <w:iCs/>
        </w:rPr>
        <w:t>Id.</w:t>
      </w:r>
    </w:p>
  </w:footnote>
  <w:footnote w:id="150">
    <w:p w14:paraId="10FEC164" w14:textId="77777777" w:rsidR="00692C6C" w:rsidRDefault="005D68E6">
      <w:pPr>
        <w:pStyle w:val="FootnoteText"/>
      </w:pPr>
      <w:r>
        <w:rPr>
          <w:rStyle w:val="FootnoteReference"/>
        </w:rPr>
        <w:footnoteRef/>
      </w:r>
      <w:r>
        <w:t xml:space="preserve"> </w:t>
      </w:r>
      <w:r>
        <w:rPr>
          <w:i/>
          <w:iCs/>
        </w:rPr>
        <w:t>Id.</w:t>
      </w:r>
    </w:p>
  </w:footnote>
  <w:footnote w:id="151">
    <w:p w14:paraId="184DD439" w14:textId="77777777" w:rsidR="00692C6C" w:rsidRDefault="005D68E6">
      <w:pPr>
        <w:pStyle w:val="FootnoteText"/>
      </w:pPr>
      <w:r>
        <w:rPr>
          <w:rStyle w:val="FootnoteReference"/>
        </w:rPr>
        <w:footnoteRef/>
      </w:r>
      <w:r>
        <w:t xml:space="preserve"> </w:t>
      </w:r>
      <w:r>
        <w:rPr>
          <w:i/>
          <w:iCs/>
        </w:rPr>
        <w:t>Id.</w:t>
      </w:r>
    </w:p>
  </w:footnote>
  <w:footnote w:id="152">
    <w:p w14:paraId="7CD35FB3" w14:textId="77777777" w:rsidR="00692C6C" w:rsidRDefault="005D68E6">
      <w:pPr>
        <w:pStyle w:val="FootnoteText"/>
      </w:pPr>
      <w:r>
        <w:rPr>
          <w:rStyle w:val="FootnoteReference"/>
        </w:rPr>
        <w:footnoteRef/>
      </w:r>
      <w:r>
        <w:t xml:space="preserve"> </w:t>
      </w:r>
      <w:r>
        <w:rPr>
          <w:i/>
          <w:iCs/>
        </w:rPr>
        <w:t>Id.</w:t>
      </w:r>
    </w:p>
  </w:footnote>
  <w:footnote w:id="153">
    <w:p w14:paraId="540B63CA" w14:textId="77777777" w:rsidR="00692C6C" w:rsidRDefault="005D68E6">
      <w:pPr>
        <w:pStyle w:val="FootnoteText"/>
      </w:pPr>
      <w:r>
        <w:rPr>
          <w:rStyle w:val="FootnoteReference"/>
        </w:rPr>
        <w:footnoteRef/>
      </w:r>
      <w:r>
        <w:t xml:space="preserve"> </w:t>
      </w:r>
      <w:r>
        <w:rPr>
          <w:i/>
          <w:iCs/>
        </w:rPr>
        <w:t>Id.</w:t>
      </w:r>
    </w:p>
  </w:footnote>
  <w:footnote w:id="154">
    <w:p w14:paraId="54002FB2" w14:textId="77777777" w:rsidR="00692C6C" w:rsidRDefault="005D68E6">
      <w:pPr>
        <w:pStyle w:val="FootnoteText"/>
      </w:pPr>
      <w:r>
        <w:rPr>
          <w:rStyle w:val="FootnoteReference"/>
        </w:rPr>
        <w:footnoteRef/>
      </w:r>
      <w:r>
        <w:t xml:space="preserve"> </w:t>
      </w:r>
      <w:r>
        <w:rPr>
          <w:i/>
          <w:iCs/>
        </w:rPr>
        <w:t>Id.</w:t>
      </w:r>
    </w:p>
  </w:footnote>
  <w:footnote w:id="155">
    <w:p w14:paraId="2632AE69" w14:textId="77777777" w:rsidR="00692C6C" w:rsidRDefault="005D68E6">
      <w:pPr>
        <w:pStyle w:val="FootnoteText"/>
      </w:pPr>
      <w:r>
        <w:rPr>
          <w:rStyle w:val="FootnoteReference"/>
        </w:rPr>
        <w:footnoteRef/>
      </w:r>
      <w:r>
        <w:t xml:space="preserve"> </w:t>
      </w:r>
      <w:r>
        <w:rPr>
          <w:i/>
          <w:iCs/>
        </w:rPr>
        <w:t>Id.</w:t>
      </w:r>
    </w:p>
  </w:footnote>
  <w:footnote w:id="156">
    <w:p w14:paraId="0159B775" w14:textId="77777777" w:rsidR="00692C6C" w:rsidRDefault="005D68E6">
      <w:pPr>
        <w:pStyle w:val="FootnoteText"/>
      </w:pPr>
      <w:r>
        <w:rPr>
          <w:rStyle w:val="FootnoteReference"/>
        </w:rPr>
        <w:footnoteRef/>
      </w:r>
      <w:r>
        <w:t xml:space="preserve"> </w:t>
      </w:r>
      <w:r>
        <w:rPr>
          <w:i/>
          <w:iCs/>
        </w:rPr>
        <w:t>Id.</w:t>
      </w:r>
    </w:p>
  </w:footnote>
  <w:footnote w:id="157">
    <w:p w14:paraId="69DFB7A7" w14:textId="77777777" w:rsidR="00692C6C" w:rsidRDefault="005D68E6">
      <w:pPr>
        <w:pStyle w:val="FootnoteText"/>
      </w:pPr>
      <w:r>
        <w:rPr>
          <w:rStyle w:val="FootnoteReference"/>
        </w:rPr>
        <w:footnoteRef/>
      </w:r>
      <w:r>
        <w:t xml:space="preserve"> </w:t>
      </w:r>
      <w:r>
        <w:rPr>
          <w:i/>
          <w:iCs/>
        </w:rPr>
        <w:t>Id.</w:t>
      </w:r>
    </w:p>
  </w:footnote>
  <w:footnote w:id="158">
    <w:p w14:paraId="46956BB1" w14:textId="77777777" w:rsidR="00692C6C" w:rsidRDefault="005D68E6">
      <w:pPr>
        <w:pStyle w:val="FootnoteText"/>
      </w:pPr>
      <w:r>
        <w:rPr>
          <w:rStyle w:val="FootnoteReference"/>
        </w:rPr>
        <w:footnoteRef/>
      </w:r>
      <w:r>
        <w:t xml:space="preserve"> </w:t>
      </w:r>
      <w:r>
        <w:rPr>
          <w:i/>
          <w:iCs/>
        </w:rPr>
        <w:t>Id.</w:t>
      </w:r>
    </w:p>
  </w:footnote>
  <w:footnote w:id="159">
    <w:p w14:paraId="6D514B6D" w14:textId="77777777" w:rsidR="00692C6C" w:rsidRDefault="005D68E6">
      <w:pPr>
        <w:pStyle w:val="FootnoteText"/>
      </w:pPr>
      <w:r>
        <w:rPr>
          <w:rStyle w:val="FootnoteReference"/>
        </w:rPr>
        <w:footnoteRef/>
      </w:r>
      <w:r>
        <w:t xml:space="preserve"> </w:t>
      </w:r>
      <w:r>
        <w:rPr>
          <w:i/>
          <w:iCs/>
        </w:rPr>
        <w:t>Id.</w:t>
      </w:r>
    </w:p>
  </w:footnote>
  <w:footnote w:id="160">
    <w:p w14:paraId="62C7848A" w14:textId="77777777" w:rsidR="00692C6C" w:rsidRDefault="005D68E6">
      <w:pPr>
        <w:pStyle w:val="FootnoteText"/>
      </w:pPr>
      <w:r>
        <w:rPr>
          <w:rStyle w:val="FootnoteReference"/>
        </w:rPr>
        <w:footnoteRef/>
      </w:r>
      <w:r>
        <w:t xml:space="preserve"> </w:t>
      </w:r>
      <w:r>
        <w:rPr>
          <w:i/>
          <w:iCs/>
        </w:rPr>
        <w:t>Id.</w:t>
      </w:r>
    </w:p>
  </w:footnote>
  <w:footnote w:id="161">
    <w:p w14:paraId="1B348A5C" w14:textId="77777777" w:rsidR="00692C6C" w:rsidRDefault="005D68E6">
      <w:pPr>
        <w:pStyle w:val="FootnoteText"/>
      </w:pPr>
      <w:r>
        <w:rPr>
          <w:rStyle w:val="FootnoteReference"/>
        </w:rPr>
        <w:footnoteRef/>
      </w:r>
      <w:r>
        <w:t xml:space="preserve"> </w:t>
      </w:r>
      <w:r>
        <w:rPr>
          <w:i/>
          <w:iCs/>
        </w:rPr>
        <w:t>Id.</w:t>
      </w:r>
    </w:p>
  </w:footnote>
  <w:footnote w:id="162">
    <w:p w14:paraId="49ACB84C" w14:textId="77777777" w:rsidR="00692C6C" w:rsidRDefault="005D68E6">
      <w:pPr>
        <w:pStyle w:val="FootnoteText"/>
      </w:pPr>
      <w:r>
        <w:rPr>
          <w:rStyle w:val="FootnoteReference"/>
        </w:rPr>
        <w:footnoteRef/>
      </w:r>
      <w:r>
        <w:t xml:space="preserve"> </w:t>
      </w:r>
      <w:r>
        <w:rPr>
          <w:i/>
          <w:iCs/>
        </w:rPr>
        <w:t>Id.</w:t>
      </w:r>
    </w:p>
  </w:footnote>
  <w:footnote w:id="163">
    <w:p w14:paraId="02272364" w14:textId="77777777" w:rsidR="00692C6C" w:rsidRDefault="005D68E6">
      <w:pPr>
        <w:pStyle w:val="FootnoteText"/>
      </w:pPr>
      <w:r>
        <w:rPr>
          <w:rStyle w:val="FootnoteReference"/>
        </w:rPr>
        <w:footnoteRef/>
      </w:r>
      <w:r>
        <w:t xml:space="preserve"> </w:t>
      </w:r>
      <w:r>
        <w:rPr>
          <w:i/>
          <w:iCs/>
        </w:rPr>
        <w:t>Id.</w:t>
      </w:r>
    </w:p>
  </w:footnote>
  <w:footnote w:id="164">
    <w:p w14:paraId="32855665" w14:textId="77777777" w:rsidR="00692C6C" w:rsidRDefault="005D68E6">
      <w:pPr>
        <w:pStyle w:val="FootnoteText"/>
      </w:pPr>
      <w:r>
        <w:rPr>
          <w:rStyle w:val="FootnoteReference"/>
        </w:rPr>
        <w:footnoteRef/>
      </w:r>
      <w:r>
        <w:t xml:space="preserve"> </w:t>
      </w:r>
      <w:r>
        <w:rPr>
          <w:i/>
          <w:iCs/>
        </w:rPr>
        <w:t>Id.</w:t>
      </w:r>
    </w:p>
  </w:footnote>
  <w:footnote w:id="165">
    <w:p w14:paraId="40503AD5" w14:textId="77777777" w:rsidR="00692C6C" w:rsidRDefault="005D68E6">
      <w:pPr>
        <w:pStyle w:val="FootnoteText"/>
      </w:pPr>
      <w:r>
        <w:rPr>
          <w:rStyle w:val="FootnoteReference"/>
        </w:rPr>
        <w:footnoteRef/>
      </w:r>
      <w:r>
        <w:t xml:space="preserve"> </w:t>
      </w:r>
      <w:r>
        <w:rPr>
          <w:i/>
          <w:iCs/>
        </w:rPr>
        <w:t>Id.</w:t>
      </w:r>
    </w:p>
  </w:footnote>
  <w:footnote w:id="166">
    <w:p w14:paraId="60EDDB90" w14:textId="77777777" w:rsidR="00692C6C" w:rsidRDefault="005D68E6">
      <w:pPr>
        <w:pStyle w:val="FootnoteText"/>
      </w:pPr>
      <w:r>
        <w:rPr>
          <w:rStyle w:val="FootnoteReference"/>
        </w:rPr>
        <w:footnoteRef/>
      </w:r>
      <w:r>
        <w:t xml:space="preserve"> </w:t>
      </w:r>
      <w:r>
        <w:rPr>
          <w:i/>
          <w:iCs/>
        </w:rPr>
        <w:t>Id.</w:t>
      </w:r>
    </w:p>
  </w:footnote>
  <w:footnote w:id="167">
    <w:p w14:paraId="200D0984" w14:textId="77777777" w:rsidR="00692C6C" w:rsidRDefault="005D68E6">
      <w:pPr>
        <w:pStyle w:val="FootnoteText"/>
      </w:pPr>
      <w:r>
        <w:rPr>
          <w:rStyle w:val="FootnoteReference"/>
        </w:rPr>
        <w:footnoteRef/>
      </w:r>
      <w:r>
        <w:t xml:space="preserve"> </w:t>
      </w:r>
      <w:r>
        <w:rPr>
          <w:i/>
          <w:iCs/>
        </w:rPr>
        <w:t>Id.</w:t>
      </w:r>
    </w:p>
  </w:footnote>
  <w:footnote w:id="168">
    <w:p w14:paraId="2F32DD81" w14:textId="77777777" w:rsidR="00692C6C" w:rsidRDefault="005D68E6">
      <w:pPr>
        <w:pStyle w:val="FootnoteText"/>
      </w:pPr>
      <w:r>
        <w:rPr>
          <w:rStyle w:val="FootnoteReference"/>
        </w:rPr>
        <w:footnoteRef/>
      </w:r>
      <w:r>
        <w:t xml:space="preserve"> </w:t>
      </w:r>
      <w:r>
        <w:rPr>
          <w:i/>
          <w:iCs/>
        </w:rPr>
        <w:t>Id.</w:t>
      </w:r>
    </w:p>
  </w:footnote>
  <w:footnote w:id="169">
    <w:p w14:paraId="4D685B74" w14:textId="77777777" w:rsidR="00692C6C" w:rsidRDefault="005D68E6">
      <w:pPr>
        <w:pStyle w:val="FootnoteText"/>
      </w:pPr>
      <w:r>
        <w:rPr>
          <w:rStyle w:val="FootnoteReference"/>
        </w:rPr>
        <w:footnoteRef/>
      </w:r>
      <w:r>
        <w:t xml:space="preserve"> </w:t>
      </w:r>
      <w:r>
        <w:rPr>
          <w:i/>
          <w:iCs/>
        </w:rPr>
        <w:t>Id.</w:t>
      </w:r>
    </w:p>
  </w:footnote>
  <w:footnote w:id="170">
    <w:p w14:paraId="378956D2" w14:textId="77777777" w:rsidR="00692C6C" w:rsidRDefault="005D68E6">
      <w:pPr>
        <w:pStyle w:val="FootnoteText"/>
      </w:pPr>
      <w:r>
        <w:rPr>
          <w:rStyle w:val="FootnoteReference"/>
        </w:rPr>
        <w:footnoteRef/>
      </w:r>
      <w:r>
        <w:t xml:space="preserve"> </w:t>
      </w:r>
      <w:r>
        <w:rPr>
          <w:i/>
          <w:iCs/>
        </w:rPr>
        <w:t>Id.</w:t>
      </w:r>
    </w:p>
  </w:footnote>
  <w:footnote w:id="171">
    <w:p w14:paraId="2AD47C6C" w14:textId="77777777" w:rsidR="00692C6C" w:rsidRDefault="005D68E6">
      <w:pPr>
        <w:pStyle w:val="FootnoteText"/>
      </w:pPr>
      <w:r>
        <w:rPr>
          <w:rStyle w:val="FootnoteReference"/>
        </w:rPr>
        <w:footnoteRef/>
      </w:r>
      <w:r>
        <w:t xml:space="preserve"> </w:t>
      </w:r>
      <w:r>
        <w:rPr>
          <w:i/>
          <w:iCs/>
        </w:rPr>
        <w:t>Id.</w:t>
      </w:r>
    </w:p>
  </w:footnote>
  <w:footnote w:id="172">
    <w:p w14:paraId="34B615AD" w14:textId="77777777" w:rsidR="00692C6C" w:rsidRDefault="005D68E6">
      <w:pPr>
        <w:pStyle w:val="FootnoteText"/>
      </w:pPr>
      <w:r>
        <w:rPr>
          <w:rStyle w:val="FootnoteReference"/>
        </w:rPr>
        <w:footnoteRef/>
      </w:r>
      <w:r>
        <w:t xml:space="preserve"> </w:t>
      </w:r>
      <w:r>
        <w:rPr>
          <w:i/>
          <w:iCs/>
        </w:rPr>
        <w:t>Id.</w:t>
      </w:r>
    </w:p>
  </w:footnote>
  <w:footnote w:id="173">
    <w:p w14:paraId="486A4A8A" w14:textId="77777777" w:rsidR="00692C6C" w:rsidRDefault="005D68E6">
      <w:pPr>
        <w:pStyle w:val="FootnoteText"/>
      </w:pPr>
      <w:r>
        <w:rPr>
          <w:rStyle w:val="FootnoteReference"/>
        </w:rPr>
        <w:footnoteRef/>
      </w:r>
      <w:r>
        <w:t xml:space="preserve"> </w:t>
      </w:r>
      <w:r>
        <w:rPr>
          <w:i/>
          <w:iCs/>
        </w:rPr>
        <w:t>Id.</w:t>
      </w:r>
    </w:p>
  </w:footnote>
  <w:footnote w:id="174">
    <w:p w14:paraId="30BA6EEB" w14:textId="77777777" w:rsidR="00692C6C" w:rsidRDefault="005D68E6">
      <w:pPr>
        <w:pStyle w:val="FootnoteText"/>
      </w:pPr>
      <w:r>
        <w:rPr>
          <w:rStyle w:val="FootnoteReference"/>
        </w:rPr>
        <w:footnoteRef/>
      </w:r>
      <w:r>
        <w:t xml:space="preserve"> </w:t>
      </w:r>
      <w:r>
        <w:rPr>
          <w:i/>
          <w:iCs/>
        </w:rPr>
        <w:t>Id.</w:t>
      </w:r>
    </w:p>
  </w:footnote>
  <w:footnote w:id="175">
    <w:p w14:paraId="7B3DFE97" w14:textId="77777777" w:rsidR="00692C6C" w:rsidRDefault="005D68E6">
      <w:pPr>
        <w:pStyle w:val="FootnoteText"/>
      </w:pPr>
      <w:r>
        <w:rPr>
          <w:rStyle w:val="FootnoteReference"/>
        </w:rPr>
        <w:footnoteRef/>
      </w:r>
      <w:r>
        <w:t xml:space="preserve"> </w:t>
      </w:r>
      <w:r>
        <w:rPr>
          <w:i/>
          <w:iCs/>
        </w:rPr>
        <w:t>Id.</w:t>
      </w:r>
    </w:p>
  </w:footnote>
  <w:footnote w:id="176">
    <w:p w14:paraId="145CE32A" w14:textId="77777777" w:rsidR="00692C6C" w:rsidRDefault="005D68E6">
      <w:pPr>
        <w:pStyle w:val="FootnoteText"/>
      </w:pPr>
      <w:r>
        <w:rPr>
          <w:rStyle w:val="FootnoteReference"/>
        </w:rPr>
        <w:footnoteRef/>
      </w:r>
      <w:r>
        <w:t xml:space="preserve"> </w:t>
      </w:r>
      <w:r>
        <w:rPr>
          <w:i/>
          <w:iCs/>
        </w:rPr>
        <w:t>Id.</w:t>
      </w:r>
    </w:p>
  </w:footnote>
  <w:footnote w:id="177">
    <w:p w14:paraId="4A8382EC" w14:textId="77777777" w:rsidR="00692C6C" w:rsidRDefault="005D68E6">
      <w:pPr>
        <w:pStyle w:val="FootnoteText"/>
      </w:pPr>
      <w:r>
        <w:rPr>
          <w:rStyle w:val="FootnoteReference"/>
        </w:rPr>
        <w:footnoteRef/>
      </w:r>
      <w:r>
        <w:t xml:space="preserve"> </w:t>
      </w:r>
      <w:r>
        <w:rPr>
          <w:i/>
          <w:iCs/>
        </w:rPr>
        <w:t>Id.</w:t>
      </w:r>
    </w:p>
  </w:footnote>
  <w:footnote w:id="178">
    <w:p w14:paraId="32426835" w14:textId="77777777" w:rsidR="00692C6C" w:rsidRDefault="005D68E6">
      <w:pPr>
        <w:pStyle w:val="FootnoteText"/>
      </w:pPr>
      <w:r>
        <w:rPr>
          <w:rStyle w:val="FootnoteReference"/>
        </w:rPr>
        <w:footnoteRef/>
      </w:r>
      <w:r>
        <w:t xml:space="preserve"> Bryant, </w:t>
      </w:r>
      <w:r>
        <w:rPr>
          <w:i/>
          <w:iCs/>
        </w:rPr>
        <w:t xml:space="preserve">The Gold Rush, </w:t>
      </w:r>
      <w:r>
        <w:t>Newsweek, April 10, 2000, at 64-5.</w:t>
      </w:r>
    </w:p>
  </w:footnote>
  <w:footnote w:id="179">
    <w:p w14:paraId="38A4963E" w14:textId="77777777" w:rsidR="00692C6C" w:rsidRDefault="005D68E6">
      <w:pPr>
        <w:pStyle w:val="FootnoteText"/>
      </w:pPr>
      <w:r>
        <w:rPr>
          <w:rStyle w:val="FootnoteReference"/>
        </w:rPr>
        <w:footnoteRef/>
      </w:r>
      <w:r>
        <w:t xml:space="preserve"> </w:t>
      </w:r>
      <w:r>
        <w:rPr>
          <w:i/>
          <w:iCs/>
        </w:rPr>
        <w:t>Id.</w:t>
      </w:r>
    </w:p>
  </w:footnote>
  <w:footnote w:id="180">
    <w:p w14:paraId="1D248BF6" w14:textId="77777777" w:rsidR="00692C6C" w:rsidRDefault="005D68E6">
      <w:pPr>
        <w:pStyle w:val="FootnoteText"/>
      </w:pPr>
      <w:r>
        <w:rPr>
          <w:rStyle w:val="FootnoteReference"/>
        </w:rPr>
        <w:footnoteRef/>
      </w:r>
      <w:r>
        <w:t xml:space="preserve"> </w:t>
      </w:r>
      <w:r>
        <w:rPr>
          <w:i/>
          <w:iCs/>
        </w:rPr>
        <w:t xml:space="preserve">See </w:t>
      </w:r>
      <w:r>
        <w:t xml:space="preserve">Begley, </w:t>
      </w:r>
      <w:r>
        <w:rPr>
          <w:i/>
          <w:iCs/>
        </w:rPr>
        <w:t xml:space="preserve">supra </w:t>
      </w:r>
      <w:r>
        <w:t>note 1, at 53.</w:t>
      </w:r>
    </w:p>
  </w:footnote>
  <w:footnote w:id="181">
    <w:p w14:paraId="1E1A2221" w14:textId="77777777" w:rsidR="00692C6C" w:rsidRDefault="005D68E6">
      <w:pPr>
        <w:pStyle w:val="FootnoteText"/>
      </w:pPr>
      <w:r>
        <w:rPr>
          <w:rStyle w:val="FootnoteReference"/>
        </w:rPr>
        <w:footnoteRef/>
      </w:r>
      <w:r>
        <w:t xml:space="preserve"> </w:t>
      </w:r>
      <w:r>
        <w:rPr>
          <w:i/>
          <w:iCs/>
        </w:rPr>
        <w:t xml:space="preserve">See </w:t>
      </w:r>
      <w:r>
        <w:t xml:space="preserve">Bryant &amp; </w:t>
      </w:r>
      <w:r>
        <w:t xml:space="preserve">Beals, </w:t>
      </w:r>
      <w:r>
        <w:rPr>
          <w:i/>
          <w:iCs/>
        </w:rPr>
        <w:t>supra</w:t>
      </w:r>
      <w:r>
        <w:t xml:space="preserve"> note 52.</w:t>
      </w:r>
    </w:p>
  </w:footnote>
  <w:footnote w:id="182">
    <w:p w14:paraId="6B9C0395" w14:textId="77777777" w:rsidR="00692C6C" w:rsidRDefault="005D68E6">
      <w:pPr>
        <w:pStyle w:val="FootnoteText"/>
      </w:pPr>
      <w:r>
        <w:rPr>
          <w:rStyle w:val="FootnoteReference"/>
        </w:rPr>
        <w:footnoteRef/>
      </w:r>
      <w:r>
        <w:t xml:space="preserve"> </w:t>
      </w:r>
      <w:r>
        <w:rPr>
          <w:i/>
          <w:iCs/>
        </w:rPr>
        <w:t>Patenting DNA,</w:t>
      </w:r>
      <w:r>
        <w:t xml:space="preserve"> (visited May 9,2002)&lt;http://www.sciencefriday.com/pages/1999/hour_1102999.html&gt;.</w:t>
      </w:r>
    </w:p>
  </w:footnote>
  <w:footnote w:id="183">
    <w:p w14:paraId="5B4262CA" w14:textId="77777777" w:rsidR="00692C6C" w:rsidRDefault="005D68E6">
      <w:pPr>
        <w:pStyle w:val="FootnoteText"/>
      </w:pPr>
      <w:r>
        <w:rPr>
          <w:rStyle w:val="FootnoteReference"/>
        </w:rPr>
        <w:footnoteRef/>
      </w:r>
      <w:r>
        <w:t xml:space="preserve"> </w:t>
      </w:r>
      <w:r>
        <w:rPr>
          <w:i/>
          <w:iCs/>
        </w:rPr>
        <w:t>Id.</w:t>
      </w:r>
    </w:p>
  </w:footnote>
  <w:footnote w:id="184">
    <w:p w14:paraId="1CD4BC5F" w14:textId="77777777" w:rsidR="00692C6C" w:rsidRDefault="005D68E6">
      <w:pPr>
        <w:pStyle w:val="FootnoteText"/>
      </w:pPr>
      <w:r>
        <w:rPr>
          <w:rStyle w:val="FootnoteReference"/>
        </w:rPr>
        <w:footnoteRef/>
      </w:r>
      <w:r>
        <w:t xml:space="preserve"> </w:t>
      </w:r>
      <w:r>
        <w:rPr>
          <w:i/>
          <w:iCs/>
        </w:rPr>
        <w:t>Id.</w:t>
      </w:r>
    </w:p>
  </w:footnote>
  <w:footnote w:id="185">
    <w:p w14:paraId="284B4BF3" w14:textId="77777777" w:rsidR="00692C6C" w:rsidRDefault="005D68E6">
      <w:pPr>
        <w:pStyle w:val="FootnoteText"/>
      </w:pPr>
      <w:r>
        <w:rPr>
          <w:rStyle w:val="FootnoteReference"/>
        </w:rPr>
        <w:footnoteRef/>
      </w:r>
      <w:r>
        <w:t xml:space="preserve"> </w:t>
      </w:r>
      <w:r>
        <w:rPr>
          <w:i/>
          <w:iCs/>
        </w:rPr>
        <w:t>Id.</w:t>
      </w:r>
    </w:p>
  </w:footnote>
  <w:footnote w:id="186">
    <w:p w14:paraId="6BAD6F09" w14:textId="77777777" w:rsidR="00692C6C" w:rsidRDefault="005D68E6">
      <w:pPr>
        <w:pStyle w:val="FootnoteText"/>
      </w:pPr>
      <w:r>
        <w:rPr>
          <w:rStyle w:val="FootnoteReference"/>
        </w:rPr>
        <w:footnoteRef/>
      </w:r>
      <w:r>
        <w:t xml:space="preserve"> </w:t>
      </w:r>
      <w:r>
        <w:rPr>
          <w:i/>
          <w:iCs/>
        </w:rPr>
        <w:t>Id.</w:t>
      </w:r>
    </w:p>
  </w:footnote>
  <w:footnote w:id="187">
    <w:p w14:paraId="77898A3A" w14:textId="77777777" w:rsidR="00692C6C" w:rsidRDefault="005D68E6">
      <w:pPr>
        <w:pStyle w:val="FootnoteText"/>
      </w:pPr>
      <w:r>
        <w:rPr>
          <w:rStyle w:val="FootnoteReference"/>
        </w:rPr>
        <w:footnoteRef/>
      </w:r>
      <w:r>
        <w:t xml:space="preserve"> </w:t>
      </w:r>
      <w:r>
        <w:rPr>
          <w:i/>
          <w:iCs/>
        </w:rPr>
        <w:t>Id.</w:t>
      </w:r>
    </w:p>
  </w:footnote>
  <w:footnote w:id="188">
    <w:p w14:paraId="7288CAE1" w14:textId="77777777" w:rsidR="00692C6C" w:rsidRDefault="005D68E6">
      <w:pPr>
        <w:pStyle w:val="FootnoteText"/>
      </w:pPr>
      <w:r>
        <w:rPr>
          <w:rStyle w:val="FootnoteReference"/>
        </w:rPr>
        <w:footnoteRef/>
      </w:r>
      <w:r>
        <w:t xml:space="preserve"> </w:t>
      </w:r>
      <w:r>
        <w:rPr>
          <w:i/>
          <w:iCs/>
        </w:rPr>
        <w:t>Id.</w:t>
      </w:r>
    </w:p>
  </w:footnote>
  <w:footnote w:id="189">
    <w:p w14:paraId="04DC04AA" w14:textId="77777777" w:rsidR="00692C6C" w:rsidRDefault="005D68E6">
      <w:pPr>
        <w:pStyle w:val="FootnoteText"/>
      </w:pPr>
      <w:r>
        <w:rPr>
          <w:rStyle w:val="FootnoteReference"/>
        </w:rPr>
        <w:footnoteRef/>
      </w:r>
      <w:r>
        <w:t xml:space="preserve"> </w:t>
      </w:r>
      <w:r>
        <w:rPr>
          <w:i/>
          <w:iCs/>
        </w:rPr>
        <w:t>Id.</w:t>
      </w:r>
    </w:p>
  </w:footnote>
  <w:footnote w:id="190">
    <w:p w14:paraId="07ABA908" w14:textId="77777777" w:rsidR="00692C6C" w:rsidRDefault="005D68E6">
      <w:pPr>
        <w:pStyle w:val="FootnoteText"/>
      </w:pPr>
      <w:r>
        <w:rPr>
          <w:rStyle w:val="FootnoteReference"/>
        </w:rPr>
        <w:footnoteRef/>
      </w:r>
      <w:r>
        <w:t xml:space="preserve"> </w:t>
      </w:r>
      <w:r>
        <w:t xml:space="preserve">Bereano, </w:t>
      </w:r>
      <w:r>
        <w:rPr>
          <w:i/>
          <w:iCs/>
        </w:rPr>
        <w:t xml:space="preserve">supra, </w:t>
      </w:r>
      <w:r>
        <w:t xml:space="preserve">note 18; Borger, </w:t>
      </w:r>
      <w:r>
        <w:rPr>
          <w:i/>
          <w:iCs/>
        </w:rPr>
        <w:t>Rush to Patent Genes is Hampering Medical Research,</w:t>
      </w:r>
      <w:r>
        <w:t xml:space="preserve"> (visited May 19, 2002)&lt;http://www.purefood.org/Patent/rushpatent.cfm&gt;; </w:t>
      </w:r>
      <w:r>
        <w:rPr>
          <w:i/>
          <w:iCs/>
        </w:rPr>
        <w:t xml:space="preserve">see </w:t>
      </w:r>
      <w:r>
        <w:t xml:space="preserve">Begley, </w:t>
      </w:r>
      <w:r>
        <w:rPr>
          <w:i/>
          <w:iCs/>
        </w:rPr>
        <w:t>supra</w:t>
      </w:r>
      <w:r>
        <w:t xml:space="preserve"> note 1 at 52.</w:t>
      </w:r>
    </w:p>
  </w:footnote>
  <w:footnote w:id="191">
    <w:p w14:paraId="5F803F04" w14:textId="77777777" w:rsidR="00692C6C" w:rsidRDefault="005D68E6">
      <w:pPr>
        <w:pStyle w:val="FootnoteText"/>
      </w:pPr>
      <w:r>
        <w:rPr>
          <w:rStyle w:val="FootnoteReference"/>
        </w:rPr>
        <w:footnoteRef/>
      </w:r>
      <w:r>
        <w:t xml:space="preserve"> </w:t>
      </w:r>
      <w:r>
        <w:rPr>
          <w:i/>
          <w:iCs/>
        </w:rPr>
        <w:t>Id.</w:t>
      </w:r>
    </w:p>
  </w:footnote>
  <w:footnote w:id="192">
    <w:p w14:paraId="55FE759C" w14:textId="77777777" w:rsidR="00692C6C" w:rsidRDefault="005D68E6">
      <w:pPr>
        <w:pStyle w:val="FootnoteText"/>
      </w:pPr>
      <w:r>
        <w:rPr>
          <w:rStyle w:val="FootnoteReference"/>
        </w:rPr>
        <w:footnoteRef/>
      </w:r>
      <w:r>
        <w:t xml:space="preserve"> </w:t>
      </w:r>
      <w:r>
        <w:rPr>
          <w:i/>
          <w:iCs/>
        </w:rPr>
        <w:t>Id.</w:t>
      </w:r>
    </w:p>
  </w:footnote>
  <w:footnote w:id="193">
    <w:p w14:paraId="1DF2D6DD" w14:textId="77777777" w:rsidR="00692C6C" w:rsidRDefault="005D68E6">
      <w:pPr>
        <w:pStyle w:val="FootnoteText"/>
      </w:pPr>
      <w:r>
        <w:rPr>
          <w:rStyle w:val="FootnoteReference"/>
        </w:rPr>
        <w:footnoteRef/>
      </w:r>
      <w:r>
        <w:t xml:space="preserve"> Begley, </w:t>
      </w:r>
      <w:r>
        <w:rPr>
          <w:i/>
          <w:iCs/>
        </w:rPr>
        <w:t>supra,</w:t>
      </w:r>
      <w:r>
        <w:t xml:space="preserve"> note 1 at 52.</w:t>
      </w:r>
    </w:p>
  </w:footnote>
  <w:footnote w:id="194">
    <w:p w14:paraId="08299310" w14:textId="77777777" w:rsidR="00692C6C" w:rsidRDefault="005D68E6">
      <w:pPr>
        <w:pStyle w:val="FootnoteText"/>
      </w:pPr>
      <w:r>
        <w:rPr>
          <w:rStyle w:val="FootnoteReference"/>
        </w:rPr>
        <w:footnoteRef/>
      </w:r>
      <w:r>
        <w:t xml:space="preserve"> </w:t>
      </w:r>
      <w:r>
        <w:t xml:space="preserve">Bereano, </w:t>
      </w:r>
      <w:r>
        <w:rPr>
          <w:i/>
          <w:iCs/>
        </w:rPr>
        <w:t xml:space="preserve">supra, </w:t>
      </w:r>
      <w:r>
        <w:t>note 18.</w:t>
      </w:r>
    </w:p>
  </w:footnote>
  <w:footnote w:id="195">
    <w:p w14:paraId="3DFB77D2" w14:textId="77777777" w:rsidR="00692C6C" w:rsidRDefault="005D68E6">
      <w:pPr>
        <w:pStyle w:val="FootnoteText"/>
      </w:pPr>
      <w:r>
        <w:rPr>
          <w:rStyle w:val="FootnoteReference"/>
        </w:rPr>
        <w:footnoteRef/>
      </w:r>
      <w:r>
        <w:t xml:space="preserve"> </w:t>
      </w:r>
      <w:r>
        <w:rPr>
          <w:i/>
          <w:iCs/>
        </w:rPr>
        <w:t>Id.</w:t>
      </w:r>
    </w:p>
  </w:footnote>
  <w:footnote w:id="196">
    <w:p w14:paraId="7330972A" w14:textId="77777777" w:rsidR="00692C6C" w:rsidRDefault="005D68E6">
      <w:pPr>
        <w:pStyle w:val="FootnoteText"/>
      </w:pPr>
      <w:r>
        <w:rPr>
          <w:rStyle w:val="FootnoteReference"/>
        </w:rPr>
        <w:footnoteRef/>
      </w:r>
      <w:r>
        <w:t xml:space="preserve"> </w:t>
      </w:r>
      <w:r>
        <w:rPr>
          <w:i/>
          <w:iCs/>
        </w:rPr>
        <w:t>Id.</w:t>
      </w:r>
    </w:p>
  </w:footnote>
  <w:footnote w:id="197">
    <w:p w14:paraId="2A242B55" w14:textId="77777777" w:rsidR="00692C6C" w:rsidRDefault="005D68E6">
      <w:pPr>
        <w:pStyle w:val="FootnoteText"/>
      </w:pPr>
      <w:r>
        <w:rPr>
          <w:rStyle w:val="FootnoteReference"/>
        </w:rPr>
        <w:footnoteRef/>
      </w:r>
      <w:r>
        <w:t xml:space="preserve"> Borger, </w:t>
      </w:r>
      <w:r>
        <w:rPr>
          <w:i/>
          <w:iCs/>
        </w:rPr>
        <w:t>supra</w:t>
      </w:r>
      <w:r>
        <w:t>, note 190.</w:t>
      </w:r>
    </w:p>
  </w:footnote>
  <w:footnote w:id="198">
    <w:p w14:paraId="489F2622" w14:textId="77777777" w:rsidR="00692C6C" w:rsidRDefault="005D68E6">
      <w:pPr>
        <w:pStyle w:val="FootnoteText"/>
      </w:pPr>
      <w:r>
        <w:rPr>
          <w:rStyle w:val="FootnoteReference"/>
        </w:rPr>
        <w:footnoteRef/>
      </w:r>
      <w:r>
        <w:t xml:space="preserve"> </w:t>
      </w:r>
      <w:r>
        <w:rPr>
          <w:i/>
          <w:iCs/>
        </w:rPr>
        <w:t>Id.; see</w:t>
      </w:r>
      <w:r>
        <w:t xml:space="preserve">, </w:t>
      </w:r>
      <w:r>
        <w:t xml:space="preserve">Boreano, </w:t>
      </w:r>
      <w:r>
        <w:rPr>
          <w:i/>
          <w:iCs/>
        </w:rPr>
        <w:t>supra</w:t>
      </w:r>
      <w:r>
        <w:t>, note 18.</w:t>
      </w:r>
    </w:p>
  </w:footnote>
  <w:footnote w:id="199">
    <w:p w14:paraId="1C86C06B" w14:textId="77777777" w:rsidR="00692C6C" w:rsidRDefault="005D68E6">
      <w:pPr>
        <w:pStyle w:val="FootnoteText"/>
      </w:pPr>
      <w:r>
        <w:rPr>
          <w:rStyle w:val="FootnoteReference"/>
        </w:rPr>
        <w:footnoteRef/>
      </w:r>
      <w:r>
        <w:t xml:space="preserve"> </w:t>
      </w:r>
      <w:r>
        <w:rPr>
          <w:i/>
          <w:iCs/>
        </w:rPr>
        <w:t>Id.</w:t>
      </w:r>
    </w:p>
  </w:footnote>
  <w:footnote w:id="200">
    <w:p w14:paraId="78908915" w14:textId="77777777" w:rsidR="00692C6C" w:rsidRDefault="005D68E6">
      <w:pPr>
        <w:pStyle w:val="FootnoteText"/>
      </w:pPr>
      <w:r>
        <w:rPr>
          <w:rStyle w:val="FootnoteReference"/>
        </w:rPr>
        <w:footnoteRef/>
      </w:r>
      <w:r>
        <w:t xml:space="preserve"> </w:t>
      </w:r>
      <w:r>
        <w:rPr>
          <w:i/>
          <w:iCs/>
        </w:rPr>
        <w:t>Id.</w:t>
      </w:r>
    </w:p>
  </w:footnote>
  <w:footnote w:id="201">
    <w:p w14:paraId="5BE7DE04" w14:textId="77777777" w:rsidR="00692C6C" w:rsidRDefault="005D68E6">
      <w:pPr>
        <w:pStyle w:val="FootnoteText"/>
      </w:pPr>
      <w:r>
        <w:rPr>
          <w:rStyle w:val="FootnoteReference"/>
        </w:rPr>
        <w:footnoteRef/>
      </w:r>
      <w:r>
        <w:t xml:space="preserve"> </w:t>
      </w:r>
      <w:r>
        <w:t>Boreano,</w:t>
      </w:r>
      <w:r>
        <w:rPr>
          <w:i/>
          <w:iCs/>
        </w:rPr>
        <w:t xml:space="preserve"> supra</w:t>
      </w:r>
      <w:r>
        <w:t>, note 18.</w:t>
      </w:r>
    </w:p>
  </w:footnote>
  <w:footnote w:id="202">
    <w:p w14:paraId="693D352A" w14:textId="77777777" w:rsidR="00692C6C" w:rsidRDefault="005D68E6">
      <w:pPr>
        <w:pStyle w:val="FootnoteText"/>
      </w:pPr>
      <w:r>
        <w:rPr>
          <w:rStyle w:val="FootnoteReference"/>
        </w:rPr>
        <w:footnoteRef/>
      </w:r>
      <w:r>
        <w:t xml:space="preserve"> Borger, </w:t>
      </w:r>
      <w:r>
        <w:rPr>
          <w:i/>
          <w:iCs/>
        </w:rPr>
        <w:t>supra</w:t>
      </w:r>
      <w:r>
        <w:t>, note 190.</w:t>
      </w:r>
    </w:p>
  </w:footnote>
  <w:footnote w:id="203">
    <w:p w14:paraId="6C2D73CE" w14:textId="77777777" w:rsidR="00692C6C" w:rsidRDefault="005D68E6">
      <w:pPr>
        <w:pStyle w:val="FootnoteText"/>
      </w:pPr>
      <w:r>
        <w:rPr>
          <w:rStyle w:val="FootnoteReference"/>
        </w:rPr>
        <w:footnoteRef/>
      </w:r>
      <w:r>
        <w:t xml:space="preserve"> </w:t>
      </w:r>
      <w:r>
        <w:rPr>
          <w:i/>
          <w:iCs/>
        </w:rPr>
        <w:t>Id.</w:t>
      </w:r>
    </w:p>
  </w:footnote>
  <w:footnote w:id="204">
    <w:p w14:paraId="26C0A717" w14:textId="77777777" w:rsidR="00692C6C" w:rsidRDefault="005D68E6">
      <w:pPr>
        <w:pStyle w:val="FootnoteText"/>
      </w:pPr>
      <w:r>
        <w:rPr>
          <w:rStyle w:val="FootnoteReference"/>
        </w:rPr>
        <w:footnoteRef/>
      </w:r>
      <w:r>
        <w:t xml:space="preserve"> </w:t>
      </w:r>
      <w:r>
        <w:rPr>
          <w:i/>
          <w:iCs/>
        </w:rPr>
        <w:t>Id.</w:t>
      </w:r>
    </w:p>
  </w:footnote>
  <w:footnote w:id="205">
    <w:p w14:paraId="47D6DD92" w14:textId="77777777" w:rsidR="00692C6C" w:rsidRDefault="005D68E6">
      <w:pPr>
        <w:pStyle w:val="FootnoteText"/>
      </w:pPr>
      <w:r>
        <w:rPr>
          <w:rStyle w:val="FootnoteReference"/>
        </w:rPr>
        <w:footnoteRef/>
      </w:r>
      <w:r>
        <w:t xml:space="preserve"> </w:t>
      </w:r>
      <w:r>
        <w:rPr>
          <w:i/>
          <w:iCs/>
        </w:rPr>
        <w:t>Id.</w:t>
      </w:r>
    </w:p>
  </w:footnote>
  <w:footnote w:id="206">
    <w:p w14:paraId="18FEF711" w14:textId="77777777" w:rsidR="00692C6C" w:rsidRDefault="005D68E6">
      <w:pPr>
        <w:pStyle w:val="FootnoteText"/>
      </w:pPr>
      <w:r>
        <w:rPr>
          <w:rStyle w:val="FootnoteReference"/>
        </w:rPr>
        <w:footnoteRef/>
      </w:r>
      <w:r>
        <w:t xml:space="preserve"> </w:t>
      </w:r>
      <w:r>
        <w:rPr>
          <w:i/>
          <w:iCs/>
        </w:rPr>
        <w:t>Supra</w:t>
      </w:r>
      <w:r>
        <w:t xml:space="preserve">, note 11; </w:t>
      </w:r>
      <w:r>
        <w:rPr>
          <w:i/>
          <w:iCs/>
        </w:rPr>
        <w:t xml:space="preserve">see, </w:t>
      </w:r>
      <w:r>
        <w:t xml:space="preserve">Borger, </w:t>
      </w:r>
      <w:r>
        <w:rPr>
          <w:i/>
          <w:iCs/>
        </w:rPr>
        <w:t>supra</w:t>
      </w:r>
      <w:r>
        <w:t>, note 190 and accompanying text.</w:t>
      </w:r>
    </w:p>
  </w:footnote>
  <w:footnote w:id="207">
    <w:p w14:paraId="08591687" w14:textId="77777777" w:rsidR="00692C6C" w:rsidRDefault="005D68E6">
      <w:pPr>
        <w:pStyle w:val="FootnoteText"/>
      </w:pPr>
      <w:r>
        <w:rPr>
          <w:rStyle w:val="FootnoteReference"/>
        </w:rPr>
        <w:footnoteRef/>
      </w:r>
      <w:r>
        <w:t xml:space="preserve"> </w:t>
      </w:r>
      <w:r>
        <w:rPr>
          <w:i/>
          <w:iCs/>
        </w:rPr>
        <w:t>Id.</w:t>
      </w:r>
    </w:p>
  </w:footnote>
  <w:footnote w:id="208">
    <w:p w14:paraId="5CC1FA3B" w14:textId="77777777" w:rsidR="00692C6C" w:rsidRDefault="005D68E6">
      <w:pPr>
        <w:pStyle w:val="FootnoteText"/>
      </w:pPr>
      <w:r>
        <w:rPr>
          <w:rStyle w:val="FootnoteReference"/>
        </w:rPr>
        <w:footnoteRef/>
      </w:r>
      <w:r>
        <w:t xml:space="preserve"> </w:t>
      </w:r>
      <w:r>
        <w:rPr>
          <w:i/>
          <w:iCs/>
        </w:rPr>
        <w:t>Id.</w:t>
      </w:r>
    </w:p>
  </w:footnote>
  <w:footnote w:id="209">
    <w:p w14:paraId="18A98453" w14:textId="77777777" w:rsidR="00692C6C" w:rsidRDefault="005D68E6">
      <w:pPr>
        <w:pStyle w:val="FootnoteText"/>
      </w:pPr>
      <w:r>
        <w:rPr>
          <w:rStyle w:val="FootnoteReference"/>
        </w:rPr>
        <w:footnoteRef/>
      </w:r>
      <w:r>
        <w:t xml:space="preserve"> </w:t>
      </w:r>
      <w:r>
        <w:rPr>
          <w:i/>
          <w:iCs/>
        </w:rPr>
        <w:t>Id.</w:t>
      </w:r>
    </w:p>
  </w:footnote>
  <w:footnote w:id="210">
    <w:p w14:paraId="3A46244B" w14:textId="77777777" w:rsidR="00692C6C" w:rsidRDefault="005D68E6">
      <w:pPr>
        <w:pStyle w:val="FootnoteText"/>
      </w:pPr>
      <w:r>
        <w:rPr>
          <w:rStyle w:val="FootnoteReference"/>
        </w:rPr>
        <w:footnoteRef/>
      </w:r>
      <w:r>
        <w:t xml:space="preserve"> </w:t>
      </w:r>
      <w:r>
        <w:rPr>
          <w:i/>
          <w:iCs/>
        </w:rPr>
        <w:t>Id.</w:t>
      </w:r>
    </w:p>
  </w:footnote>
  <w:footnote w:id="211">
    <w:p w14:paraId="2FEB174E" w14:textId="77777777" w:rsidR="00692C6C" w:rsidRDefault="005D68E6">
      <w:pPr>
        <w:pStyle w:val="FootnoteText"/>
      </w:pPr>
      <w:r>
        <w:rPr>
          <w:rStyle w:val="FootnoteReference"/>
        </w:rPr>
        <w:footnoteRef/>
      </w:r>
      <w:r>
        <w:t xml:space="preserve"> </w:t>
      </w:r>
      <w:r>
        <w:rPr>
          <w:i/>
          <w:iCs/>
        </w:rPr>
        <w:t>Id.</w:t>
      </w:r>
    </w:p>
  </w:footnote>
  <w:footnote w:id="212">
    <w:p w14:paraId="68E9DECE" w14:textId="77777777" w:rsidR="00692C6C" w:rsidRDefault="005D68E6">
      <w:pPr>
        <w:pStyle w:val="FootnoteText"/>
      </w:pPr>
      <w:r>
        <w:rPr>
          <w:rStyle w:val="FootnoteReference"/>
        </w:rPr>
        <w:footnoteRef/>
      </w:r>
      <w:r>
        <w:t xml:space="preserve"> </w:t>
      </w:r>
      <w:r>
        <w:rPr>
          <w:i/>
          <w:iCs/>
        </w:rPr>
        <w:t>Id.</w:t>
      </w:r>
    </w:p>
  </w:footnote>
  <w:footnote w:id="213">
    <w:p w14:paraId="6F156C02" w14:textId="77777777" w:rsidR="00692C6C" w:rsidRDefault="005D68E6">
      <w:pPr>
        <w:pStyle w:val="FootnoteText"/>
      </w:pPr>
      <w:r>
        <w:rPr>
          <w:rStyle w:val="FootnoteReference"/>
        </w:rPr>
        <w:footnoteRef/>
      </w:r>
      <w:r>
        <w:t xml:space="preserve"> </w:t>
      </w:r>
      <w:r>
        <w:rPr>
          <w:i/>
          <w:iCs/>
        </w:rPr>
        <w:t>Id.</w:t>
      </w:r>
    </w:p>
  </w:footnote>
  <w:footnote w:id="214">
    <w:p w14:paraId="23DD8D80" w14:textId="77777777" w:rsidR="00692C6C" w:rsidRDefault="005D68E6">
      <w:pPr>
        <w:pStyle w:val="FootnoteText"/>
      </w:pPr>
      <w:r>
        <w:rPr>
          <w:rStyle w:val="FootnoteReference"/>
        </w:rPr>
        <w:footnoteRef/>
      </w:r>
      <w:r>
        <w:t xml:space="preserve"> </w:t>
      </w:r>
      <w:r>
        <w:rPr>
          <w:i/>
          <w:iCs/>
        </w:rPr>
        <w:t>Id.</w:t>
      </w:r>
    </w:p>
  </w:footnote>
  <w:footnote w:id="215">
    <w:p w14:paraId="058A3C3F" w14:textId="77777777" w:rsidR="00692C6C" w:rsidRDefault="005D68E6">
      <w:pPr>
        <w:pStyle w:val="FootnoteText"/>
      </w:pPr>
      <w:r>
        <w:rPr>
          <w:rStyle w:val="FootnoteReference"/>
        </w:rPr>
        <w:footnoteRef/>
      </w:r>
      <w:r>
        <w:t xml:space="preserve"> </w:t>
      </w:r>
      <w:r>
        <w:rPr>
          <w:i/>
          <w:iCs/>
        </w:rPr>
        <w:t>Id.</w:t>
      </w:r>
    </w:p>
  </w:footnote>
  <w:footnote w:id="216">
    <w:p w14:paraId="23360113" w14:textId="77777777" w:rsidR="00692C6C" w:rsidRDefault="005D68E6">
      <w:pPr>
        <w:pStyle w:val="FootnoteText"/>
      </w:pPr>
      <w:r>
        <w:rPr>
          <w:rStyle w:val="FootnoteReference"/>
        </w:rPr>
        <w:footnoteRef/>
      </w:r>
      <w:r>
        <w:t xml:space="preserve"> </w:t>
      </w:r>
      <w:r>
        <w:rPr>
          <w:i/>
          <w:iCs/>
        </w:rPr>
        <w:t>Id.</w:t>
      </w:r>
    </w:p>
  </w:footnote>
  <w:footnote w:id="217">
    <w:p w14:paraId="69D3F49D" w14:textId="77777777" w:rsidR="00692C6C" w:rsidRDefault="005D68E6">
      <w:pPr>
        <w:pStyle w:val="FootnoteText"/>
      </w:pPr>
      <w:r>
        <w:rPr>
          <w:rStyle w:val="FootnoteReference"/>
        </w:rPr>
        <w:footnoteRef/>
      </w:r>
      <w:r>
        <w:t xml:space="preserve"> </w:t>
      </w:r>
      <w:r>
        <w:rPr>
          <w:i/>
          <w:iCs/>
        </w:rPr>
        <w:t>Id.</w:t>
      </w:r>
    </w:p>
  </w:footnote>
  <w:footnote w:id="218">
    <w:p w14:paraId="035C2C84" w14:textId="77777777" w:rsidR="00692C6C" w:rsidRDefault="005D68E6">
      <w:pPr>
        <w:pStyle w:val="FootnoteText"/>
      </w:pPr>
      <w:r>
        <w:rPr>
          <w:rStyle w:val="FootnoteReference"/>
        </w:rPr>
        <w:footnoteRef/>
      </w:r>
      <w:r>
        <w:t xml:space="preserve"> </w:t>
      </w:r>
      <w:r>
        <w:rPr>
          <w:i/>
          <w:iCs/>
        </w:rPr>
        <w:t>Id.</w:t>
      </w:r>
    </w:p>
  </w:footnote>
  <w:footnote w:id="219">
    <w:p w14:paraId="022472A3" w14:textId="77777777" w:rsidR="00692C6C" w:rsidRDefault="005D68E6">
      <w:pPr>
        <w:pStyle w:val="FootnoteText"/>
      </w:pPr>
      <w:r>
        <w:rPr>
          <w:rStyle w:val="FootnoteReference"/>
        </w:rPr>
        <w:footnoteRef/>
      </w:r>
      <w:r>
        <w:t xml:space="preserve"> </w:t>
      </w:r>
      <w:r>
        <w:rPr>
          <w:i/>
          <w:iCs/>
        </w:rPr>
        <w:t>Id.</w:t>
      </w:r>
    </w:p>
  </w:footnote>
  <w:footnote w:id="220">
    <w:p w14:paraId="4B4E90E9" w14:textId="77777777" w:rsidR="00692C6C" w:rsidRDefault="005D68E6">
      <w:pPr>
        <w:pStyle w:val="FootnoteText"/>
      </w:pPr>
      <w:r>
        <w:rPr>
          <w:rStyle w:val="FootnoteReference"/>
        </w:rPr>
        <w:footnoteRef/>
      </w:r>
      <w:r>
        <w:t xml:space="preserve"> </w:t>
      </w:r>
      <w:r>
        <w:rPr>
          <w:i/>
          <w:iCs/>
        </w:rPr>
        <w:t>Id.</w:t>
      </w:r>
    </w:p>
  </w:footnote>
  <w:footnote w:id="221">
    <w:p w14:paraId="201A0F3E" w14:textId="77777777" w:rsidR="00692C6C" w:rsidRDefault="005D68E6">
      <w:pPr>
        <w:pStyle w:val="FootnoteText"/>
      </w:pPr>
      <w:r>
        <w:rPr>
          <w:rStyle w:val="FootnoteReference"/>
        </w:rPr>
        <w:footnoteRef/>
      </w:r>
      <w:r>
        <w:t xml:space="preserve"> </w:t>
      </w:r>
      <w:r>
        <w:rPr>
          <w:i/>
          <w:iCs/>
        </w:rPr>
        <w:t>Id.</w:t>
      </w:r>
    </w:p>
  </w:footnote>
  <w:footnote w:id="222">
    <w:p w14:paraId="22C78AC7" w14:textId="77777777" w:rsidR="00692C6C" w:rsidRDefault="005D68E6">
      <w:pPr>
        <w:pStyle w:val="FootnoteText"/>
      </w:pPr>
      <w:r>
        <w:rPr>
          <w:rStyle w:val="FootnoteReference"/>
        </w:rPr>
        <w:footnoteRef/>
      </w:r>
      <w:r>
        <w:t xml:space="preserve"> </w:t>
      </w:r>
      <w:r>
        <w:rPr>
          <w:i/>
          <w:iCs/>
        </w:rPr>
        <w:t>Id.</w:t>
      </w:r>
    </w:p>
  </w:footnote>
  <w:footnote w:id="223">
    <w:p w14:paraId="5C23B22F" w14:textId="77777777" w:rsidR="00692C6C" w:rsidRDefault="005D68E6">
      <w:pPr>
        <w:pStyle w:val="FootnoteText"/>
      </w:pPr>
      <w:r>
        <w:rPr>
          <w:rStyle w:val="FootnoteReference"/>
        </w:rPr>
        <w:footnoteRef/>
      </w:r>
      <w:r>
        <w:t xml:space="preserve"> </w:t>
      </w:r>
      <w:r>
        <w:rPr>
          <w:i/>
          <w:iCs/>
        </w:rPr>
        <w:t>Id.</w:t>
      </w:r>
    </w:p>
  </w:footnote>
  <w:footnote w:id="224">
    <w:p w14:paraId="60779043" w14:textId="77777777" w:rsidR="00692C6C" w:rsidRDefault="005D68E6">
      <w:pPr>
        <w:pStyle w:val="FootnoteText"/>
      </w:pPr>
      <w:r>
        <w:rPr>
          <w:rStyle w:val="FootnoteReference"/>
        </w:rPr>
        <w:footnoteRef/>
      </w:r>
      <w:r>
        <w:t xml:space="preserve"> </w:t>
      </w:r>
      <w:r>
        <w:rPr>
          <w:i/>
          <w:iCs/>
        </w:rPr>
        <w:t>Id.</w:t>
      </w:r>
    </w:p>
  </w:footnote>
  <w:footnote w:id="225">
    <w:p w14:paraId="65E6365A" w14:textId="77777777" w:rsidR="00692C6C" w:rsidRDefault="005D68E6">
      <w:pPr>
        <w:pStyle w:val="FootnoteText"/>
      </w:pPr>
      <w:r>
        <w:rPr>
          <w:rStyle w:val="FootnoteReference"/>
        </w:rPr>
        <w:footnoteRef/>
      </w:r>
      <w:r>
        <w:t xml:space="preserve"> </w:t>
      </w:r>
      <w:r>
        <w:rPr>
          <w:i/>
          <w:iCs/>
        </w:rPr>
        <w:t>Id.</w:t>
      </w:r>
    </w:p>
  </w:footnote>
  <w:footnote w:id="226">
    <w:p w14:paraId="4BBFF6A2" w14:textId="77777777" w:rsidR="00692C6C" w:rsidRDefault="005D68E6">
      <w:pPr>
        <w:pStyle w:val="FootnoteText"/>
      </w:pPr>
      <w:r>
        <w:rPr>
          <w:rStyle w:val="FootnoteReference"/>
        </w:rPr>
        <w:footnoteRef/>
      </w:r>
      <w:r>
        <w:t xml:space="preserve"> </w:t>
      </w:r>
      <w:r>
        <w:rPr>
          <w:i/>
          <w:iCs/>
        </w:rPr>
        <w:t>Id.</w:t>
      </w:r>
    </w:p>
  </w:footnote>
  <w:footnote w:id="227">
    <w:p w14:paraId="1E6579D3" w14:textId="77777777" w:rsidR="00692C6C" w:rsidRDefault="005D68E6">
      <w:pPr>
        <w:pStyle w:val="FootnoteText"/>
      </w:pPr>
      <w:r>
        <w:rPr>
          <w:rStyle w:val="FootnoteReference"/>
        </w:rPr>
        <w:footnoteRef/>
      </w:r>
      <w:r>
        <w:t xml:space="preserve"> </w:t>
      </w:r>
      <w:r>
        <w:rPr>
          <w:i/>
          <w:iCs/>
        </w:rPr>
        <w:t>Id.</w:t>
      </w:r>
    </w:p>
  </w:footnote>
  <w:footnote w:id="228">
    <w:p w14:paraId="35FF4661" w14:textId="77777777" w:rsidR="00692C6C" w:rsidRDefault="005D68E6">
      <w:pPr>
        <w:pStyle w:val="FootnoteText"/>
      </w:pPr>
      <w:r>
        <w:rPr>
          <w:rStyle w:val="FootnoteReference"/>
        </w:rPr>
        <w:footnoteRef/>
      </w:r>
      <w:r>
        <w:t xml:space="preserve"> </w:t>
      </w:r>
      <w:r>
        <w:rPr>
          <w:i/>
          <w:iCs/>
        </w:rPr>
        <w:t>Id.</w:t>
      </w:r>
    </w:p>
  </w:footnote>
  <w:footnote w:id="229">
    <w:p w14:paraId="1D3BCFF5" w14:textId="77777777" w:rsidR="00692C6C" w:rsidRDefault="005D68E6">
      <w:pPr>
        <w:pStyle w:val="FootnoteText"/>
      </w:pPr>
      <w:r>
        <w:rPr>
          <w:rStyle w:val="FootnoteReference"/>
        </w:rPr>
        <w:footnoteRef/>
      </w:r>
      <w:r>
        <w:t xml:space="preserve"> Borger, </w:t>
      </w:r>
      <w:r>
        <w:rPr>
          <w:i/>
          <w:iCs/>
        </w:rPr>
        <w:t>supra</w:t>
      </w:r>
      <w:r>
        <w:t>, note 190.</w:t>
      </w:r>
    </w:p>
  </w:footnote>
  <w:footnote w:id="230">
    <w:p w14:paraId="1AA59FE1" w14:textId="77777777" w:rsidR="00692C6C" w:rsidRDefault="005D68E6">
      <w:pPr>
        <w:pStyle w:val="FootnoteText"/>
      </w:pPr>
      <w:r>
        <w:rPr>
          <w:rStyle w:val="FootnoteReference"/>
        </w:rPr>
        <w:footnoteRef/>
      </w:r>
      <w:r>
        <w:t xml:space="preserve"> </w:t>
      </w:r>
      <w:r>
        <w:rPr>
          <w:i/>
          <w:iCs/>
        </w:rPr>
        <w:t>Supra</w:t>
      </w:r>
      <w:r>
        <w:t>, note 11.</w:t>
      </w:r>
    </w:p>
  </w:footnote>
  <w:footnote w:id="231">
    <w:p w14:paraId="5EF34537" w14:textId="77777777" w:rsidR="00692C6C" w:rsidRDefault="005D68E6">
      <w:pPr>
        <w:pStyle w:val="FootnoteText"/>
      </w:pPr>
      <w:r>
        <w:rPr>
          <w:rStyle w:val="FootnoteReference"/>
        </w:rPr>
        <w:footnoteRef/>
      </w:r>
      <w:r>
        <w:t xml:space="preserve"> </w:t>
      </w:r>
      <w:r>
        <w:rPr>
          <w:i/>
          <w:iCs/>
        </w:rPr>
        <w:t>Id.</w:t>
      </w:r>
    </w:p>
  </w:footnote>
  <w:footnote w:id="232">
    <w:p w14:paraId="35B33DF3" w14:textId="77777777" w:rsidR="00692C6C" w:rsidRDefault="005D68E6">
      <w:r>
        <w:rPr>
          <w:rStyle w:val="FootnoteReference"/>
        </w:rPr>
        <w:footnoteRef/>
      </w:r>
      <w:r>
        <w:t xml:space="preserve"> </w:t>
      </w:r>
      <w:r>
        <w:rPr>
          <w:i/>
          <w:iCs/>
        </w:rPr>
        <w:t>See supra</w:t>
      </w:r>
      <w:r>
        <w:t xml:space="preserve">, note 2 and accompanying text.  </w:t>
      </w:r>
    </w:p>
  </w:footnote>
  <w:footnote w:id="233">
    <w:p w14:paraId="385C6D7E" w14:textId="77777777" w:rsidR="00692C6C" w:rsidRDefault="005D68E6">
      <w:pPr>
        <w:pStyle w:val="FootnoteText"/>
      </w:pPr>
      <w:r>
        <w:rPr>
          <w:rStyle w:val="FootnoteReference"/>
        </w:rPr>
        <w:footnoteRef/>
      </w:r>
      <w:r>
        <w:t xml:space="preserve"> </w:t>
      </w:r>
      <w:r>
        <w:rPr>
          <w:i/>
          <w:iCs/>
        </w:rPr>
        <w:t>Id.</w:t>
      </w:r>
      <w:r>
        <w:t xml:space="preserve"> </w:t>
      </w:r>
    </w:p>
  </w:footnote>
  <w:footnote w:id="234">
    <w:p w14:paraId="4CE148EC" w14:textId="77777777" w:rsidR="00692C6C" w:rsidRDefault="005D68E6">
      <w:pPr>
        <w:pStyle w:val="FootnoteText"/>
      </w:pPr>
      <w:r>
        <w:rPr>
          <w:rStyle w:val="FootnoteReference"/>
        </w:rPr>
        <w:footnoteRef/>
      </w:r>
      <w:r>
        <w:t xml:space="preserve"> </w:t>
      </w:r>
      <w:r>
        <w:rPr>
          <w:i/>
          <w:iCs/>
        </w:rPr>
        <w:t>Id.</w:t>
      </w:r>
    </w:p>
  </w:footnote>
  <w:footnote w:id="235">
    <w:p w14:paraId="79B770E1" w14:textId="77777777" w:rsidR="00692C6C" w:rsidRDefault="005D68E6">
      <w:pPr>
        <w:pStyle w:val="FootnoteText"/>
      </w:pPr>
      <w:r>
        <w:rPr>
          <w:rStyle w:val="FootnoteReference"/>
        </w:rPr>
        <w:footnoteRef/>
      </w:r>
      <w:r>
        <w:t xml:space="preserve"> </w:t>
      </w:r>
      <w:r>
        <w:rPr>
          <w:i/>
          <w:iCs/>
        </w:rPr>
        <w:t>Id.</w:t>
      </w:r>
    </w:p>
  </w:footnote>
  <w:footnote w:id="236">
    <w:p w14:paraId="0D725E34" w14:textId="77777777" w:rsidR="00692C6C" w:rsidRDefault="005D68E6">
      <w:pPr>
        <w:pStyle w:val="FootnoteText"/>
      </w:pPr>
      <w:r>
        <w:rPr>
          <w:rStyle w:val="FootnoteReference"/>
        </w:rPr>
        <w:footnoteRef/>
      </w:r>
      <w:r>
        <w:t xml:space="preserve"> </w:t>
      </w:r>
      <w:r>
        <w:rPr>
          <w:i/>
          <w:iCs/>
        </w:rPr>
        <w:t>Id.</w:t>
      </w:r>
    </w:p>
  </w:footnote>
  <w:footnote w:id="237">
    <w:p w14:paraId="7794AB1B" w14:textId="77777777" w:rsidR="00692C6C" w:rsidRDefault="005D68E6">
      <w:pPr>
        <w:pStyle w:val="FootnoteText"/>
      </w:pPr>
      <w:r>
        <w:rPr>
          <w:rStyle w:val="FootnoteReference"/>
        </w:rPr>
        <w:footnoteRef/>
      </w:r>
      <w:r>
        <w:t xml:space="preserve"> Nucleotide Sequence of the </w:t>
      </w:r>
      <w:r>
        <w:t>Haemophilus influenzea Rd Genome, Fragments thereof, and Uses Thereof, WO 96/33276, PCT/US96/05320 (international patent application filed under the Patent Cooperation Treaty on October 24, 1996).</w:t>
      </w:r>
    </w:p>
  </w:footnote>
  <w:footnote w:id="238">
    <w:p w14:paraId="1D75302F" w14:textId="77777777" w:rsidR="00692C6C" w:rsidRDefault="005D68E6">
      <w:r>
        <w:rPr>
          <w:rStyle w:val="FootnoteReference"/>
        </w:rPr>
        <w:footnoteRef/>
      </w:r>
      <w:r>
        <w:t xml:space="preserve"> </w:t>
      </w:r>
      <w:r>
        <w:rPr>
          <w:i/>
          <w:iCs/>
        </w:rPr>
        <w:t>See</w:t>
      </w:r>
      <w:r>
        <w:t xml:space="preserve"> Fleischmann et al., </w:t>
      </w:r>
      <w:r>
        <w:rPr>
          <w:i/>
          <w:iCs/>
        </w:rPr>
        <w:t xml:space="preserve">Whole-Genome Random Sequencing and Assembly of </w:t>
      </w:r>
      <w:r>
        <w:rPr>
          <w:i/>
          <w:iCs/>
        </w:rPr>
        <w:t>Haemophilus influenzae Rd.</w:t>
      </w:r>
      <w:r>
        <w:t>, 269 Science 496 (1995).</w:t>
      </w:r>
    </w:p>
  </w:footnote>
  <w:footnote w:id="239">
    <w:p w14:paraId="33C63AD7" w14:textId="77777777" w:rsidR="00692C6C" w:rsidRDefault="005D68E6">
      <w:pPr>
        <w:pStyle w:val="FootnoteText"/>
      </w:pPr>
      <w:r>
        <w:rPr>
          <w:rStyle w:val="FootnoteReference"/>
        </w:rPr>
        <w:footnoteRef/>
      </w:r>
      <w:r>
        <w:t xml:space="preserve"> Eisenberg, </w:t>
      </w:r>
      <w:r>
        <w:rPr>
          <w:i/>
          <w:iCs/>
        </w:rPr>
        <w:t>supra</w:t>
      </w:r>
      <w:r>
        <w:t xml:space="preserve"> note 10, at 790.</w:t>
      </w:r>
    </w:p>
  </w:footnote>
  <w:footnote w:id="240">
    <w:p w14:paraId="56CC13AF" w14:textId="77777777" w:rsidR="00692C6C" w:rsidRDefault="005D68E6">
      <w:pPr>
        <w:pStyle w:val="FootnoteText"/>
      </w:pPr>
      <w:r>
        <w:rPr>
          <w:rStyle w:val="FootnoteReference"/>
        </w:rPr>
        <w:footnoteRef/>
      </w:r>
      <w:r>
        <w:t xml:space="preserve"> </w:t>
      </w:r>
      <w:r>
        <w:rPr>
          <w:i/>
          <w:iCs/>
        </w:rPr>
        <w:t>See supra</w:t>
      </w:r>
      <w:r>
        <w:t xml:space="preserve"> note 42; </w:t>
      </w:r>
      <w:r>
        <w:rPr>
          <w:i/>
          <w:iCs/>
        </w:rPr>
        <w:t>Id.</w:t>
      </w:r>
    </w:p>
  </w:footnote>
  <w:footnote w:id="241">
    <w:p w14:paraId="6E1C08A6" w14:textId="77777777" w:rsidR="00692C6C" w:rsidRDefault="005D68E6">
      <w:pPr>
        <w:pStyle w:val="FootnoteText"/>
      </w:pPr>
      <w:r>
        <w:rPr>
          <w:rStyle w:val="FootnoteReference"/>
        </w:rPr>
        <w:footnoteRef/>
      </w:r>
      <w:r>
        <w:t xml:space="preserve"> Eisenberg, </w:t>
      </w:r>
      <w:r>
        <w:rPr>
          <w:i/>
          <w:iCs/>
        </w:rPr>
        <w:t>supra</w:t>
      </w:r>
      <w:r>
        <w:t xml:space="preserve"> note 10, at 790.</w:t>
      </w:r>
    </w:p>
  </w:footnote>
  <w:footnote w:id="242">
    <w:p w14:paraId="4484AD9C" w14:textId="77777777" w:rsidR="00692C6C" w:rsidRDefault="005D68E6">
      <w:r>
        <w:rPr>
          <w:rStyle w:val="FootnoteReference"/>
        </w:rPr>
        <w:footnoteRef/>
      </w:r>
      <w:r>
        <w:t xml:space="preserve"> AT&amp;T Corp. v. Excel Communications, Inc., 172 F.3d 1352, 1356 (1999). </w:t>
      </w:r>
      <w:r>
        <w:rPr>
          <w:i/>
          <w:iCs/>
        </w:rPr>
        <w:t xml:space="preserve">See </w:t>
      </w:r>
      <w:r>
        <w:t xml:space="preserve">Thomas, </w:t>
      </w:r>
      <w:r>
        <w:rPr>
          <w:i/>
          <w:iCs/>
        </w:rPr>
        <w:t>The Post-Industrial Patent System</w:t>
      </w:r>
      <w:r>
        <w:t xml:space="preserve">, 10 Fordham </w:t>
      </w:r>
      <w:r>
        <w:t>Intell. Prop. Media &amp; Ent. L.J. 3 (1999).</w:t>
      </w:r>
    </w:p>
  </w:footnote>
  <w:footnote w:id="243">
    <w:p w14:paraId="31050354" w14:textId="77777777" w:rsidR="00692C6C" w:rsidRDefault="005D68E6">
      <w:r>
        <w:rPr>
          <w:rStyle w:val="FootnoteReference"/>
        </w:rPr>
        <w:footnoteRef/>
      </w:r>
      <w:r>
        <w:t xml:space="preserve"> 149 F.3d 1368 (Fed. Cir. 1998), cert. denied, 525 U.S. 1093 (1999).</w:t>
      </w:r>
    </w:p>
  </w:footnote>
  <w:footnote w:id="244">
    <w:p w14:paraId="285D7633" w14:textId="77777777" w:rsidR="00692C6C" w:rsidRDefault="005D68E6">
      <w:r>
        <w:rPr>
          <w:rStyle w:val="FootnoteReference"/>
        </w:rPr>
        <w:footnoteRef/>
      </w:r>
      <w:r>
        <w:t xml:space="preserve"> </w:t>
      </w:r>
      <w:r>
        <w:rPr>
          <w:i/>
          <w:iCs/>
        </w:rPr>
        <w:t>Id.</w:t>
      </w:r>
      <w:r>
        <w:t xml:space="preserve"> at 1373; </w:t>
      </w:r>
      <w:r>
        <w:rPr>
          <w:i/>
          <w:iCs/>
        </w:rPr>
        <w:t>See, e.g</w:t>
      </w:r>
      <w:r>
        <w:t xml:space="preserve">., In re </w:t>
      </w:r>
      <w:r>
        <w:t xml:space="preserve">Alappat, 33 F.3d 1526 (Fed. Cir. 1994)(the exclusion of mathematical algorithms from patent protection </w:t>
      </w:r>
      <w:r>
        <w:t xml:space="preserve">substantially restricted by prior decisions). </w:t>
      </w:r>
    </w:p>
  </w:footnote>
  <w:footnote w:id="245">
    <w:p w14:paraId="248C3D59" w14:textId="77777777" w:rsidR="00692C6C" w:rsidRDefault="005D68E6">
      <w:r>
        <w:rPr>
          <w:rStyle w:val="FootnoteReference"/>
        </w:rPr>
        <w:footnoteRef/>
      </w:r>
      <w:r>
        <w:t xml:space="preserve"> </w:t>
      </w:r>
      <w:r>
        <w:rPr>
          <w:i/>
          <w:iCs/>
        </w:rPr>
        <w:t>Id.</w:t>
      </w:r>
      <w:r>
        <w:t xml:space="preserve"> at 1375-76.</w:t>
      </w:r>
    </w:p>
  </w:footnote>
  <w:footnote w:id="246">
    <w:p w14:paraId="331A495D" w14:textId="77777777" w:rsidR="00692C6C" w:rsidRDefault="005D68E6">
      <w:pPr>
        <w:pStyle w:val="FootnoteText"/>
      </w:pPr>
      <w:r>
        <w:rPr>
          <w:rStyle w:val="FootnoteReference"/>
        </w:rPr>
        <w:footnoteRef/>
      </w:r>
      <w:r>
        <w:t xml:space="preserve"> </w:t>
      </w:r>
      <w:r>
        <w:rPr>
          <w:i/>
          <w:iCs/>
        </w:rPr>
        <w:t>Id.</w:t>
      </w:r>
    </w:p>
  </w:footnote>
  <w:footnote w:id="247">
    <w:p w14:paraId="127D39F2" w14:textId="77777777" w:rsidR="00692C6C" w:rsidRDefault="005D68E6">
      <w:r>
        <w:rPr>
          <w:rStyle w:val="FootnoteReference"/>
        </w:rPr>
        <w:footnoteRef/>
      </w:r>
      <w:r>
        <w:t xml:space="preserve"> Excel Communications, 172 F.3d at 1355 (citing Diamond v. </w:t>
      </w:r>
      <w:r>
        <w:t xml:space="preserve">Diehr, 450 U.S. 175, 185 (1981)) </w:t>
      </w:r>
    </w:p>
  </w:footnote>
  <w:footnote w:id="248">
    <w:p w14:paraId="6924C57D" w14:textId="77777777" w:rsidR="00692C6C" w:rsidRDefault="005D68E6">
      <w:pPr>
        <w:pStyle w:val="FootnoteText"/>
      </w:pPr>
      <w:r>
        <w:rPr>
          <w:rStyle w:val="FootnoteReference"/>
        </w:rPr>
        <w:footnoteRef/>
      </w:r>
      <w:r>
        <w:t xml:space="preserve"> </w:t>
      </w:r>
      <w:r>
        <w:rPr>
          <w:i/>
          <w:iCs/>
        </w:rPr>
        <w:t>Id.</w:t>
      </w:r>
    </w:p>
  </w:footnote>
  <w:footnote w:id="249">
    <w:p w14:paraId="42B93EAD" w14:textId="77777777" w:rsidR="00692C6C" w:rsidRDefault="005D68E6">
      <w:r>
        <w:rPr>
          <w:rStyle w:val="FootnoteReference"/>
        </w:rPr>
        <w:footnoteRef/>
      </w:r>
      <w:r>
        <w:t xml:space="preserve"> Examination Guidelines for Computer-Related Inventions, 61 Fed. Reg. 7478 (1996).</w:t>
      </w:r>
    </w:p>
  </w:footnote>
  <w:footnote w:id="250">
    <w:p w14:paraId="57A64CC3" w14:textId="77777777" w:rsidR="00692C6C" w:rsidRDefault="005D68E6">
      <w:r>
        <w:rPr>
          <w:rStyle w:val="FootnoteReference"/>
        </w:rPr>
        <w:footnoteRef/>
      </w:r>
      <w:r>
        <w:t xml:space="preserve"> </w:t>
      </w:r>
      <w:r>
        <w:rPr>
          <w:i/>
          <w:iCs/>
        </w:rPr>
        <w:t>Id</w:t>
      </w:r>
      <w:r>
        <w:t xml:space="preserve">. at 1583; </w:t>
      </w:r>
      <w:r>
        <w:rPr>
          <w:i/>
          <w:iCs/>
        </w:rPr>
        <w:t xml:space="preserve">See </w:t>
      </w:r>
      <w:r>
        <w:t>In re Lowry, 32 F.3d 1579 (Fed. Cir. 1994)(the court drew a distinction between claiming information content and claiming a functional structure for managing information).</w:t>
      </w:r>
    </w:p>
  </w:footnote>
  <w:footnote w:id="251">
    <w:p w14:paraId="21DBAD7B" w14:textId="77777777" w:rsidR="00692C6C" w:rsidRDefault="005D68E6">
      <w:r>
        <w:rPr>
          <w:rStyle w:val="FootnoteReference"/>
        </w:rPr>
        <w:footnoteRef/>
      </w:r>
      <w:r>
        <w:t xml:space="preserve"> Examination Guidelines for Computer-Related Inventions, 61 Fed. Reg. at</w:t>
      </w:r>
      <w:r>
        <w:br/>
        <w:t xml:space="preserve">7478; </w:t>
      </w:r>
      <w:r>
        <w:rPr>
          <w:i/>
          <w:iCs/>
        </w:rPr>
        <w:t>See</w:t>
      </w:r>
      <w:r>
        <w:t xml:space="preserve"> In re </w:t>
      </w:r>
      <w:r>
        <w:t>Alappat, 33 F.3d 1526 (Fed. Cir. 1996)(this qualification in the Guidelines responds to a rhetorical question where a majority of the court upheld the patentability of a claim to a computer-implemented mechanism for improving the quality of a picture in an oscilloscope).</w:t>
      </w:r>
    </w:p>
  </w:footnote>
  <w:footnote w:id="252">
    <w:p w14:paraId="039B1CF5" w14:textId="77777777" w:rsidR="00692C6C" w:rsidRDefault="005D68E6">
      <w:pPr>
        <w:pStyle w:val="FootnoteText"/>
      </w:pPr>
      <w:r>
        <w:rPr>
          <w:rStyle w:val="FootnoteReference"/>
        </w:rPr>
        <w:footnoteRef/>
      </w:r>
      <w:r>
        <w:t xml:space="preserve"> Eisenberg, </w:t>
      </w:r>
      <w:r>
        <w:rPr>
          <w:i/>
          <w:iCs/>
        </w:rPr>
        <w:t>supra</w:t>
      </w:r>
      <w:r>
        <w:t xml:space="preserve"> note 10, at 793.</w:t>
      </w:r>
    </w:p>
  </w:footnote>
  <w:footnote w:id="253">
    <w:p w14:paraId="70B28B3D" w14:textId="77777777" w:rsidR="00692C6C" w:rsidRDefault="005D68E6">
      <w:r>
        <w:rPr>
          <w:rStyle w:val="FootnoteReference"/>
        </w:rPr>
        <w:footnoteRef/>
      </w:r>
      <w:r>
        <w:t xml:space="preserve"> 172 F.3d 1352, 1359-60 (Fed. Cir. 1999).</w:t>
      </w:r>
    </w:p>
  </w:footnote>
  <w:footnote w:id="254">
    <w:p w14:paraId="0C9491C2" w14:textId="77777777" w:rsidR="00692C6C" w:rsidRDefault="005D68E6">
      <w:pPr>
        <w:pStyle w:val="FootnoteText"/>
      </w:pPr>
      <w:r>
        <w:rPr>
          <w:rStyle w:val="FootnoteReference"/>
        </w:rPr>
        <w:footnoteRef/>
      </w:r>
      <w:r>
        <w:t xml:space="preserve"> </w:t>
      </w:r>
      <w:r>
        <w:rPr>
          <w:i/>
          <w:iCs/>
        </w:rPr>
        <w:t>Id.</w:t>
      </w:r>
    </w:p>
  </w:footnote>
  <w:footnote w:id="255">
    <w:p w14:paraId="3AA876D9" w14:textId="77777777" w:rsidR="00692C6C" w:rsidRDefault="005D68E6">
      <w:r>
        <w:rPr>
          <w:rStyle w:val="FootnoteReference"/>
        </w:rPr>
        <w:footnoteRef/>
      </w:r>
      <w:r>
        <w:t xml:space="preserve"> </w:t>
      </w:r>
      <w:r>
        <w:rPr>
          <w:i/>
          <w:iCs/>
        </w:rPr>
        <w:t>Id</w:t>
      </w:r>
      <w:r>
        <w:t>. at 1360.</w:t>
      </w:r>
    </w:p>
  </w:footnote>
  <w:footnote w:id="256">
    <w:p w14:paraId="6BE44596" w14:textId="77777777" w:rsidR="00692C6C" w:rsidRDefault="005D68E6">
      <w:r>
        <w:rPr>
          <w:rStyle w:val="FootnoteReference"/>
        </w:rPr>
        <w:footnoteRef/>
      </w:r>
      <w:r>
        <w:t xml:space="preserve"> See </w:t>
      </w:r>
      <w:r>
        <w:rPr>
          <w:i/>
          <w:iCs/>
        </w:rPr>
        <w:t>supra</w:t>
      </w:r>
      <w:r>
        <w:t xml:space="preserve"> notes 43-4 and accompanying text. </w:t>
      </w:r>
    </w:p>
  </w:footnote>
  <w:footnote w:id="257">
    <w:p w14:paraId="2F4E74C5" w14:textId="77777777" w:rsidR="00692C6C" w:rsidRDefault="005D68E6">
      <w:pPr>
        <w:pStyle w:val="FootnoteText"/>
      </w:pPr>
      <w:r>
        <w:rPr>
          <w:rStyle w:val="FootnoteReference"/>
        </w:rPr>
        <w:footnoteRef/>
      </w:r>
      <w:r>
        <w:t xml:space="preserve"> Eisenberg, </w:t>
      </w:r>
      <w:r>
        <w:rPr>
          <w:i/>
          <w:iCs/>
        </w:rPr>
        <w:t>supra</w:t>
      </w:r>
      <w:r>
        <w:t xml:space="preserve"> note 10, at 795.</w:t>
      </w:r>
    </w:p>
  </w:footnote>
  <w:footnote w:id="258">
    <w:p w14:paraId="6FE264FB" w14:textId="77777777" w:rsidR="00692C6C" w:rsidRDefault="005D68E6">
      <w:pPr>
        <w:pStyle w:val="FootnoteText"/>
      </w:pPr>
      <w:r>
        <w:rPr>
          <w:rStyle w:val="FootnoteReference"/>
        </w:rPr>
        <w:footnoteRef/>
      </w:r>
      <w:r>
        <w:t xml:space="preserve"> </w:t>
      </w:r>
      <w:r>
        <w:rPr>
          <w:i/>
          <w:iCs/>
        </w:rPr>
        <w:t>Id.</w:t>
      </w:r>
    </w:p>
  </w:footnote>
  <w:footnote w:id="259">
    <w:p w14:paraId="5B48F2F5" w14:textId="77777777" w:rsidR="00692C6C" w:rsidRDefault="005D68E6">
      <w:pPr>
        <w:pStyle w:val="FootnoteText"/>
      </w:pPr>
      <w:r>
        <w:rPr>
          <w:rStyle w:val="FootnoteReference"/>
        </w:rPr>
        <w:footnoteRef/>
      </w:r>
      <w:r>
        <w:t xml:space="preserve"> </w:t>
      </w:r>
      <w:r>
        <w:rPr>
          <w:i/>
          <w:iCs/>
        </w:rPr>
        <w:t>Id.</w:t>
      </w:r>
    </w:p>
  </w:footnote>
  <w:footnote w:id="260">
    <w:p w14:paraId="189D91EC" w14:textId="77777777" w:rsidR="00692C6C" w:rsidRDefault="005D68E6">
      <w:pPr>
        <w:pStyle w:val="FootnoteText"/>
      </w:pPr>
      <w:r>
        <w:rPr>
          <w:rStyle w:val="FootnoteReference"/>
        </w:rPr>
        <w:footnoteRef/>
      </w:r>
      <w:r>
        <w:t xml:space="preserve"> </w:t>
      </w:r>
      <w:r>
        <w:rPr>
          <w:i/>
          <w:iCs/>
        </w:rPr>
        <w:t>Id.</w:t>
      </w:r>
    </w:p>
  </w:footnote>
  <w:footnote w:id="261">
    <w:p w14:paraId="6FF3DA4E" w14:textId="77777777" w:rsidR="00692C6C" w:rsidRDefault="005D68E6">
      <w:pPr>
        <w:pStyle w:val="FootnoteText"/>
      </w:pPr>
      <w:r>
        <w:rPr>
          <w:rStyle w:val="FootnoteReference"/>
        </w:rPr>
        <w:footnoteRef/>
      </w:r>
      <w:r>
        <w:t xml:space="preserve"> </w:t>
      </w:r>
      <w:r>
        <w:rPr>
          <w:i/>
          <w:iCs/>
        </w:rPr>
        <w:t>Id.</w:t>
      </w:r>
      <w:r>
        <w:t>.</w:t>
      </w:r>
    </w:p>
  </w:footnote>
  <w:footnote w:id="262">
    <w:p w14:paraId="790ADECA" w14:textId="77777777" w:rsidR="00692C6C" w:rsidRDefault="005D68E6">
      <w:pPr>
        <w:pStyle w:val="FootnoteText"/>
      </w:pPr>
      <w:r>
        <w:rPr>
          <w:rStyle w:val="FootnoteReference"/>
        </w:rPr>
        <w:footnoteRef/>
      </w:r>
      <w:r>
        <w:t xml:space="preserve"> Eisenberg, </w:t>
      </w:r>
      <w:r>
        <w:rPr>
          <w:i/>
          <w:iCs/>
        </w:rPr>
        <w:t>supra</w:t>
      </w:r>
      <w:r>
        <w:t xml:space="preserve"> note 10, at 796.</w:t>
      </w:r>
    </w:p>
  </w:footnote>
  <w:footnote w:id="263">
    <w:p w14:paraId="3111E059" w14:textId="77777777" w:rsidR="00692C6C" w:rsidRDefault="005D68E6">
      <w:pPr>
        <w:pStyle w:val="FootnoteText"/>
      </w:pPr>
      <w:r>
        <w:rPr>
          <w:rStyle w:val="FootnoteReference"/>
        </w:rPr>
        <w:footnoteRef/>
      </w:r>
      <w:r>
        <w:t xml:space="preserve"> </w:t>
      </w:r>
      <w:r>
        <w:rPr>
          <w:i/>
          <w:iCs/>
        </w:rPr>
        <w:t>Id.</w:t>
      </w:r>
    </w:p>
  </w:footnote>
  <w:footnote w:id="264">
    <w:p w14:paraId="15D87EA4" w14:textId="77777777" w:rsidR="00692C6C" w:rsidRDefault="005D68E6">
      <w:r>
        <w:rPr>
          <w:rStyle w:val="FootnoteReference"/>
        </w:rPr>
        <w:footnoteRef/>
      </w:r>
      <w:r>
        <w:t xml:space="preserve"> 17 U.S.C. 107 (1994); S</w:t>
      </w:r>
      <w:r>
        <w:rPr>
          <w:i/>
          <w:iCs/>
        </w:rPr>
        <w:t>ee</w:t>
      </w:r>
      <w:r>
        <w:t xml:space="preserve"> O'Rourke, </w:t>
      </w:r>
      <w:r>
        <w:rPr>
          <w:i/>
          <w:iCs/>
        </w:rPr>
        <w:t>Towards a Doctrine of Fair Use in Patent Law</w:t>
      </w:r>
      <w:r>
        <w:t>, 100 Colum. L. Rev. 1177 (2000)(analysis of whether the fair use doctrine makes sense in the patent system).</w:t>
      </w:r>
    </w:p>
  </w:footnote>
  <w:footnote w:id="265">
    <w:p w14:paraId="2D7F17EC" w14:textId="77777777" w:rsidR="00692C6C" w:rsidRDefault="005D68E6">
      <w:r>
        <w:rPr>
          <w:rStyle w:val="FootnoteReference"/>
        </w:rPr>
        <w:footnoteRef/>
      </w:r>
      <w:r>
        <w:t xml:space="preserve"> Roche Prods., Inc. v. </w:t>
      </w:r>
      <w:r>
        <w:t xml:space="preserve">Bolar Pharmaceuticals, Inc., 733 F.2d 858, 863 (Fed. Cir. 1984); Eisenberg, </w:t>
      </w:r>
      <w:r>
        <w:rPr>
          <w:i/>
          <w:iCs/>
        </w:rPr>
        <w:t>Patents and the Progress of Science: Exclusive Rights and Experimental Use</w:t>
      </w:r>
      <w:r>
        <w:t>, 56 U. Chi. L. Rev. 1017 (1989).</w:t>
      </w:r>
    </w:p>
  </w:footnote>
  <w:footnote w:id="266">
    <w:p w14:paraId="7FC57101" w14:textId="77777777" w:rsidR="00692C6C" w:rsidRDefault="005D68E6">
      <w:r>
        <w:rPr>
          <w:rStyle w:val="FootnoteReference"/>
        </w:rPr>
        <w:footnoteRef/>
      </w:r>
      <w:r>
        <w:t xml:space="preserve"> </w:t>
      </w:r>
      <w:r>
        <w:rPr>
          <w:i/>
          <w:iCs/>
        </w:rPr>
        <w:t>See</w:t>
      </w:r>
      <w:r>
        <w:t xml:space="preserve"> 2 Goldstein, Copyright 7.1.1, at 7:2 (2d ed. 1996)("Infringement turns strictly on proof of copying and improper appropriation."); </w:t>
      </w:r>
      <w:r>
        <w:rPr>
          <w:i/>
          <w:iCs/>
        </w:rPr>
        <w:t>See</w:t>
      </w:r>
      <w:r>
        <w:t xml:space="preserve">, </w:t>
      </w:r>
      <w:r>
        <w:rPr>
          <w:i/>
          <w:iCs/>
        </w:rPr>
        <w:t>e.g.</w:t>
      </w:r>
      <w:r>
        <w:t xml:space="preserve">, Chicago Lock Co. v. </w:t>
      </w:r>
      <w:r>
        <w:t>Fanberg, 676 F.2d 400, 404 (9th Cir.</w:t>
      </w:r>
      <w:r>
        <w:br/>
        <w:t>1982).</w:t>
      </w:r>
    </w:p>
  </w:footnote>
  <w:footnote w:id="267">
    <w:p w14:paraId="548D1D03" w14:textId="77777777" w:rsidR="00692C6C" w:rsidRDefault="005D68E6">
      <w:pPr>
        <w:pStyle w:val="FootnoteText"/>
      </w:pPr>
      <w:r>
        <w:rPr>
          <w:rStyle w:val="FootnoteReference"/>
        </w:rPr>
        <w:footnoteRef/>
      </w:r>
      <w:r>
        <w:t xml:space="preserve"> </w:t>
      </w:r>
      <w:r>
        <w:rPr>
          <w:i/>
          <w:iCs/>
        </w:rPr>
        <w:t>See</w:t>
      </w:r>
      <w:r>
        <w:t xml:space="preserve"> Kewanee Oil v. </w:t>
      </w:r>
      <w:r>
        <w:t>Bicron, 416 U.S. 470, 490 (1974); Rockwell Graphic Sys., Inc. v. DEV Indus., Inc., 925 F.2d 174, 178 (7th Cir. 1991).</w:t>
      </w:r>
    </w:p>
  </w:footnote>
  <w:footnote w:id="268">
    <w:p w14:paraId="449EDA6D" w14:textId="77777777" w:rsidR="00692C6C" w:rsidRDefault="005D68E6">
      <w:r>
        <w:rPr>
          <w:rStyle w:val="FootnoteReference"/>
        </w:rPr>
        <w:footnoteRef/>
      </w:r>
      <w:r>
        <w:t xml:space="preserve"> The new rule, applicable to U.S. patents issued on the basis of patent applications filed after June 8,</w:t>
      </w:r>
      <w:r>
        <w:br/>
        <w:t>1995, provides for expiration 20 years after their filing dates</w:t>
      </w:r>
      <w:r w:rsidR="00251B83">
        <w:t xml:space="preserve">. 35 U.S.C. 154 (a)(2) (1994); </w:t>
      </w:r>
      <w:r>
        <w:t xml:space="preserve">35 U.S.C. 112 (1994)(requirement for full disclosure). </w:t>
      </w:r>
    </w:p>
  </w:footnote>
  <w:footnote w:id="269">
    <w:p w14:paraId="1D2E5560" w14:textId="77777777" w:rsidR="00692C6C" w:rsidRDefault="005D68E6">
      <w:pPr>
        <w:pStyle w:val="FootnoteText"/>
      </w:pPr>
      <w:r>
        <w:rPr>
          <w:rStyle w:val="FootnoteReference"/>
        </w:rPr>
        <w:footnoteRef/>
      </w:r>
      <w:r>
        <w:t xml:space="preserve"> Eisenberg, </w:t>
      </w:r>
      <w:r>
        <w:rPr>
          <w:i/>
          <w:iCs/>
        </w:rPr>
        <w:t>supra</w:t>
      </w:r>
      <w:r>
        <w:t xml:space="preserve"> note 10, at 797.</w:t>
      </w:r>
    </w:p>
  </w:footnote>
  <w:footnote w:id="270">
    <w:p w14:paraId="158E0C2F" w14:textId="77777777" w:rsidR="00692C6C" w:rsidRDefault="005D68E6">
      <w:pPr>
        <w:pStyle w:val="FootnoteText"/>
      </w:pPr>
      <w:r>
        <w:rPr>
          <w:rStyle w:val="FootnoteReference"/>
        </w:rPr>
        <w:footnoteRef/>
      </w:r>
      <w:r>
        <w:t xml:space="preserve"> </w:t>
      </w:r>
      <w:r>
        <w:rPr>
          <w:i/>
          <w:iCs/>
        </w:rPr>
        <w:t>Id.</w:t>
      </w:r>
    </w:p>
  </w:footnote>
  <w:footnote w:id="271">
    <w:p w14:paraId="0576256B" w14:textId="77777777" w:rsidR="00692C6C" w:rsidRDefault="005D68E6">
      <w:pPr>
        <w:pStyle w:val="FootnoteText"/>
      </w:pPr>
      <w:r>
        <w:rPr>
          <w:rStyle w:val="FootnoteReference"/>
        </w:rPr>
        <w:footnoteRef/>
      </w:r>
      <w:r>
        <w:t xml:space="preserve"> </w:t>
      </w:r>
      <w:r>
        <w:rPr>
          <w:i/>
          <w:iCs/>
        </w:rPr>
        <w:t>Id.</w:t>
      </w:r>
    </w:p>
  </w:footnote>
  <w:footnote w:id="272">
    <w:p w14:paraId="20863225" w14:textId="77777777" w:rsidR="00692C6C" w:rsidRDefault="005D68E6">
      <w:pPr>
        <w:pStyle w:val="FootnoteText"/>
      </w:pPr>
      <w:r>
        <w:rPr>
          <w:rStyle w:val="FootnoteReference"/>
        </w:rPr>
        <w:footnoteRef/>
      </w:r>
      <w:r>
        <w:t xml:space="preserve"> </w:t>
      </w:r>
      <w:r>
        <w:rPr>
          <w:i/>
          <w:iCs/>
        </w:rPr>
        <w:t>Id.</w:t>
      </w:r>
    </w:p>
  </w:footnote>
  <w:footnote w:id="273">
    <w:p w14:paraId="573E78BA" w14:textId="77777777" w:rsidR="00692C6C" w:rsidRDefault="005D68E6">
      <w:pPr>
        <w:pStyle w:val="FootnoteText"/>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D1FC8" w14:textId="77777777" w:rsidR="005D68E6" w:rsidRDefault="005D68E6">
    <w:pPr>
      <w:widowControl w:val="0"/>
      <w:tabs>
        <w:tab w:val="center" w:pos="4320"/>
        <w:tab w:val="right" w:pos="8640"/>
      </w:tabs>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ABEE" w14:textId="77777777" w:rsidR="005D68E6" w:rsidRDefault="005D68E6">
    <w:pPr>
      <w:widowControl w:val="0"/>
      <w:tabs>
        <w:tab w:val="center" w:pos="4320"/>
        <w:tab w:val="right" w:pos="8640"/>
      </w:tabs>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95"/>
    <w:rsid w:val="0004102B"/>
    <w:rsid w:val="00051BE3"/>
    <w:rsid w:val="0005628A"/>
    <w:rsid w:val="0006274A"/>
    <w:rsid w:val="00064B40"/>
    <w:rsid w:val="00076C0E"/>
    <w:rsid w:val="0008278B"/>
    <w:rsid w:val="000B60B8"/>
    <w:rsid w:val="000E6A2A"/>
    <w:rsid w:val="001076A3"/>
    <w:rsid w:val="00120254"/>
    <w:rsid w:val="00156825"/>
    <w:rsid w:val="00165F44"/>
    <w:rsid w:val="00170C65"/>
    <w:rsid w:val="001B1E04"/>
    <w:rsid w:val="001B3136"/>
    <w:rsid w:val="001B5644"/>
    <w:rsid w:val="001D688E"/>
    <w:rsid w:val="0020099B"/>
    <w:rsid w:val="00236845"/>
    <w:rsid w:val="00236D82"/>
    <w:rsid w:val="00242B57"/>
    <w:rsid w:val="00243CED"/>
    <w:rsid w:val="00245AE5"/>
    <w:rsid w:val="00251B83"/>
    <w:rsid w:val="00257474"/>
    <w:rsid w:val="00266159"/>
    <w:rsid w:val="00270D93"/>
    <w:rsid w:val="00272EAA"/>
    <w:rsid w:val="002A0388"/>
    <w:rsid w:val="002A5EFA"/>
    <w:rsid w:val="002B0BF4"/>
    <w:rsid w:val="002C166D"/>
    <w:rsid w:val="002D68CE"/>
    <w:rsid w:val="002E6705"/>
    <w:rsid w:val="002F0C05"/>
    <w:rsid w:val="002F27FA"/>
    <w:rsid w:val="00321E64"/>
    <w:rsid w:val="003268BB"/>
    <w:rsid w:val="0034443A"/>
    <w:rsid w:val="003640EE"/>
    <w:rsid w:val="00384403"/>
    <w:rsid w:val="003933D5"/>
    <w:rsid w:val="003A2067"/>
    <w:rsid w:val="003F3B8F"/>
    <w:rsid w:val="003F4FDD"/>
    <w:rsid w:val="003F5A32"/>
    <w:rsid w:val="00412473"/>
    <w:rsid w:val="004159D8"/>
    <w:rsid w:val="004332F6"/>
    <w:rsid w:val="0044297C"/>
    <w:rsid w:val="00442A4A"/>
    <w:rsid w:val="004637C0"/>
    <w:rsid w:val="004722FE"/>
    <w:rsid w:val="00476368"/>
    <w:rsid w:val="00491FA1"/>
    <w:rsid w:val="00495BF2"/>
    <w:rsid w:val="004D7747"/>
    <w:rsid w:val="0050165C"/>
    <w:rsid w:val="00504488"/>
    <w:rsid w:val="00517EEA"/>
    <w:rsid w:val="0054168F"/>
    <w:rsid w:val="00561EDC"/>
    <w:rsid w:val="00563759"/>
    <w:rsid w:val="00564293"/>
    <w:rsid w:val="005677E5"/>
    <w:rsid w:val="00577893"/>
    <w:rsid w:val="00584BEE"/>
    <w:rsid w:val="00591C2D"/>
    <w:rsid w:val="005C1090"/>
    <w:rsid w:val="005D5A46"/>
    <w:rsid w:val="005D68E6"/>
    <w:rsid w:val="005D6C61"/>
    <w:rsid w:val="005E30CD"/>
    <w:rsid w:val="006072BE"/>
    <w:rsid w:val="006130E0"/>
    <w:rsid w:val="00627785"/>
    <w:rsid w:val="00652D05"/>
    <w:rsid w:val="00667324"/>
    <w:rsid w:val="006879B1"/>
    <w:rsid w:val="006900C0"/>
    <w:rsid w:val="00692C6C"/>
    <w:rsid w:val="006A0095"/>
    <w:rsid w:val="006C5DED"/>
    <w:rsid w:val="006E53FD"/>
    <w:rsid w:val="006F4956"/>
    <w:rsid w:val="00700DBE"/>
    <w:rsid w:val="007131E0"/>
    <w:rsid w:val="00723D78"/>
    <w:rsid w:val="00725ECB"/>
    <w:rsid w:val="00727803"/>
    <w:rsid w:val="00735F29"/>
    <w:rsid w:val="00740DE1"/>
    <w:rsid w:val="007760C0"/>
    <w:rsid w:val="007966D4"/>
    <w:rsid w:val="007A0759"/>
    <w:rsid w:val="007A2352"/>
    <w:rsid w:val="007A4CCE"/>
    <w:rsid w:val="007C5C13"/>
    <w:rsid w:val="007E2328"/>
    <w:rsid w:val="007F303F"/>
    <w:rsid w:val="00807D62"/>
    <w:rsid w:val="00822118"/>
    <w:rsid w:val="00846983"/>
    <w:rsid w:val="0087425A"/>
    <w:rsid w:val="008836D6"/>
    <w:rsid w:val="0089511C"/>
    <w:rsid w:val="00896764"/>
    <w:rsid w:val="008C76E1"/>
    <w:rsid w:val="008E0593"/>
    <w:rsid w:val="008F266A"/>
    <w:rsid w:val="00926162"/>
    <w:rsid w:val="00961C65"/>
    <w:rsid w:val="009636ED"/>
    <w:rsid w:val="009663B0"/>
    <w:rsid w:val="00972E38"/>
    <w:rsid w:val="0098104B"/>
    <w:rsid w:val="00984790"/>
    <w:rsid w:val="009D5BD6"/>
    <w:rsid w:val="009D6B40"/>
    <w:rsid w:val="009E2003"/>
    <w:rsid w:val="009E2FF9"/>
    <w:rsid w:val="009E3F56"/>
    <w:rsid w:val="00A13702"/>
    <w:rsid w:val="00A27F75"/>
    <w:rsid w:val="00A87206"/>
    <w:rsid w:val="00AC28D0"/>
    <w:rsid w:val="00AC5EB5"/>
    <w:rsid w:val="00B0027E"/>
    <w:rsid w:val="00B1017A"/>
    <w:rsid w:val="00B37C5C"/>
    <w:rsid w:val="00B45A28"/>
    <w:rsid w:val="00B46EE9"/>
    <w:rsid w:val="00B52723"/>
    <w:rsid w:val="00B64FB5"/>
    <w:rsid w:val="00B675B3"/>
    <w:rsid w:val="00BC7805"/>
    <w:rsid w:val="00BD1B48"/>
    <w:rsid w:val="00BD3F33"/>
    <w:rsid w:val="00BF4D65"/>
    <w:rsid w:val="00C1139B"/>
    <w:rsid w:val="00C116D4"/>
    <w:rsid w:val="00C365D0"/>
    <w:rsid w:val="00C464E8"/>
    <w:rsid w:val="00C84028"/>
    <w:rsid w:val="00C840F7"/>
    <w:rsid w:val="00CC0F4B"/>
    <w:rsid w:val="00CD3E4E"/>
    <w:rsid w:val="00CE2ED8"/>
    <w:rsid w:val="00CF0FA1"/>
    <w:rsid w:val="00CF2391"/>
    <w:rsid w:val="00D255FC"/>
    <w:rsid w:val="00D47479"/>
    <w:rsid w:val="00D656DD"/>
    <w:rsid w:val="00D76D5E"/>
    <w:rsid w:val="00D95501"/>
    <w:rsid w:val="00DB3408"/>
    <w:rsid w:val="00DC3C89"/>
    <w:rsid w:val="00DC68E2"/>
    <w:rsid w:val="00DD0A40"/>
    <w:rsid w:val="00DE2654"/>
    <w:rsid w:val="00E35BA6"/>
    <w:rsid w:val="00E53D81"/>
    <w:rsid w:val="00E765C1"/>
    <w:rsid w:val="00E960C4"/>
    <w:rsid w:val="00EA2A40"/>
    <w:rsid w:val="00EA3CAA"/>
    <w:rsid w:val="00EA63FC"/>
    <w:rsid w:val="00EA6978"/>
    <w:rsid w:val="00EA75E6"/>
    <w:rsid w:val="00EB0F9F"/>
    <w:rsid w:val="00EE0E0A"/>
    <w:rsid w:val="00F0450E"/>
    <w:rsid w:val="00F105F5"/>
    <w:rsid w:val="00F41065"/>
    <w:rsid w:val="00F45257"/>
    <w:rsid w:val="00F514DA"/>
    <w:rsid w:val="00F5161A"/>
    <w:rsid w:val="00F53AB1"/>
    <w:rsid w:val="00F61364"/>
    <w:rsid w:val="00F77516"/>
    <w:rsid w:val="00F77597"/>
    <w:rsid w:val="00F85022"/>
    <w:rsid w:val="00F94D7D"/>
    <w:rsid w:val="00FA12D6"/>
    <w:rsid w:val="00FA2CD6"/>
    <w:rsid w:val="00FA315D"/>
    <w:rsid w:val="00FD06F2"/>
    <w:rsid w:val="00FF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1F3FAFA"/>
  <w14:defaultImageDpi w14:val="0"/>
  <w15:docId w15:val="{F0BA466A-D0A4-9F47-A81E-AAA9D874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character" w:styleId="EndnoteReference">
    <w:name w:val="endnote reference"/>
    <w:basedOn w:val="DefaultParagraphFont"/>
    <w:uiPriority w:val="99"/>
    <w:rPr>
      <w:rFonts w:cs="Times New Roman"/>
      <w:vertAlign w:val="superscript"/>
    </w:rPr>
  </w:style>
  <w:style w:type="paragraph" w:styleId="BalloonText">
    <w:name w:val="Balloon Text"/>
    <w:basedOn w:val="Normal"/>
    <w:link w:val="BalloonTextChar"/>
    <w:uiPriority w:val="99"/>
    <w:semiHidden/>
    <w:unhideWhenUsed/>
    <w:rsid w:val="007760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760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11993</Words>
  <Characters>68365</Characters>
  <Application>Microsoft Office Word</Application>
  <DocSecurity>0</DocSecurity>
  <Lines>569</Lines>
  <Paragraphs>160</Paragraphs>
  <ScaleCrop>false</ScaleCrop>
  <Company> </Company>
  <LinksUpToDate>false</LinksUpToDate>
  <CharactersWithSpaces>80198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Westphal</dc:creator>
  <cp:keywords/>
  <dc:description/>
  <cp:lastModifiedBy>Edward Westphal</cp:lastModifiedBy>
  <cp:revision>2</cp:revision>
  <cp:lastPrinted>2002-11-25T15:04:00Z</cp:lastPrinted>
  <dcterms:created xsi:type="dcterms:W3CDTF">2018-10-17T01:12:00Z</dcterms:created>
  <dcterms:modified xsi:type="dcterms:W3CDTF">2018-10-17T01:12:00Z</dcterms:modified>
</cp:coreProperties>
</file>