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F4F08" w14:textId="77777777" w:rsidR="001852E4" w:rsidRDefault="00000000">
      <w:pPr>
        <w:widowControl w:val="0"/>
        <w:jc w:val="center"/>
        <w:rPr>
          <w:rFonts w:ascii="Times New Roman" w:hAnsi="Times New Roman"/>
          <w:b/>
          <w:bCs/>
        </w:rPr>
      </w:pPr>
      <w:bookmarkStart w:id="0" w:name="_Hlk173313059"/>
      <w:r>
        <w:rPr>
          <w:rFonts w:ascii="Times New Roman" w:hAnsi="Times New Roman"/>
          <w:b/>
          <w:bCs/>
        </w:rPr>
        <w:t>Appendix S1 – Estimating the citrate content of various blood components</w:t>
      </w:r>
    </w:p>
    <w:p w14:paraId="38A7CD4F" w14:textId="77777777" w:rsidR="001852E4" w:rsidRDefault="001852E4">
      <w:pPr>
        <w:widowControl w:val="0"/>
        <w:jc w:val="center"/>
        <w:rPr>
          <w:rFonts w:ascii="Times New Roman" w:hAnsi="Times New Roman"/>
          <w:sz w:val="20"/>
          <w:szCs w:val="20"/>
        </w:rPr>
      </w:pPr>
    </w:p>
    <w:p w14:paraId="1D3D8591" w14:textId="53CAFD59" w:rsidR="00F10F8B" w:rsidRPr="00D362BA" w:rsidRDefault="0000000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Standardized citrate loads per unit of whole blood (WB), packed red blood cells (</w:t>
      </w:r>
      <w:proofErr w:type="spellStart"/>
      <w:r>
        <w:rPr>
          <w:rFonts w:ascii="Times New Roman" w:hAnsi="Times New Roman"/>
        </w:rPr>
        <w:t>pRBC</w:t>
      </w:r>
      <w:proofErr w:type="spellEnd"/>
      <w:r>
        <w:rPr>
          <w:rFonts w:ascii="Times New Roman" w:hAnsi="Times New Roman"/>
        </w:rPr>
        <w:t xml:space="preserve">), fresh frozen plasma (FFP) or equivalent, platelets, and </w:t>
      </w:r>
      <w:proofErr w:type="spellStart"/>
      <w:r>
        <w:rPr>
          <w:rFonts w:ascii="Times New Roman" w:hAnsi="Times New Roman"/>
        </w:rPr>
        <w:t>cryoprecipitated</w:t>
      </w:r>
      <w:proofErr w:type="spellEnd"/>
      <w:r>
        <w:rPr>
          <w:rFonts w:ascii="Times New Roman" w:hAnsi="Times New Roman"/>
        </w:rPr>
        <w:t xml:space="preserve"> antihemophilic factor (</w:t>
      </w:r>
      <w:proofErr w:type="spellStart"/>
      <w:r w:rsidR="00155EA7">
        <w:rPr>
          <w:rFonts w:ascii="Times New Roman" w:hAnsi="Times New Roman"/>
        </w:rPr>
        <w:t>C</w:t>
      </w:r>
      <w:r>
        <w:rPr>
          <w:rFonts w:ascii="Times New Roman" w:hAnsi="Times New Roman"/>
        </w:rPr>
        <w:t>ryo</w:t>
      </w:r>
      <w:proofErr w:type="spellEnd"/>
      <w:r>
        <w:rPr>
          <w:rFonts w:ascii="Times New Roman" w:hAnsi="Times New Roman"/>
        </w:rPr>
        <w:t>) were sought.</w:t>
      </w:r>
      <w:r w:rsidR="00F10F8B">
        <w:rPr>
          <w:rFonts w:ascii="Times New Roman" w:hAnsi="Times New Roman"/>
        </w:rPr>
        <w:t xml:space="preserve"> WB is derived from donor phlebotomy. </w:t>
      </w:r>
      <w:proofErr w:type="spellStart"/>
      <w:r w:rsidR="00F10F8B">
        <w:rPr>
          <w:rFonts w:ascii="Times New Roman" w:hAnsi="Times New Roman"/>
        </w:rPr>
        <w:t>pRBCs</w:t>
      </w:r>
      <w:proofErr w:type="spellEnd"/>
      <w:r w:rsidR="00F10F8B">
        <w:rPr>
          <w:rFonts w:ascii="Times New Roman" w:hAnsi="Times New Roman"/>
        </w:rPr>
        <w:t xml:space="preserve"> and plasma products may be derived from WB or from apheresis collections. Platelets in this stud</w:t>
      </w:r>
      <w:r w:rsidR="00F10F8B" w:rsidRPr="00D362BA">
        <w:rPr>
          <w:rFonts w:ascii="Times New Roman" w:hAnsi="Times New Roman"/>
        </w:rPr>
        <w:t>y were all derived from apheresis. Cryoprecipitate is generally only manufactured from plasma derived from WB collection.</w:t>
      </w:r>
    </w:p>
    <w:p w14:paraId="2EFC861E" w14:textId="77777777" w:rsidR="00F10F8B" w:rsidRPr="00D362BA" w:rsidRDefault="00F10F8B">
      <w:pPr>
        <w:spacing w:line="480" w:lineRule="auto"/>
        <w:rPr>
          <w:rFonts w:ascii="Times New Roman" w:hAnsi="Times New Roman"/>
        </w:rPr>
      </w:pPr>
    </w:p>
    <w:p w14:paraId="2F7A273F" w14:textId="6292E22E" w:rsidR="00F10F8B" w:rsidRPr="00D362BA" w:rsidRDefault="00F10F8B">
      <w:pPr>
        <w:spacing w:line="480" w:lineRule="auto"/>
        <w:rPr>
          <w:rFonts w:ascii="Times New Roman" w:hAnsi="Times New Roman"/>
          <w:b/>
        </w:rPr>
      </w:pPr>
      <w:r w:rsidRPr="00D362BA">
        <w:rPr>
          <w:rFonts w:ascii="Times New Roman" w:hAnsi="Times New Roman"/>
          <w:b/>
        </w:rPr>
        <w:t>Methodology</w:t>
      </w:r>
    </w:p>
    <w:p w14:paraId="187C1CA7" w14:textId="55D38A0A" w:rsidR="001852E4" w:rsidRPr="00D362BA" w:rsidRDefault="00F10F8B">
      <w:pPr>
        <w:spacing w:line="480" w:lineRule="auto"/>
        <w:rPr>
          <w:rFonts w:ascii="Times New Roman" w:hAnsi="Times New Roman"/>
        </w:rPr>
      </w:pPr>
      <w:r w:rsidRPr="00D362BA">
        <w:rPr>
          <w:rFonts w:ascii="Times New Roman" w:hAnsi="Times New Roman"/>
        </w:rPr>
        <w:t xml:space="preserve">The citrate content of each preservative and additive solution was obtained from the </w:t>
      </w:r>
      <w:r w:rsidR="007E0D6F" w:rsidRPr="00D362BA">
        <w:rPr>
          <w:rFonts w:ascii="Times New Roman" w:hAnsi="Times New Roman"/>
        </w:rPr>
        <w:t>manufacturer’s</w:t>
      </w:r>
      <w:r w:rsidRPr="00D362BA">
        <w:rPr>
          <w:rFonts w:ascii="Times New Roman" w:hAnsi="Times New Roman"/>
        </w:rPr>
        <w:t xml:space="preserve"> </w:t>
      </w:r>
      <w:r w:rsidR="00155EA7" w:rsidRPr="00D362BA">
        <w:rPr>
          <w:rFonts w:ascii="Times New Roman" w:hAnsi="Times New Roman"/>
        </w:rPr>
        <w:t xml:space="preserve">reagent bag </w:t>
      </w:r>
      <w:r w:rsidRPr="00D362BA">
        <w:rPr>
          <w:rFonts w:ascii="Times New Roman" w:hAnsi="Times New Roman"/>
        </w:rPr>
        <w:t>label</w:t>
      </w:r>
      <w:r w:rsidR="00155EA7" w:rsidRPr="00D362BA">
        <w:rPr>
          <w:rFonts w:ascii="Times New Roman" w:hAnsi="Times New Roman"/>
        </w:rPr>
        <w:t>s</w:t>
      </w:r>
      <w:r w:rsidRPr="00D362BA">
        <w:rPr>
          <w:rFonts w:ascii="Times New Roman" w:hAnsi="Times New Roman"/>
        </w:rPr>
        <w:t xml:space="preserve"> and the </w:t>
      </w:r>
      <w:r w:rsidR="009B29B8" w:rsidRPr="00D362BA">
        <w:rPr>
          <w:rFonts w:ascii="Times New Roman" w:hAnsi="Times New Roman"/>
        </w:rPr>
        <w:t xml:space="preserve">package inserts approved by the </w:t>
      </w:r>
      <w:r w:rsidR="00155EA7" w:rsidRPr="00D362BA">
        <w:rPr>
          <w:rFonts w:ascii="Times New Roman" w:hAnsi="Times New Roman"/>
        </w:rPr>
        <w:t>US Food and Drug Administration</w:t>
      </w:r>
      <w:r w:rsidR="00865D86" w:rsidRPr="00D362BA">
        <w:rPr>
          <w:rFonts w:ascii="Times New Roman" w:hAnsi="Times New Roman"/>
          <w:vertAlign w:val="superscript"/>
        </w:rPr>
        <w:t>1</w:t>
      </w:r>
      <w:r w:rsidRPr="00D362BA">
        <w:rPr>
          <w:rFonts w:ascii="Times New Roman" w:hAnsi="Times New Roman"/>
        </w:rPr>
        <w:t>, which were found to be concordant</w:t>
      </w:r>
      <w:r w:rsidR="008F52BB" w:rsidRPr="00D362BA">
        <w:rPr>
          <w:rFonts w:ascii="Times New Roman" w:hAnsi="Times New Roman"/>
        </w:rPr>
        <w:t xml:space="preserve"> (Supplemental Table 1)</w:t>
      </w:r>
      <w:r w:rsidRPr="00D362BA">
        <w:rPr>
          <w:rFonts w:ascii="Times New Roman" w:hAnsi="Times New Roman"/>
        </w:rPr>
        <w:t>.</w:t>
      </w:r>
      <w:r w:rsidR="009B29B8" w:rsidRPr="00D362BA">
        <w:rPr>
          <w:rFonts w:ascii="Times New Roman" w:hAnsi="Times New Roman"/>
        </w:rPr>
        <w:t xml:space="preserve"> The most recent edition of the Technical Manual to include the citrate content of blood products</w:t>
      </w:r>
      <w:r w:rsidR="00865D86" w:rsidRPr="00D362BA">
        <w:rPr>
          <w:rFonts w:ascii="Times New Roman" w:hAnsi="Times New Roman"/>
          <w:vertAlign w:val="superscript"/>
        </w:rPr>
        <w:t>2</w:t>
      </w:r>
      <w:r w:rsidR="009B29B8" w:rsidRPr="00D362BA">
        <w:rPr>
          <w:rFonts w:ascii="Times New Roman" w:hAnsi="Times New Roman"/>
        </w:rPr>
        <w:t xml:space="preserve"> and the Circular of </w:t>
      </w:r>
      <w:r w:rsidR="0094694C" w:rsidRPr="00D362BA">
        <w:rPr>
          <w:rFonts w:ascii="Times New Roman" w:hAnsi="Times New Roman"/>
        </w:rPr>
        <w:t>I</w:t>
      </w:r>
      <w:r w:rsidR="009B29B8" w:rsidRPr="00D362BA">
        <w:rPr>
          <w:rFonts w:ascii="Times New Roman" w:hAnsi="Times New Roman"/>
        </w:rPr>
        <w:t>nformation</w:t>
      </w:r>
      <w:r w:rsidR="00865D86" w:rsidRPr="00D362BA">
        <w:rPr>
          <w:rFonts w:ascii="Times New Roman" w:hAnsi="Times New Roman"/>
          <w:vertAlign w:val="superscript"/>
        </w:rPr>
        <w:t>3</w:t>
      </w:r>
      <w:r w:rsidR="009B29B8" w:rsidRPr="00D362BA">
        <w:rPr>
          <w:rFonts w:ascii="Times New Roman" w:hAnsi="Times New Roman"/>
        </w:rPr>
        <w:t xml:space="preserve"> were found to conflict with each other and with the manufacturer’s labeling. The calculations below</w:t>
      </w:r>
      <w:r w:rsidRPr="00D362BA">
        <w:rPr>
          <w:rFonts w:ascii="Times New Roman" w:hAnsi="Times New Roman"/>
        </w:rPr>
        <w:t xml:space="preserve"> are predicated on the assertion that citrate disperses uniformly in plasma or otherwise in the extracellular volume of a blood product container</w:t>
      </w:r>
      <w:r w:rsidR="009B29B8" w:rsidRPr="00D362BA">
        <w:rPr>
          <w:rFonts w:ascii="Times New Roman" w:hAnsi="Times New Roman"/>
        </w:rPr>
        <w:t>. Citrate was assumed to have minimal</w:t>
      </w:r>
      <w:r w:rsidRPr="00D362BA">
        <w:rPr>
          <w:rFonts w:ascii="Times New Roman" w:hAnsi="Times New Roman"/>
        </w:rPr>
        <w:t xml:space="preserve"> uptake into or metabolism by red blood cells during the time interval expected in routine processing. </w:t>
      </w:r>
      <w:r w:rsidR="009B29B8" w:rsidRPr="00D362BA">
        <w:rPr>
          <w:rFonts w:ascii="Times New Roman" w:hAnsi="Times New Roman"/>
        </w:rPr>
        <w:t>Lastly, during routine leukoreduction and component separation, small volume losses occur, which are not considered in the subsequent calculations.</w:t>
      </w:r>
    </w:p>
    <w:p w14:paraId="0324FB86" w14:textId="77777777" w:rsidR="00002A58" w:rsidRPr="00D362BA" w:rsidRDefault="00002A58">
      <w:pPr>
        <w:spacing w:line="480" w:lineRule="auto"/>
        <w:rPr>
          <w:rFonts w:ascii="Times New Roman" w:hAnsi="Times New Roman"/>
        </w:rPr>
      </w:pPr>
    </w:p>
    <w:p w14:paraId="52A2E708" w14:textId="77777777" w:rsidR="001852E4" w:rsidRPr="00D362BA" w:rsidRDefault="00000000">
      <w:pPr>
        <w:spacing w:line="480" w:lineRule="auto"/>
        <w:rPr>
          <w:rFonts w:ascii="Times New Roman" w:hAnsi="Times New Roman"/>
          <w:b/>
        </w:rPr>
      </w:pPr>
      <w:r w:rsidRPr="00D362BA">
        <w:rPr>
          <w:rFonts w:ascii="Times New Roman" w:hAnsi="Times New Roman"/>
          <w:b/>
        </w:rPr>
        <w:t>Whole blood units</w:t>
      </w:r>
    </w:p>
    <w:p w14:paraId="4E85F87E" w14:textId="274A2B99" w:rsidR="001852E4" w:rsidRPr="00D362BA" w:rsidRDefault="00000000" w:rsidP="008A7378">
      <w:pPr>
        <w:spacing w:line="480" w:lineRule="auto"/>
        <w:rPr>
          <w:rFonts w:ascii="Times New Roman" w:hAnsi="Times New Roman"/>
        </w:rPr>
      </w:pPr>
      <w:r w:rsidRPr="00D362BA">
        <w:rPr>
          <w:rFonts w:ascii="Times New Roman" w:hAnsi="Times New Roman"/>
        </w:rPr>
        <w:t xml:space="preserve">In the United States, most blood centers collect a standard volume of 450-550 mL (average 500mL) of whole blood which is </w:t>
      </w:r>
      <w:r w:rsidR="004159DF" w:rsidRPr="00D362BA">
        <w:rPr>
          <w:rFonts w:ascii="Times New Roman" w:hAnsi="Times New Roman"/>
        </w:rPr>
        <w:t>anticoagulated</w:t>
      </w:r>
      <w:r w:rsidRPr="00D362BA">
        <w:rPr>
          <w:rFonts w:ascii="Times New Roman" w:hAnsi="Times New Roman"/>
        </w:rPr>
        <w:t xml:space="preserve"> with 70mL of </w:t>
      </w:r>
      <w:r w:rsidR="004159DF" w:rsidRPr="00D362BA">
        <w:rPr>
          <w:rFonts w:ascii="Times New Roman" w:hAnsi="Times New Roman"/>
        </w:rPr>
        <w:t xml:space="preserve">preservative </w:t>
      </w:r>
      <w:r w:rsidRPr="00D362BA">
        <w:rPr>
          <w:rFonts w:ascii="Times New Roman" w:hAnsi="Times New Roman"/>
        </w:rPr>
        <w:t>solution</w:t>
      </w:r>
      <w:r w:rsidR="00865D86" w:rsidRPr="00D362BA">
        <w:rPr>
          <w:rFonts w:ascii="Times New Roman" w:hAnsi="Times New Roman"/>
          <w:vertAlign w:val="superscript"/>
        </w:rPr>
        <w:t>2</w:t>
      </w:r>
      <w:r w:rsidRPr="00D362BA">
        <w:rPr>
          <w:rFonts w:ascii="Times New Roman" w:hAnsi="Times New Roman"/>
        </w:rPr>
        <w:t>. Multiple solutions are in use in blood collection, including citrate-phosphate-dextrose (CPD), citrate-phosphate-dextrose-dextrose (CP2D), and citrate-phosphate-dextrose-adenine (CPDA-1). Each preservative solution contains</w:t>
      </w:r>
      <w:r w:rsidR="004159DF" w:rsidRPr="00D362BA">
        <w:rPr>
          <w:rFonts w:ascii="Times New Roman" w:hAnsi="Times New Roman"/>
        </w:rPr>
        <w:t xml:space="preserve"> two </w:t>
      </w:r>
      <w:r w:rsidR="004159DF" w:rsidRPr="00D362BA">
        <w:rPr>
          <w:rFonts w:ascii="Times New Roman" w:hAnsi="Times New Roman"/>
        </w:rPr>
        <w:lastRenderedPageBreak/>
        <w:t>formulations of citrate.</w:t>
      </w:r>
      <w:r w:rsidR="009F5360" w:rsidRPr="00D362BA">
        <w:rPr>
          <w:rFonts w:ascii="Times New Roman" w:hAnsi="Times New Roman"/>
        </w:rPr>
        <w:t xml:space="preserve"> A</w:t>
      </w:r>
      <w:r w:rsidR="004159DF" w:rsidRPr="00D362BA">
        <w:rPr>
          <w:rFonts w:ascii="Times New Roman" w:hAnsi="Times New Roman"/>
        </w:rPr>
        <w:t xml:space="preserve">ll contain </w:t>
      </w:r>
      <w:r w:rsidR="00152EDB" w:rsidRPr="00D362BA">
        <w:rPr>
          <w:rFonts w:ascii="Times New Roman" w:hAnsi="Times New Roman"/>
        </w:rPr>
        <w:t xml:space="preserve">26.3 g/L </w:t>
      </w:r>
      <w:r w:rsidR="004159DF" w:rsidRPr="00D362BA">
        <w:rPr>
          <w:rFonts w:ascii="Times New Roman" w:hAnsi="Times New Roman"/>
        </w:rPr>
        <w:t>of</w:t>
      </w:r>
      <w:r w:rsidRPr="00D362BA">
        <w:rPr>
          <w:rFonts w:ascii="Times New Roman" w:hAnsi="Times New Roman"/>
        </w:rPr>
        <w:t xml:space="preserve"> trisodium citrate dihydrate (</w:t>
      </w:r>
      <w:r w:rsidR="00152EDB" w:rsidRPr="00D362BA">
        <w:rPr>
          <w:rFonts w:ascii="Times New Roman" w:hAnsi="Times New Roman"/>
        </w:rPr>
        <w:t>molar mass 29</w:t>
      </w:r>
      <w:r w:rsidR="003F4177" w:rsidRPr="00D362BA">
        <w:rPr>
          <w:rFonts w:ascii="Times New Roman" w:hAnsi="Times New Roman"/>
        </w:rPr>
        <w:t>4</w:t>
      </w:r>
      <w:r w:rsidR="00152EDB" w:rsidRPr="00D362BA">
        <w:rPr>
          <w:rFonts w:ascii="Times New Roman" w:hAnsi="Times New Roman"/>
        </w:rPr>
        <w:t>.1 g/mol</w:t>
      </w:r>
      <w:r w:rsidRPr="00D362BA">
        <w:rPr>
          <w:rFonts w:ascii="Times New Roman" w:hAnsi="Times New Roman"/>
        </w:rPr>
        <w:t xml:space="preserve">), </w:t>
      </w:r>
      <w:r w:rsidR="004159DF" w:rsidRPr="00D362BA">
        <w:rPr>
          <w:rFonts w:ascii="Times New Roman" w:hAnsi="Times New Roman"/>
        </w:rPr>
        <w:t>contributing</w:t>
      </w:r>
      <w:r w:rsidRPr="00D362BA">
        <w:rPr>
          <w:rFonts w:ascii="Times New Roman" w:hAnsi="Times New Roman"/>
        </w:rPr>
        <w:t xml:space="preserve"> </w:t>
      </w:r>
      <w:r w:rsidR="004159DF" w:rsidRPr="00D362BA">
        <w:rPr>
          <w:rFonts w:ascii="Times New Roman" w:hAnsi="Times New Roman"/>
        </w:rPr>
        <w:t>6.2</w:t>
      </w:r>
      <w:r w:rsidR="003F4177" w:rsidRPr="00D362BA">
        <w:rPr>
          <w:rFonts w:ascii="Times New Roman" w:hAnsi="Times New Roman"/>
        </w:rPr>
        <w:t>6</w:t>
      </w:r>
      <w:r w:rsidR="004159DF" w:rsidRPr="00D362BA">
        <w:rPr>
          <w:rFonts w:ascii="Times New Roman" w:hAnsi="Times New Roman"/>
        </w:rPr>
        <w:t xml:space="preserve"> mmol of citrate</w:t>
      </w:r>
      <w:r w:rsidR="00B518B4" w:rsidRPr="00D362BA">
        <w:rPr>
          <w:rFonts w:ascii="Times New Roman" w:hAnsi="Times New Roman"/>
        </w:rPr>
        <w:t xml:space="preserve">. </w:t>
      </w:r>
      <w:r w:rsidR="009F5360" w:rsidRPr="00D362BA">
        <w:rPr>
          <w:rFonts w:ascii="Times New Roman" w:hAnsi="Times New Roman"/>
        </w:rPr>
        <w:t>Each</w:t>
      </w:r>
      <w:r w:rsidR="00B518B4" w:rsidRPr="00D362BA">
        <w:rPr>
          <w:rFonts w:ascii="Times New Roman" w:hAnsi="Times New Roman"/>
        </w:rPr>
        <w:t xml:space="preserve"> of these </w:t>
      </w:r>
      <w:r w:rsidR="009F5360" w:rsidRPr="00D362BA">
        <w:rPr>
          <w:rFonts w:ascii="Times New Roman" w:hAnsi="Times New Roman"/>
        </w:rPr>
        <w:t xml:space="preserve">preservative </w:t>
      </w:r>
      <w:r w:rsidR="00B518B4" w:rsidRPr="00D362BA">
        <w:rPr>
          <w:rFonts w:ascii="Times New Roman" w:hAnsi="Times New Roman"/>
        </w:rPr>
        <w:t>solutions also contain</w:t>
      </w:r>
      <w:r w:rsidR="009F5360" w:rsidRPr="00D362BA">
        <w:rPr>
          <w:rFonts w:ascii="Times New Roman" w:hAnsi="Times New Roman"/>
        </w:rPr>
        <w:t>s</w:t>
      </w:r>
      <w:r w:rsidR="00B518B4" w:rsidRPr="00D362BA">
        <w:rPr>
          <w:rFonts w:ascii="Times New Roman" w:hAnsi="Times New Roman"/>
        </w:rPr>
        <w:t xml:space="preserve"> either 2.99 g/L of anhydrous citric acid</w:t>
      </w:r>
      <w:r w:rsidR="00152EDB" w:rsidRPr="00D362BA">
        <w:rPr>
          <w:rFonts w:ascii="Times New Roman" w:hAnsi="Times New Roman"/>
        </w:rPr>
        <w:t xml:space="preserve"> (192.1 g/mol)</w:t>
      </w:r>
      <w:r w:rsidR="00B518B4" w:rsidRPr="00D362BA">
        <w:rPr>
          <w:rFonts w:ascii="Times New Roman" w:hAnsi="Times New Roman"/>
        </w:rPr>
        <w:t xml:space="preserve"> or 3.27 g/L of monohydrated citric acid</w:t>
      </w:r>
      <w:r w:rsidR="00152EDB" w:rsidRPr="00D362BA">
        <w:rPr>
          <w:rFonts w:ascii="Times New Roman" w:hAnsi="Times New Roman"/>
        </w:rPr>
        <w:t xml:space="preserve"> (210.1 g/mol)</w:t>
      </w:r>
      <w:r w:rsidR="00B518B4" w:rsidRPr="00D362BA">
        <w:rPr>
          <w:rFonts w:ascii="Times New Roman" w:hAnsi="Times New Roman"/>
        </w:rPr>
        <w:t xml:space="preserve">, which have the same citrate content of </w:t>
      </w:r>
      <w:r w:rsidR="00152EDB" w:rsidRPr="00D362BA">
        <w:rPr>
          <w:rFonts w:ascii="Times New Roman" w:hAnsi="Times New Roman"/>
        </w:rPr>
        <w:t>1.09 mmol</w:t>
      </w:r>
      <w:r w:rsidR="00B518B4" w:rsidRPr="00D362BA">
        <w:rPr>
          <w:rFonts w:ascii="Times New Roman" w:hAnsi="Times New Roman"/>
        </w:rPr>
        <w:t xml:space="preserve">. </w:t>
      </w:r>
      <w:r w:rsidR="00152EDB" w:rsidRPr="00D362BA">
        <w:rPr>
          <w:rFonts w:ascii="Times New Roman" w:hAnsi="Times New Roman"/>
        </w:rPr>
        <w:t>Thus, r</w:t>
      </w:r>
      <w:r w:rsidR="00B518B4" w:rsidRPr="00D362BA">
        <w:rPr>
          <w:rFonts w:ascii="Times New Roman" w:hAnsi="Times New Roman"/>
        </w:rPr>
        <w:t>egardless of the preservative used, this results in a total load of approximately 7.</w:t>
      </w:r>
      <w:r w:rsidR="008A7378" w:rsidRPr="00D362BA">
        <w:rPr>
          <w:rFonts w:ascii="Times New Roman" w:hAnsi="Times New Roman"/>
        </w:rPr>
        <w:t>35</w:t>
      </w:r>
      <w:r w:rsidR="00B518B4" w:rsidRPr="00D362BA">
        <w:rPr>
          <w:rFonts w:ascii="Times New Roman" w:hAnsi="Times New Roman"/>
        </w:rPr>
        <w:t xml:space="preserve"> mmol of citrate from 70mL </w:t>
      </w:r>
      <w:r w:rsidR="00152EDB" w:rsidRPr="00D362BA">
        <w:rPr>
          <w:rFonts w:ascii="Times New Roman" w:hAnsi="Times New Roman"/>
        </w:rPr>
        <w:t xml:space="preserve">of </w:t>
      </w:r>
      <w:r w:rsidR="00B518B4" w:rsidRPr="00D362BA">
        <w:rPr>
          <w:rFonts w:ascii="Times New Roman" w:hAnsi="Times New Roman"/>
        </w:rPr>
        <w:t xml:space="preserve">solution added to 500mL of </w:t>
      </w:r>
      <w:r w:rsidR="00152EDB" w:rsidRPr="00D362BA">
        <w:rPr>
          <w:rFonts w:ascii="Times New Roman" w:hAnsi="Times New Roman"/>
        </w:rPr>
        <w:t xml:space="preserve">collected </w:t>
      </w:r>
      <w:r w:rsidR="00B518B4" w:rsidRPr="00D362BA">
        <w:rPr>
          <w:rFonts w:ascii="Times New Roman" w:hAnsi="Times New Roman"/>
        </w:rPr>
        <w:t>whole blood.</w:t>
      </w:r>
    </w:p>
    <w:p w14:paraId="1A019206" w14:textId="77777777" w:rsidR="006E3F65" w:rsidRPr="00D362BA" w:rsidRDefault="006E3F65" w:rsidP="008A7378">
      <w:pPr>
        <w:spacing w:line="480" w:lineRule="auto"/>
        <w:rPr>
          <w:rFonts w:ascii="Times New Roman" w:hAnsi="Times New Roman"/>
        </w:rPr>
      </w:pPr>
    </w:p>
    <w:p w14:paraId="5DFED920" w14:textId="33C26BA7" w:rsidR="00630388" w:rsidRPr="00D362BA" w:rsidRDefault="006E3F65" w:rsidP="006E3F65">
      <w:pPr>
        <w:spacing w:line="480" w:lineRule="auto"/>
        <w:rPr>
          <w:rFonts w:ascii="Times New Roman" w:hAnsi="Times New Roman"/>
          <w:b/>
        </w:rPr>
      </w:pPr>
      <w:r w:rsidRPr="00D362BA">
        <w:rPr>
          <w:rFonts w:ascii="Times New Roman" w:hAnsi="Times New Roman"/>
          <w:b/>
        </w:rPr>
        <w:t xml:space="preserve">Centrifugation of whole blood units into plasma and </w:t>
      </w:r>
      <w:proofErr w:type="spellStart"/>
      <w:r w:rsidRPr="00D362BA">
        <w:rPr>
          <w:rFonts w:ascii="Times New Roman" w:hAnsi="Times New Roman"/>
          <w:b/>
        </w:rPr>
        <w:t>pRBC’s</w:t>
      </w:r>
      <w:proofErr w:type="spellEnd"/>
    </w:p>
    <w:p w14:paraId="4FC06C5C" w14:textId="1FB02D4C" w:rsidR="001852E4" w:rsidRPr="00D362BA" w:rsidRDefault="00000000">
      <w:pPr>
        <w:spacing w:line="480" w:lineRule="auto"/>
        <w:rPr>
          <w:rFonts w:ascii="Times New Roman" w:hAnsi="Times New Roman"/>
        </w:rPr>
      </w:pPr>
      <w:r w:rsidRPr="00D362BA">
        <w:rPr>
          <w:rFonts w:ascii="Times New Roman" w:hAnsi="Times New Roman"/>
        </w:rPr>
        <w:t xml:space="preserve">Following collection, whole blood may be processed into </w:t>
      </w:r>
      <w:proofErr w:type="spellStart"/>
      <w:r w:rsidRPr="00D362BA">
        <w:rPr>
          <w:rFonts w:ascii="Times New Roman" w:hAnsi="Times New Roman"/>
        </w:rPr>
        <w:t>pRBC</w:t>
      </w:r>
      <w:proofErr w:type="spellEnd"/>
      <w:r w:rsidRPr="00D362BA">
        <w:rPr>
          <w:rFonts w:ascii="Times New Roman" w:hAnsi="Times New Roman"/>
        </w:rPr>
        <w:t xml:space="preserve"> and FFP/PF24 components by centrifugation. The volumes of the individual plasma and </w:t>
      </w:r>
      <w:proofErr w:type="spellStart"/>
      <w:r w:rsidRPr="00D362BA">
        <w:rPr>
          <w:rFonts w:ascii="Times New Roman" w:hAnsi="Times New Roman"/>
        </w:rPr>
        <w:t>pRBC</w:t>
      </w:r>
      <w:proofErr w:type="spellEnd"/>
      <w:r w:rsidRPr="00D362BA">
        <w:rPr>
          <w:rFonts w:ascii="Times New Roman" w:hAnsi="Times New Roman"/>
        </w:rPr>
        <w:t xml:space="preserve"> units generated are affected by the hematocrit of the donor</w:t>
      </w:r>
      <w:r w:rsidR="0017371E" w:rsidRPr="00D362BA">
        <w:rPr>
          <w:rFonts w:ascii="Times New Roman" w:hAnsi="Times New Roman"/>
        </w:rPr>
        <w:t>. Assuming</w:t>
      </w:r>
      <w:r w:rsidRPr="00D362BA">
        <w:rPr>
          <w:rFonts w:ascii="Times New Roman" w:hAnsi="Times New Roman"/>
        </w:rPr>
        <w:t xml:space="preserve"> a standard hematocrit of 40%</w:t>
      </w:r>
      <w:r w:rsidR="0017371E" w:rsidRPr="00D362BA">
        <w:rPr>
          <w:rFonts w:ascii="Times New Roman" w:hAnsi="Times New Roman"/>
        </w:rPr>
        <w:t xml:space="preserve"> in the donor, the total collected red cell mass is 200mL</w:t>
      </w:r>
      <w:r w:rsidRPr="00D362BA">
        <w:rPr>
          <w:rFonts w:ascii="Times New Roman" w:hAnsi="Times New Roman"/>
        </w:rPr>
        <w:t xml:space="preserve">. The centrifuged </w:t>
      </w:r>
      <w:proofErr w:type="spellStart"/>
      <w:r w:rsidRPr="00D362BA">
        <w:rPr>
          <w:rFonts w:ascii="Times New Roman" w:hAnsi="Times New Roman"/>
        </w:rPr>
        <w:t>pRBC</w:t>
      </w:r>
      <w:proofErr w:type="spellEnd"/>
      <w:r w:rsidRPr="00D362BA">
        <w:rPr>
          <w:rFonts w:ascii="Times New Roman" w:hAnsi="Times New Roman"/>
        </w:rPr>
        <w:t xml:space="preserve"> unit (before applying additive solution) must have a hematocrit of &lt;80%. </w:t>
      </w:r>
      <w:r w:rsidR="0017371E" w:rsidRPr="00D362BA">
        <w:rPr>
          <w:rFonts w:ascii="Times New Roman" w:hAnsi="Times New Roman"/>
        </w:rPr>
        <w:t>This</w:t>
      </w:r>
      <w:r w:rsidRPr="00D362BA">
        <w:rPr>
          <w:rFonts w:ascii="Times New Roman" w:hAnsi="Times New Roman"/>
        </w:rPr>
        <w:t xml:space="preserve"> translates to 50mL</w:t>
      </w:r>
      <w:r w:rsidR="00082FDB" w:rsidRPr="00D362BA">
        <w:rPr>
          <w:rFonts w:ascii="Times New Roman" w:hAnsi="Times New Roman"/>
        </w:rPr>
        <w:t xml:space="preserve"> or more</w:t>
      </w:r>
      <w:r w:rsidRPr="00D362BA">
        <w:rPr>
          <w:rFonts w:ascii="Times New Roman" w:hAnsi="Times New Roman"/>
        </w:rPr>
        <w:t xml:space="preserve"> of residual supernatant fluid</w:t>
      </w:r>
      <w:r w:rsidR="0017371E" w:rsidRPr="00D362BA">
        <w:rPr>
          <w:rFonts w:ascii="Times New Roman" w:hAnsi="Times New Roman"/>
        </w:rPr>
        <w:t xml:space="preserve"> accompanying the 200mL of red cell mass. </w:t>
      </w:r>
      <w:r w:rsidR="00082FDB" w:rsidRPr="00D362BA">
        <w:rPr>
          <w:rFonts w:ascii="Times New Roman" w:hAnsi="Times New Roman"/>
        </w:rPr>
        <w:t>Thus, the processed plasma unit should contain no more than 320mL of volume.</w:t>
      </w:r>
      <w:r w:rsidR="0017371E" w:rsidRPr="00D362BA">
        <w:rPr>
          <w:rFonts w:ascii="Times New Roman" w:hAnsi="Times New Roman"/>
        </w:rPr>
        <w:t xml:space="preserve"> </w:t>
      </w:r>
      <w:r w:rsidR="00362ADE" w:rsidRPr="00D362BA">
        <w:rPr>
          <w:rFonts w:ascii="Times New Roman" w:hAnsi="Times New Roman"/>
        </w:rPr>
        <w:t>At this stage, t</w:t>
      </w:r>
      <w:r w:rsidRPr="00D362BA">
        <w:rPr>
          <w:rFonts w:ascii="Times New Roman" w:hAnsi="Times New Roman"/>
        </w:rPr>
        <w:t>h</w:t>
      </w:r>
      <w:r w:rsidR="00082FDB" w:rsidRPr="00D362BA">
        <w:rPr>
          <w:rFonts w:ascii="Times New Roman" w:hAnsi="Times New Roman"/>
        </w:rPr>
        <w:t xml:space="preserve">e </w:t>
      </w:r>
      <w:proofErr w:type="spellStart"/>
      <w:r w:rsidR="00082FDB" w:rsidRPr="00D362BA">
        <w:rPr>
          <w:rFonts w:ascii="Times New Roman" w:hAnsi="Times New Roman"/>
        </w:rPr>
        <w:t>pRBC</w:t>
      </w:r>
      <w:proofErr w:type="spellEnd"/>
      <w:r w:rsidRPr="00D362BA">
        <w:rPr>
          <w:rFonts w:ascii="Times New Roman" w:hAnsi="Times New Roman"/>
        </w:rPr>
        <w:t xml:space="preserve"> supernatant</w:t>
      </w:r>
      <w:r w:rsidR="00082FDB" w:rsidRPr="00D362BA">
        <w:rPr>
          <w:rFonts w:ascii="Times New Roman" w:hAnsi="Times New Roman"/>
        </w:rPr>
        <w:t xml:space="preserve"> </w:t>
      </w:r>
      <w:r w:rsidR="006E3F65" w:rsidRPr="00D362BA">
        <w:rPr>
          <w:rFonts w:ascii="Times New Roman" w:hAnsi="Times New Roman"/>
        </w:rPr>
        <w:t>and the processed plasma unit</w:t>
      </w:r>
      <w:r w:rsidRPr="00D362BA">
        <w:rPr>
          <w:rFonts w:ascii="Times New Roman" w:hAnsi="Times New Roman"/>
        </w:rPr>
        <w:t xml:space="preserve"> </w:t>
      </w:r>
      <w:r w:rsidR="006E3F65" w:rsidRPr="00D362BA">
        <w:rPr>
          <w:rFonts w:ascii="Times New Roman" w:hAnsi="Times New Roman"/>
        </w:rPr>
        <w:t>are</w:t>
      </w:r>
      <w:r w:rsidRPr="00D362BA">
        <w:rPr>
          <w:rFonts w:ascii="Times New Roman" w:hAnsi="Times New Roman"/>
        </w:rPr>
        <w:t xml:space="preserve"> expected to have the same citrate concentration. Thus, in components processed from </w:t>
      </w:r>
      <w:r w:rsidR="008C1375" w:rsidRPr="00D362BA">
        <w:rPr>
          <w:rFonts w:ascii="Times New Roman" w:hAnsi="Times New Roman"/>
        </w:rPr>
        <w:t xml:space="preserve">whole blood </w:t>
      </w:r>
      <w:r w:rsidRPr="00D362BA">
        <w:rPr>
          <w:rFonts w:ascii="Times New Roman" w:hAnsi="Times New Roman"/>
        </w:rPr>
        <w:t xml:space="preserve">collections, approximately </w:t>
      </w:r>
      <w:r w:rsidR="00325F58" w:rsidRPr="00D362BA">
        <w:rPr>
          <w:rFonts w:ascii="Times New Roman" w:hAnsi="Times New Roman"/>
        </w:rPr>
        <w:t>6.3</w:t>
      </w:r>
      <w:r w:rsidR="009B6E47" w:rsidRPr="00D362BA">
        <w:rPr>
          <w:rFonts w:ascii="Times New Roman" w:hAnsi="Times New Roman"/>
        </w:rPr>
        <w:t>5</w:t>
      </w:r>
      <w:r w:rsidR="00325F58" w:rsidRPr="00D362BA">
        <w:rPr>
          <w:rFonts w:ascii="Times New Roman" w:hAnsi="Times New Roman"/>
        </w:rPr>
        <w:t xml:space="preserve"> mmol should be present in the </w:t>
      </w:r>
      <w:r w:rsidR="00362ADE" w:rsidRPr="00D362BA">
        <w:rPr>
          <w:rFonts w:ascii="Times New Roman" w:hAnsi="Times New Roman"/>
        </w:rPr>
        <w:t xml:space="preserve">final </w:t>
      </w:r>
      <w:r w:rsidR="00325F58" w:rsidRPr="00D362BA">
        <w:rPr>
          <w:rFonts w:ascii="Times New Roman" w:hAnsi="Times New Roman"/>
        </w:rPr>
        <w:t xml:space="preserve">plasma unit and </w:t>
      </w:r>
      <w:r w:rsidR="009B6E47" w:rsidRPr="00D362BA">
        <w:rPr>
          <w:rFonts w:ascii="Times New Roman" w:hAnsi="Times New Roman"/>
        </w:rPr>
        <w:t>1.00</w:t>
      </w:r>
      <w:r w:rsidR="00325F58" w:rsidRPr="00D362BA">
        <w:rPr>
          <w:rFonts w:ascii="Times New Roman" w:hAnsi="Times New Roman"/>
        </w:rPr>
        <w:t xml:space="preserve"> mmol</w:t>
      </w:r>
      <w:r w:rsidRPr="00D362BA">
        <w:rPr>
          <w:rFonts w:ascii="Times New Roman" w:hAnsi="Times New Roman"/>
        </w:rPr>
        <w:t xml:space="preserve"> of citrate should be present in the </w:t>
      </w:r>
      <w:proofErr w:type="spellStart"/>
      <w:r w:rsidRPr="00D362BA">
        <w:rPr>
          <w:rFonts w:ascii="Times New Roman" w:hAnsi="Times New Roman"/>
        </w:rPr>
        <w:t>pRBC</w:t>
      </w:r>
      <w:proofErr w:type="spellEnd"/>
      <w:r w:rsidRPr="00D362BA">
        <w:rPr>
          <w:rFonts w:ascii="Times New Roman" w:hAnsi="Times New Roman"/>
        </w:rPr>
        <w:t xml:space="preserve"> unit</w:t>
      </w:r>
      <w:r w:rsidR="00325F58" w:rsidRPr="00D362BA">
        <w:rPr>
          <w:rFonts w:ascii="Times New Roman" w:hAnsi="Times New Roman"/>
        </w:rPr>
        <w:t xml:space="preserve"> (prior to addition of additive solution).</w:t>
      </w:r>
    </w:p>
    <w:p w14:paraId="2409D453" w14:textId="77777777" w:rsidR="001852E4" w:rsidRPr="00D362BA" w:rsidRDefault="001852E4">
      <w:pPr>
        <w:spacing w:line="480" w:lineRule="auto"/>
        <w:rPr>
          <w:rFonts w:ascii="Times New Roman" w:hAnsi="Times New Roman"/>
        </w:rPr>
      </w:pPr>
    </w:p>
    <w:p w14:paraId="282331E5" w14:textId="77777777" w:rsidR="001852E4" w:rsidRPr="00D362BA" w:rsidRDefault="00000000">
      <w:pPr>
        <w:spacing w:line="480" w:lineRule="auto"/>
        <w:rPr>
          <w:rFonts w:ascii="Times New Roman" w:hAnsi="Times New Roman"/>
          <w:b/>
        </w:rPr>
      </w:pPr>
      <w:r w:rsidRPr="00D362BA">
        <w:rPr>
          <w:rFonts w:ascii="Times New Roman" w:hAnsi="Times New Roman"/>
          <w:b/>
        </w:rPr>
        <w:t>PRBCs with additive solution derived from whole blood donation</w:t>
      </w:r>
    </w:p>
    <w:p w14:paraId="693DEB71" w14:textId="7C04E87D" w:rsidR="001852E4" w:rsidRPr="00D362BA" w:rsidRDefault="00000000">
      <w:pPr>
        <w:spacing w:line="480" w:lineRule="auto"/>
        <w:rPr>
          <w:rFonts w:ascii="Times New Roman" w:hAnsi="Times New Roman"/>
        </w:rPr>
      </w:pPr>
      <w:r w:rsidRPr="00D362BA">
        <w:rPr>
          <w:rFonts w:ascii="Times New Roman" w:hAnsi="Times New Roman"/>
        </w:rPr>
        <w:t xml:space="preserve">Following separation, </w:t>
      </w:r>
      <w:proofErr w:type="spellStart"/>
      <w:r w:rsidRPr="00D362BA">
        <w:rPr>
          <w:rFonts w:ascii="Times New Roman" w:hAnsi="Times New Roman"/>
        </w:rPr>
        <w:t>pRBC</w:t>
      </w:r>
      <w:proofErr w:type="spellEnd"/>
      <w:r w:rsidRPr="00D362BA">
        <w:rPr>
          <w:rFonts w:ascii="Times New Roman" w:hAnsi="Times New Roman"/>
        </w:rPr>
        <w:t xml:space="preserve"> units stored in CPD or CP2D are usually treated with an additive solution to extend their storage shelf-life. CPD units may be treated with </w:t>
      </w:r>
      <w:r w:rsidR="009942B8" w:rsidRPr="00D362BA">
        <w:rPr>
          <w:rFonts w:ascii="Times New Roman" w:hAnsi="Times New Roman"/>
        </w:rPr>
        <w:t xml:space="preserve">110mL of </w:t>
      </w:r>
      <w:r w:rsidRPr="00D362BA">
        <w:rPr>
          <w:rFonts w:ascii="Times New Roman" w:hAnsi="Times New Roman"/>
        </w:rPr>
        <w:t>AS-1 (</w:t>
      </w:r>
      <w:proofErr w:type="spellStart"/>
      <w:r w:rsidRPr="00D362BA">
        <w:rPr>
          <w:rFonts w:ascii="Times New Roman" w:hAnsi="Times New Roman"/>
        </w:rPr>
        <w:t>Adsol</w:t>
      </w:r>
      <w:proofErr w:type="spellEnd"/>
      <w:r w:rsidRPr="00D362BA">
        <w:rPr>
          <w:rFonts w:ascii="Times New Roman" w:hAnsi="Times New Roman"/>
        </w:rPr>
        <w:t>, Fresenius Kabi), AS-5 (</w:t>
      </w:r>
      <w:proofErr w:type="spellStart"/>
      <w:r w:rsidRPr="00D362BA">
        <w:rPr>
          <w:rFonts w:ascii="Times New Roman" w:hAnsi="Times New Roman"/>
        </w:rPr>
        <w:t>Optisol</w:t>
      </w:r>
      <w:proofErr w:type="spellEnd"/>
      <w:r w:rsidRPr="00D362BA">
        <w:rPr>
          <w:rFonts w:ascii="Times New Roman" w:hAnsi="Times New Roman"/>
        </w:rPr>
        <w:t xml:space="preserve">, Terumo-BCT), or AS-7 (SOLX, </w:t>
      </w:r>
      <w:proofErr w:type="spellStart"/>
      <w:r w:rsidRPr="00D362BA">
        <w:rPr>
          <w:rFonts w:ascii="Times New Roman" w:hAnsi="Times New Roman"/>
        </w:rPr>
        <w:t>Haemonetics</w:t>
      </w:r>
      <w:proofErr w:type="spellEnd"/>
      <w:r w:rsidRPr="00D362BA">
        <w:rPr>
          <w:rFonts w:ascii="Times New Roman" w:hAnsi="Times New Roman"/>
        </w:rPr>
        <w:t xml:space="preserve">), all of which contain no additional citrate. </w:t>
      </w:r>
      <w:r w:rsidR="009D75DA" w:rsidRPr="00D362BA">
        <w:rPr>
          <w:rFonts w:ascii="Times New Roman" w:hAnsi="Times New Roman"/>
        </w:rPr>
        <w:t xml:space="preserve">Thus, these </w:t>
      </w:r>
      <w:r w:rsidR="009942B8" w:rsidRPr="00D362BA">
        <w:rPr>
          <w:rFonts w:ascii="Times New Roman" w:hAnsi="Times New Roman"/>
        </w:rPr>
        <w:t xml:space="preserve">whole blood derived </w:t>
      </w:r>
      <w:proofErr w:type="spellStart"/>
      <w:r w:rsidR="00F67848" w:rsidRPr="00D362BA">
        <w:rPr>
          <w:rFonts w:ascii="Times New Roman" w:hAnsi="Times New Roman"/>
        </w:rPr>
        <w:t>pRBC</w:t>
      </w:r>
      <w:proofErr w:type="spellEnd"/>
      <w:r w:rsidR="00F67848" w:rsidRPr="00D362BA">
        <w:rPr>
          <w:rFonts w:ascii="Times New Roman" w:hAnsi="Times New Roman"/>
        </w:rPr>
        <w:t xml:space="preserve"> </w:t>
      </w:r>
      <w:r w:rsidR="009D75DA" w:rsidRPr="00D362BA">
        <w:rPr>
          <w:rFonts w:ascii="Times New Roman" w:hAnsi="Times New Roman"/>
        </w:rPr>
        <w:t xml:space="preserve">units are expected to contain 1.00 mmol of citrate in a </w:t>
      </w:r>
      <w:r w:rsidR="009D75DA" w:rsidRPr="00D362BA">
        <w:rPr>
          <w:rFonts w:ascii="Times New Roman" w:hAnsi="Times New Roman"/>
        </w:rPr>
        <w:lastRenderedPageBreak/>
        <w:t xml:space="preserve">volume of 360mL. </w:t>
      </w:r>
      <w:r w:rsidRPr="00D362BA">
        <w:rPr>
          <w:rFonts w:ascii="Times New Roman" w:hAnsi="Times New Roman"/>
        </w:rPr>
        <w:t xml:space="preserve">CP2D </w:t>
      </w:r>
      <w:r w:rsidR="00EC6FE5" w:rsidRPr="00D362BA">
        <w:rPr>
          <w:rFonts w:ascii="Times New Roman" w:hAnsi="Times New Roman"/>
        </w:rPr>
        <w:t xml:space="preserve">whole blood derived </w:t>
      </w:r>
      <w:r w:rsidRPr="00D362BA">
        <w:rPr>
          <w:rFonts w:ascii="Times New Roman" w:hAnsi="Times New Roman"/>
        </w:rPr>
        <w:t xml:space="preserve">units may be treated with </w:t>
      </w:r>
      <w:r w:rsidR="00F67848" w:rsidRPr="00D362BA">
        <w:rPr>
          <w:rFonts w:ascii="Times New Roman" w:hAnsi="Times New Roman"/>
        </w:rPr>
        <w:t xml:space="preserve">110mL of </w:t>
      </w:r>
      <w:r w:rsidRPr="00D362BA">
        <w:rPr>
          <w:rFonts w:ascii="Times New Roman" w:hAnsi="Times New Roman"/>
        </w:rPr>
        <w:t>AS-3 (</w:t>
      </w:r>
      <w:proofErr w:type="spellStart"/>
      <w:r w:rsidRPr="00D362BA">
        <w:rPr>
          <w:rFonts w:ascii="Times New Roman" w:hAnsi="Times New Roman"/>
        </w:rPr>
        <w:t>Nutricel</w:t>
      </w:r>
      <w:proofErr w:type="spellEnd"/>
      <w:r w:rsidRPr="00D362BA">
        <w:rPr>
          <w:rFonts w:ascii="Times New Roman" w:hAnsi="Times New Roman"/>
        </w:rPr>
        <w:t xml:space="preserve">, </w:t>
      </w:r>
      <w:proofErr w:type="spellStart"/>
      <w:r w:rsidRPr="00D362BA">
        <w:rPr>
          <w:rFonts w:ascii="Times New Roman" w:hAnsi="Times New Roman"/>
        </w:rPr>
        <w:t>Haemonetics</w:t>
      </w:r>
      <w:proofErr w:type="spellEnd"/>
      <w:r w:rsidRPr="00D362BA">
        <w:rPr>
          <w:rFonts w:ascii="Times New Roman" w:hAnsi="Times New Roman"/>
        </w:rPr>
        <w:t>), which contains additional citrate: 5.88 g/L of trisodium citrate dihydrate and 0.42 g/L of citric acid</w:t>
      </w:r>
      <w:r w:rsidR="00002A58" w:rsidRPr="00D362BA">
        <w:rPr>
          <w:rFonts w:ascii="Times New Roman" w:hAnsi="Times New Roman"/>
        </w:rPr>
        <w:t xml:space="preserve"> monohydrate</w:t>
      </w:r>
      <w:r w:rsidRPr="00D362BA">
        <w:rPr>
          <w:rFonts w:ascii="Times New Roman" w:hAnsi="Times New Roman"/>
        </w:rPr>
        <w:t xml:space="preserve">. </w:t>
      </w:r>
      <w:r w:rsidR="00002A58" w:rsidRPr="00D362BA">
        <w:rPr>
          <w:rFonts w:ascii="Times New Roman" w:hAnsi="Times New Roman"/>
        </w:rPr>
        <w:t>This</w:t>
      </w:r>
      <w:r w:rsidRPr="00D362BA">
        <w:rPr>
          <w:rFonts w:ascii="Times New Roman" w:hAnsi="Times New Roman"/>
        </w:rPr>
        <w:t xml:space="preserve"> constitutes an additional load of </w:t>
      </w:r>
      <w:r w:rsidR="00EC6FE5" w:rsidRPr="00D362BA">
        <w:rPr>
          <w:rFonts w:ascii="Times New Roman" w:hAnsi="Times New Roman"/>
        </w:rPr>
        <w:t>2.42 mmol</w:t>
      </w:r>
      <w:r w:rsidRPr="00D362BA">
        <w:rPr>
          <w:rFonts w:ascii="Times New Roman" w:hAnsi="Times New Roman"/>
        </w:rPr>
        <w:t xml:space="preserve"> citrate, for a total of approximately </w:t>
      </w:r>
      <w:r w:rsidR="00EC6FE5" w:rsidRPr="00D362BA">
        <w:rPr>
          <w:rFonts w:ascii="Times New Roman" w:hAnsi="Times New Roman"/>
        </w:rPr>
        <w:t xml:space="preserve">3.42 mmol </w:t>
      </w:r>
      <w:r w:rsidRPr="00D362BA">
        <w:rPr>
          <w:rFonts w:ascii="Times New Roman" w:hAnsi="Times New Roman"/>
        </w:rPr>
        <w:t xml:space="preserve">of citrate in </w:t>
      </w:r>
      <w:r w:rsidR="00EC6FE5" w:rsidRPr="00D362BA">
        <w:rPr>
          <w:rFonts w:ascii="Times New Roman" w:hAnsi="Times New Roman"/>
        </w:rPr>
        <w:t xml:space="preserve">CP2D </w:t>
      </w:r>
      <w:r w:rsidRPr="00D362BA">
        <w:rPr>
          <w:rFonts w:ascii="Times New Roman" w:hAnsi="Times New Roman"/>
        </w:rPr>
        <w:t xml:space="preserve">AS-3 </w:t>
      </w:r>
      <w:proofErr w:type="spellStart"/>
      <w:r w:rsidRPr="00D362BA">
        <w:rPr>
          <w:rFonts w:ascii="Times New Roman" w:hAnsi="Times New Roman"/>
        </w:rPr>
        <w:t>pRBC</w:t>
      </w:r>
      <w:proofErr w:type="spellEnd"/>
      <w:r w:rsidRPr="00D362BA">
        <w:rPr>
          <w:rFonts w:ascii="Times New Roman" w:hAnsi="Times New Roman"/>
        </w:rPr>
        <w:t xml:space="preserve"> units derived from WB. This is </w:t>
      </w:r>
      <w:r w:rsidR="00EC6FE5" w:rsidRPr="00D362BA">
        <w:rPr>
          <w:rFonts w:ascii="Times New Roman" w:hAnsi="Times New Roman"/>
        </w:rPr>
        <w:t xml:space="preserve">significantly more </w:t>
      </w:r>
      <w:r w:rsidR="009F5360" w:rsidRPr="00D362BA">
        <w:rPr>
          <w:rFonts w:ascii="Times New Roman" w:hAnsi="Times New Roman"/>
        </w:rPr>
        <w:t xml:space="preserve">citrate </w:t>
      </w:r>
      <w:r w:rsidR="00EC6FE5" w:rsidRPr="00D362BA">
        <w:rPr>
          <w:rFonts w:ascii="Times New Roman" w:hAnsi="Times New Roman"/>
        </w:rPr>
        <w:t xml:space="preserve">than </w:t>
      </w:r>
      <w:proofErr w:type="spellStart"/>
      <w:r w:rsidR="00EC6FE5" w:rsidRPr="00D362BA">
        <w:rPr>
          <w:rFonts w:ascii="Times New Roman" w:hAnsi="Times New Roman"/>
        </w:rPr>
        <w:t>pRBC</w:t>
      </w:r>
      <w:r w:rsidR="009F5360" w:rsidRPr="00D362BA">
        <w:rPr>
          <w:rFonts w:ascii="Times New Roman" w:hAnsi="Times New Roman"/>
        </w:rPr>
        <w:t>’s</w:t>
      </w:r>
      <w:proofErr w:type="spellEnd"/>
      <w:r w:rsidR="009F5360" w:rsidRPr="00D362BA">
        <w:rPr>
          <w:rFonts w:ascii="Times New Roman" w:hAnsi="Times New Roman"/>
        </w:rPr>
        <w:t xml:space="preserve"> containing other additive solutions, </w:t>
      </w:r>
      <w:r w:rsidRPr="00D362BA">
        <w:rPr>
          <w:rFonts w:ascii="Times New Roman" w:hAnsi="Times New Roman"/>
        </w:rPr>
        <w:t xml:space="preserve">however, </w:t>
      </w:r>
      <w:r w:rsidR="00EC6FE5" w:rsidRPr="00D362BA">
        <w:rPr>
          <w:rFonts w:ascii="Times New Roman" w:hAnsi="Times New Roman"/>
        </w:rPr>
        <w:t>CP2D whole blood collections</w:t>
      </w:r>
      <w:r w:rsidR="009F5360" w:rsidRPr="00D362BA">
        <w:rPr>
          <w:rFonts w:ascii="Times New Roman" w:hAnsi="Times New Roman"/>
        </w:rPr>
        <w:t>, which are paired with AS-3 additive,</w:t>
      </w:r>
      <w:r w:rsidR="00EC6FE5" w:rsidRPr="00D362BA">
        <w:rPr>
          <w:rFonts w:ascii="Times New Roman" w:hAnsi="Times New Roman"/>
        </w:rPr>
        <w:t xml:space="preserve"> are</w:t>
      </w:r>
      <w:r w:rsidRPr="00D362BA">
        <w:rPr>
          <w:rFonts w:ascii="Times New Roman" w:hAnsi="Times New Roman"/>
        </w:rPr>
        <w:t xml:space="preserve"> uncommon.</w:t>
      </w:r>
    </w:p>
    <w:p w14:paraId="1685B0B4" w14:textId="77777777" w:rsidR="001365DF" w:rsidRPr="00D362BA" w:rsidRDefault="001365DF">
      <w:pPr>
        <w:spacing w:line="480" w:lineRule="auto"/>
        <w:rPr>
          <w:rFonts w:ascii="Times New Roman" w:hAnsi="Times New Roman"/>
        </w:rPr>
      </w:pPr>
    </w:p>
    <w:p w14:paraId="1759A601" w14:textId="77777777" w:rsidR="001365DF" w:rsidRPr="00D362BA" w:rsidRDefault="001365DF" w:rsidP="001365DF">
      <w:pPr>
        <w:spacing w:line="480" w:lineRule="auto"/>
        <w:rPr>
          <w:rFonts w:ascii="Times New Roman" w:hAnsi="Times New Roman"/>
          <w:b/>
        </w:rPr>
      </w:pPr>
      <w:r w:rsidRPr="00D362BA">
        <w:rPr>
          <w:rFonts w:ascii="Times New Roman" w:hAnsi="Times New Roman"/>
          <w:b/>
        </w:rPr>
        <w:t xml:space="preserve">Apheresis </w:t>
      </w:r>
      <w:proofErr w:type="spellStart"/>
      <w:r w:rsidRPr="00D362BA">
        <w:rPr>
          <w:rFonts w:ascii="Times New Roman" w:hAnsi="Times New Roman"/>
          <w:b/>
        </w:rPr>
        <w:t>pRBC</w:t>
      </w:r>
      <w:proofErr w:type="spellEnd"/>
      <w:r w:rsidRPr="00D362BA">
        <w:rPr>
          <w:rFonts w:ascii="Times New Roman" w:hAnsi="Times New Roman"/>
          <w:b/>
        </w:rPr>
        <w:t xml:space="preserve"> units</w:t>
      </w:r>
    </w:p>
    <w:p w14:paraId="6629AF3C" w14:textId="2F6388E3" w:rsidR="001852E4" w:rsidRPr="00D362BA" w:rsidRDefault="001365DF">
      <w:pPr>
        <w:spacing w:line="480" w:lineRule="auto"/>
        <w:rPr>
          <w:rFonts w:ascii="Times New Roman" w:hAnsi="Times New Roman"/>
        </w:rPr>
      </w:pPr>
      <w:r w:rsidRPr="00D362BA">
        <w:rPr>
          <w:rFonts w:ascii="Times New Roman" w:hAnsi="Times New Roman"/>
        </w:rPr>
        <w:t xml:space="preserve">Red cells may also be collected via apheresis techniques, either as single- or double-unit collections. Apheresis </w:t>
      </w:r>
      <w:proofErr w:type="spellStart"/>
      <w:r w:rsidRPr="00D362BA">
        <w:rPr>
          <w:rFonts w:ascii="Times New Roman" w:hAnsi="Times New Roman"/>
        </w:rPr>
        <w:t>pRBC</w:t>
      </w:r>
      <w:proofErr w:type="spellEnd"/>
      <w:r w:rsidRPr="00D362BA">
        <w:rPr>
          <w:rFonts w:ascii="Times New Roman" w:hAnsi="Times New Roman"/>
        </w:rPr>
        <w:t xml:space="preserve"> collection platforms may differ in their approach to anticoagulation</w:t>
      </w:r>
      <w:r w:rsidR="007E0D6F">
        <w:rPr>
          <w:rFonts w:ascii="Times New Roman" w:hAnsi="Times New Roman"/>
        </w:rPr>
        <w:t>,</w:t>
      </w:r>
      <w:r w:rsidRPr="00D362BA">
        <w:rPr>
          <w:rFonts w:ascii="Times New Roman" w:hAnsi="Times New Roman"/>
        </w:rPr>
        <w:t xml:space="preserve"> but at our institution all apheresis </w:t>
      </w:r>
      <w:proofErr w:type="spellStart"/>
      <w:r w:rsidRPr="00D362BA">
        <w:rPr>
          <w:rFonts w:ascii="Times New Roman" w:hAnsi="Times New Roman"/>
        </w:rPr>
        <w:t>pRBC</w:t>
      </w:r>
      <w:proofErr w:type="spellEnd"/>
      <w:r w:rsidRPr="00D362BA">
        <w:rPr>
          <w:rFonts w:ascii="Times New Roman" w:hAnsi="Times New Roman"/>
        </w:rPr>
        <w:t xml:space="preserve"> units are collected in CP2D</w:t>
      </w:r>
      <w:r w:rsidR="002F7E9D" w:rsidRPr="00D362BA">
        <w:rPr>
          <w:rFonts w:ascii="Times New Roman" w:hAnsi="Times New Roman"/>
        </w:rPr>
        <w:t xml:space="preserve">, with an average anticoagulant volume of 4mL, contributing 0.42 mmol citrate. All units are then supplemented with 100mL AS-3, contributing 2.20 mmol citrate. A snapshot review of 100 apheresis </w:t>
      </w:r>
      <w:proofErr w:type="spellStart"/>
      <w:r w:rsidR="002F7E9D" w:rsidRPr="00D362BA">
        <w:rPr>
          <w:rFonts w:ascii="Times New Roman" w:hAnsi="Times New Roman"/>
        </w:rPr>
        <w:t>pRBC</w:t>
      </w:r>
      <w:proofErr w:type="spellEnd"/>
      <w:r w:rsidR="002F7E9D" w:rsidRPr="00D362BA">
        <w:rPr>
          <w:rFonts w:ascii="Times New Roman" w:hAnsi="Times New Roman"/>
        </w:rPr>
        <w:t xml:space="preserve"> units at our institution revealed an average volume of 285mL. </w:t>
      </w:r>
      <w:r w:rsidRPr="00D362BA">
        <w:rPr>
          <w:rFonts w:ascii="Times New Roman" w:hAnsi="Times New Roman"/>
        </w:rPr>
        <w:t xml:space="preserve">Thus, the average </w:t>
      </w:r>
      <w:r w:rsidR="002F7E9D" w:rsidRPr="00D362BA">
        <w:rPr>
          <w:rFonts w:ascii="Times New Roman" w:hAnsi="Times New Roman"/>
        </w:rPr>
        <w:t xml:space="preserve">CP2D AS-3 </w:t>
      </w:r>
      <w:r w:rsidRPr="00D362BA">
        <w:rPr>
          <w:rFonts w:ascii="Times New Roman" w:hAnsi="Times New Roman"/>
        </w:rPr>
        <w:t xml:space="preserve">apheresis </w:t>
      </w:r>
      <w:proofErr w:type="spellStart"/>
      <w:r w:rsidRPr="00D362BA">
        <w:rPr>
          <w:rFonts w:ascii="Times New Roman" w:hAnsi="Times New Roman"/>
        </w:rPr>
        <w:t>pRBC</w:t>
      </w:r>
      <w:proofErr w:type="spellEnd"/>
      <w:r w:rsidRPr="00D362BA">
        <w:rPr>
          <w:rFonts w:ascii="Times New Roman" w:hAnsi="Times New Roman"/>
        </w:rPr>
        <w:t xml:space="preserve"> unit contains </w:t>
      </w:r>
      <w:r w:rsidR="00DA25A8" w:rsidRPr="00D362BA">
        <w:rPr>
          <w:rFonts w:ascii="Times New Roman" w:hAnsi="Times New Roman"/>
        </w:rPr>
        <w:t>2.62 mmol</w:t>
      </w:r>
      <w:r w:rsidRPr="00D362BA">
        <w:rPr>
          <w:rFonts w:ascii="Times New Roman" w:hAnsi="Times New Roman"/>
        </w:rPr>
        <w:t xml:space="preserve"> citrate in </w:t>
      </w:r>
      <w:r w:rsidR="002F7E9D" w:rsidRPr="00D362BA">
        <w:rPr>
          <w:rFonts w:ascii="Times New Roman" w:hAnsi="Times New Roman"/>
        </w:rPr>
        <w:t>285mL.</w:t>
      </w:r>
    </w:p>
    <w:p w14:paraId="0C5860D6" w14:textId="77777777" w:rsidR="002F7E9D" w:rsidRPr="00D362BA" w:rsidRDefault="002F7E9D">
      <w:pPr>
        <w:spacing w:line="480" w:lineRule="auto"/>
        <w:rPr>
          <w:rFonts w:ascii="Times New Roman" w:hAnsi="Times New Roman"/>
        </w:rPr>
      </w:pPr>
    </w:p>
    <w:p w14:paraId="68348C34" w14:textId="77777777" w:rsidR="001852E4" w:rsidRPr="00D362BA" w:rsidRDefault="00000000">
      <w:pPr>
        <w:spacing w:line="480" w:lineRule="auto"/>
        <w:rPr>
          <w:rFonts w:ascii="Times New Roman" w:hAnsi="Times New Roman"/>
          <w:b/>
        </w:rPr>
      </w:pPr>
      <w:r w:rsidRPr="00D362BA">
        <w:rPr>
          <w:rFonts w:ascii="Times New Roman" w:hAnsi="Times New Roman"/>
          <w:b/>
        </w:rPr>
        <w:t>Apheresis platelets</w:t>
      </w:r>
    </w:p>
    <w:p w14:paraId="42F386F3" w14:textId="47B28D00" w:rsidR="001852E4" w:rsidRPr="00D362BA" w:rsidRDefault="00000000">
      <w:pPr>
        <w:spacing w:line="480" w:lineRule="auto"/>
        <w:rPr>
          <w:rFonts w:ascii="Times New Roman" w:hAnsi="Times New Roman"/>
        </w:rPr>
      </w:pPr>
      <w:r w:rsidRPr="00D362BA">
        <w:rPr>
          <w:rFonts w:ascii="Times New Roman" w:hAnsi="Times New Roman"/>
        </w:rPr>
        <w:t>The citrate concentration of platelet units collected via apheresis is highly variable, reflecting both donor factors such as platelet count as well as individual apheresis run-time parameters. Single, double, or triple apheresis platelet units may be collected in one instance of donation, and manufacturing standards require only that each unit contain at least 3 x 10</w:t>
      </w:r>
      <w:r w:rsidRPr="00D362BA">
        <w:rPr>
          <w:rFonts w:ascii="Times New Roman" w:hAnsi="Times New Roman"/>
          <w:vertAlign w:val="superscript"/>
        </w:rPr>
        <w:t>11</w:t>
      </w:r>
      <w:r w:rsidRPr="00D362BA">
        <w:rPr>
          <w:rFonts w:ascii="Times New Roman" w:hAnsi="Times New Roman"/>
        </w:rPr>
        <w:t xml:space="preserve"> platelets and that no more than 500mL of plasma be concurrently collected from the donor (600mL if the donor weighs more than 175lbs). </w:t>
      </w:r>
      <w:r w:rsidR="00C83192" w:rsidRPr="00D362BA">
        <w:rPr>
          <w:rFonts w:ascii="Times New Roman" w:hAnsi="Times New Roman"/>
        </w:rPr>
        <w:t>A</w:t>
      </w:r>
      <w:r w:rsidRPr="00D362BA">
        <w:rPr>
          <w:rFonts w:ascii="Times New Roman" w:hAnsi="Times New Roman"/>
        </w:rPr>
        <w:t>pheresis platelets are collected locally or are obtained from suppliers in a mixture composed of 35% patient plasma and 65% platelet additive solution C (PAS-C</w:t>
      </w:r>
      <w:r w:rsidR="00B00063" w:rsidRPr="00D362BA">
        <w:rPr>
          <w:rFonts w:ascii="Times New Roman" w:hAnsi="Times New Roman"/>
        </w:rPr>
        <w:t xml:space="preserve">, </w:t>
      </w:r>
      <w:proofErr w:type="spellStart"/>
      <w:r w:rsidR="00B00063" w:rsidRPr="00D362BA">
        <w:rPr>
          <w:rFonts w:ascii="Times New Roman" w:hAnsi="Times New Roman"/>
        </w:rPr>
        <w:t>InterSol</w:t>
      </w:r>
      <w:proofErr w:type="spellEnd"/>
      <w:r w:rsidR="00B00063" w:rsidRPr="00D362BA">
        <w:rPr>
          <w:rFonts w:ascii="Times New Roman" w:hAnsi="Times New Roman"/>
        </w:rPr>
        <w:t xml:space="preserve">, </w:t>
      </w:r>
      <w:r w:rsidR="00A36863" w:rsidRPr="00D362BA">
        <w:rPr>
          <w:rFonts w:ascii="Times New Roman" w:hAnsi="Times New Roman"/>
        </w:rPr>
        <w:t>Fresenius Kabi</w:t>
      </w:r>
      <w:r w:rsidRPr="00D362BA">
        <w:rPr>
          <w:rFonts w:ascii="Times New Roman" w:hAnsi="Times New Roman"/>
        </w:rPr>
        <w:t xml:space="preserve">), to which a </w:t>
      </w:r>
      <w:r w:rsidRPr="00D362BA">
        <w:rPr>
          <w:rFonts w:ascii="Times New Roman" w:hAnsi="Times New Roman"/>
        </w:rPr>
        <w:lastRenderedPageBreak/>
        <w:t xml:space="preserve">small volume of acid-citrate-dextrose (ACD) solution is added. PAS-C (formerly known as PAS-III) contains </w:t>
      </w:r>
      <w:r w:rsidR="00865D86" w:rsidRPr="00D362BA">
        <w:rPr>
          <w:rFonts w:ascii="Times New Roman" w:hAnsi="Times New Roman"/>
        </w:rPr>
        <w:t xml:space="preserve">3.18 g/L </w:t>
      </w:r>
      <w:r w:rsidRPr="00D362BA">
        <w:rPr>
          <w:rFonts w:ascii="Times New Roman" w:hAnsi="Times New Roman"/>
        </w:rPr>
        <w:t>trisodium citrate dihydrate and no citric acid</w:t>
      </w:r>
      <w:r w:rsidR="00865D86" w:rsidRPr="00D362BA">
        <w:rPr>
          <w:rFonts w:ascii="Times New Roman" w:hAnsi="Times New Roman"/>
          <w:vertAlign w:val="superscript"/>
        </w:rPr>
        <w:t>1,4</w:t>
      </w:r>
      <w:r w:rsidRPr="00D362BA">
        <w:rPr>
          <w:rFonts w:ascii="Times New Roman" w:hAnsi="Times New Roman"/>
        </w:rPr>
        <w:t>. ACD</w:t>
      </w:r>
      <w:r w:rsidR="00865D86" w:rsidRPr="00D362BA">
        <w:rPr>
          <w:rFonts w:ascii="Times New Roman" w:hAnsi="Times New Roman"/>
        </w:rPr>
        <w:t>-A</w:t>
      </w:r>
      <w:r w:rsidRPr="00D362BA">
        <w:rPr>
          <w:rFonts w:ascii="Times New Roman" w:hAnsi="Times New Roman"/>
        </w:rPr>
        <w:t xml:space="preserve"> solution contains 22.0 g/L trisodium citrate dihydrate and </w:t>
      </w:r>
      <w:r w:rsidR="00865D86" w:rsidRPr="00D362BA">
        <w:rPr>
          <w:rFonts w:ascii="Times New Roman" w:hAnsi="Times New Roman"/>
        </w:rPr>
        <w:t xml:space="preserve">either </w:t>
      </w:r>
      <w:r w:rsidRPr="00D362BA">
        <w:rPr>
          <w:rFonts w:ascii="Times New Roman" w:hAnsi="Times New Roman"/>
        </w:rPr>
        <w:t>7.3 g/L anhydrous citric acid</w:t>
      </w:r>
      <w:r w:rsidR="00865D86" w:rsidRPr="00D362BA">
        <w:rPr>
          <w:rFonts w:ascii="Times New Roman" w:hAnsi="Times New Roman"/>
        </w:rPr>
        <w:t xml:space="preserve"> or 8.0 g/L monohydrated citric acid</w:t>
      </w:r>
      <w:r w:rsidRPr="00D362BA">
        <w:rPr>
          <w:rFonts w:ascii="Times New Roman" w:hAnsi="Times New Roman"/>
        </w:rPr>
        <w:t xml:space="preserve">. A snapshot review of platelet inventory (n=53) showed an average </w:t>
      </w:r>
      <w:r w:rsidR="00661DED" w:rsidRPr="00D362BA">
        <w:rPr>
          <w:rFonts w:ascii="Times New Roman" w:hAnsi="Times New Roman"/>
        </w:rPr>
        <w:t xml:space="preserve">apheresis platelet </w:t>
      </w:r>
      <w:r w:rsidRPr="00D362BA">
        <w:rPr>
          <w:rFonts w:ascii="Times New Roman" w:hAnsi="Times New Roman"/>
        </w:rPr>
        <w:t>unit volume of 319mL</w:t>
      </w:r>
      <w:r w:rsidR="00A36863" w:rsidRPr="00D362BA">
        <w:rPr>
          <w:rFonts w:ascii="Times New Roman" w:hAnsi="Times New Roman"/>
        </w:rPr>
        <w:t xml:space="preserve">, containing </w:t>
      </w:r>
      <w:r w:rsidRPr="00D362BA">
        <w:rPr>
          <w:rFonts w:ascii="Times New Roman" w:hAnsi="Times New Roman"/>
        </w:rPr>
        <w:t xml:space="preserve">17.9mL of ACD. </w:t>
      </w:r>
      <w:r w:rsidR="00A36863" w:rsidRPr="00D362BA">
        <w:rPr>
          <w:rFonts w:ascii="Times New Roman" w:hAnsi="Times New Roman"/>
        </w:rPr>
        <w:t xml:space="preserve">Thus, </w:t>
      </w:r>
      <w:r w:rsidR="0069499D" w:rsidRPr="00D362BA">
        <w:rPr>
          <w:rFonts w:ascii="Times New Roman" w:hAnsi="Times New Roman"/>
        </w:rPr>
        <w:t xml:space="preserve">195.7mL </w:t>
      </w:r>
      <w:r w:rsidR="00A36863" w:rsidRPr="00D362BA">
        <w:rPr>
          <w:rFonts w:ascii="Times New Roman" w:hAnsi="Times New Roman"/>
        </w:rPr>
        <w:t xml:space="preserve">of PAS-C contributes </w:t>
      </w:r>
      <w:r w:rsidR="0069499D" w:rsidRPr="00D362BA">
        <w:rPr>
          <w:rFonts w:ascii="Times New Roman" w:hAnsi="Times New Roman"/>
        </w:rPr>
        <w:t xml:space="preserve">2.12 mmol </w:t>
      </w:r>
      <w:r w:rsidR="00A36863" w:rsidRPr="00D362BA">
        <w:rPr>
          <w:rFonts w:ascii="Times New Roman" w:hAnsi="Times New Roman"/>
        </w:rPr>
        <w:t xml:space="preserve">citrate and 17.9mL of ACD contributes 2.02 mmol citrate. </w:t>
      </w:r>
      <w:r w:rsidRPr="00D362BA">
        <w:rPr>
          <w:rFonts w:ascii="Times New Roman" w:hAnsi="Times New Roman"/>
        </w:rPr>
        <w:t xml:space="preserve">The average </w:t>
      </w:r>
      <w:r w:rsidR="00A36863" w:rsidRPr="00D362BA">
        <w:rPr>
          <w:rFonts w:ascii="Times New Roman" w:hAnsi="Times New Roman"/>
        </w:rPr>
        <w:t xml:space="preserve">apheresis platelet </w:t>
      </w:r>
      <w:r w:rsidRPr="00D362BA">
        <w:rPr>
          <w:rFonts w:ascii="Times New Roman" w:hAnsi="Times New Roman"/>
        </w:rPr>
        <w:t xml:space="preserve">unit transfused at our center </w:t>
      </w:r>
      <w:r w:rsidR="00C83192" w:rsidRPr="00D362BA">
        <w:rPr>
          <w:rFonts w:ascii="Times New Roman" w:hAnsi="Times New Roman"/>
        </w:rPr>
        <w:t>contains approximately</w:t>
      </w:r>
      <w:r w:rsidRPr="00D362BA">
        <w:rPr>
          <w:rFonts w:ascii="Times New Roman" w:hAnsi="Times New Roman"/>
        </w:rPr>
        <w:t xml:space="preserve"> </w:t>
      </w:r>
      <w:r w:rsidR="0069499D" w:rsidRPr="00D362BA">
        <w:rPr>
          <w:rFonts w:ascii="Times New Roman" w:hAnsi="Times New Roman"/>
        </w:rPr>
        <w:t>4.14</w:t>
      </w:r>
      <w:r w:rsidR="00A36863" w:rsidRPr="00D362BA">
        <w:rPr>
          <w:rFonts w:ascii="Times New Roman" w:hAnsi="Times New Roman"/>
        </w:rPr>
        <w:t xml:space="preserve"> mmol citrate in a total volume of 319mL.</w:t>
      </w:r>
    </w:p>
    <w:p w14:paraId="138CECE0" w14:textId="77777777" w:rsidR="001852E4" w:rsidRPr="00D362BA" w:rsidRDefault="001852E4">
      <w:pPr>
        <w:spacing w:line="480" w:lineRule="auto"/>
        <w:rPr>
          <w:rFonts w:ascii="Times New Roman" w:hAnsi="Times New Roman"/>
        </w:rPr>
      </w:pPr>
    </w:p>
    <w:p w14:paraId="206803A0" w14:textId="77777777" w:rsidR="001852E4" w:rsidRPr="00D362BA" w:rsidRDefault="00000000">
      <w:pPr>
        <w:spacing w:line="480" w:lineRule="auto"/>
        <w:rPr>
          <w:rFonts w:ascii="Times New Roman" w:hAnsi="Times New Roman"/>
          <w:b/>
        </w:rPr>
      </w:pPr>
      <w:r w:rsidRPr="00D362BA">
        <w:rPr>
          <w:rFonts w:ascii="Times New Roman" w:hAnsi="Times New Roman"/>
          <w:b/>
        </w:rPr>
        <w:t>Apheresis plasma</w:t>
      </w:r>
    </w:p>
    <w:p w14:paraId="515FD815" w14:textId="419BF549" w:rsidR="001852E4" w:rsidRPr="00D362BA" w:rsidRDefault="00000000">
      <w:pPr>
        <w:spacing w:line="480" w:lineRule="auto"/>
        <w:rPr>
          <w:rFonts w:ascii="Times New Roman" w:hAnsi="Times New Roman"/>
        </w:rPr>
      </w:pPr>
      <w:r w:rsidRPr="00D362BA">
        <w:rPr>
          <w:rFonts w:ascii="Times New Roman" w:hAnsi="Times New Roman"/>
        </w:rPr>
        <w:t xml:space="preserve">Plasma may be collected via apheresis techniques, either alone or more frequently together with concomitant </w:t>
      </w:r>
      <w:proofErr w:type="spellStart"/>
      <w:r w:rsidRPr="00D362BA">
        <w:rPr>
          <w:rFonts w:ascii="Times New Roman" w:hAnsi="Times New Roman"/>
        </w:rPr>
        <w:t>pRBC</w:t>
      </w:r>
      <w:proofErr w:type="spellEnd"/>
      <w:r w:rsidRPr="00D362BA">
        <w:rPr>
          <w:rFonts w:ascii="Times New Roman" w:hAnsi="Times New Roman"/>
        </w:rPr>
        <w:t xml:space="preserve"> and especially platelet donation. Apheresis plasma collection platforms may differ in their approach to anticoagulation, but at our institution all apheresis plasma units are collected in ACD</w:t>
      </w:r>
      <w:r w:rsidR="00DE062C" w:rsidRPr="00D362BA">
        <w:rPr>
          <w:rFonts w:ascii="Times New Roman" w:hAnsi="Times New Roman"/>
        </w:rPr>
        <w:t>. A snapshot review of 50 units demonstrated</w:t>
      </w:r>
      <w:r w:rsidRPr="00D362BA">
        <w:rPr>
          <w:rFonts w:ascii="Times New Roman" w:hAnsi="Times New Roman"/>
        </w:rPr>
        <w:t xml:space="preserve"> an average</w:t>
      </w:r>
      <w:r w:rsidR="00DE062C" w:rsidRPr="00D362BA">
        <w:rPr>
          <w:rFonts w:ascii="Times New Roman" w:hAnsi="Times New Roman"/>
        </w:rPr>
        <w:t xml:space="preserve"> ACD-A</w:t>
      </w:r>
      <w:r w:rsidRPr="00D362BA">
        <w:rPr>
          <w:rFonts w:ascii="Times New Roman" w:hAnsi="Times New Roman"/>
        </w:rPr>
        <w:t xml:space="preserve"> anticoagulant volume of 32.</w:t>
      </w:r>
      <w:r w:rsidR="00DE062C" w:rsidRPr="00D362BA">
        <w:rPr>
          <w:rFonts w:ascii="Times New Roman" w:hAnsi="Times New Roman"/>
        </w:rPr>
        <w:t>7</w:t>
      </w:r>
      <w:r w:rsidRPr="00D362BA">
        <w:rPr>
          <w:rFonts w:ascii="Times New Roman" w:hAnsi="Times New Roman"/>
        </w:rPr>
        <w:t>mL</w:t>
      </w:r>
      <w:r w:rsidR="00DE062C" w:rsidRPr="00D362BA">
        <w:rPr>
          <w:rFonts w:ascii="Times New Roman" w:hAnsi="Times New Roman"/>
        </w:rPr>
        <w:t xml:space="preserve"> and an average total unit volume of 217mL. Our average apheresis plasma unit thus contains approximately 3.69 mmol of citrate.</w:t>
      </w:r>
    </w:p>
    <w:p w14:paraId="64F177FE" w14:textId="77777777" w:rsidR="001852E4" w:rsidRPr="00D362BA" w:rsidRDefault="001852E4">
      <w:pPr>
        <w:spacing w:line="480" w:lineRule="auto"/>
        <w:rPr>
          <w:rFonts w:ascii="Times New Roman" w:hAnsi="Times New Roman"/>
        </w:rPr>
      </w:pPr>
    </w:p>
    <w:p w14:paraId="3587BC26" w14:textId="77777777" w:rsidR="002F7E9D" w:rsidRPr="00D362BA" w:rsidRDefault="002F7E9D" w:rsidP="002F7E9D">
      <w:pPr>
        <w:spacing w:line="480" w:lineRule="auto"/>
        <w:rPr>
          <w:rFonts w:ascii="Times New Roman" w:hAnsi="Times New Roman"/>
          <w:b/>
        </w:rPr>
      </w:pPr>
      <w:proofErr w:type="spellStart"/>
      <w:r w:rsidRPr="00D362BA">
        <w:rPr>
          <w:rFonts w:ascii="Times New Roman" w:hAnsi="Times New Roman"/>
          <w:b/>
        </w:rPr>
        <w:t>Cryoprecipitated</w:t>
      </w:r>
      <w:proofErr w:type="spellEnd"/>
      <w:r w:rsidRPr="00D362BA">
        <w:rPr>
          <w:rFonts w:ascii="Times New Roman" w:hAnsi="Times New Roman"/>
          <w:b/>
        </w:rPr>
        <w:t xml:space="preserve"> antihemophilic factor</w:t>
      </w:r>
    </w:p>
    <w:p w14:paraId="3349BF71" w14:textId="59C29F21" w:rsidR="002F7E9D" w:rsidRPr="00D362BA" w:rsidRDefault="002F7E9D" w:rsidP="002F7E9D">
      <w:pPr>
        <w:spacing w:line="480" w:lineRule="auto"/>
        <w:rPr>
          <w:rFonts w:ascii="Times New Roman" w:hAnsi="Times New Roman"/>
        </w:rPr>
      </w:pPr>
      <w:r w:rsidRPr="00D362BA">
        <w:rPr>
          <w:rFonts w:ascii="Times New Roman" w:hAnsi="Times New Roman"/>
        </w:rPr>
        <w:t xml:space="preserve">The citrate concentration of </w:t>
      </w:r>
      <w:proofErr w:type="spellStart"/>
      <w:r w:rsidRPr="00D362BA">
        <w:rPr>
          <w:rFonts w:ascii="Times New Roman" w:hAnsi="Times New Roman"/>
        </w:rPr>
        <w:t>cryo</w:t>
      </w:r>
      <w:proofErr w:type="spellEnd"/>
      <w:r w:rsidRPr="00D362BA">
        <w:rPr>
          <w:rFonts w:ascii="Times New Roman" w:hAnsi="Times New Roman"/>
        </w:rPr>
        <w:t xml:space="preserve"> is expected to match that of the frozen plasma units from which it is manufactured</w:t>
      </w:r>
      <w:r w:rsidR="00DE062C" w:rsidRPr="00D362BA">
        <w:rPr>
          <w:rFonts w:ascii="Times New Roman" w:hAnsi="Times New Roman"/>
        </w:rPr>
        <w:t>.</w:t>
      </w:r>
      <w:r w:rsidRPr="00D362BA">
        <w:rPr>
          <w:rFonts w:ascii="Times New Roman" w:hAnsi="Times New Roman"/>
        </w:rPr>
        <w:t xml:space="preserve"> </w:t>
      </w:r>
      <w:r w:rsidR="00DE062C" w:rsidRPr="00D362BA">
        <w:rPr>
          <w:rFonts w:ascii="Times New Roman" w:hAnsi="Times New Roman"/>
        </w:rPr>
        <w:t xml:space="preserve">Single </w:t>
      </w:r>
      <w:proofErr w:type="spellStart"/>
      <w:r w:rsidR="00DE062C" w:rsidRPr="00D362BA">
        <w:rPr>
          <w:rFonts w:ascii="Times New Roman" w:hAnsi="Times New Roman"/>
        </w:rPr>
        <w:t>cryo</w:t>
      </w:r>
      <w:proofErr w:type="spellEnd"/>
      <w:r w:rsidR="00DE062C" w:rsidRPr="00D362BA">
        <w:rPr>
          <w:rFonts w:ascii="Times New Roman" w:hAnsi="Times New Roman"/>
        </w:rPr>
        <w:t xml:space="preserve"> units have a volume of roughly 15mL. At our institution, </w:t>
      </w:r>
      <w:proofErr w:type="spellStart"/>
      <w:r w:rsidR="00DE062C" w:rsidRPr="00D362BA">
        <w:rPr>
          <w:rFonts w:ascii="Times New Roman" w:hAnsi="Times New Roman"/>
        </w:rPr>
        <w:t>cryo</w:t>
      </w:r>
      <w:proofErr w:type="spellEnd"/>
      <w:r w:rsidR="00DE062C" w:rsidRPr="00D362BA">
        <w:rPr>
          <w:rFonts w:ascii="Times New Roman" w:hAnsi="Times New Roman"/>
        </w:rPr>
        <w:t xml:space="preserve"> is stocked in 5-pack pools and manufactured exclusively from whole-blood derived plasma. A snapshot review of 20 units confirmed an average total unit volume of 75mL. Thus,</w:t>
      </w:r>
      <w:r w:rsidRPr="00D362BA">
        <w:rPr>
          <w:rFonts w:ascii="Times New Roman" w:hAnsi="Times New Roman"/>
        </w:rPr>
        <w:t xml:space="preserve"> the expected amount of citrate per pool of </w:t>
      </w:r>
      <w:proofErr w:type="spellStart"/>
      <w:r w:rsidRPr="00D362BA">
        <w:rPr>
          <w:rFonts w:ascii="Times New Roman" w:hAnsi="Times New Roman"/>
        </w:rPr>
        <w:t>cryo</w:t>
      </w:r>
      <w:proofErr w:type="spellEnd"/>
      <w:r w:rsidRPr="00D362BA">
        <w:rPr>
          <w:rFonts w:ascii="Times New Roman" w:hAnsi="Times New Roman"/>
        </w:rPr>
        <w:t xml:space="preserve"> is </w:t>
      </w:r>
      <w:r w:rsidR="00DE062C" w:rsidRPr="00D362BA">
        <w:rPr>
          <w:rFonts w:ascii="Times New Roman" w:hAnsi="Times New Roman"/>
        </w:rPr>
        <w:t>1.49mmol.</w:t>
      </w:r>
    </w:p>
    <w:p w14:paraId="2338825E" w14:textId="77777777" w:rsidR="001852E4" w:rsidRPr="00D362BA" w:rsidRDefault="001852E4">
      <w:pPr>
        <w:spacing w:line="480" w:lineRule="auto"/>
        <w:rPr>
          <w:rFonts w:ascii="Times New Roman" w:hAnsi="Times New Roman"/>
        </w:rPr>
      </w:pPr>
    </w:p>
    <w:p w14:paraId="49EE0340" w14:textId="77777777" w:rsidR="001852E4" w:rsidRPr="00D362BA" w:rsidRDefault="00000000">
      <w:pPr>
        <w:spacing w:line="480" w:lineRule="auto"/>
        <w:rPr>
          <w:rFonts w:ascii="Times New Roman" w:hAnsi="Times New Roman"/>
          <w:b/>
        </w:rPr>
      </w:pPr>
      <w:r w:rsidRPr="00D362BA">
        <w:rPr>
          <w:rFonts w:ascii="Times New Roman" w:hAnsi="Times New Roman"/>
          <w:b/>
        </w:rPr>
        <w:t>Our Institution</w:t>
      </w:r>
    </w:p>
    <w:p w14:paraId="270ABCB7" w14:textId="76A46F1A" w:rsidR="001852E4" w:rsidRPr="00D362BA" w:rsidRDefault="00362ADE">
      <w:pPr>
        <w:spacing w:line="480" w:lineRule="auto"/>
        <w:rPr>
          <w:rFonts w:ascii="Times New Roman" w:hAnsi="Times New Roman"/>
          <w:b/>
          <w:bCs/>
        </w:rPr>
      </w:pPr>
      <w:r w:rsidRPr="00D362BA">
        <w:rPr>
          <w:rFonts w:ascii="Times New Roman" w:hAnsi="Times New Roman"/>
        </w:rPr>
        <w:lastRenderedPageBreak/>
        <w:t xml:space="preserve">At our institution, the University of Chicago Medical Center in Chicago, IL, all WB units were collected in CPD, including those intended for transfusion as low-titer group O whole blood (LTOWB). </w:t>
      </w:r>
      <w:r w:rsidR="00E80ED6" w:rsidRPr="00D362BA">
        <w:rPr>
          <w:rFonts w:ascii="Times New Roman" w:hAnsi="Times New Roman"/>
        </w:rPr>
        <w:t xml:space="preserve">Nearly all </w:t>
      </w:r>
      <w:proofErr w:type="spellStart"/>
      <w:r w:rsidR="00E80ED6" w:rsidRPr="00D362BA">
        <w:rPr>
          <w:rFonts w:ascii="Times New Roman" w:hAnsi="Times New Roman"/>
        </w:rPr>
        <w:t>pRBC</w:t>
      </w:r>
      <w:proofErr w:type="spellEnd"/>
      <w:r w:rsidR="00E80ED6" w:rsidRPr="00D362BA">
        <w:rPr>
          <w:rFonts w:ascii="Times New Roman" w:hAnsi="Times New Roman"/>
        </w:rPr>
        <w:t xml:space="preserve"> units derived from WB were stored in CPD and treated with AS-1 or AS-5 (approximately 80% of our inventory). All </w:t>
      </w:r>
      <w:proofErr w:type="spellStart"/>
      <w:r w:rsidR="00E80ED6" w:rsidRPr="00D362BA">
        <w:rPr>
          <w:rFonts w:ascii="Times New Roman" w:hAnsi="Times New Roman"/>
        </w:rPr>
        <w:t>pRBC</w:t>
      </w:r>
      <w:proofErr w:type="spellEnd"/>
      <w:r w:rsidR="00E80ED6" w:rsidRPr="00D362BA">
        <w:rPr>
          <w:rFonts w:ascii="Times New Roman" w:hAnsi="Times New Roman"/>
        </w:rPr>
        <w:t xml:space="preserve"> derived from apheresis collection were stored in CP2D and treated with AS-3 (approximately 20% of our inventory). </w:t>
      </w:r>
      <w:r w:rsidRPr="00D362BA">
        <w:rPr>
          <w:rFonts w:ascii="Times New Roman" w:hAnsi="Times New Roman"/>
        </w:rPr>
        <w:t xml:space="preserve">Less than 5% of </w:t>
      </w:r>
      <w:proofErr w:type="spellStart"/>
      <w:r w:rsidRPr="00D362BA">
        <w:rPr>
          <w:rFonts w:ascii="Times New Roman" w:hAnsi="Times New Roman"/>
        </w:rPr>
        <w:t>pRBC</w:t>
      </w:r>
      <w:proofErr w:type="spellEnd"/>
      <w:r w:rsidRPr="00D362BA">
        <w:rPr>
          <w:rFonts w:ascii="Times New Roman" w:hAnsi="Times New Roman"/>
        </w:rPr>
        <w:t xml:space="preserve"> inventory was derived from CP2D whole blood collection with AS-3 additive, so they were exclude</w:t>
      </w:r>
      <w:r w:rsidR="00EC6FE5" w:rsidRPr="00D362BA">
        <w:rPr>
          <w:rFonts w:ascii="Times New Roman" w:hAnsi="Times New Roman"/>
        </w:rPr>
        <w:t>d</w:t>
      </w:r>
      <w:r w:rsidRPr="00D362BA">
        <w:rPr>
          <w:rFonts w:ascii="Times New Roman" w:hAnsi="Times New Roman"/>
        </w:rPr>
        <w:t xml:space="preserve">. Therefore, we assume a weighted average of roughly </w:t>
      </w:r>
      <w:r w:rsidR="00CB05D6" w:rsidRPr="00D362BA">
        <w:rPr>
          <w:rFonts w:ascii="Times New Roman" w:hAnsi="Times New Roman"/>
        </w:rPr>
        <w:t>1.32 mmol</w:t>
      </w:r>
      <w:r w:rsidRPr="00D362BA">
        <w:rPr>
          <w:rFonts w:ascii="Times New Roman" w:hAnsi="Times New Roman"/>
        </w:rPr>
        <w:t xml:space="preserve"> of citrate per unit of </w:t>
      </w:r>
      <w:proofErr w:type="spellStart"/>
      <w:r w:rsidRPr="00D362BA">
        <w:rPr>
          <w:rFonts w:ascii="Times New Roman" w:hAnsi="Times New Roman"/>
        </w:rPr>
        <w:t>pRBCs</w:t>
      </w:r>
      <w:proofErr w:type="spellEnd"/>
      <w:r w:rsidRPr="00D362BA">
        <w:rPr>
          <w:rFonts w:ascii="Times New Roman" w:hAnsi="Times New Roman"/>
        </w:rPr>
        <w:t xml:space="preserve"> in our study. 55% of plasma inventory is derived from CPD whole blood collection. 45% is derived from apheresis collection into ACD. Therefore, we assume a weighted average of roughly 970mg of citrate per unit of plasma in our study.</w:t>
      </w:r>
      <w:r w:rsidR="00E80ED6" w:rsidRPr="00D362BA">
        <w:rPr>
          <w:rFonts w:ascii="Times New Roman" w:hAnsi="Times New Roman"/>
        </w:rPr>
        <w:t xml:space="preserve"> Most of our platelet inventory was pathogen reduced, but it is un</w:t>
      </w:r>
      <w:r w:rsidR="007E0D6F">
        <w:rPr>
          <w:rFonts w:ascii="Times New Roman" w:hAnsi="Times New Roman"/>
        </w:rPr>
        <w:t>clear</w:t>
      </w:r>
      <w:r w:rsidR="00E80ED6" w:rsidRPr="00D362BA">
        <w:rPr>
          <w:rFonts w:ascii="Times New Roman" w:hAnsi="Times New Roman"/>
        </w:rPr>
        <w:t xml:space="preserve"> what </w:t>
      </w:r>
      <w:r w:rsidR="0069499D" w:rsidRPr="00D362BA">
        <w:rPr>
          <w:rFonts w:ascii="Times New Roman" w:hAnsi="Times New Roman"/>
        </w:rPr>
        <w:t>e</w:t>
      </w:r>
      <w:r w:rsidR="00E80ED6" w:rsidRPr="00D362BA">
        <w:rPr>
          <w:rFonts w:ascii="Times New Roman" w:hAnsi="Times New Roman"/>
        </w:rPr>
        <w:t>ffect that has on citrate content.</w:t>
      </w:r>
    </w:p>
    <w:p w14:paraId="6EED9F7C" w14:textId="77777777" w:rsidR="00EB5AD2" w:rsidRPr="00D362BA" w:rsidRDefault="00EB5AD2" w:rsidP="00EB5AD2">
      <w:pPr>
        <w:spacing w:line="480" w:lineRule="auto"/>
        <w:rPr>
          <w:rFonts w:ascii="Times New Roman" w:hAnsi="Times New Roman"/>
        </w:rPr>
      </w:pPr>
    </w:p>
    <w:p w14:paraId="2D0C552E" w14:textId="77777777" w:rsidR="00EB5AD2" w:rsidRPr="00D362BA" w:rsidRDefault="00EB5AD2" w:rsidP="00EB5AD2">
      <w:pPr>
        <w:spacing w:line="480" w:lineRule="auto"/>
        <w:rPr>
          <w:rFonts w:ascii="Times New Roman" w:hAnsi="Times New Roman"/>
          <w:b/>
          <w:bCs/>
        </w:rPr>
      </w:pPr>
      <w:r w:rsidRPr="00D362BA">
        <w:rPr>
          <w:rFonts w:ascii="Times New Roman" w:hAnsi="Times New Roman"/>
        </w:rPr>
        <w:t>SUPPLEMENTAL TABLE 1   Citrate composition of preservative and additive solutions</w:t>
      </w:r>
    </w:p>
    <w:tbl>
      <w:tblPr>
        <w:tblW w:w="7671" w:type="dxa"/>
        <w:tblInd w:w="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155"/>
        <w:gridCol w:w="1890"/>
        <w:gridCol w:w="1787"/>
        <w:gridCol w:w="1839"/>
      </w:tblGrid>
      <w:tr w:rsidR="00EB5AD2" w:rsidRPr="00D362BA" w14:paraId="6E70F051" w14:textId="77777777" w:rsidTr="005B09ED">
        <w:tc>
          <w:tcPr>
            <w:tcW w:w="2155" w:type="dxa"/>
            <w:shd w:val="clear" w:color="auto" w:fill="D2D3D5"/>
            <w:vAlign w:val="bottom"/>
          </w:tcPr>
          <w:p w14:paraId="4D2C8660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</w:p>
        </w:tc>
        <w:tc>
          <w:tcPr>
            <w:tcW w:w="5516" w:type="dxa"/>
            <w:gridSpan w:val="3"/>
            <w:tcBorders>
              <w:bottom w:val="single" w:sz="4" w:space="0" w:color="000000"/>
            </w:tcBorders>
            <w:shd w:val="clear" w:color="auto" w:fill="D2D3D5"/>
            <w:vAlign w:val="bottom"/>
          </w:tcPr>
          <w:p w14:paraId="402BE159" w14:textId="77777777" w:rsidR="00EB5AD2" w:rsidRPr="00D362BA" w:rsidRDefault="00EB5AD2" w:rsidP="005B09ED">
            <w:pPr>
              <w:widowControl w:val="0"/>
              <w:jc w:val="center"/>
              <w:rPr>
                <w:rFonts w:ascii="Times New Roman" w:hAnsi="Times New Roman"/>
              </w:rPr>
            </w:pPr>
            <w:r w:rsidRPr="00D362BA">
              <w:rPr>
                <w:rFonts w:ascii="Times New Roman" w:hAnsi="Times New Roman"/>
              </w:rPr>
              <w:t>Components and their molar masses</w:t>
            </w:r>
          </w:p>
        </w:tc>
      </w:tr>
      <w:tr w:rsidR="00EB5AD2" w:rsidRPr="00D362BA" w14:paraId="3B1D0383" w14:textId="77777777" w:rsidTr="005B09ED">
        <w:tc>
          <w:tcPr>
            <w:tcW w:w="2155" w:type="dxa"/>
            <w:tcBorders>
              <w:bottom w:val="single" w:sz="4" w:space="0" w:color="000000"/>
            </w:tcBorders>
            <w:shd w:val="clear" w:color="auto" w:fill="D2D3D5"/>
            <w:vAlign w:val="bottom"/>
          </w:tcPr>
          <w:p w14:paraId="7DC03D39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Solution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D2D3D5"/>
            <w:vAlign w:val="bottom"/>
          </w:tcPr>
          <w:p w14:paraId="52F99FD4" w14:textId="77777777" w:rsidR="00EB5AD2" w:rsidRPr="00D362BA" w:rsidRDefault="00EB5AD2" w:rsidP="005B09ED">
            <w:pPr>
              <w:widowControl w:val="0"/>
              <w:rPr>
                <w:rFonts w:ascii="Times New Roman" w:hAnsi="Times New Roman"/>
              </w:rPr>
            </w:pPr>
            <w:r w:rsidRPr="00D362BA">
              <w:rPr>
                <w:rFonts w:ascii="Times New Roman" w:hAnsi="Times New Roman"/>
              </w:rPr>
              <w:t>Trisodium citrate dihydrate</w:t>
            </w:r>
          </w:p>
          <w:p w14:paraId="4D75660D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hAnsi="Times New Roman"/>
              </w:rPr>
              <w:t>(294.1 g/mol)</w:t>
            </w:r>
          </w:p>
        </w:tc>
        <w:tc>
          <w:tcPr>
            <w:tcW w:w="1787" w:type="dxa"/>
            <w:tcBorders>
              <w:bottom w:val="single" w:sz="4" w:space="0" w:color="000000"/>
            </w:tcBorders>
            <w:shd w:val="clear" w:color="auto" w:fill="D2D3D5"/>
            <w:vAlign w:val="bottom"/>
          </w:tcPr>
          <w:p w14:paraId="2BD8D8FD" w14:textId="77777777" w:rsidR="00EB5AD2" w:rsidRPr="00D362BA" w:rsidRDefault="00EB5AD2" w:rsidP="005B09ED">
            <w:pPr>
              <w:widowControl w:val="0"/>
              <w:rPr>
                <w:rFonts w:ascii="Times New Roman" w:hAnsi="Times New Roman"/>
              </w:rPr>
            </w:pPr>
            <w:r w:rsidRPr="00D362BA">
              <w:rPr>
                <w:rFonts w:ascii="Times New Roman" w:hAnsi="Times New Roman"/>
              </w:rPr>
              <w:t>Anhydrous citric acid</w:t>
            </w:r>
          </w:p>
          <w:p w14:paraId="39093AB3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hAnsi="Times New Roman"/>
              </w:rPr>
              <w:t>(192.1 g/mol)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shd w:val="clear" w:color="auto" w:fill="D2D3D5"/>
            <w:vAlign w:val="bottom"/>
          </w:tcPr>
          <w:p w14:paraId="321DC83C" w14:textId="77777777" w:rsidR="00EB5AD2" w:rsidRPr="00D362BA" w:rsidRDefault="00EB5AD2" w:rsidP="005B09ED">
            <w:pPr>
              <w:widowControl w:val="0"/>
              <w:rPr>
                <w:rFonts w:ascii="Times New Roman" w:hAnsi="Times New Roman"/>
              </w:rPr>
            </w:pPr>
            <w:r w:rsidRPr="00D362BA">
              <w:rPr>
                <w:rFonts w:ascii="Times New Roman" w:hAnsi="Times New Roman"/>
              </w:rPr>
              <w:t>Monohydrated citric acid</w:t>
            </w:r>
          </w:p>
          <w:p w14:paraId="3B976C28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hAnsi="Times New Roman"/>
              </w:rPr>
              <w:t>(210.1 g/mol)</w:t>
            </w:r>
          </w:p>
        </w:tc>
      </w:tr>
      <w:tr w:rsidR="00EB5AD2" w:rsidRPr="00D362BA" w14:paraId="47EEC701" w14:textId="77777777" w:rsidTr="005B09ED">
        <w:tc>
          <w:tcPr>
            <w:tcW w:w="2155" w:type="dxa"/>
          </w:tcPr>
          <w:p w14:paraId="631C8F48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CPD</w:t>
            </w:r>
          </w:p>
        </w:tc>
        <w:tc>
          <w:tcPr>
            <w:tcW w:w="1890" w:type="dxa"/>
          </w:tcPr>
          <w:p w14:paraId="59B19D10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hAnsi="Times New Roman"/>
              </w:rPr>
              <w:t>26.3 g/L</w:t>
            </w:r>
          </w:p>
        </w:tc>
        <w:tc>
          <w:tcPr>
            <w:tcW w:w="1787" w:type="dxa"/>
          </w:tcPr>
          <w:p w14:paraId="0DE35BD6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hAnsi="Times New Roman"/>
              </w:rPr>
              <w:t>2.99 g/L</w:t>
            </w:r>
          </w:p>
        </w:tc>
        <w:tc>
          <w:tcPr>
            <w:tcW w:w="1839" w:type="dxa"/>
          </w:tcPr>
          <w:p w14:paraId="6646DF3B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-</w:t>
            </w:r>
          </w:p>
        </w:tc>
      </w:tr>
      <w:tr w:rsidR="00EB5AD2" w:rsidRPr="00D362BA" w14:paraId="3270A0F5" w14:textId="77777777" w:rsidTr="005B09ED">
        <w:tc>
          <w:tcPr>
            <w:tcW w:w="2155" w:type="dxa"/>
            <w:shd w:val="clear" w:color="auto" w:fill="E7E7E8"/>
          </w:tcPr>
          <w:p w14:paraId="2E5552C5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CPDA-1</w:t>
            </w:r>
          </w:p>
          <w:p w14:paraId="1A552E81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 xml:space="preserve">   2007-present</w:t>
            </w:r>
          </w:p>
          <w:p w14:paraId="50E5C3A9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 xml:space="preserve">   1980-2007</w:t>
            </w:r>
          </w:p>
        </w:tc>
        <w:tc>
          <w:tcPr>
            <w:tcW w:w="1890" w:type="dxa"/>
            <w:shd w:val="clear" w:color="auto" w:fill="E7E7E8"/>
          </w:tcPr>
          <w:p w14:paraId="198FF819" w14:textId="77777777" w:rsidR="00EB5AD2" w:rsidRPr="00D362BA" w:rsidRDefault="00EB5AD2" w:rsidP="005B09ED">
            <w:pPr>
              <w:widowControl w:val="0"/>
              <w:rPr>
                <w:rFonts w:ascii="Times New Roman" w:hAnsi="Times New Roman"/>
              </w:rPr>
            </w:pPr>
          </w:p>
          <w:p w14:paraId="432D986B" w14:textId="77777777" w:rsidR="00EB5AD2" w:rsidRPr="00D362BA" w:rsidRDefault="00EB5AD2" w:rsidP="005B09ED">
            <w:pPr>
              <w:widowControl w:val="0"/>
              <w:rPr>
                <w:rFonts w:ascii="Times New Roman" w:hAnsi="Times New Roman"/>
              </w:rPr>
            </w:pPr>
            <w:r w:rsidRPr="00D362BA">
              <w:rPr>
                <w:rFonts w:ascii="Times New Roman" w:hAnsi="Times New Roman"/>
              </w:rPr>
              <w:t>26.3 g/L</w:t>
            </w:r>
          </w:p>
          <w:p w14:paraId="473D29B2" w14:textId="77777777" w:rsidR="00EB5AD2" w:rsidRPr="00D362BA" w:rsidRDefault="00EB5AD2" w:rsidP="005B09ED">
            <w:pPr>
              <w:widowControl w:val="0"/>
              <w:rPr>
                <w:rFonts w:ascii="Times New Roman" w:hAnsi="Times New Roman"/>
              </w:rPr>
            </w:pPr>
            <w:r w:rsidRPr="00D362BA">
              <w:rPr>
                <w:rFonts w:ascii="Times New Roman" w:hAnsi="Times New Roman"/>
              </w:rPr>
              <w:t>26.3 g/L</w:t>
            </w:r>
          </w:p>
        </w:tc>
        <w:tc>
          <w:tcPr>
            <w:tcW w:w="1787" w:type="dxa"/>
            <w:shd w:val="clear" w:color="auto" w:fill="E7E7E8"/>
          </w:tcPr>
          <w:p w14:paraId="10756FED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</w:p>
          <w:p w14:paraId="04539DE9" w14:textId="77777777" w:rsidR="00EB5AD2" w:rsidRPr="00D362BA" w:rsidRDefault="00EB5AD2" w:rsidP="005B09ED">
            <w:pPr>
              <w:widowControl w:val="0"/>
              <w:rPr>
                <w:rFonts w:ascii="Times New Roman" w:hAnsi="Times New Roman"/>
              </w:rPr>
            </w:pPr>
            <w:r w:rsidRPr="00D362BA">
              <w:rPr>
                <w:rFonts w:ascii="Times New Roman" w:hAnsi="Times New Roman"/>
              </w:rPr>
              <w:t>2.99 g/L</w:t>
            </w:r>
          </w:p>
          <w:p w14:paraId="16DD99B6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hAnsi="Times New Roman"/>
              </w:rPr>
              <w:t>-</w:t>
            </w:r>
          </w:p>
        </w:tc>
        <w:tc>
          <w:tcPr>
            <w:tcW w:w="1839" w:type="dxa"/>
            <w:shd w:val="clear" w:color="auto" w:fill="E7E7E8"/>
          </w:tcPr>
          <w:p w14:paraId="4E5E9915" w14:textId="77777777" w:rsidR="00EB5AD2" w:rsidRPr="00D362BA" w:rsidRDefault="00EB5AD2" w:rsidP="005B09ED">
            <w:pPr>
              <w:widowControl w:val="0"/>
              <w:rPr>
                <w:rFonts w:ascii="Times New Roman" w:hAnsi="Times New Roman"/>
              </w:rPr>
            </w:pPr>
          </w:p>
          <w:p w14:paraId="1E239CCA" w14:textId="77777777" w:rsidR="00EB5AD2" w:rsidRPr="00D362BA" w:rsidRDefault="00EB5AD2" w:rsidP="005B09ED">
            <w:pPr>
              <w:widowControl w:val="0"/>
              <w:rPr>
                <w:rFonts w:ascii="Times New Roman" w:hAnsi="Times New Roman"/>
              </w:rPr>
            </w:pPr>
            <w:r w:rsidRPr="00D362BA">
              <w:rPr>
                <w:rFonts w:ascii="Times New Roman" w:hAnsi="Times New Roman"/>
              </w:rPr>
              <w:t>-</w:t>
            </w:r>
          </w:p>
          <w:p w14:paraId="5742A2E9" w14:textId="77777777" w:rsidR="00EB5AD2" w:rsidRPr="00D362BA" w:rsidRDefault="00EB5AD2" w:rsidP="005B09ED">
            <w:pPr>
              <w:widowControl w:val="0"/>
              <w:rPr>
                <w:rFonts w:ascii="Times New Roman" w:hAnsi="Times New Roman"/>
              </w:rPr>
            </w:pPr>
            <w:r w:rsidRPr="00D362BA">
              <w:rPr>
                <w:rFonts w:ascii="Times New Roman" w:hAnsi="Times New Roman"/>
              </w:rPr>
              <w:t>3.27 g/L</w:t>
            </w:r>
          </w:p>
        </w:tc>
      </w:tr>
      <w:tr w:rsidR="00EB5AD2" w:rsidRPr="00D362BA" w14:paraId="4D7B3D96" w14:textId="77777777" w:rsidTr="005B09ED">
        <w:tc>
          <w:tcPr>
            <w:tcW w:w="2155" w:type="dxa"/>
            <w:shd w:val="clear" w:color="auto" w:fill="auto"/>
          </w:tcPr>
          <w:p w14:paraId="25DBA874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CP2D</w:t>
            </w:r>
          </w:p>
        </w:tc>
        <w:tc>
          <w:tcPr>
            <w:tcW w:w="1890" w:type="dxa"/>
            <w:shd w:val="clear" w:color="auto" w:fill="auto"/>
          </w:tcPr>
          <w:p w14:paraId="76DA2E9F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hAnsi="Times New Roman"/>
              </w:rPr>
              <w:t>26.3 g/L</w:t>
            </w:r>
          </w:p>
        </w:tc>
        <w:tc>
          <w:tcPr>
            <w:tcW w:w="1787" w:type="dxa"/>
            <w:shd w:val="clear" w:color="auto" w:fill="auto"/>
          </w:tcPr>
          <w:p w14:paraId="2B3B8AB7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-</w:t>
            </w:r>
          </w:p>
        </w:tc>
        <w:tc>
          <w:tcPr>
            <w:tcW w:w="1839" w:type="dxa"/>
            <w:shd w:val="clear" w:color="auto" w:fill="auto"/>
          </w:tcPr>
          <w:p w14:paraId="26455930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hAnsi="Times New Roman"/>
              </w:rPr>
              <w:t>3.27 g/L</w:t>
            </w:r>
          </w:p>
        </w:tc>
      </w:tr>
      <w:tr w:rsidR="00EB5AD2" w:rsidRPr="00D362BA" w14:paraId="3997390E" w14:textId="77777777" w:rsidTr="005B09ED">
        <w:tc>
          <w:tcPr>
            <w:tcW w:w="2155" w:type="dxa"/>
            <w:shd w:val="clear" w:color="auto" w:fill="E7E7E8"/>
          </w:tcPr>
          <w:p w14:paraId="0BF67159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AS-1, AS-5, AS-7, SAGM</w:t>
            </w:r>
          </w:p>
        </w:tc>
        <w:tc>
          <w:tcPr>
            <w:tcW w:w="1890" w:type="dxa"/>
            <w:shd w:val="clear" w:color="auto" w:fill="E7E7E8"/>
          </w:tcPr>
          <w:p w14:paraId="08670C3F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-</w:t>
            </w:r>
          </w:p>
        </w:tc>
        <w:tc>
          <w:tcPr>
            <w:tcW w:w="1787" w:type="dxa"/>
            <w:shd w:val="clear" w:color="auto" w:fill="E7E7E8"/>
          </w:tcPr>
          <w:p w14:paraId="744D871A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-</w:t>
            </w:r>
          </w:p>
        </w:tc>
        <w:tc>
          <w:tcPr>
            <w:tcW w:w="1839" w:type="dxa"/>
            <w:shd w:val="clear" w:color="auto" w:fill="E7E7E8"/>
          </w:tcPr>
          <w:p w14:paraId="5D44F5D1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-</w:t>
            </w:r>
          </w:p>
        </w:tc>
      </w:tr>
      <w:tr w:rsidR="00EB5AD2" w:rsidRPr="00D362BA" w14:paraId="34319D01" w14:textId="77777777" w:rsidTr="005B09ED">
        <w:tc>
          <w:tcPr>
            <w:tcW w:w="2155" w:type="dxa"/>
            <w:shd w:val="clear" w:color="auto" w:fill="auto"/>
          </w:tcPr>
          <w:p w14:paraId="797497AA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AS-3</w:t>
            </w:r>
          </w:p>
        </w:tc>
        <w:tc>
          <w:tcPr>
            <w:tcW w:w="1890" w:type="dxa"/>
            <w:shd w:val="clear" w:color="auto" w:fill="auto"/>
          </w:tcPr>
          <w:p w14:paraId="08EB3CD6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hAnsi="Times New Roman"/>
              </w:rPr>
              <w:t>5.88 g/L</w:t>
            </w:r>
          </w:p>
        </w:tc>
        <w:tc>
          <w:tcPr>
            <w:tcW w:w="1787" w:type="dxa"/>
            <w:shd w:val="clear" w:color="auto" w:fill="auto"/>
          </w:tcPr>
          <w:p w14:paraId="43899CC2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-</w:t>
            </w:r>
          </w:p>
        </w:tc>
        <w:tc>
          <w:tcPr>
            <w:tcW w:w="1839" w:type="dxa"/>
            <w:shd w:val="clear" w:color="auto" w:fill="auto"/>
          </w:tcPr>
          <w:p w14:paraId="114F8F1A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hAnsi="Times New Roman"/>
              </w:rPr>
              <w:t>0.42 g/L</w:t>
            </w:r>
          </w:p>
        </w:tc>
      </w:tr>
      <w:tr w:rsidR="00EB5AD2" w:rsidRPr="00D362BA" w14:paraId="339650D8" w14:textId="77777777" w:rsidTr="005B09ED">
        <w:tc>
          <w:tcPr>
            <w:tcW w:w="2155" w:type="dxa"/>
            <w:shd w:val="clear" w:color="auto" w:fill="E7E7E8"/>
          </w:tcPr>
          <w:p w14:paraId="6E6110EB" w14:textId="0670D5DF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ACD</w:t>
            </w:r>
            <w:r w:rsidR="006E3F65"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-A</w:t>
            </w:r>
          </w:p>
        </w:tc>
        <w:tc>
          <w:tcPr>
            <w:tcW w:w="1890" w:type="dxa"/>
            <w:shd w:val="clear" w:color="auto" w:fill="E7E7E8"/>
          </w:tcPr>
          <w:p w14:paraId="1CD2F43F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22.0 g/L</w:t>
            </w:r>
          </w:p>
          <w:p w14:paraId="63F0C583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or</w:t>
            </w:r>
          </w:p>
          <w:p w14:paraId="26D62E60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22.0 g/L</w:t>
            </w:r>
          </w:p>
        </w:tc>
        <w:tc>
          <w:tcPr>
            <w:tcW w:w="1787" w:type="dxa"/>
            <w:shd w:val="clear" w:color="auto" w:fill="E7E7E8"/>
          </w:tcPr>
          <w:p w14:paraId="01BDCF0D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7.3g/L</w:t>
            </w:r>
          </w:p>
          <w:p w14:paraId="69BCE5B6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or</w:t>
            </w:r>
          </w:p>
          <w:p w14:paraId="0EC5559C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-</w:t>
            </w:r>
          </w:p>
        </w:tc>
        <w:tc>
          <w:tcPr>
            <w:tcW w:w="1839" w:type="dxa"/>
            <w:shd w:val="clear" w:color="auto" w:fill="E7E7E8"/>
          </w:tcPr>
          <w:p w14:paraId="4371E7A9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-</w:t>
            </w:r>
          </w:p>
          <w:p w14:paraId="03D11BC2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or</w:t>
            </w:r>
          </w:p>
          <w:p w14:paraId="0822A165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8.0 g/L</w:t>
            </w:r>
          </w:p>
        </w:tc>
      </w:tr>
      <w:tr w:rsidR="00EB5AD2" w:rsidRPr="00D362BA" w14:paraId="32726DB7" w14:textId="77777777" w:rsidTr="005B09ED">
        <w:tc>
          <w:tcPr>
            <w:tcW w:w="2155" w:type="dxa"/>
            <w:shd w:val="clear" w:color="auto" w:fill="auto"/>
          </w:tcPr>
          <w:p w14:paraId="28A84E4E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PAS-C</w:t>
            </w:r>
          </w:p>
        </w:tc>
        <w:tc>
          <w:tcPr>
            <w:tcW w:w="1890" w:type="dxa"/>
            <w:shd w:val="clear" w:color="auto" w:fill="auto"/>
          </w:tcPr>
          <w:p w14:paraId="5BD0C606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3.18 g/L</w:t>
            </w:r>
          </w:p>
        </w:tc>
        <w:tc>
          <w:tcPr>
            <w:tcW w:w="1787" w:type="dxa"/>
            <w:shd w:val="clear" w:color="auto" w:fill="auto"/>
          </w:tcPr>
          <w:p w14:paraId="7349BD27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-</w:t>
            </w:r>
          </w:p>
        </w:tc>
        <w:tc>
          <w:tcPr>
            <w:tcW w:w="1839" w:type="dxa"/>
            <w:shd w:val="clear" w:color="auto" w:fill="auto"/>
          </w:tcPr>
          <w:p w14:paraId="6EEA6D5D" w14:textId="77777777" w:rsidR="00EB5AD2" w:rsidRPr="00D362BA" w:rsidRDefault="00EB5AD2" w:rsidP="005B09ED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-</w:t>
            </w:r>
          </w:p>
        </w:tc>
      </w:tr>
    </w:tbl>
    <w:p w14:paraId="30C77559" w14:textId="77777777" w:rsidR="00EB5AD2" w:rsidRPr="00D362BA" w:rsidRDefault="00EB5AD2">
      <w:pPr>
        <w:spacing w:line="480" w:lineRule="auto"/>
        <w:rPr>
          <w:rFonts w:ascii="Times New Roman" w:hAnsi="Times New Roman"/>
        </w:rPr>
      </w:pPr>
    </w:p>
    <w:p w14:paraId="61F66F7A" w14:textId="454986DC" w:rsidR="001852E4" w:rsidRPr="00D362BA" w:rsidRDefault="00000000">
      <w:pPr>
        <w:spacing w:line="480" w:lineRule="auto"/>
        <w:rPr>
          <w:rFonts w:ascii="Times New Roman" w:hAnsi="Times New Roman"/>
          <w:b/>
          <w:bCs/>
        </w:rPr>
      </w:pPr>
      <w:r w:rsidRPr="00D362BA">
        <w:rPr>
          <w:rFonts w:ascii="Times New Roman" w:hAnsi="Times New Roman"/>
        </w:rPr>
        <w:lastRenderedPageBreak/>
        <w:t xml:space="preserve">SUPPLEMENTAL TABLE </w:t>
      </w:r>
      <w:r w:rsidR="00002A58" w:rsidRPr="00D362BA">
        <w:rPr>
          <w:rFonts w:ascii="Times New Roman" w:hAnsi="Times New Roman"/>
        </w:rPr>
        <w:t>2</w:t>
      </w:r>
      <w:r w:rsidRPr="00D362BA">
        <w:rPr>
          <w:rFonts w:ascii="Times New Roman" w:hAnsi="Times New Roman"/>
        </w:rPr>
        <w:t xml:space="preserve">   Estimated citrate content of blood components at our institution</w:t>
      </w:r>
    </w:p>
    <w:tbl>
      <w:tblPr>
        <w:tblW w:w="7672" w:type="dxa"/>
        <w:tblInd w:w="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073"/>
        <w:gridCol w:w="2244"/>
        <w:gridCol w:w="1677"/>
        <w:gridCol w:w="1678"/>
      </w:tblGrid>
      <w:tr w:rsidR="00C83192" w:rsidRPr="00D362BA" w14:paraId="5FB2EA6E" w14:textId="77777777" w:rsidTr="00C83192">
        <w:tc>
          <w:tcPr>
            <w:tcW w:w="2073" w:type="dxa"/>
            <w:tcBorders>
              <w:bottom w:val="single" w:sz="4" w:space="0" w:color="000000"/>
            </w:tcBorders>
            <w:shd w:val="clear" w:color="auto" w:fill="D2D3D5"/>
            <w:vAlign w:val="bottom"/>
          </w:tcPr>
          <w:p w14:paraId="461F8199" w14:textId="77777777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Blood Product</w:t>
            </w:r>
          </w:p>
        </w:tc>
        <w:tc>
          <w:tcPr>
            <w:tcW w:w="2244" w:type="dxa"/>
            <w:tcBorders>
              <w:bottom w:val="single" w:sz="4" w:space="0" w:color="000000"/>
            </w:tcBorders>
            <w:shd w:val="clear" w:color="auto" w:fill="D2D3D5"/>
            <w:vAlign w:val="bottom"/>
          </w:tcPr>
          <w:p w14:paraId="41BBA219" w14:textId="77777777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Preservative and/or additive solution</w:t>
            </w:r>
          </w:p>
        </w:tc>
        <w:tc>
          <w:tcPr>
            <w:tcW w:w="1677" w:type="dxa"/>
            <w:tcBorders>
              <w:bottom w:val="single" w:sz="4" w:space="0" w:color="000000"/>
            </w:tcBorders>
            <w:shd w:val="clear" w:color="auto" w:fill="D2D3D5"/>
            <w:vAlign w:val="bottom"/>
          </w:tcPr>
          <w:p w14:paraId="68998F0F" w14:textId="71DC80AA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Citrate content (m</w:t>
            </w:r>
            <w:r w:rsidR="00CB05D6"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mol</w:t>
            </w: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)</w:t>
            </w:r>
          </w:p>
        </w:tc>
        <w:tc>
          <w:tcPr>
            <w:tcW w:w="1678" w:type="dxa"/>
            <w:tcBorders>
              <w:bottom w:val="single" w:sz="4" w:space="0" w:color="000000"/>
            </w:tcBorders>
            <w:shd w:val="clear" w:color="auto" w:fill="D2D3D5"/>
            <w:vAlign w:val="bottom"/>
          </w:tcPr>
          <w:p w14:paraId="66121B6C" w14:textId="2D94A9FC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Average volume (mL)</w:t>
            </w:r>
          </w:p>
        </w:tc>
      </w:tr>
      <w:tr w:rsidR="00C83192" w:rsidRPr="00D362BA" w14:paraId="0B2D185A" w14:textId="77777777" w:rsidTr="00C83192">
        <w:tc>
          <w:tcPr>
            <w:tcW w:w="2073" w:type="dxa"/>
          </w:tcPr>
          <w:p w14:paraId="6DD862E3" w14:textId="77777777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Whole blood</w:t>
            </w:r>
          </w:p>
        </w:tc>
        <w:tc>
          <w:tcPr>
            <w:tcW w:w="2244" w:type="dxa"/>
          </w:tcPr>
          <w:p w14:paraId="21569202" w14:textId="77777777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CPD</w:t>
            </w:r>
          </w:p>
        </w:tc>
        <w:tc>
          <w:tcPr>
            <w:tcW w:w="1677" w:type="dxa"/>
          </w:tcPr>
          <w:p w14:paraId="621A385A" w14:textId="205EAC22" w:rsidR="00C83192" w:rsidRPr="00D362BA" w:rsidRDefault="00CB05D6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7.35</w:t>
            </w:r>
            <w:r w:rsidR="00C83192" w:rsidRPr="00D362BA">
              <w:rPr>
                <w:rFonts w:ascii="Times New Roman" w:eastAsia="Calibri" w:hAnsi="Times New Roman"/>
                <w:kern w:val="0"/>
                <w:vertAlign w:val="superscript"/>
                <w:lang w:eastAsia="en-US" w:bidi="ar-SA"/>
              </w:rPr>
              <w:t>a</w:t>
            </w:r>
          </w:p>
        </w:tc>
        <w:tc>
          <w:tcPr>
            <w:tcW w:w="1678" w:type="dxa"/>
          </w:tcPr>
          <w:p w14:paraId="22F0CE75" w14:textId="7D774642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570</w:t>
            </w:r>
          </w:p>
        </w:tc>
      </w:tr>
      <w:tr w:rsidR="00C83192" w:rsidRPr="00D362BA" w14:paraId="1B2086E4" w14:textId="77777777" w:rsidTr="00C83192">
        <w:tc>
          <w:tcPr>
            <w:tcW w:w="2073" w:type="dxa"/>
            <w:shd w:val="clear" w:color="auto" w:fill="E7E7E8"/>
          </w:tcPr>
          <w:p w14:paraId="5C0BF0DD" w14:textId="77777777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proofErr w:type="spellStart"/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pRBC</w:t>
            </w:r>
            <w:proofErr w:type="spellEnd"/>
          </w:p>
        </w:tc>
        <w:tc>
          <w:tcPr>
            <w:tcW w:w="2244" w:type="dxa"/>
            <w:shd w:val="clear" w:color="auto" w:fill="E7E7E8"/>
          </w:tcPr>
          <w:p w14:paraId="512422A7" w14:textId="77777777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 xml:space="preserve">Mixture; mostly CPD and AS-1. </w:t>
            </w:r>
          </w:p>
        </w:tc>
        <w:tc>
          <w:tcPr>
            <w:tcW w:w="1677" w:type="dxa"/>
            <w:shd w:val="clear" w:color="auto" w:fill="E7E7E8"/>
          </w:tcPr>
          <w:p w14:paraId="715A717D" w14:textId="77777777" w:rsidR="00E80ED6" w:rsidRPr="00D362BA" w:rsidRDefault="00CB05D6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1.32</w:t>
            </w:r>
            <w:r w:rsidR="00C83192" w:rsidRPr="00D362BA">
              <w:rPr>
                <w:rFonts w:ascii="Times New Roman" w:eastAsia="Calibri" w:hAnsi="Times New Roman"/>
                <w:kern w:val="0"/>
                <w:vertAlign w:val="superscript"/>
                <w:lang w:eastAsia="en-US" w:bidi="ar-SA"/>
              </w:rPr>
              <w:t>a</w:t>
            </w:r>
          </w:p>
          <w:p w14:paraId="5AA37BFB" w14:textId="1F112F90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(weighted)</w:t>
            </w:r>
          </w:p>
        </w:tc>
        <w:tc>
          <w:tcPr>
            <w:tcW w:w="1678" w:type="dxa"/>
            <w:shd w:val="clear" w:color="auto" w:fill="E7E7E8"/>
          </w:tcPr>
          <w:p w14:paraId="4CD8256C" w14:textId="6C0E7233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345</w:t>
            </w:r>
          </w:p>
        </w:tc>
      </w:tr>
      <w:tr w:rsidR="00C83192" w:rsidRPr="00D362BA" w14:paraId="2DCB63BF" w14:textId="77777777" w:rsidTr="00C83192">
        <w:tc>
          <w:tcPr>
            <w:tcW w:w="2073" w:type="dxa"/>
          </w:tcPr>
          <w:p w14:paraId="49E38676" w14:textId="0F775BF3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FFP</w:t>
            </w:r>
            <w:r w:rsidR="00291CA6">
              <w:rPr>
                <w:rFonts w:ascii="Times New Roman" w:eastAsia="Calibri" w:hAnsi="Times New Roman"/>
                <w:kern w:val="0"/>
                <w:lang w:eastAsia="en-US" w:bidi="ar-SA"/>
              </w:rPr>
              <w:t>/PF24</w:t>
            </w:r>
          </w:p>
        </w:tc>
        <w:tc>
          <w:tcPr>
            <w:tcW w:w="2244" w:type="dxa"/>
          </w:tcPr>
          <w:p w14:paraId="38AA2819" w14:textId="77777777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Mixture; CPD or ACD</w:t>
            </w:r>
          </w:p>
        </w:tc>
        <w:tc>
          <w:tcPr>
            <w:tcW w:w="1677" w:type="dxa"/>
          </w:tcPr>
          <w:p w14:paraId="34834E3F" w14:textId="35C0C1DF" w:rsidR="00E80ED6" w:rsidRPr="00D362BA" w:rsidRDefault="00E80ED6" w:rsidP="00E80ED6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5.15</w:t>
            </w:r>
          </w:p>
          <w:p w14:paraId="7C4B9DBE" w14:textId="6A40016B" w:rsidR="00C83192" w:rsidRPr="00D362BA" w:rsidRDefault="00C83192" w:rsidP="00E80ED6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(weighted)</w:t>
            </w:r>
          </w:p>
        </w:tc>
        <w:tc>
          <w:tcPr>
            <w:tcW w:w="1678" w:type="dxa"/>
          </w:tcPr>
          <w:p w14:paraId="7BEF7E40" w14:textId="13D0A640" w:rsidR="00C83192" w:rsidRPr="00D362BA" w:rsidRDefault="00C83192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275</w:t>
            </w:r>
          </w:p>
        </w:tc>
      </w:tr>
      <w:tr w:rsidR="00CB05D6" w:rsidRPr="00D362BA" w14:paraId="5A0C11E8" w14:textId="77777777" w:rsidTr="00C83192">
        <w:tc>
          <w:tcPr>
            <w:tcW w:w="2073" w:type="dxa"/>
            <w:shd w:val="clear" w:color="auto" w:fill="E7E7E8"/>
          </w:tcPr>
          <w:p w14:paraId="76E0C5E6" w14:textId="268E1613" w:rsidR="00CB05D6" w:rsidRPr="00D362BA" w:rsidRDefault="00CB05D6" w:rsidP="00CB05D6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Apheresis platelets</w:t>
            </w:r>
          </w:p>
        </w:tc>
        <w:tc>
          <w:tcPr>
            <w:tcW w:w="2244" w:type="dxa"/>
            <w:shd w:val="clear" w:color="auto" w:fill="E7E7E8"/>
          </w:tcPr>
          <w:p w14:paraId="28150EE7" w14:textId="33F1A308" w:rsidR="00CB05D6" w:rsidRPr="00D362BA" w:rsidRDefault="00CB05D6" w:rsidP="00CB05D6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ACD</w:t>
            </w:r>
          </w:p>
        </w:tc>
        <w:tc>
          <w:tcPr>
            <w:tcW w:w="1677" w:type="dxa"/>
            <w:shd w:val="clear" w:color="auto" w:fill="E7E7E8"/>
          </w:tcPr>
          <w:p w14:paraId="4AE9819E" w14:textId="2162CDBE" w:rsidR="00CB05D6" w:rsidRPr="00D362BA" w:rsidRDefault="0069499D" w:rsidP="00CB05D6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4.14</w:t>
            </w:r>
          </w:p>
        </w:tc>
        <w:tc>
          <w:tcPr>
            <w:tcW w:w="1678" w:type="dxa"/>
            <w:shd w:val="clear" w:color="auto" w:fill="E7E7E8"/>
          </w:tcPr>
          <w:p w14:paraId="7B1E7219" w14:textId="4D80E610" w:rsidR="00CB05D6" w:rsidRPr="00D362BA" w:rsidRDefault="00CB05D6" w:rsidP="00CB05D6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319</w:t>
            </w:r>
          </w:p>
        </w:tc>
      </w:tr>
      <w:tr w:rsidR="00CB05D6" w:rsidRPr="00D362BA" w14:paraId="40F086CA" w14:textId="77777777" w:rsidTr="00C83192">
        <w:tc>
          <w:tcPr>
            <w:tcW w:w="2073" w:type="dxa"/>
          </w:tcPr>
          <w:p w14:paraId="0B8D1626" w14:textId="70D0D4E1" w:rsidR="00CB05D6" w:rsidRPr="00D362BA" w:rsidRDefault="00CB05D6" w:rsidP="00CB05D6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proofErr w:type="spellStart"/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Cryo</w:t>
            </w:r>
            <w:proofErr w:type="spellEnd"/>
          </w:p>
        </w:tc>
        <w:tc>
          <w:tcPr>
            <w:tcW w:w="2244" w:type="dxa"/>
          </w:tcPr>
          <w:p w14:paraId="3E977317" w14:textId="1683C011" w:rsidR="00CB05D6" w:rsidRPr="00D362BA" w:rsidRDefault="00CB05D6" w:rsidP="00CB05D6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CPD</w:t>
            </w:r>
          </w:p>
        </w:tc>
        <w:tc>
          <w:tcPr>
            <w:tcW w:w="1677" w:type="dxa"/>
          </w:tcPr>
          <w:p w14:paraId="5327178A" w14:textId="3FE1E9EA" w:rsidR="00CB05D6" w:rsidRPr="00D362BA" w:rsidRDefault="00CB05D6" w:rsidP="00CB05D6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1.49</w:t>
            </w:r>
          </w:p>
        </w:tc>
        <w:tc>
          <w:tcPr>
            <w:tcW w:w="1678" w:type="dxa"/>
          </w:tcPr>
          <w:p w14:paraId="1DBEEF56" w14:textId="65AE762A" w:rsidR="00CB05D6" w:rsidRPr="00D362BA" w:rsidRDefault="00CB05D6" w:rsidP="00CB05D6">
            <w:pPr>
              <w:widowControl w:val="0"/>
              <w:rPr>
                <w:rFonts w:ascii="Times New Roman" w:eastAsia="Calibri" w:hAnsi="Times New Roman"/>
                <w:kern w:val="0"/>
                <w:lang w:eastAsia="en-US" w:bidi="ar-SA"/>
              </w:rPr>
            </w:pPr>
            <w:r w:rsidRPr="00D362BA">
              <w:rPr>
                <w:rFonts w:ascii="Times New Roman" w:eastAsia="Calibri" w:hAnsi="Times New Roman"/>
                <w:kern w:val="0"/>
                <w:lang w:eastAsia="en-US" w:bidi="ar-SA"/>
              </w:rPr>
              <w:t>75</w:t>
            </w:r>
          </w:p>
        </w:tc>
      </w:tr>
    </w:tbl>
    <w:p w14:paraId="20B639E3" w14:textId="77777777" w:rsidR="001852E4" w:rsidRPr="000403F1" w:rsidRDefault="001852E4" w:rsidP="000403F1">
      <w:pPr>
        <w:rPr>
          <w:rFonts w:ascii="Times New Roman" w:hAnsi="Times New Roman"/>
          <w:sz w:val="20"/>
          <w:szCs w:val="20"/>
        </w:rPr>
      </w:pPr>
    </w:p>
    <w:p w14:paraId="09D76FA4" w14:textId="2413EE28" w:rsidR="001852E4" w:rsidRPr="000403F1" w:rsidRDefault="00000000" w:rsidP="000403F1">
      <w:pPr>
        <w:rPr>
          <w:rFonts w:ascii="Times New Roman" w:hAnsi="Times New Roman"/>
          <w:sz w:val="20"/>
          <w:szCs w:val="20"/>
        </w:rPr>
      </w:pPr>
      <w:proofErr w:type="spellStart"/>
      <w:r w:rsidRPr="000403F1">
        <w:rPr>
          <w:rFonts w:ascii="Times New Roman" w:hAnsi="Times New Roman"/>
          <w:sz w:val="20"/>
          <w:szCs w:val="20"/>
          <w:vertAlign w:val="superscript"/>
        </w:rPr>
        <w:t>a</w:t>
      </w:r>
      <w:r w:rsidRPr="000403F1">
        <w:rPr>
          <w:rFonts w:ascii="Times New Roman" w:hAnsi="Times New Roman"/>
          <w:sz w:val="20"/>
          <w:szCs w:val="20"/>
        </w:rPr>
        <w:t>As</w:t>
      </w:r>
      <w:proofErr w:type="spellEnd"/>
      <w:r w:rsidRPr="000403F1">
        <w:rPr>
          <w:rFonts w:ascii="Times New Roman" w:hAnsi="Times New Roman"/>
          <w:sz w:val="20"/>
          <w:szCs w:val="20"/>
        </w:rPr>
        <w:t xml:space="preserve"> a major caveat: Red blood cells are capable of catabolizing citrate in glycolytic metabolic pathways during storage. A metabolomics analysis of </w:t>
      </w:r>
      <w:proofErr w:type="spellStart"/>
      <w:r w:rsidRPr="000403F1">
        <w:rPr>
          <w:rFonts w:ascii="Times New Roman" w:hAnsi="Times New Roman"/>
          <w:sz w:val="20"/>
          <w:szCs w:val="20"/>
        </w:rPr>
        <w:t>leukoreduced</w:t>
      </w:r>
      <w:proofErr w:type="spellEnd"/>
      <w:r w:rsidRPr="000403F1">
        <w:rPr>
          <w:rFonts w:ascii="Times New Roman" w:hAnsi="Times New Roman"/>
          <w:sz w:val="20"/>
          <w:szCs w:val="20"/>
        </w:rPr>
        <w:t xml:space="preserve"> red cells stored in AS-3 demonstrated substantial uptake of citrate within a </w:t>
      </w:r>
      <w:proofErr w:type="gramStart"/>
      <w:r w:rsidRPr="000403F1">
        <w:rPr>
          <w:rFonts w:ascii="Times New Roman" w:hAnsi="Times New Roman"/>
          <w:sz w:val="20"/>
          <w:szCs w:val="20"/>
        </w:rPr>
        <w:t>14 day</w:t>
      </w:r>
      <w:proofErr w:type="gramEnd"/>
      <w:r w:rsidRPr="000403F1">
        <w:rPr>
          <w:rFonts w:ascii="Times New Roman" w:hAnsi="Times New Roman"/>
          <w:sz w:val="20"/>
          <w:szCs w:val="20"/>
        </w:rPr>
        <w:t xml:space="preserve"> cold storage period with conversion to pyruvate, lactate, and malate occurring in a time-dependent fashion</w:t>
      </w:r>
      <w:r w:rsidR="00865D86" w:rsidRPr="000403F1">
        <w:rPr>
          <w:rFonts w:ascii="Times New Roman" w:hAnsi="Times New Roman"/>
          <w:sz w:val="20"/>
          <w:szCs w:val="20"/>
          <w:vertAlign w:val="superscript"/>
        </w:rPr>
        <w:t>5</w:t>
      </w:r>
      <w:r w:rsidRPr="000403F1">
        <w:rPr>
          <w:rFonts w:ascii="Times New Roman" w:hAnsi="Times New Roman"/>
          <w:sz w:val="20"/>
          <w:szCs w:val="20"/>
        </w:rPr>
        <w:t xml:space="preserve">. Therefore, the above citrate content in whole blood and </w:t>
      </w:r>
      <w:proofErr w:type="spellStart"/>
      <w:r w:rsidRPr="000403F1">
        <w:rPr>
          <w:rFonts w:ascii="Times New Roman" w:hAnsi="Times New Roman"/>
          <w:sz w:val="20"/>
          <w:szCs w:val="20"/>
        </w:rPr>
        <w:t>pRBC</w:t>
      </w:r>
      <w:proofErr w:type="spellEnd"/>
      <w:r w:rsidRPr="000403F1">
        <w:rPr>
          <w:rFonts w:ascii="Times New Roman" w:hAnsi="Times New Roman"/>
          <w:sz w:val="20"/>
          <w:szCs w:val="20"/>
        </w:rPr>
        <w:t xml:space="preserve"> units likely reflects a theoretical maximum, which decreases during storage.</w:t>
      </w:r>
    </w:p>
    <w:p w14:paraId="28E2A692" w14:textId="77777777" w:rsidR="001852E4" w:rsidRDefault="001852E4">
      <w:pPr>
        <w:spacing w:line="480" w:lineRule="auto"/>
        <w:rPr>
          <w:rFonts w:ascii="Times New Roman" w:hAnsi="Times New Roman"/>
        </w:rPr>
      </w:pPr>
    </w:p>
    <w:p w14:paraId="1A1CE72A" w14:textId="77777777" w:rsidR="001852E4" w:rsidRDefault="00000000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References</w:t>
      </w:r>
    </w:p>
    <w:p w14:paraId="22DE64FC" w14:textId="2801BEE5" w:rsidR="00957C33" w:rsidRDefault="00865D86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865D86">
        <w:rPr>
          <w:rFonts w:ascii="Times New Roman" w:hAnsi="Times New Roman"/>
        </w:rPr>
        <w:t xml:space="preserve">National Institute of Health, National Library of Medicine. </w:t>
      </w:r>
      <w:proofErr w:type="spellStart"/>
      <w:r w:rsidRPr="00865D86">
        <w:rPr>
          <w:rFonts w:ascii="Times New Roman" w:hAnsi="Times New Roman"/>
        </w:rPr>
        <w:t>DailyMed</w:t>
      </w:r>
      <w:proofErr w:type="spellEnd"/>
      <w:r w:rsidRPr="00865D86">
        <w:rPr>
          <w:rFonts w:ascii="Times New Roman" w:hAnsi="Times New Roman"/>
        </w:rPr>
        <w:t xml:space="preserve"> searchable database. Accessed July 27th, 2024. Available from: https://dailymed.nlm.nih.gov/dailymed/</w:t>
      </w:r>
    </w:p>
    <w:p w14:paraId="61DCEB9B" w14:textId="56FB1FBB" w:rsidR="001852E4" w:rsidRDefault="00865D86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Fung MK, Eder A, </w:t>
      </w:r>
      <w:proofErr w:type="spellStart"/>
      <w:r>
        <w:rPr>
          <w:rFonts w:ascii="Times New Roman" w:hAnsi="Times New Roman"/>
        </w:rPr>
        <w:t>Spitalnik</w:t>
      </w:r>
      <w:proofErr w:type="spellEnd"/>
      <w:r>
        <w:rPr>
          <w:rFonts w:ascii="Times New Roman" w:hAnsi="Times New Roman"/>
        </w:rPr>
        <w:t xml:space="preserve"> SL, Westhoff CM, editors. 19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ed. Technical Manual. Bethesda (MD): AABB; 2017.</w:t>
      </w:r>
    </w:p>
    <w:p w14:paraId="73477FBC" w14:textId="5B6B4044" w:rsidR="001852E4" w:rsidRDefault="00865D86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AABB, American Red Cross, America's Blood Centers, Armed Services Blood Program. Circular of </w:t>
      </w:r>
      <w:r w:rsidR="0094694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nformation for the </w:t>
      </w:r>
      <w:r w:rsidR="0094694C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se of </w:t>
      </w:r>
      <w:r w:rsidR="0094694C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uman </w:t>
      </w:r>
      <w:r w:rsidR="0094694C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lood and </w:t>
      </w:r>
      <w:r w:rsidR="0094694C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lood </w:t>
      </w:r>
      <w:r w:rsidR="0094694C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omponents. </w:t>
      </w:r>
      <w:r w:rsidR="0094694C">
        <w:rPr>
          <w:rFonts w:ascii="Times New Roman" w:hAnsi="Times New Roman"/>
        </w:rPr>
        <w:t xml:space="preserve">December </w:t>
      </w:r>
      <w:r>
        <w:rPr>
          <w:rFonts w:ascii="Times New Roman" w:hAnsi="Times New Roman"/>
        </w:rPr>
        <w:t>2021.</w:t>
      </w:r>
    </w:p>
    <w:p w14:paraId="18FC34C1" w14:textId="14857BC1" w:rsidR="001852E4" w:rsidRDefault="00865D86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van der Meer PF, de Korte D. Platelet additive solutions: A review of the latest developments and their clinical implications. </w:t>
      </w:r>
      <w:proofErr w:type="spellStart"/>
      <w:r>
        <w:rPr>
          <w:rFonts w:ascii="Times New Roman" w:hAnsi="Times New Roman"/>
        </w:rPr>
        <w:t>Transfus</w:t>
      </w:r>
      <w:proofErr w:type="spellEnd"/>
      <w:r>
        <w:rPr>
          <w:rFonts w:ascii="Times New Roman" w:hAnsi="Times New Roman"/>
        </w:rPr>
        <w:t xml:space="preserve"> Med </w:t>
      </w:r>
      <w:proofErr w:type="spellStart"/>
      <w:r>
        <w:rPr>
          <w:rFonts w:ascii="Times New Roman" w:hAnsi="Times New Roman"/>
        </w:rPr>
        <w:t>Hemother</w:t>
      </w:r>
      <w:proofErr w:type="spellEnd"/>
      <w:r>
        <w:rPr>
          <w:rFonts w:ascii="Times New Roman" w:hAnsi="Times New Roman"/>
        </w:rPr>
        <w:t>. 2018;45(2):98-102.</w:t>
      </w:r>
    </w:p>
    <w:p w14:paraId="1E80817E" w14:textId="185B5BC9" w:rsidR="001852E4" w:rsidRDefault="00865D86">
      <w:pPr>
        <w:widowControl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D'Alessandro A, </w:t>
      </w:r>
      <w:proofErr w:type="spellStart"/>
      <w:r>
        <w:rPr>
          <w:rFonts w:ascii="Times New Roman" w:hAnsi="Times New Roman"/>
        </w:rPr>
        <w:t>Nemkov</w:t>
      </w:r>
      <w:proofErr w:type="spellEnd"/>
      <w:r>
        <w:rPr>
          <w:rFonts w:ascii="Times New Roman" w:hAnsi="Times New Roman"/>
        </w:rPr>
        <w:t xml:space="preserve"> T, Yoshida T, </w:t>
      </w:r>
      <w:proofErr w:type="spellStart"/>
      <w:r>
        <w:rPr>
          <w:rFonts w:ascii="Times New Roman" w:hAnsi="Times New Roman"/>
        </w:rPr>
        <w:t>Bordbar</w:t>
      </w:r>
      <w:proofErr w:type="spellEnd"/>
      <w:r>
        <w:rPr>
          <w:rFonts w:ascii="Times New Roman" w:hAnsi="Times New Roman"/>
        </w:rPr>
        <w:t xml:space="preserve"> A, Palsson BO, Hansen KC. Citrate metabolism in red blood cells stored in additive solution-3. Transfusion. 2017;57(2):325-336.</w:t>
      </w:r>
      <w:bookmarkEnd w:id="0"/>
    </w:p>
    <w:sectPr w:rsidR="001852E4">
      <w:headerReference w:type="default" r:id="rId6"/>
      <w:pgSz w:w="12240" w:h="15840"/>
      <w:pgMar w:top="1138" w:right="1134" w:bottom="979" w:left="1134" w:header="993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BDEC3" w14:textId="77777777" w:rsidR="00075F8E" w:rsidRDefault="00075F8E">
      <w:r>
        <w:separator/>
      </w:r>
    </w:p>
  </w:endnote>
  <w:endnote w:type="continuationSeparator" w:id="0">
    <w:p w14:paraId="6F31B9B8" w14:textId="77777777" w:rsidR="00075F8E" w:rsidRDefault="000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4640A" w14:textId="77777777" w:rsidR="00075F8E" w:rsidRDefault="00075F8E">
      <w:r>
        <w:separator/>
      </w:r>
    </w:p>
  </w:footnote>
  <w:footnote w:type="continuationSeparator" w:id="0">
    <w:p w14:paraId="0C9F64E4" w14:textId="77777777" w:rsidR="00075F8E" w:rsidRDefault="0007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F4EEB" w14:textId="77777777" w:rsidR="001852E4" w:rsidRDefault="00000000">
    <w:pPr>
      <w:pStyle w:val="Header"/>
      <w:jc w:val="right"/>
    </w:pPr>
    <w:r>
      <w:t xml:space="preserve">Page #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5</w:t>
    </w:r>
    <w:r>
      <w:fldChar w:fldCharType="end"/>
    </w:r>
  </w:p>
  <w:p w14:paraId="4AC36AF5" w14:textId="77777777" w:rsidR="001852E4" w:rsidRDefault="001852E4">
    <w:pPr>
      <w:pStyle w:val="HeaderLeft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E4"/>
    <w:rsid w:val="00002A58"/>
    <w:rsid w:val="000403F1"/>
    <w:rsid w:val="00075F8E"/>
    <w:rsid w:val="00082FDB"/>
    <w:rsid w:val="001014FA"/>
    <w:rsid w:val="001365DF"/>
    <w:rsid w:val="00146CA8"/>
    <w:rsid w:val="00152EDB"/>
    <w:rsid w:val="00155EA7"/>
    <w:rsid w:val="0017371E"/>
    <w:rsid w:val="001852E4"/>
    <w:rsid w:val="001B4D75"/>
    <w:rsid w:val="00291CA6"/>
    <w:rsid w:val="002F7E9D"/>
    <w:rsid w:val="00325F58"/>
    <w:rsid w:val="0033630F"/>
    <w:rsid w:val="00362ADE"/>
    <w:rsid w:val="003C2A31"/>
    <w:rsid w:val="003F1A08"/>
    <w:rsid w:val="003F4177"/>
    <w:rsid w:val="004159DF"/>
    <w:rsid w:val="00630388"/>
    <w:rsid w:val="00661DED"/>
    <w:rsid w:val="00670260"/>
    <w:rsid w:val="0069499D"/>
    <w:rsid w:val="006E3F65"/>
    <w:rsid w:val="006E4B86"/>
    <w:rsid w:val="007A1850"/>
    <w:rsid w:val="007C270B"/>
    <w:rsid w:val="007E0D6F"/>
    <w:rsid w:val="00865D86"/>
    <w:rsid w:val="008A7378"/>
    <w:rsid w:val="008C1375"/>
    <w:rsid w:val="008F52BB"/>
    <w:rsid w:val="0094694C"/>
    <w:rsid w:val="00956864"/>
    <w:rsid w:val="00957C33"/>
    <w:rsid w:val="009942B8"/>
    <w:rsid w:val="009B29B8"/>
    <w:rsid w:val="009B6E47"/>
    <w:rsid w:val="009D75DA"/>
    <w:rsid w:val="009E405F"/>
    <w:rsid w:val="009F5360"/>
    <w:rsid w:val="00A36863"/>
    <w:rsid w:val="00AF5BD4"/>
    <w:rsid w:val="00B00063"/>
    <w:rsid w:val="00B518B4"/>
    <w:rsid w:val="00B907B2"/>
    <w:rsid w:val="00C054AB"/>
    <w:rsid w:val="00C12103"/>
    <w:rsid w:val="00C83192"/>
    <w:rsid w:val="00CB05D6"/>
    <w:rsid w:val="00D362BA"/>
    <w:rsid w:val="00D53492"/>
    <w:rsid w:val="00DA25A8"/>
    <w:rsid w:val="00DE062C"/>
    <w:rsid w:val="00E327E4"/>
    <w:rsid w:val="00E60B6E"/>
    <w:rsid w:val="00E80ED6"/>
    <w:rsid w:val="00EA763A"/>
    <w:rsid w:val="00EB5AD2"/>
    <w:rsid w:val="00EC6FE5"/>
    <w:rsid w:val="00F10F8B"/>
    <w:rsid w:val="00F67848"/>
    <w:rsid w:val="00FB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5C3C"/>
  <w15:docId w15:val="{16F76CC7-066A-4137-B4BA-CD4588A0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F65"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HeaderandFooter"/>
  </w:style>
  <w:style w:type="paragraph" w:customStyle="1" w:styleId="HeaderLeft">
    <w:name w:val="Header Left"/>
    <w:basedOn w:val="Header"/>
    <w:qFormat/>
  </w:style>
  <w:style w:type="paragraph" w:customStyle="1" w:styleId="TableContents">
    <w:name w:val="Table Contents"/>
    <w:basedOn w:val="Normal"/>
    <w:qFormat/>
    <w:pPr>
      <w:widowControl w:val="0"/>
    </w:p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Husam Alghanem</dc:creator>
  <dc:description/>
  <cp:lastModifiedBy>Husam Alghanem</cp:lastModifiedBy>
  <cp:revision>3</cp:revision>
  <dcterms:created xsi:type="dcterms:W3CDTF">2024-08-09T02:04:00Z</dcterms:created>
  <dcterms:modified xsi:type="dcterms:W3CDTF">2024-08-09T12:29:00Z</dcterms:modified>
  <dc:language>en-US</dc:language>
</cp:coreProperties>
</file>