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F5DCC2" w14:textId="3473F16B" w:rsidR="008931E1" w:rsidRPr="00351C56" w:rsidRDefault="008931E1" w:rsidP="008931E1">
      <w:pPr>
        <w:pStyle w:val="Heading1-PLoS"/>
        <w:spacing w:line="240" w:lineRule="auto"/>
      </w:pPr>
      <w:r>
        <w:t>S1 Appendix</w:t>
      </w:r>
    </w:p>
    <w:p w14:paraId="3522C7C2" w14:textId="77777777" w:rsidR="008931E1" w:rsidRPr="002E27CF" w:rsidRDefault="008931E1" w:rsidP="008931E1">
      <w:pPr>
        <w:pStyle w:val="Heading2-PLoS"/>
        <w:numPr>
          <w:ilvl w:val="0"/>
          <w:numId w:val="19"/>
        </w:numPr>
        <w:ind w:left="0" w:firstLine="0"/>
      </w:pPr>
      <w:bookmarkStart w:id="0" w:name="_Hlk126072129"/>
      <w:r w:rsidRPr="002E27CF">
        <w:t>The ecological fallacy</w:t>
      </w:r>
      <w:bookmarkEnd w:id="0"/>
    </w:p>
    <w:p w14:paraId="408364BB" w14:textId="0DB03402" w:rsidR="00677124" w:rsidRDefault="008931E1" w:rsidP="008931E1">
      <w:pPr>
        <w:contextualSpacing/>
      </w:pPr>
      <w:r w:rsidRPr="006D2DC4">
        <w:t xml:space="preserve">A common error in statistical inference known as the </w:t>
      </w:r>
      <w:r w:rsidRPr="00707DBC">
        <w:t xml:space="preserve">ecological fallacy occurs when </w:t>
      </w:r>
      <w:r w:rsidRPr="00707DBC">
        <w:rPr>
          <w:bCs/>
          <w:color w:val="202124"/>
          <w:shd w:val="clear" w:color="auto" w:fill="FFFFFF"/>
        </w:rPr>
        <w:t xml:space="preserve">inference is made about an individual based on aggregate </w:t>
      </w:r>
      <w:r w:rsidR="00677124">
        <w:rPr>
          <w:bCs/>
          <w:color w:val="202124"/>
          <w:shd w:val="clear" w:color="auto" w:fill="FFFFFF"/>
        </w:rPr>
        <w:t>statistics, such as a group wide mean, or a regression based the</w:t>
      </w:r>
      <w:r w:rsidR="00677124" w:rsidRPr="00707DBC">
        <w:rPr>
          <w:bCs/>
          <w:color w:val="202124"/>
          <w:shd w:val="clear" w:color="auto" w:fill="FFFFFF"/>
        </w:rPr>
        <w:t xml:space="preserve"> </w:t>
      </w:r>
      <w:r w:rsidRPr="00707DBC">
        <w:rPr>
          <w:bCs/>
          <w:color w:val="202124"/>
          <w:shd w:val="clear" w:color="auto" w:fill="FFFFFF"/>
        </w:rPr>
        <w:t>group</w:t>
      </w:r>
      <w:r>
        <w:t xml:space="preserve"> </w:t>
      </w:r>
      <w:r w:rsidRPr="002E27CF">
        <w:fldChar w:fldCharType="begin"/>
      </w:r>
      <w:r w:rsidR="00937347">
        <w:instrText xml:space="preserve"> ADDIN ZOTERO_ITEM CSL_CITATION {"citationID":"a16nuv0bk57","properties":{"formattedCitation":"[1]","plainCitation":"[1]","noteIndex":0},"citationItems":[{"id":39521,"uris":["http://zotero.org/groups/2718895/items/NQ6APSBJ"],"itemData":{"id":39521,"type":"article-journal","container-title":"American Journal of Epidemiology","DOI":"10.1093/oxfordjournals.aje.a114892","ISSN":"1476-6256, 0002-9262","issue":"5","language":"en","page":"893-904","source":"DOI.org (Crossref)","title":"The ecological fallacy","volume":"127","author":[{"family":"Piantadosi","given":"Steven"},{"family":"Byar","given":"David P."},{"family":"Green","given":"Sylvan B."}],"issued":{"date-parts":[["1988",5]]}}}],"schema":"https://github.com/citation-style-language/schema/raw/master/csl-citation.json"} </w:instrText>
      </w:r>
      <w:r w:rsidRPr="002E27CF">
        <w:fldChar w:fldCharType="separate"/>
      </w:r>
      <w:r w:rsidR="00B84200">
        <w:t>[1]</w:t>
      </w:r>
      <w:r w:rsidRPr="002E27CF">
        <w:fldChar w:fldCharType="end"/>
      </w:r>
      <w:r w:rsidRPr="006D2DC4">
        <w:rPr>
          <w:color w:val="202124"/>
          <w:shd w:val="clear" w:color="auto" w:fill="FFFFFF"/>
        </w:rPr>
        <w:t>.</w:t>
      </w:r>
      <w:r w:rsidR="001D5007">
        <w:t xml:space="preserve"> </w:t>
      </w:r>
      <w:r w:rsidR="00677124">
        <w:t>This type of interference is fallacious as a matter of principle; knowledge of the aggregate property does not as a general matter constrain inferences on each member of the group.</w:t>
      </w:r>
      <w:r w:rsidR="001D5007">
        <w:t xml:space="preserve"> </w:t>
      </w:r>
    </w:p>
    <w:p w14:paraId="288101C7" w14:textId="53997A13" w:rsidR="00677124" w:rsidRPr="00677124" w:rsidRDefault="00677124" w:rsidP="00677124">
      <w:pPr>
        <w:contextualSpacing/>
      </w:pPr>
      <w:r>
        <w:t>In some special cases, it may happen that fortuitous distributions of data may allow such an inference to me made.</w:t>
      </w:r>
      <w:r w:rsidR="001D5007">
        <w:t xml:space="preserve"> </w:t>
      </w:r>
      <w:r>
        <w:t xml:space="preserve">This is </w:t>
      </w:r>
      <w:r w:rsidR="00B355F1">
        <w:t>analogous</w:t>
      </w:r>
      <w:r>
        <w:t xml:space="preserve"> to many familiar cases in mathematics.</w:t>
      </w:r>
      <w:r w:rsidR="001D5007">
        <w:t xml:space="preserve"> </w:t>
      </w:r>
      <w:r>
        <w:t xml:space="preserve">Given two matrixes </w:t>
      </w:r>
      <w:r w:rsidRPr="0015267B">
        <w:rPr>
          <w:b/>
          <w:bCs/>
          <w:i/>
          <w:iCs/>
        </w:rPr>
        <w:t>A</w:t>
      </w:r>
      <w:r>
        <w:t xml:space="preserve"> and </w:t>
      </w:r>
      <w:r w:rsidRPr="0015267B">
        <w:rPr>
          <w:b/>
          <w:bCs/>
          <w:i/>
          <w:iCs/>
        </w:rPr>
        <w:t>B</w:t>
      </w:r>
      <w:r>
        <w:t xml:space="preserve">, we know that the matrix multiplication is not commutative, so in general </w:t>
      </w:r>
      <m:oMath>
        <m:r>
          <m:rPr>
            <m:sty m:val="bi"/>
          </m:rPr>
          <w:rPr>
            <w:rFonts w:ascii="Cambria Math" w:hAnsi="Cambria Math"/>
          </w:rPr>
          <m:t>A</m:t>
        </m:r>
        <m:r>
          <w:rPr>
            <w:rFonts w:ascii="Cambria Math" w:hAnsi="Cambria Math"/>
          </w:rPr>
          <m:t>×</m:t>
        </m:r>
        <m:r>
          <m:rPr>
            <m:sty m:val="bi"/>
          </m:rPr>
          <w:rPr>
            <w:rFonts w:ascii="Cambria Math" w:hAnsi="Cambria Math"/>
          </w:rPr>
          <m:t>B</m:t>
        </m:r>
        <m:r>
          <w:rPr>
            <w:rFonts w:ascii="Cambria Math" w:hAnsi="Cambria Math"/>
          </w:rPr>
          <m:t>≠</m:t>
        </m:r>
        <m:r>
          <m:rPr>
            <m:sty m:val="bi"/>
          </m:rPr>
          <w:rPr>
            <w:rFonts w:ascii="Cambria Math" w:hAnsi="Cambria Math"/>
          </w:rPr>
          <m:t>B</m:t>
        </m:r>
        <m:r>
          <w:rPr>
            <w:rFonts w:ascii="Cambria Math" w:hAnsi="Cambria Math"/>
          </w:rPr>
          <m:t>×</m:t>
        </m:r>
        <m:r>
          <m:rPr>
            <m:sty m:val="bi"/>
          </m:rPr>
          <w:rPr>
            <w:rFonts w:ascii="Cambria Math" w:hAnsi="Cambria Math"/>
          </w:rPr>
          <m:t>A</m:t>
        </m:r>
      </m:oMath>
      <w:r>
        <w:t>.</w:t>
      </w:r>
      <w:r w:rsidR="001D5007">
        <w:t xml:space="preserve"> </w:t>
      </w:r>
      <w:proofErr w:type="gramStart"/>
      <w:r>
        <w:t>However</w:t>
      </w:r>
      <w:proofErr w:type="gramEnd"/>
      <w:r>
        <w:t xml:space="preserve"> in the degenerate case where</w:t>
      </w:r>
      <w:r w:rsidR="00B355F1">
        <w:t xml:space="preserve"> both</w:t>
      </w:r>
      <w:r>
        <w:t xml:space="preserve"> </w:t>
      </w:r>
      <w:r w:rsidRPr="003C08B1">
        <w:rPr>
          <w:b/>
          <w:bCs/>
          <w:i/>
          <w:iCs/>
        </w:rPr>
        <w:t>A</w:t>
      </w:r>
      <w:r>
        <w:t xml:space="preserve"> and </w:t>
      </w:r>
      <w:r w:rsidRPr="003C08B1">
        <w:rPr>
          <w:b/>
          <w:bCs/>
          <w:i/>
          <w:iCs/>
        </w:rPr>
        <w:t>B</w:t>
      </w:r>
      <w:r>
        <w:t xml:space="preserve"> are diagonal matrices </w:t>
      </w:r>
      <w:r w:rsidR="00B355F1">
        <w:t xml:space="preserve">then the commutative property </w:t>
      </w:r>
      <w:r w:rsidR="00B355F1" w:rsidRPr="0015267B">
        <w:rPr>
          <w:i/>
          <w:iCs/>
        </w:rPr>
        <w:t>does</w:t>
      </w:r>
      <w:r w:rsidR="00B355F1">
        <w:t xml:space="preserve"> hold.</w:t>
      </w:r>
      <w:r w:rsidR="001D5007">
        <w:t xml:space="preserve"> </w:t>
      </w:r>
      <w:r w:rsidR="00B355F1">
        <w:t xml:space="preserve">If </w:t>
      </w:r>
      <w:r w:rsidR="00B355F1" w:rsidRPr="003C08B1">
        <w:rPr>
          <w:b/>
          <w:bCs/>
          <w:i/>
          <w:iCs/>
        </w:rPr>
        <w:t>A</w:t>
      </w:r>
      <w:r w:rsidR="00B355F1">
        <w:t xml:space="preserve"> and </w:t>
      </w:r>
      <w:r w:rsidR="00B355F1" w:rsidRPr="003C08B1">
        <w:rPr>
          <w:b/>
          <w:bCs/>
          <w:i/>
          <w:iCs/>
        </w:rPr>
        <w:t>B</w:t>
      </w:r>
      <w:r w:rsidR="00B355F1">
        <w:t xml:space="preserve"> have sufficiently small off-diagonal components it may hold approximately.</w:t>
      </w:r>
      <w:r w:rsidR="001D5007">
        <w:t xml:space="preserve"> </w:t>
      </w:r>
      <w:r w:rsidR="00B355F1">
        <w:t xml:space="preserve">But anyone blithely assuming that matrix multiplication </w:t>
      </w:r>
      <w:r w:rsidR="00703EA7">
        <w:t>is commutative</w:t>
      </w:r>
      <w:r w:rsidR="00B355F1">
        <w:t xml:space="preserve"> would be wrong to do so</w:t>
      </w:r>
      <w:r w:rsidR="00703EA7">
        <w:t>.</w:t>
      </w:r>
      <w:r w:rsidR="001D5007">
        <w:t xml:space="preserve"> </w:t>
      </w:r>
      <w:r w:rsidR="00703EA7">
        <w:t xml:space="preserve">Any </w:t>
      </w:r>
      <w:r w:rsidR="00B355F1">
        <w:t>reliance on the special cases would need to be proven were they relevant.</w:t>
      </w:r>
      <w:r w:rsidR="001D5007">
        <w:t xml:space="preserve"> </w:t>
      </w:r>
      <w:r w:rsidR="00B355F1">
        <w:t>Similarly</w:t>
      </w:r>
      <w:r w:rsidR="00703EA7">
        <w:t>,</w:t>
      </w:r>
      <w:r w:rsidR="00B355F1">
        <w:t xml:space="preserve"> there might be datasets where a group wide average or regression or other metric would allow something useful to be inferred about individuals but that would require great care to prove that the case was an exception to the general case.</w:t>
      </w:r>
    </w:p>
    <w:p w14:paraId="125629AF" w14:textId="370E385E" w:rsidR="008931E1" w:rsidRPr="00707DBC" w:rsidRDefault="00B355F1" w:rsidP="008931E1">
      <w:pPr>
        <w:contextualSpacing/>
      </w:pPr>
      <w:r>
        <w:t>As an example, i</w:t>
      </w:r>
      <w:r w:rsidR="008931E1" w:rsidRPr="00707DBC">
        <w:t xml:space="preserve">n a large dataset for human stature, for example, the sex of an individual cannot be ascertained with any certainty from body mass alone, even though stature is known to differ in males and females </w:t>
      </w:r>
      <w:r w:rsidR="008931E1" w:rsidRPr="002E27CF">
        <w:fldChar w:fldCharType="begin"/>
      </w:r>
      <w:r w:rsidR="00937347">
        <w:instrText xml:space="preserve"> ADDIN ZOTERO_ITEM CSL_CITATION {"citationID":"a29ch09nqnc","properties":{"formattedCitation":"[2]","plainCitation":"[2]","noteIndex":0},"citationItems":[{"id":39091,"uris":["http://zotero.org/groups/2718895/items/NY85ZI86"],"itemData":{"id":39091,"type":"article-journal","abstract":"Based on nationally representative anthropometric data, the National Center for Health Statistics (NCHS) has published reference tables on the distribution of various body measurements for the U.S. population (1-5). National Health and Nutrition Examination Survey (NHANES) data are the primary source of body measurement information for the U.S. population. These measurements reflect the mean weight, height, length, and various circumferences of U.S. children and adults. Anthropometry is a measure of nutritional or general health status, dietary adequacy, and growth. This report presents anthropometric reference data from the years 2015-2018 for U.S. children and adults.","container-title":"Vital &amp; Health Statistics. Series 3, Analytical and Epidemiological Studies","ISSN":"0886-4691","issue":"36","journalAbbreviation":"Vital Health Stat 3","language":"eng","note":"PMID: 33541517","page":"1-44","source":"PubMed","title":"Anthropometric Reference Data for Children and Adults: United States, 2015-2018","title-short":"Anthropometric Reference Data for Children and Adults","author":[{"family":"Fryar","given":"Cheryl D."},{"family":"Carroll","given":"Margaret D."},{"family":"Gu","given":"Qiuping"},{"family":"Afful","given":"Joseph"},{"family":"Ogden","given":"Cynthia L."}],"issued":{"date-parts":[["2021",1]]}}}],"schema":"https://github.com/citation-style-language/schema/raw/master/csl-citation.json"} </w:instrText>
      </w:r>
      <w:r w:rsidR="008931E1" w:rsidRPr="002E27CF">
        <w:fldChar w:fldCharType="separate"/>
      </w:r>
      <w:r w:rsidR="00B84200">
        <w:t>[2]</w:t>
      </w:r>
      <w:r w:rsidR="008931E1" w:rsidRPr="002E27CF">
        <w:fldChar w:fldCharType="end"/>
      </w:r>
      <w:r w:rsidR="008931E1" w:rsidRPr="006D2DC4">
        <w:t xml:space="preserve">. </w:t>
      </w:r>
      <w:r w:rsidR="008931E1" w:rsidRPr="00707DBC">
        <w:t xml:space="preserve">Although the average male is heavier than the average female, </w:t>
      </w:r>
      <w:r>
        <w:t>that does not imply that all male humans are heavier than any female humans.</w:t>
      </w:r>
      <w:r w:rsidR="001D5007">
        <w:t xml:space="preserve"> </w:t>
      </w:r>
      <w:r>
        <w:t xml:space="preserve">We cannot classify an individual human by body weight because the </w:t>
      </w:r>
      <w:r w:rsidR="008931E1" w:rsidRPr="00707DBC">
        <w:t>overlap in the distributions eliminates the possibility of using the group-wide average or other properties derived from the aggregate (</w:t>
      </w:r>
      <w:r w:rsidR="008931E1" w:rsidRPr="00707DBC">
        <w:rPr>
          <w:i/>
          <w:iCs/>
        </w:rPr>
        <w:t>e.g.</w:t>
      </w:r>
      <w:r w:rsidR="008931E1" w:rsidRPr="00707DBC">
        <w:t>, equiprobable mass) for identifying the proper classification of an outside individual (</w:t>
      </w:r>
      <w:r w:rsidR="000D3F70">
        <w:t>S11</w:t>
      </w:r>
      <w:r w:rsidR="00F65632">
        <w:t xml:space="preserve"> </w:t>
      </w:r>
      <w:r w:rsidR="008931E1" w:rsidRPr="006D2DC4">
        <w:t>Fig)</w:t>
      </w:r>
      <w:r w:rsidR="008931E1" w:rsidRPr="00707DBC">
        <w:t xml:space="preserve">. This approach to classification would work with high accuracy only </w:t>
      </w:r>
      <w:r>
        <w:t xml:space="preserve">in the special case where </w:t>
      </w:r>
      <w:r w:rsidR="008931E1" w:rsidRPr="00707DBC">
        <w:t>the distributions had little overlap.</w:t>
      </w:r>
      <w:r w:rsidR="001D5007">
        <w:t xml:space="preserve"> </w:t>
      </w:r>
      <w:r>
        <w:t>This might be true, for example, in some species that have extreme sexual dimorphism, but that case would have to be proven.</w:t>
      </w:r>
    </w:p>
    <w:p w14:paraId="0E89C7A3" w14:textId="77777777" w:rsidR="008931E1" w:rsidRPr="006D2DC4" w:rsidRDefault="008931E1" w:rsidP="002D2A6A">
      <w:pPr>
        <w:pStyle w:val="Figure-PLOS"/>
      </w:pPr>
      <w:r>
        <w:lastRenderedPageBreak/>
        <w:drawing>
          <wp:inline distT="0" distB="0" distL="0" distR="0" wp14:anchorId="3D615E3A" wp14:editId="5B68A718">
            <wp:extent cx="5945505" cy="3101975"/>
            <wp:effectExtent l="0" t="0" r="0" b="3175"/>
            <wp:docPr id="183029853" name="Picture 18302985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29853" name="Picture 183029853" descr="Chart, histogram&#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5505" cy="3101975"/>
                    </a:xfrm>
                    <a:prstGeom prst="rect">
                      <a:avLst/>
                    </a:prstGeom>
                    <a:noFill/>
                    <a:ln>
                      <a:noFill/>
                    </a:ln>
                  </pic:spPr>
                </pic:pic>
              </a:graphicData>
            </a:graphic>
          </wp:inline>
        </w:drawing>
      </w:r>
    </w:p>
    <w:p w14:paraId="56BC805F" w14:textId="2E6F8DE2" w:rsidR="008931E1" w:rsidRPr="002E27CF" w:rsidRDefault="000D3F70" w:rsidP="002D2A6A">
      <w:pPr>
        <w:pStyle w:val="Figurecaption-PLoS"/>
      </w:pPr>
      <w:r>
        <w:rPr>
          <w:b/>
          <w:bCs/>
        </w:rPr>
        <w:t>S11</w:t>
      </w:r>
      <w:r w:rsidR="00F65632" w:rsidRPr="002E27CF">
        <w:rPr>
          <w:b/>
          <w:bCs/>
        </w:rPr>
        <w:t xml:space="preserve"> </w:t>
      </w:r>
      <w:r w:rsidR="008931E1" w:rsidRPr="002E27CF">
        <w:rPr>
          <w:b/>
          <w:bCs/>
        </w:rPr>
        <w:t xml:space="preserve">Fig. The ‘ecological fallacy’ illustrated with data on human adult body mass. </w:t>
      </w:r>
      <w:r w:rsidR="008931E1" w:rsidRPr="002E27CF">
        <w:rPr>
          <w:bCs/>
        </w:rPr>
        <w:t>(</w:t>
      </w:r>
      <w:r w:rsidR="008931E1" w:rsidRPr="002E27CF">
        <w:t>A</w:t>
      </w:r>
      <w:r w:rsidR="008931E1" w:rsidRPr="006D2DC4">
        <w:rPr>
          <w:bCs/>
        </w:rPr>
        <w:t>)</w:t>
      </w:r>
      <w:r w:rsidR="008931E1" w:rsidRPr="002E27CF">
        <w:rPr>
          <w:bCs/>
        </w:rPr>
        <w:t xml:space="preserve"> </w:t>
      </w:r>
      <w:r w:rsidR="008931E1" w:rsidRPr="002E27CF">
        <w:t>Histogram of body mass distributions with fits to the extreme value distribution. (</w:t>
      </w:r>
      <w:r w:rsidR="008931E1">
        <w:rPr>
          <w:bCs/>
        </w:rPr>
        <w:t>B</w:t>
      </w:r>
      <w:r w:rsidR="008931E1" w:rsidRPr="006D2DC4">
        <w:t>)</w:t>
      </w:r>
      <w:r w:rsidR="008931E1" w:rsidRPr="002E27CF">
        <w:t xml:space="preserve"> Probability curve for classification of sex by body mass.</w:t>
      </w:r>
    </w:p>
    <w:p w14:paraId="18959348" w14:textId="0388DCAC" w:rsidR="008931E1" w:rsidRDefault="008931E1" w:rsidP="0015267B">
      <w:r w:rsidRPr="00707DBC">
        <w:t>To determine the accuracy of classification, one must fit a smooth distribution to the histogram and find the body mass that is equally probable in each distribution. The histograms are well modeled by the extreme value distribution, and the equiprobable point occurs as a mass of 72.46 kg (</w:t>
      </w:r>
      <w:r w:rsidR="000D3F70">
        <w:t>S11</w:t>
      </w:r>
      <w:r w:rsidR="00F65632" w:rsidRPr="00707DBC">
        <w:t xml:space="preserve"> </w:t>
      </w:r>
      <w:r w:rsidRPr="00707DBC">
        <w:t xml:space="preserve">Fig). This probability-based method will classify an individual specimen of unknown group membership into the </w:t>
      </w:r>
      <w:proofErr w:type="gramStart"/>
      <w:r w:rsidRPr="00707DBC">
        <w:t>groups</w:t>
      </w:r>
      <w:proofErr w:type="gramEnd"/>
      <w:r w:rsidRPr="00707DBC">
        <w:t xml:space="preserve"> male or female, depending on whether they are above or below the equiprobable point of 72.46 kg. Overlap in the distributions causes errors about 38% of the time: half of the males below 72.46 kg and females above that value are misclassified, assuming there is an equal probability of the unknown subject being male or female. A random guess of the group will be in error 50% of the time, so using body mass to classify in this manner is only a ~12% improvement.</w:t>
      </w:r>
    </w:p>
    <w:p w14:paraId="30F2FCF5" w14:textId="63DE8F2F" w:rsidR="009C77B4" w:rsidRDefault="008931E1" w:rsidP="0015267B">
      <w:r w:rsidRPr="00707DBC">
        <w:t>The failure to classify an individual</w:t>
      </w:r>
      <w:r>
        <w:t>,</w:t>
      </w:r>
      <w:r w:rsidRPr="00707DBC">
        <w:t xml:space="preserve"> by comparison</w:t>
      </w:r>
      <w:r>
        <w:t>,</w:t>
      </w:r>
      <w:r w:rsidRPr="00707DBC">
        <w:t xml:space="preserve"> arises when using group-wide aggregate measures, such as the distribution. Statistics provide many analytical tools for comparing a sample group to another group to assess whether they were drawn from the same underlying population, such as Student’s t-test, Welch’s t-test, the Mann-Whitney test</w:t>
      </w:r>
      <w:r>
        <w:t>,</w:t>
      </w:r>
      <w:r w:rsidRPr="00707DBC">
        <w:t xml:space="preserve"> and the </w:t>
      </w:r>
      <w:r w:rsidRPr="007E3386">
        <w:rPr>
          <w:i/>
          <w:iCs/>
        </w:rPr>
        <w:t>F</w:t>
      </w:r>
      <w:r>
        <w:t>-</w:t>
      </w:r>
      <w:r w:rsidRPr="00707DBC">
        <w:t xml:space="preserve"> and Z</w:t>
      </w:r>
      <w:r>
        <w:t>-</w:t>
      </w:r>
      <w:r w:rsidRPr="00707DBC">
        <w:t xml:space="preserve">tests. When the sample size </w:t>
      </w:r>
      <w:r w:rsidRPr="00707DBC">
        <w:rPr>
          <w:i/>
          <w:iCs/>
        </w:rPr>
        <w:t>n</w:t>
      </w:r>
      <w:r w:rsidRPr="00707DBC">
        <w:t xml:space="preserve"> is small, these methods provide low statistical power. Classifying a </w:t>
      </w:r>
      <w:r w:rsidRPr="00707DBC">
        <w:lastRenderedPageBreak/>
        <w:t xml:space="preserve">single human—or in the case of Fabbri </w:t>
      </w:r>
      <w:r w:rsidRPr="00707DBC">
        <w:rPr>
          <w:i/>
          <w:iCs/>
        </w:rPr>
        <w:t>et al.</w:t>
      </w:r>
      <w:r>
        <w:t xml:space="preserve"> </w:t>
      </w:r>
      <w:r>
        <w:fldChar w:fldCharType="begin"/>
      </w:r>
      <w:r w:rsidR="00937347">
        <w:instrText xml:space="preserve"> ADDIN ZOTERO_ITEM CSL_CITATION {"citationID":"ao81ljtq6","properties":{"formattedCitation":"[3]","plainCitation":"[3]","noteIndex":0},"citationItems":[{"id":39505,"uris":["http://zotero.org/groups/2718895/items/2VJ5VKD3"],"itemData":{"id":39505,"type":"article-journal","container-title":"Nature","DOI":"10.1038/s41586-022-04528-0","ISSN":"0028-0836, 1476-4687","issue":"7903","journalAbbreviation":"Nature","language":"en","page":"852-857","source":"DOI.org (Crossref)","title":"Subaqueous foraging among carnivorous dinosaurs","volume":"603","author":[{"family":"Fabbri","given":"Matteo"},{"family":"Navalón","given":"Guillermo"},{"family":"Benson","given":"Roger B. J."},{"family":"Pol","given":"Diego"},{"family":"O’Connor","given":"Jingmai"},{"family":"Bhullar","given":"Bhart-Anjan S."},{"family":"Erickson","given":"Gregory M."},{"family":"Norell","given":"Mark A."},{"family":"Orkney","given":"Andrew"},{"family":"Lamanna","given":"Matthew C."},{"family":"Zouhri","given":"Samir"},{"family":"Becker","given":"Justine"},{"family":"Emke","given":"Amanda"},{"family":"Dal Sasso","given":"Cristiano"},{"family":"Bindellini","given":"Gabriele"},{"family":"Maganuco","given":"Simone"},{"family":"Auditore","given":"Marco"},{"family":"Ibrahim","given":"Nizar"}],"issued":{"date-parts":[["2022",3,31]]}}}],"schema":"https://github.com/citation-style-language/schema/raw/master/csl-citation.json"} </w:instrText>
      </w:r>
      <w:r>
        <w:fldChar w:fldCharType="separate"/>
      </w:r>
      <w:r w:rsidR="00B84200" w:rsidRPr="00B84200">
        <w:t>[3]</w:t>
      </w:r>
      <w:r>
        <w:fldChar w:fldCharType="end"/>
      </w:r>
      <w:r w:rsidRPr="00707DBC">
        <w:t xml:space="preserve">, classifying </w:t>
      </w:r>
      <w:r w:rsidRPr="00707DBC">
        <w:rPr>
          <w:i/>
          <w:iCs/>
        </w:rPr>
        <w:t>Spinosaurus</w:t>
      </w:r>
      <w:r w:rsidRPr="00707DBC">
        <w:t xml:space="preserve">—is an </w:t>
      </w:r>
      <w:r w:rsidRPr="00707DBC">
        <w:rPr>
          <w:i/>
          <w:iCs/>
        </w:rPr>
        <w:t>n</w:t>
      </w:r>
      <w:r>
        <w:t> = </w:t>
      </w:r>
      <w:r w:rsidRPr="006D2DC4">
        <w:t xml:space="preserve">1 example, </w:t>
      </w:r>
      <w:r w:rsidRPr="00707DBC">
        <w:t xml:space="preserve">and these statistical tools simply do not work at such tiny sample sizes. The </w:t>
      </w:r>
      <w:r w:rsidRPr="00707DBC">
        <w:rPr>
          <w:i/>
        </w:rPr>
        <w:t>ad hoc</w:t>
      </w:r>
      <w:r w:rsidRPr="00707DBC">
        <w:t xml:space="preserve"> method of Fabbri </w:t>
      </w:r>
      <w:r w:rsidRPr="00707DBC">
        <w:rPr>
          <w:i/>
          <w:iCs/>
        </w:rPr>
        <w:t>et al.</w:t>
      </w:r>
      <w:r w:rsidRPr="00707DBC">
        <w:t xml:space="preserve"> has no support in the statistical literature.</w:t>
      </w:r>
      <w:r w:rsidR="001D5007">
        <w:t xml:space="preserve"> </w:t>
      </w:r>
      <w:r w:rsidR="009C77B4">
        <w:t>Classification algorithms like LDA, FDA or pFDA will still give an answer, but those methods offer no built-in quality control to tell us when that answer is fallacious.</w:t>
      </w:r>
      <w:r w:rsidR="001D5007">
        <w:t xml:space="preserve"> </w:t>
      </w:r>
    </w:p>
    <w:p w14:paraId="1CBD6794" w14:textId="270532F2" w:rsidR="009C77B4" w:rsidRDefault="009C77B4" w:rsidP="0015267B">
      <w:r>
        <w:t xml:space="preserve">In </w:t>
      </w:r>
      <w:r w:rsidR="00D91B4E">
        <w:t>fact,</w:t>
      </w:r>
      <w:r>
        <w:t xml:space="preserve"> the general case is that LDA, FDA and pFDA will provide classifications that </w:t>
      </w:r>
      <w:r w:rsidR="00D91B4E">
        <w:t xml:space="preserve">are </w:t>
      </w:r>
      <w:r>
        <w:t>fallacious.</w:t>
      </w:r>
      <w:r w:rsidR="001D5007">
        <w:t xml:space="preserve"> </w:t>
      </w:r>
      <w:r>
        <w:t xml:space="preserve">This is clear from Equation (3) (Materials and Methods), which will have </w:t>
      </w:r>
      <w:r>
        <w:rPr>
          <w:rFonts w:ascii="Cambria Math" w:eastAsiaTheme="minorHAnsi" w:hAnsi="Cambria Math" w:cs="Cambria Math"/>
        </w:rPr>
        <w:t>𝑃</w:t>
      </w:r>
      <w:r>
        <w:rPr>
          <w:rFonts w:ascii="Cambria Math" w:eastAsiaTheme="minorHAnsi" w:hAnsi="Cambria Math" w:cs="Cambria Math"/>
          <w:sz w:val="17"/>
          <w:szCs w:val="17"/>
        </w:rPr>
        <w:t>wrong</w:t>
      </w:r>
      <w:r>
        <w:t xml:space="preserve"> &gt; 0 for any finite choice of </w:t>
      </w:r>
      <w:r>
        <w:rPr>
          <w:rFonts w:eastAsiaTheme="minorHAnsi"/>
          <w:i/>
          <w:iCs/>
        </w:rPr>
        <w:t xml:space="preserve">d </w:t>
      </w:r>
      <w:r w:rsidRPr="0015267B">
        <w:rPr>
          <w:rFonts w:eastAsiaTheme="minorHAnsi"/>
        </w:rPr>
        <w:t>and</w:t>
      </w:r>
      <w:r>
        <w:rPr>
          <w:rFonts w:eastAsiaTheme="minorHAnsi"/>
          <w:i/>
          <w:iCs/>
        </w:rPr>
        <w:t xml:space="preserve"> </w:t>
      </w:r>
      <w:r>
        <w:rPr>
          <w:rFonts w:ascii="Calibri" w:eastAsia="Times New Roman,Italic" w:hAnsi="Calibri" w:cs="Calibri"/>
          <w:i/>
          <w:iCs/>
        </w:rPr>
        <w:t>σ.</w:t>
      </w:r>
      <w:r w:rsidR="001D5007">
        <w:rPr>
          <w:rFonts w:ascii="Calibri" w:eastAsia="Times New Roman,Italic" w:hAnsi="Calibri" w:cs="Calibri"/>
        </w:rPr>
        <w:t xml:space="preserve"> </w:t>
      </w:r>
      <w:r>
        <w:t>At best, we can hope that the classification is approximately correct, and whether that approximation is good enough for a particular application depends on the details of that case</w:t>
      </w:r>
      <w:r w:rsidR="00D91B4E">
        <w:t xml:space="preserve"> – in particular the intrinsic factors in classification error (i.e. </w:t>
      </w:r>
      <w:r w:rsidR="00D91B4E">
        <w:rPr>
          <w:rFonts w:eastAsiaTheme="minorHAnsi"/>
          <w:i/>
          <w:iCs/>
        </w:rPr>
        <w:t xml:space="preserve">d </w:t>
      </w:r>
      <w:r w:rsidR="00D91B4E" w:rsidRPr="003C08B1">
        <w:rPr>
          <w:rFonts w:eastAsiaTheme="minorHAnsi"/>
        </w:rPr>
        <w:t>and</w:t>
      </w:r>
      <w:r w:rsidR="00D91B4E">
        <w:rPr>
          <w:rFonts w:eastAsiaTheme="minorHAnsi"/>
          <w:i/>
          <w:iCs/>
        </w:rPr>
        <w:t xml:space="preserve"> </w:t>
      </w:r>
      <w:r w:rsidR="00D91B4E">
        <w:rPr>
          <w:rFonts w:ascii="Calibri" w:eastAsia="Times New Roman,Italic" w:hAnsi="Calibri" w:cs="Calibri"/>
          <w:i/>
          <w:iCs/>
        </w:rPr>
        <w:t>σ</w:t>
      </w:r>
      <w:r w:rsidR="00D91B4E">
        <w:rPr>
          <w:rFonts w:eastAsia="Times New Roman,Italic"/>
        </w:rPr>
        <w:t xml:space="preserve">) must give a low enough error by Equation (3), and in addition there must be sufficiently many data points (see section </w:t>
      </w:r>
      <w:r w:rsidR="00D91B4E" w:rsidRPr="00D91B4E">
        <w:rPr>
          <w:rFonts w:eastAsia="Times New Roman,Italic"/>
        </w:rPr>
        <w:t>Effects of training set sample size on classification</w:t>
      </w:r>
      <w:r w:rsidR="00D91B4E">
        <w:rPr>
          <w:rFonts w:eastAsia="Times New Roman,Italic"/>
        </w:rPr>
        <w:t>).</w:t>
      </w:r>
      <w:r w:rsidR="00D91B4E">
        <w:t xml:space="preserve"> </w:t>
      </w:r>
    </w:p>
    <w:p w14:paraId="59271605" w14:textId="528C5B73" w:rsidR="008931E1" w:rsidRPr="00707DBC" w:rsidRDefault="008931E1" w:rsidP="008931E1">
      <w:pPr>
        <w:contextualSpacing/>
      </w:pPr>
      <w:r w:rsidRPr="00707DBC">
        <w:t>In the large human study referenced above, group composition was carefully chosen to accurately model population-wide adult human body mass</w:t>
      </w:r>
      <w:r>
        <w:t xml:space="preserve"> </w:t>
      </w:r>
      <w:r w:rsidRPr="006D2DC4">
        <w:fldChar w:fldCharType="begin"/>
      </w:r>
      <w:r w:rsidR="00937347">
        <w:instrText xml:space="preserve"> ADDIN ZOTERO_ITEM CSL_CITATION {"citationID":"aj7tdiilla","properties":{"formattedCitation":"[2]","plainCitation":"[2]","noteIndex":0},"citationItems":[{"id":39091,"uris":["http://zotero.org/groups/2718895/items/NY85ZI86"],"itemData":{"id":39091,"type":"article-journal","abstract":"Based on nationally representative anthropometric data, the National Center for Health Statistics (NCHS) has published reference tables on the distribution of various body measurements for the U.S. population (1-5). National Health and Nutrition Examination Survey (NHANES) data are the primary source of body measurement information for the U.S. population. These measurements reflect the mean weight, height, length, and various circumferences of U.S. children and adults. Anthropometry is a measure of nutritional or general health status, dietary adequacy, and growth. This report presents anthropometric reference data from the years 2015-2018 for U.S. children and adults.","container-title":"Vital &amp; Health Statistics. Series 3, Analytical and Epidemiological Studies","ISSN":"0886-4691","issue":"36","journalAbbreviation":"Vital Health Stat 3","language":"eng","note":"PMID: 33541517","page":"1-44","source":"PubMed","title":"Anthropometric Reference Data for Children and Adults: United States, 2015-2018","title-short":"Anthropometric Reference Data for Children and Adults","author":[{"family":"Fryar","given":"Cheryl D."},{"family":"Carroll","given":"Margaret D."},{"family":"Gu","given":"Qiuping"},{"family":"Afful","given":"Joseph"},{"family":"Ogden","given":"Cynthia L."}],"issued":{"date-parts":[["2021",1]]}}}],"schema":"https://github.com/citation-style-language/schema/raw/master/csl-citation.json"} </w:instrText>
      </w:r>
      <w:r w:rsidRPr="006D2DC4">
        <w:fldChar w:fldCharType="separate"/>
      </w:r>
      <w:r w:rsidR="00B84200">
        <w:t>[2]</w:t>
      </w:r>
      <w:r w:rsidRPr="006D2DC4">
        <w:fldChar w:fldCharType="end"/>
      </w:r>
      <w:r w:rsidRPr="006D2DC4">
        <w:t xml:space="preserve">. </w:t>
      </w:r>
      <w:r w:rsidRPr="00707DBC">
        <w:t>Data points potentially contaminated by confounding contributions to body mass were eliminated (</w:t>
      </w:r>
      <w:r w:rsidRPr="00707DBC">
        <w:rPr>
          <w:i/>
          <w:iCs/>
        </w:rPr>
        <w:t>e.g.</w:t>
      </w:r>
      <w:r w:rsidRPr="00707DBC">
        <w:t xml:space="preserve">, </w:t>
      </w:r>
      <w:r>
        <w:t xml:space="preserve">by </w:t>
      </w:r>
      <w:r w:rsidRPr="00707DBC">
        <w:t xml:space="preserve">removing pregnant women). In contrast, the groups identified by Fabbri </w:t>
      </w:r>
      <w:r w:rsidRPr="00707DBC">
        <w:rPr>
          <w:i/>
          <w:iCs/>
        </w:rPr>
        <w:t>et al.</w:t>
      </w:r>
      <w:r w:rsidRPr="00707DBC">
        <w:t xml:space="preserve"> have </w:t>
      </w:r>
      <w:r w:rsidRPr="0015267B">
        <w:rPr>
          <w:i/>
          <w:iCs/>
        </w:rPr>
        <w:t>not</w:t>
      </w:r>
      <w:r w:rsidRPr="00707DBC">
        <w:t xml:space="preserve"> been controlled for confounding factors such as body mass, burrowing, and other factors known to contribute to bone compactness, and only two categorical variables (flying and diving) are considered, thus overly constraining classification to only two possibilities (“subaqueous forager” versus not).</w:t>
      </w:r>
      <w:r>
        <w:t xml:space="preserve"> </w:t>
      </w:r>
    </w:p>
    <w:p w14:paraId="4B84A30B" w14:textId="77777777" w:rsidR="008931E1" w:rsidRDefault="008931E1" w:rsidP="008931E1">
      <w:r w:rsidRPr="00707DBC">
        <w:t xml:space="preserve">The analysis of Fabbri </w:t>
      </w:r>
      <w:r w:rsidRPr="00707DBC">
        <w:rPr>
          <w:i/>
          <w:iCs/>
        </w:rPr>
        <w:t>et al.</w:t>
      </w:r>
      <w:r w:rsidRPr="00707DBC">
        <w:t xml:space="preserve"> is more complex that the human example because bone density data was analyzed with PGLS-based linear regression models rather than simple distributions </w:t>
      </w:r>
      <w:proofErr w:type="gramStart"/>
      <w:r w:rsidRPr="00707DBC">
        <w:t>in order to</w:t>
      </w:r>
      <w:proofErr w:type="gramEnd"/>
      <w:r w:rsidRPr="00707DBC">
        <w:t xml:space="preserve"> reduce potentially confounding effects of phylogenetic signal. This analytical method does not avoid the ecological fallacy, however, because the comparison group is still </w:t>
      </w:r>
      <w:r w:rsidRPr="00707DBC">
        <w:rPr>
          <w:i/>
          <w:iCs/>
        </w:rPr>
        <w:t>n</w:t>
      </w:r>
      <w:r>
        <w:t> = </w:t>
      </w:r>
      <w:r w:rsidRPr="006D2DC4">
        <w:t xml:space="preserve">1 for </w:t>
      </w:r>
      <w:r w:rsidRPr="00707DBC">
        <w:rPr>
          <w:i/>
          <w:iCs/>
        </w:rPr>
        <w:t>Spinosaurus</w:t>
      </w:r>
      <w:r w:rsidRPr="00707DBC">
        <w:t xml:space="preserve">. Even when including all spinosaurids, a group of </w:t>
      </w:r>
      <w:r w:rsidRPr="00707DBC">
        <w:rPr>
          <w:i/>
          <w:iCs/>
        </w:rPr>
        <w:t>n</w:t>
      </w:r>
      <w:r>
        <w:t> = </w:t>
      </w:r>
      <w:r w:rsidRPr="006D2DC4">
        <w:t xml:space="preserve">3, statistical power remains weak. </w:t>
      </w:r>
      <w:r w:rsidRPr="00707DBC">
        <w:t>Grouping the spinosaurids also assumes incorrectly that the three species had equal degrees of secondary aquatic function.</w:t>
      </w:r>
    </w:p>
    <w:p w14:paraId="3A6FC60C" w14:textId="762B1DFD" w:rsidR="008931E1" w:rsidRDefault="008931E1" w:rsidP="008931E1">
      <w:pPr>
        <w:ind w:firstLine="720"/>
        <w:contextualSpacing/>
      </w:pPr>
      <w:r>
        <w:t xml:space="preserve">Another difference between the human body mass example and the pFDA method of Fabbri </w:t>
      </w:r>
      <w:r>
        <w:rPr>
          <w:i/>
          <w:iCs/>
        </w:rPr>
        <w:t>et al</w:t>
      </w:r>
      <w:r>
        <w:t>. is that pFDA starts with a two-variable dataset (</w:t>
      </w:r>
      <w:proofErr w:type="gramStart"/>
      <w:r w:rsidR="0015267B" w:rsidRPr="007E3386">
        <w:t>Log</w:t>
      </w:r>
      <w:r w:rsidR="0015267B">
        <w:t>(</w:t>
      </w:r>
      <w:proofErr w:type="gramEnd"/>
      <w:r w:rsidR="0015267B" w:rsidRPr="007E3386">
        <w:t>10,</w:t>
      </w:r>
      <w:r w:rsidR="0015267B">
        <w:t xml:space="preserve"> </w:t>
      </w:r>
      <w:r w:rsidR="0015267B" w:rsidRPr="00D473B0">
        <w:rPr>
          <w:i/>
          <w:iCs/>
        </w:rPr>
        <w:t>MD</w:t>
      </w:r>
      <w:r w:rsidR="0015267B">
        <w:t xml:space="preserve">), </w:t>
      </w:r>
      <w:r w:rsidRPr="00D473B0">
        <w:rPr>
          <w:i/>
          <w:iCs/>
        </w:rPr>
        <w:t>Cg,</w:t>
      </w:r>
      <w:r>
        <w:t xml:space="preserve">). </w:t>
      </w:r>
      <w:proofErr w:type="gramStart"/>
      <w:r>
        <w:t>However</w:t>
      </w:r>
      <w:proofErr w:type="gramEnd"/>
      <w:r>
        <w:t xml:space="preserve"> the FDA aspect of the method dimensionally reduces this to a single variable comparison between discriminant values, shown in Fig 1</w:t>
      </w:r>
      <w:r w:rsidR="00F65632">
        <w:t>4</w:t>
      </w:r>
      <w:r>
        <w:t>. The high degree of overlap shown in Fig 1</w:t>
      </w:r>
      <w:r w:rsidR="00F65632">
        <w:t>4</w:t>
      </w:r>
      <w:r>
        <w:t xml:space="preserve"> is an example of the ecological fallacy that is entirely analogous to the group overlap shown here in </w:t>
      </w:r>
      <w:r w:rsidR="000D3F70">
        <w:t>S11</w:t>
      </w:r>
      <w:r w:rsidR="00F65632">
        <w:t xml:space="preserve"> </w:t>
      </w:r>
      <w:r>
        <w:t>Fig.</w:t>
      </w:r>
    </w:p>
    <w:p w14:paraId="436A5C6C" w14:textId="3DD65EDE" w:rsidR="00AB1B32" w:rsidRDefault="009C77B4" w:rsidP="00AB1B32">
      <w:pPr>
        <w:ind w:firstLine="720"/>
        <w:contextualSpacing/>
      </w:pPr>
      <w:r>
        <w:lastRenderedPageBreak/>
        <w:t xml:space="preserve">The ecological fallacy is also </w:t>
      </w:r>
      <w:r w:rsidR="000D3F70">
        <w:t xml:space="preserve">demonstrated </w:t>
      </w:r>
      <w:r>
        <w:t xml:space="preserve">in </w:t>
      </w:r>
      <w:r w:rsidR="000D3F70">
        <w:t xml:space="preserve">how </w:t>
      </w:r>
      <w:r>
        <w:t xml:space="preserve">Fabbri </w:t>
      </w:r>
      <w:r w:rsidR="00C64FE4" w:rsidRPr="00C64FE4">
        <w:rPr>
          <w:i/>
          <w:iCs/>
        </w:rPr>
        <w:t>et al.</w:t>
      </w:r>
      <w:r w:rsidR="00C64FE4">
        <w:rPr>
          <w:i/>
          <w:iCs/>
        </w:rPr>
        <w:t xml:space="preserve"> </w:t>
      </w:r>
      <w:r>
        <w:t xml:space="preserve">interpret their PGLS </w:t>
      </w:r>
      <w:r w:rsidR="006C1C3A">
        <w:t xml:space="preserve">regression of “subaqueous foraging” against </w:t>
      </w:r>
      <w:r w:rsidR="006C1C3A" w:rsidRPr="0015267B">
        <w:rPr>
          <w:i/>
          <w:iCs/>
        </w:rPr>
        <w:t>Cg</w:t>
      </w:r>
      <w:r w:rsidR="006C1C3A">
        <w:t xml:space="preserve">, </w:t>
      </w:r>
      <w:r w:rsidR="00C64FE4">
        <w:t xml:space="preserve">which they claim shows </w:t>
      </w:r>
      <w:r w:rsidR="006C1C3A">
        <w:t xml:space="preserve">that </w:t>
      </w:r>
      <w:r w:rsidR="006C1C3A">
        <w:rPr>
          <w:rFonts w:eastAsiaTheme="minorEastAsia"/>
        </w:rPr>
        <w:t>“</w:t>
      </w:r>
      <w:r w:rsidR="006C1C3A">
        <w:t>frequent subaqueous foraging is associated with increased femoral and rib density across amniotes”</w:t>
      </w:r>
      <w:r w:rsidR="00AB1B32">
        <w:t xml:space="preserve"> </w:t>
      </w:r>
      <w:r w:rsidR="00C64FE4">
        <w:fldChar w:fldCharType="begin"/>
      </w:r>
      <w:r w:rsidR="00937347">
        <w:instrText xml:space="preserve"> ADDIN ZOTERO_ITEM CSL_CITATION {"citationID":"Lf0s6K8B","properties":{"formattedCitation":"[3]","plainCitation":"[3]","noteIndex":0},"citationItems":[{"id":39505,"uris":["http://zotero.org/groups/2718895/items/2VJ5VKD3"],"itemData":{"id":39505,"type":"article-journal","container-title":"Nature","DOI":"10.1038/s41586-022-04528-0","ISSN":"0028-0836, 1476-4687","issue":"7903","journalAbbreviation":"Nature","language":"en","page":"852-857","source":"DOI.org (Crossref)","title":"Subaqueous foraging among carnivorous dinosaurs","volume":"603","author":[{"family":"Fabbri","given":"Matteo"},{"family":"Navalón","given":"Guillermo"},{"family":"Benson","given":"Roger B. J."},{"family":"Pol","given":"Diego"},{"family":"O’Connor","given":"Jingmai"},{"family":"Bhullar","given":"Bhart-Anjan S."},{"family":"Erickson","given":"Gregory M."},{"family":"Norell","given":"Mark A."},{"family":"Orkney","given":"Andrew"},{"family":"Lamanna","given":"Matthew C."},{"family":"Zouhri","given":"Samir"},{"family":"Becker","given":"Justine"},{"family":"Emke","given":"Amanda"},{"family":"Dal Sasso","given":"Cristiano"},{"family":"Bindellini","given":"Gabriele"},{"family":"Maganuco","given":"Simone"},{"family":"Auditore","given":"Marco"},{"family":"Ibrahim","given":"Nizar"}],"issued":{"date-parts":[["2022",3,31]]}}}],"schema":"https://github.com/citation-style-language/schema/raw/master/csl-citation.json"} </w:instrText>
      </w:r>
      <w:r w:rsidR="00C64FE4">
        <w:fldChar w:fldCharType="separate"/>
      </w:r>
      <w:r w:rsidR="00C64FE4" w:rsidRPr="00B84200">
        <w:t>[3]</w:t>
      </w:r>
      <w:r w:rsidR="00C64FE4">
        <w:fldChar w:fldCharType="end"/>
      </w:r>
      <w:r w:rsidR="00C64FE4">
        <w:t>.</w:t>
      </w:r>
      <w:r w:rsidR="001D5007">
        <w:t xml:space="preserve"> </w:t>
      </w:r>
      <w:r w:rsidR="006C1C3A">
        <w:t>This is not a valid inference.</w:t>
      </w:r>
      <w:r w:rsidR="001D5007">
        <w:t xml:space="preserve"> </w:t>
      </w:r>
      <w:r w:rsidR="00AB1B32">
        <w:t>Instead,</w:t>
      </w:r>
      <w:r w:rsidR="006C1C3A">
        <w:t xml:space="preserve"> what they showed is that </w:t>
      </w:r>
      <w:r w:rsidR="006C1C3A" w:rsidRPr="0015267B">
        <w:rPr>
          <w:i/>
          <w:iCs/>
        </w:rPr>
        <w:t xml:space="preserve">one </w:t>
      </w:r>
      <w:proofErr w:type="gramStart"/>
      <w:r w:rsidR="006C1C3A" w:rsidRPr="0015267B">
        <w:rPr>
          <w:i/>
          <w:iCs/>
        </w:rPr>
        <w:t>particular sample</w:t>
      </w:r>
      <w:proofErr w:type="gramEnd"/>
      <w:r w:rsidR="006C1C3A" w:rsidRPr="0015267B">
        <w:rPr>
          <w:i/>
          <w:iCs/>
        </w:rPr>
        <w:t xml:space="preserve"> of amniotes</w:t>
      </w:r>
      <w:r w:rsidR="006C1C3A">
        <w:t xml:space="preserve"> (</w:t>
      </w:r>
      <w:r w:rsidR="006C1C3A" w:rsidRPr="0015267B">
        <w:rPr>
          <w:i/>
          <w:iCs/>
        </w:rPr>
        <w:t>i.e.</w:t>
      </w:r>
      <w:r w:rsidR="00C64FE4">
        <w:t>,</w:t>
      </w:r>
      <w:r w:rsidR="006C1C3A">
        <w:t xml:space="preserve"> their dataset) have an association (correlation).</w:t>
      </w:r>
      <w:r w:rsidR="001D5007">
        <w:t xml:space="preserve"> </w:t>
      </w:r>
      <w:r w:rsidR="006C1C3A">
        <w:t xml:space="preserve">But it might be the case that within that sample, some taxa have a positive correlation, some might </w:t>
      </w:r>
      <w:r w:rsidR="00AB1B32">
        <w:t>be</w:t>
      </w:r>
      <w:r w:rsidR="006C1C3A">
        <w:t xml:space="preserve"> negative</w:t>
      </w:r>
      <w:r w:rsidR="00AB1B32">
        <w:t>ly</w:t>
      </w:r>
      <w:r w:rsidR="006C1C3A">
        <w:t xml:space="preserve"> </w:t>
      </w:r>
      <w:proofErr w:type="gramStart"/>
      <w:r w:rsidR="006C1C3A">
        <w:t>correlated</w:t>
      </w:r>
      <w:proofErr w:type="gramEnd"/>
      <w:r w:rsidR="006C1C3A">
        <w:t xml:space="preserve"> and others might be uncorrelated.</w:t>
      </w:r>
      <w:r w:rsidR="001D5007">
        <w:t xml:space="preserve"> </w:t>
      </w:r>
      <w:r w:rsidR="006C1C3A">
        <w:t>Depending on the relative number of each of these subgroups</w:t>
      </w:r>
      <w:r w:rsidR="00AB1B32">
        <w:t>, and the magnitude of their correlations</w:t>
      </w:r>
      <w:r w:rsidR="00703EA7">
        <w:t>,</w:t>
      </w:r>
      <w:r w:rsidR="006C1C3A">
        <w:t xml:space="preserve"> the net result could still be a finding that the overall dataset has a positive correlation</w:t>
      </w:r>
      <w:r w:rsidR="0015267B">
        <w:t xml:space="preserve"> (</w:t>
      </w:r>
      <w:proofErr w:type="gramStart"/>
      <w:r w:rsidR="0015267B">
        <w:t>i.e.</w:t>
      </w:r>
      <w:proofErr w:type="gramEnd"/>
      <w:r w:rsidR="0015267B">
        <w:t xml:space="preserve"> what the found)</w:t>
      </w:r>
      <w:r w:rsidR="00AB1B32">
        <w:t>.</w:t>
      </w:r>
      <w:r w:rsidR="001D5007">
        <w:t xml:space="preserve"> </w:t>
      </w:r>
      <w:r w:rsidR="00AB1B32">
        <w:t xml:space="preserve">Thus, we cannot infer from </w:t>
      </w:r>
      <w:r w:rsidR="0015267B">
        <w:t xml:space="preserve">the aggregate behavior of a positive correlation that each of the </w:t>
      </w:r>
      <w:r w:rsidR="00AB1B32">
        <w:t>individual taxa</w:t>
      </w:r>
      <w:r w:rsidR="0015267B">
        <w:t xml:space="preserve"> (and especially unsampled members of their clades)</w:t>
      </w:r>
      <w:r w:rsidR="00AB1B32">
        <w:t xml:space="preserve"> in the dataset have that positive correlation.</w:t>
      </w:r>
      <w:r w:rsidR="001D5007">
        <w:t xml:space="preserve"> </w:t>
      </w:r>
      <w:r w:rsidR="00AB1B32">
        <w:t>This is an example of the ecological fallac</w:t>
      </w:r>
      <w:r w:rsidR="00703EA7">
        <w:t>y: the group</w:t>
      </w:r>
      <w:r w:rsidR="00C64FE4">
        <w:t>-</w:t>
      </w:r>
      <w:r w:rsidR="00703EA7">
        <w:t xml:space="preserve">wide property (regression results) does not imply that we can extend the result to </w:t>
      </w:r>
      <w:proofErr w:type="gramStart"/>
      <w:r w:rsidR="00703EA7">
        <w:t>each and every</w:t>
      </w:r>
      <w:proofErr w:type="gramEnd"/>
      <w:r w:rsidR="00703EA7">
        <w:t xml:space="preserve"> member of the group.</w:t>
      </w:r>
      <w:r w:rsidR="00142B8A">
        <w:t xml:space="preserve"> </w:t>
      </w:r>
    </w:p>
    <w:p w14:paraId="039251DE" w14:textId="5068B6D8" w:rsidR="00AB1B32" w:rsidRDefault="00AB1B32" w:rsidP="00AB1B32">
      <w:pPr>
        <w:ind w:firstLine="720"/>
        <w:contextualSpacing/>
      </w:pPr>
      <w:r>
        <w:t xml:space="preserve">Indeed, as discussed in the main text subsection </w:t>
      </w:r>
      <w:r w:rsidR="00C64FE4">
        <w:t xml:space="preserve">on </w:t>
      </w:r>
      <w:r w:rsidRPr="0015267B">
        <w:rPr>
          <w:i/>
          <w:iCs/>
        </w:rPr>
        <w:t>Cg</w:t>
      </w:r>
      <w:r w:rsidRPr="00AB1B32">
        <w:t xml:space="preserve"> and the bone ballast hypothesis</w:t>
      </w:r>
      <w:r>
        <w:t>, the literature on the bone ballast hypothesis tells us that some groups, and some taxa within groups, do not have a correlation between “subaqueous foraging” and femoral and rib density.</w:t>
      </w:r>
      <w:r w:rsidR="001D5007">
        <w:t xml:space="preserve"> </w:t>
      </w:r>
      <w:r>
        <w:t xml:space="preserve">Not only is the inference fallacious, </w:t>
      </w:r>
      <w:proofErr w:type="gramStart"/>
      <w:r>
        <w:t>it is</w:t>
      </w:r>
      <w:proofErr w:type="gramEnd"/>
      <w:r>
        <w:t xml:space="preserve"> contradicted by prior studies</w:t>
      </w:r>
      <w:r w:rsidR="00703EA7">
        <w:t xml:space="preserve"> that Fabbri </w:t>
      </w:r>
      <w:r w:rsidR="00C64FE4" w:rsidRPr="00C64FE4">
        <w:rPr>
          <w:i/>
          <w:iCs/>
        </w:rPr>
        <w:t>et al.</w:t>
      </w:r>
      <w:r w:rsidR="00C64FE4">
        <w:rPr>
          <w:i/>
          <w:iCs/>
        </w:rPr>
        <w:t xml:space="preserve"> </w:t>
      </w:r>
      <w:r w:rsidR="00703EA7">
        <w:t>reference</w:t>
      </w:r>
      <w:r w:rsidR="000830C8">
        <w:t xml:space="preserve"> (see Cg and the bone ballast hypothesis)</w:t>
      </w:r>
      <w:r>
        <w:t>.</w:t>
      </w:r>
    </w:p>
    <w:p w14:paraId="6D0D8729" w14:textId="2153F68D" w:rsidR="008931E1" w:rsidRPr="008A6ECB" w:rsidRDefault="008931E1" w:rsidP="008931E1">
      <w:pPr>
        <w:pStyle w:val="Heading2-PLoS"/>
        <w:numPr>
          <w:ilvl w:val="0"/>
          <w:numId w:val="19"/>
        </w:numPr>
        <w:ind w:left="0" w:firstLine="0"/>
      </w:pPr>
      <w:bookmarkStart w:id="1" w:name="_Hlk126072146"/>
      <w:r w:rsidRPr="002E27CF">
        <w:t>ROC curves and whether</w:t>
      </w:r>
      <w:r>
        <w:t xml:space="preserve"> </w:t>
      </w:r>
      <w:r>
        <w:rPr>
          <w:i/>
          <w:iCs/>
        </w:rPr>
        <w:t>P</w:t>
      </w:r>
      <w:r>
        <w:rPr>
          <w:vertAlign w:val="subscript"/>
        </w:rPr>
        <w:t>2</w:t>
      </w:r>
      <w:r>
        <w:t> &gt; 0.5</w:t>
      </w:r>
      <m:oMath>
        <m:r>
          <m:rPr>
            <m:sty m:val="bi"/>
          </m:rPr>
          <w:rPr>
            <w:rFonts w:ascii="Cambria Math" w:hAnsi="Cambria Math"/>
          </w:rPr>
          <m:t xml:space="preserve"> </m:t>
        </m:r>
      </m:oMath>
      <w:r w:rsidRPr="008A6ECB">
        <w:t xml:space="preserve">is the best </w:t>
      </w:r>
      <w:proofErr w:type="gramStart"/>
      <w:r w:rsidRPr="008A6ECB">
        <w:t>threshold</w:t>
      </w:r>
      <w:proofErr w:type="gramEnd"/>
      <w:r w:rsidRPr="008A6ECB">
        <w:t xml:space="preserve"> </w:t>
      </w:r>
      <w:bookmarkEnd w:id="1"/>
    </w:p>
    <w:p w14:paraId="3B0710B4" w14:textId="71ADD5A2" w:rsidR="008931E1" w:rsidRPr="006D2DC4" w:rsidRDefault="008931E1" w:rsidP="008931E1">
      <w:pPr>
        <w:contextualSpacing/>
      </w:pPr>
      <w:r w:rsidRPr="006D2DC4">
        <w:t>The receiver operating characteristic (ROC) curve is a longstanding graphical means of characterizing the performance of a binary (</w:t>
      </w:r>
      <w:r w:rsidRPr="006D2DC4">
        <w:rPr>
          <w:i/>
          <w:iCs/>
        </w:rPr>
        <w:t>i.e.</w:t>
      </w:r>
      <w:r w:rsidRPr="00707DBC">
        <w:t>, two-group) classifier as the classification threshold is varied from</w:t>
      </w:r>
      <w:r>
        <w:t xml:space="preserve"> </w:t>
      </w:r>
      <w:r w:rsidRPr="00707DBC">
        <w:t>0</w:t>
      </w:r>
      <w:r>
        <w:t> </w:t>
      </w:r>
      <w:r w:rsidRPr="006D2DC4">
        <w:t>≤</w:t>
      </w:r>
      <w:r>
        <w:t> </w:t>
      </w:r>
      <w:proofErr w:type="spellStart"/>
      <w:r w:rsidRPr="006D2DC4">
        <w:rPr>
          <w:i/>
          <w:iCs/>
        </w:rPr>
        <w:t>P</w:t>
      </w:r>
      <w:r w:rsidRPr="00707DBC">
        <w:rPr>
          <w:vertAlign w:val="subscript"/>
        </w:rPr>
        <w:t>thres</w:t>
      </w:r>
      <w:proofErr w:type="spellEnd"/>
      <w:r>
        <w:t> </w:t>
      </w:r>
      <w:r w:rsidRPr="006D2DC4">
        <w:t>≤</w:t>
      </w:r>
      <w:r>
        <w:t> </w:t>
      </w:r>
      <w:r w:rsidRPr="006D2DC4">
        <w:t xml:space="preserve">1.0. These curves originated with the study of radar detection of objects but have since found extensive application in both statistical evaluation of medical diagnostics </w:t>
      </w:r>
      <w:r w:rsidRPr="006D2DC4">
        <w:fldChar w:fldCharType="begin"/>
      </w:r>
      <w:r w:rsidR="00937347">
        <w:instrText xml:space="preserve"> ADDIN ZOTERO_ITEM CSL_CITATION {"citationID":"a2d54nhgk84","properties":{"formattedCitation":"[4,5]","plainCitation":"[4,5]","noteIndex":0},"citationItems":[{"id":39744,"uris":["http://zotero.org/groups/2718895/items/AUAP6RZN"],"itemData":{"id":39744,"type":"article-journal","abstract":"This work overviews some developments on the estimation of the Receiver Operating Characteristic (ROC) curve. Estimation methods in this area are constantly being developed, adjusted and extended, and it is thus impossible to cover all topics and areas of application in a single paper. Here, we focus on some frequentist and Bayesian methods which have been mostly employed in the medical setting. Although we emphasize the medical domain, we also describe links with other fields where related developments have been made, and where some modeling concepts are often known under other designations.","container-title":"REVSTAT-Statistical Journal","DOI":"10.57805/REVSTAT.V12I1.141","language":"en","license":"Creative Commons Attribution 4.0 International","note":"dimensions: 1–20 Pages\npublisher: REVSTAT-Statistical Journal","page":"1–20 Pages","source":"DOI.org (Datacite)","title":"ROC curve estimation","author":[{"family":"Gonçalves","given":"Luzia"},{"family":"Subtil","given":"Ana"},{"family":"Oliveira","given":"M. Rosário"},{"family":"De Zea Bermudez","given":"Patricia"}],"issued":{"date-parts":[["2014",4,1]]}}},{"id":39743,"uris":["http://zotero.org/groups/2718895/items/ZBCMGVFR"],"itemData":{"id":39743,"type":"article-journal","container-title":"Emergency Medicine Journal","DOI":"10.1136/emermed-2017-206735","ISSN":"1472-0205, 1472-0213","issue":"6","journalAbbreviation":"Emerg Med J","language":"en","page":"357-359","source":"DOI.org (Crossref)","title":"What is an ROC curve?","volume":"34","author":[{"family":"Hoo","given":"Zhe Hui"},{"family":"Candlish","given":"Jane"},{"family":"Teare","given":"Dawn"}],"issued":{"date-parts":[["2017",6]]}}}],"schema":"https://github.com/citation-style-language/schema/raw/master/csl-citation.json"} </w:instrText>
      </w:r>
      <w:r w:rsidRPr="006D2DC4">
        <w:fldChar w:fldCharType="separate"/>
      </w:r>
      <w:r w:rsidR="00B84200">
        <w:t>[4,5]</w:t>
      </w:r>
      <w:r w:rsidRPr="006D2DC4">
        <w:fldChar w:fldCharType="end"/>
      </w:r>
      <w:r w:rsidRPr="006D2DC4">
        <w:t xml:space="preserve"> and machine learning classifiers </w:t>
      </w:r>
      <w:r w:rsidRPr="006D2DC4">
        <w:fldChar w:fldCharType="begin"/>
      </w:r>
      <w:r w:rsidR="00937347">
        <w:instrText xml:space="preserve"> ADDIN ZOTERO_ITEM CSL_CITATION {"citationID":"a2qu9jln2i2","properties":{"formattedCitation":"[6\\uc0\\u8211{}8]","plainCitation":"[6–8]","noteIndex":0},"citationItems":[{"id":39742,"uris":["http://zotero.org/groups/2718895/items/MKCQSGTY"],"itemData":{"id":39742,"type":"article-journal","container-title":"Pattern Recognition","DOI":"10.1016/S0031-3203(96)00142-2","ISSN":"00313203","issue":"7","journalAbbreviation":"Pattern Recognition","language":"en","page":"1145-1159","source":"DOI.org (Crossref)","title":"The use of the area under the ROC curve in the evaluation of machine learning algorithms","volume":"30","author":[{"family":"Bradley","given":"Andrew P."}],"issued":{"date-parts":[["1997",7]]}}},{"id":39741,"uris":["http://zotero.org/groups/2718895/items/LNHUU36A"],"itemData":{"id":39741,"type":"paper-conference","container-title":"Proceedings of the 23rd International Conference on Machine Learning, ICML '06","DOI":"10.1145/1143844.1143874","event-place":"Pittsburgh, Pennsylvania","event-title":"the 23rd international conference","ISBN":"978-1-59593-383-6","language":"en","page":"233-240","publisher":"ACM Press","publisher-place":"Pittsburgh, Pennsylvania","source":"DOI.org (Crossref)","title":"The relationship between precision-recall and ROC curves","URL":"http://portal.acm.org/citation.cfm?doid=1143844.1143874","author":[{"family":"Davis","given":"Jesse"},{"family":"Goadrich","given":"Mark"}],"accessed":{"date-parts":[["2022",9,21]]},"issued":{"date-parts":[["2006"]]}}},{"id":39740,"uris":["http://zotero.org/groups/2718895/items/424AJEMD"],"itemData":{"id":39740,"type":"article-journal","container-title":"Pattern Recognition Letters","DOI":"10.1016/j.patrec.2019.10.004","ISSN":"01678655","journalAbbreviation":"Pattern Recognition Letters","language":"en","page":"447-451","source":"DOI.org (Crossref)","title":"Using theoretical ROC curves for analysing machine learning binary classifiers","volume":"128","author":[{"family":"Omar","given":"Luma"},{"family":"Ivrissimtzis","given":"Ioannis"}],"issued":{"date-parts":[["2019",12]]}}}],"schema":"https://github.com/citation-style-language/schema/raw/master/csl-citation.json"} </w:instrText>
      </w:r>
      <w:r w:rsidRPr="006D2DC4">
        <w:fldChar w:fldCharType="separate"/>
      </w:r>
      <w:r w:rsidR="00B84200" w:rsidRPr="00B84200">
        <w:t>[6–8]</w:t>
      </w:r>
      <w:r w:rsidRPr="006D2DC4">
        <w:fldChar w:fldCharType="end"/>
      </w:r>
      <w:r w:rsidRPr="006D2DC4">
        <w:t>.</w:t>
      </w:r>
    </w:p>
    <w:p w14:paraId="191896F2" w14:textId="42F697A1" w:rsidR="008931E1" w:rsidRDefault="000D3F70" w:rsidP="008931E1">
      <w:pPr>
        <w:contextualSpacing/>
      </w:pPr>
      <w:r>
        <w:t>S12</w:t>
      </w:r>
      <w:r w:rsidR="00F65632" w:rsidRPr="00707DBC">
        <w:t xml:space="preserve"> </w:t>
      </w:r>
      <w:r w:rsidR="008931E1" w:rsidRPr="00707DBC">
        <w:t xml:space="preserve">Fig plots ROC curves for both femoral (ds1) and rib (ds2) data in the basic datasets. The curves are obtained by using </w:t>
      </w:r>
      <w:r w:rsidR="008931E1" w:rsidRPr="00707DBC">
        <w:rPr>
          <w:i/>
          <w:iCs/>
        </w:rPr>
        <w:t>k</w:t>
      </w:r>
      <w:r w:rsidR="008931E1">
        <w:t> = </w:t>
      </w:r>
      <w:r w:rsidR="008931E1" w:rsidRPr="00707DBC">
        <w:t xml:space="preserve">10 cross validation, which yields a </w:t>
      </w:r>
      <w:r w:rsidR="008931E1" w:rsidRPr="00707DBC">
        <w:rPr>
          <w:rFonts w:eastAsiaTheme="minorEastAsia"/>
          <w:i/>
          <w:iCs/>
        </w:rPr>
        <w:t>P</w:t>
      </w:r>
      <w:r w:rsidR="008931E1" w:rsidRPr="00707DBC">
        <w:rPr>
          <w:rFonts w:eastAsiaTheme="minorEastAsia"/>
          <w:vertAlign w:val="subscript"/>
        </w:rPr>
        <w:t>2</w:t>
      </w:r>
      <w:r w:rsidR="008931E1" w:rsidRPr="00707DBC">
        <w:t xml:space="preserve"> value for each member of the training set, obtained when that </w:t>
      </w:r>
      <w:proofErr w:type="gramStart"/>
      <w:r w:rsidR="008931E1" w:rsidRPr="00707DBC">
        <w:t>point</w:t>
      </w:r>
      <w:proofErr w:type="gramEnd"/>
      <w:r w:rsidR="008931E1" w:rsidRPr="00707DBC">
        <w:t xml:space="preserve"> and others are “held out” from the analysis and treated as a test point. </w:t>
      </w:r>
    </w:p>
    <w:p w14:paraId="5F637550" w14:textId="77777777" w:rsidR="008931E1" w:rsidRPr="009D2C14" w:rsidRDefault="008931E1" w:rsidP="008931E1">
      <w:pPr>
        <w:pStyle w:val="Figure-PLOS"/>
      </w:pPr>
      <w:r w:rsidRPr="009D2C14">
        <w:lastRenderedPageBreak/>
        <w:drawing>
          <wp:inline distT="0" distB="0" distL="0" distR="0" wp14:anchorId="58DF1D42" wp14:editId="02724924">
            <wp:extent cx="5946140" cy="3145790"/>
            <wp:effectExtent l="0" t="0" r="0" b="0"/>
            <wp:docPr id="542423385" name="Picture 54242338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423385" name="Picture 542423385" descr="Diagram&#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6140" cy="3145790"/>
                    </a:xfrm>
                    <a:prstGeom prst="rect">
                      <a:avLst/>
                    </a:prstGeom>
                    <a:noFill/>
                    <a:ln>
                      <a:noFill/>
                    </a:ln>
                  </pic:spPr>
                </pic:pic>
              </a:graphicData>
            </a:graphic>
          </wp:inline>
        </w:drawing>
      </w:r>
    </w:p>
    <w:p w14:paraId="05986F22" w14:textId="0768B65F" w:rsidR="008931E1" w:rsidRDefault="000D3F70" w:rsidP="008931E1">
      <w:pPr>
        <w:pStyle w:val="Figurecaption-PLoS"/>
      </w:pPr>
      <w:r>
        <w:rPr>
          <w:b/>
          <w:bCs/>
        </w:rPr>
        <w:t>S12</w:t>
      </w:r>
      <w:r w:rsidR="00F65632" w:rsidRPr="0080393D">
        <w:rPr>
          <w:b/>
          <w:bCs/>
        </w:rPr>
        <w:t xml:space="preserve"> </w:t>
      </w:r>
      <w:r w:rsidR="008931E1" w:rsidRPr="0080393D">
        <w:rPr>
          <w:b/>
          <w:bCs/>
        </w:rPr>
        <w:t>Fig. ROC curves for posterior probability threshold.</w:t>
      </w:r>
      <w:r w:rsidR="008931E1" w:rsidRPr="0063042E">
        <w:t xml:space="preserve"> ROC curves plot the performance of a binary (</w:t>
      </w:r>
      <w:r w:rsidR="008931E1">
        <w:t>two</w:t>
      </w:r>
      <w:r w:rsidR="008931E1" w:rsidRPr="0063042E">
        <w:t>-class) classifier</w:t>
      </w:r>
      <w:r w:rsidR="008931E1" w:rsidRPr="009A2802">
        <w:t>. (</w:t>
      </w:r>
      <w:r w:rsidR="008931E1">
        <w:rPr>
          <w:bCs/>
        </w:rPr>
        <w:t>A</w:t>
      </w:r>
      <w:r w:rsidR="008931E1" w:rsidRPr="009A2802">
        <w:t xml:space="preserve">) The basic ROC curve plots the false-positive rate </w:t>
      </w:r>
      <w:r w:rsidR="008931E1" w:rsidRPr="00D473B0">
        <w:rPr>
          <w:i/>
          <w:iCs/>
        </w:rPr>
        <w:t>FPR</w:t>
      </w:r>
      <w:r w:rsidR="008931E1" w:rsidRPr="009A2802">
        <w:t xml:space="preserve"> on the </w:t>
      </w:r>
      <w:r w:rsidR="008931E1" w:rsidRPr="00D473B0">
        <w:rPr>
          <w:i/>
          <w:iCs/>
        </w:rPr>
        <w:t>x</w:t>
      </w:r>
      <w:r w:rsidR="008931E1" w:rsidRPr="009A2802">
        <w:t xml:space="preserve">-axis and true-positive rate </w:t>
      </w:r>
      <w:r w:rsidR="008931E1" w:rsidRPr="00D473B0">
        <w:rPr>
          <w:i/>
          <w:iCs/>
        </w:rPr>
        <w:t>TPR</w:t>
      </w:r>
      <w:r w:rsidR="008931E1" w:rsidRPr="009A2802">
        <w:t xml:space="preserve"> from </w:t>
      </w:r>
      <w:r w:rsidR="00024ABD">
        <w:t>Equation (6)</w:t>
      </w:r>
      <w:r w:rsidR="008931E1" w:rsidRPr="009A2802">
        <w:t xml:space="preserve"> as the classification threshold </w:t>
      </w:r>
      <w:proofErr w:type="spellStart"/>
      <w:r w:rsidR="008931E1" w:rsidRPr="009A2802">
        <w:rPr>
          <w:i/>
          <w:iCs/>
        </w:rPr>
        <w:t>P</w:t>
      </w:r>
      <w:r w:rsidR="008931E1" w:rsidRPr="009A2802">
        <w:rPr>
          <w:vertAlign w:val="subscript"/>
        </w:rPr>
        <w:t>thres</w:t>
      </w:r>
      <w:proofErr w:type="spellEnd"/>
      <w:r w:rsidR="008931E1" w:rsidRPr="009A2802">
        <w:t xml:space="preserve"> that defines classification (</w:t>
      </w:r>
      <w:r w:rsidR="008931E1" w:rsidRPr="00803AB5">
        <w:rPr>
          <w:i/>
          <w:iCs/>
        </w:rPr>
        <w:t>i.e.</w:t>
      </w:r>
      <w:r w:rsidR="008931E1">
        <w:rPr>
          <w:i/>
          <w:iCs/>
        </w:rPr>
        <w:t>,</w:t>
      </w:r>
      <w:r w:rsidR="008931E1" w:rsidRPr="009A2802">
        <w:t xml:space="preserve"> </w:t>
      </w:r>
      <w:r w:rsidR="008931E1" w:rsidRPr="009A2802">
        <w:rPr>
          <w:i/>
          <w:iCs/>
        </w:rPr>
        <w:t>P</w:t>
      </w:r>
      <w:r w:rsidR="008931E1" w:rsidRPr="009A2802">
        <w:rPr>
          <w:vertAlign w:val="subscript"/>
        </w:rPr>
        <w:t>2</w:t>
      </w:r>
      <w:r w:rsidR="008931E1" w:rsidRPr="009A2802">
        <w:t xml:space="preserve"> &gt; </w:t>
      </w:r>
      <w:proofErr w:type="spellStart"/>
      <w:r w:rsidR="008931E1" w:rsidRPr="009A2802">
        <w:rPr>
          <w:i/>
          <w:iCs/>
        </w:rPr>
        <w:t>P</w:t>
      </w:r>
      <w:r w:rsidR="008931E1" w:rsidRPr="009A2802">
        <w:rPr>
          <w:vertAlign w:val="subscript"/>
        </w:rPr>
        <w:t>thres</w:t>
      </w:r>
      <w:proofErr w:type="spellEnd"/>
      <m:oMath>
        <m:r>
          <m:rPr>
            <m:sty m:val="bi"/>
          </m:rPr>
          <w:rPr>
            <w:rFonts w:ascii="Cambria Math" w:hAnsi="Cambria Math"/>
          </w:rPr>
          <m:t xml:space="preserve"> </m:t>
        </m:r>
      </m:oMath>
      <w:r w:rsidR="008931E1" w:rsidRPr="009A2802">
        <w:t xml:space="preserve">yields classification as </w:t>
      </w:r>
      <w:r w:rsidR="008931E1" w:rsidRPr="009A2802">
        <w:rPr>
          <w:i/>
        </w:rPr>
        <w:t>D</w:t>
      </w:r>
      <w:r w:rsidR="008931E1">
        <w:rPr>
          <w:i/>
        </w:rPr>
        <w:t> = </w:t>
      </w:r>
      <w:r w:rsidR="008931E1" w:rsidRPr="0080393D">
        <w:rPr>
          <w:i/>
          <w:iCs/>
        </w:rPr>
        <w:t>2</w:t>
      </w:r>
      <w:r w:rsidR="008931E1" w:rsidRPr="009A2802">
        <w:t>) is varied from 0</w:t>
      </w:r>
      <w:r w:rsidR="00DD0373">
        <w:t> ≤</w:t>
      </w:r>
      <w:r w:rsidR="008931E1">
        <w:t> </w:t>
      </w:r>
      <w:proofErr w:type="spellStart"/>
      <w:r w:rsidR="008931E1" w:rsidRPr="009A2802">
        <w:rPr>
          <w:i/>
          <w:iCs/>
        </w:rPr>
        <w:t>P</w:t>
      </w:r>
      <w:r w:rsidR="008931E1" w:rsidRPr="009A2802">
        <w:rPr>
          <w:vertAlign w:val="subscript"/>
        </w:rPr>
        <w:t>thres</w:t>
      </w:r>
      <w:proofErr w:type="spellEnd"/>
      <w:r w:rsidR="00DD0373">
        <w:t> ≤</w:t>
      </w:r>
      <w:r w:rsidR="008931E1">
        <w:t> </w:t>
      </w:r>
      <w:r w:rsidR="008931E1" w:rsidRPr="009A2802">
        <w:t>1</w:t>
      </w:r>
      <m:oMath>
        <m:r>
          <m:rPr>
            <m:sty m:val="bi"/>
          </m:rPr>
          <w:rPr>
            <w:rFonts w:ascii="Cambria Math" w:hAnsi="Cambria Math"/>
          </w:rPr>
          <m:t>.</m:t>
        </m:r>
      </m:oMath>
      <w:r w:rsidR="008931E1" w:rsidRPr="009A2802">
        <w:t xml:space="preserve"> Each colored curve is from a different trial of </w:t>
      </w:r>
      <w:r w:rsidR="008931E1" w:rsidRPr="009A2802">
        <w:rPr>
          <w:i/>
          <w:iCs/>
        </w:rPr>
        <w:t>k</w:t>
      </w:r>
      <w:r w:rsidR="008931E1">
        <w:t> = </w:t>
      </w:r>
      <w:r w:rsidR="008931E1" w:rsidRPr="009A2802">
        <w:t xml:space="preserve">10-fold cross-validation, repeated for 10 trials. The dashed red line is the performance of a random classifier, and the dashed green line is the performance of a hypothetical perfect classifier. As </w:t>
      </w:r>
      <w:proofErr w:type="spellStart"/>
      <w:r w:rsidR="008931E1" w:rsidRPr="009A2802">
        <w:rPr>
          <w:i/>
          <w:iCs/>
        </w:rPr>
        <w:t>P</w:t>
      </w:r>
      <w:r w:rsidR="008931E1" w:rsidRPr="009A2802">
        <w:rPr>
          <w:vertAlign w:val="subscript"/>
        </w:rPr>
        <w:t>thres</w:t>
      </w:r>
      <w:proofErr w:type="spellEnd"/>
      <w:r w:rsidR="008931E1" w:rsidRPr="009A2802">
        <w:t xml:space="preserve"> → 1, both femoral and rib curves converge toward the random classifier. (</w:t>
      </w:r>
      <w:r w:rsidR="008931E1">
        <w:rPr>
          <w:bCs/>
        </w:rPr>
        <w:t>B</w:t>
      </w:r>
      <w:r w:rsidR="008931E1" w:rsidRPr="009A2802">
        <w:t>) The</w:t>
      </w:r>
      <w:r w:rsidR="008931E1" w:rsidRPr="0063042E">
        <w:t xml:space="preserve"> same ROC curves for rib data. Note that the rib classification is generally less successful since it is further away from the perfect classifier line.</w:t>
      </w:r>
    </w:p>
    <w:p w14:paraId="43EC2280" w14:textId="30824412" w:rsidR="008931E1" w:rsidRPr="00707DBC" w:rsidRDefault="008931E1" w:rsidP="008931E1">
      <w:pPr>
        <w:contextualSpacing/>
      </w:pPr>
      <w:r w:rsidRPr="00707DBC">
        <w:t xml:space="preserve">The classic ROC curves show the tradeoff between the true-positive rate </w:t>
      </w:r>
      <w:r w:rsidRPr="00707DBC">
        <w:rPr>
          <w:i/>
          <w:iCs/>
        </w:rPr>
        <w:t>TPR</w:t>
      </w:r>
      <w:r w:rsidRPr="00707DBC">
        <w:t xml:space="preserve"> and the false-negative rate </w:t>
      </w:r>
      <w:r w:rsidRPr="00707DBC">
        <w:rPr>
          <w:i/>
          <w:iCs/>
        </w:rPr>
        <w:t>FPR</w:t>
      </w:r>
      <w:r w:rsidRPr="00707DBC">
        <w:t xml:space="preserve"> </w:t>
      </w:r>
      <w:r>
        <w:t xml:space="preserve">calculated from </w:t>
      </w:r>
      <w:r w:rsidR="00024ABD">
        <w:t>Equation (6)</w:t>
      </w:r>
      <w:r>
        <w:t xml:space="preserve"> below,</w:t>
      </w:r>
      <w:r w:rsidRPr="00707DBC">
        <w:t xml:space="preserve"> as </w:t>
      </w:r>
      <w:proofErr w:type="spellStart"/>
      <w:r w:rsidRPr="00707DBC">
        <w:rPr>
          <w:i/>
          <w:iCs/>
        </w:rPr>
        <w:t>P</w:t>
      </w:r>
      <w:r w:rsidRPr="00707DBC">
        <w:rPr>
          <w:vertAlign w:val="subscript"/>
        </w:rPr>
        <w:t>thres</w:t>
      </w:r>
      <w:proofErr w:type="spellEnd"/>
      <w:r w:rsidRPr="00707DBC">
        <w:t xml:space="preserve"> is varied. A hypothetical ideal binary classifier would follow the green dashed line in </w:t>
      </w:r>
      <w:r w:rsidR="000D3F70">
        <w:t>S12</w:t>
      </w:r>
      <w:r w:rsidR="00F65632" w:rsidRPr="00707DBC">
        <w:t xml:space="preserve">A </w:t>
      </w:r>
      <w:r w:rsidRPr="00707DBC">
        <w:t>Fig. A hypothetical classifier that would be good enough to meet a</w:t>
      </w:r>
      <w:r>
        <w:t xml:space="preserve"> threshold of</w:t>
      </w:r>
      <w:r w:rsidRPr="009D2C14">
        <w:t xml:space="preserve"> </w:t>
      </w:r>
      <w:r w:rsidRPr="009D2C14">
        <w:rPr>
          <w:rFonts w:ascii="Cambria Math" w:hAnsi="Cambria Math" w:cs="Cambria Math"/>
        </w:rPr>
        <w:t>𝛼</w:t>
      </w:r>
      <w:r w:rsidRPr="00D473B0">
        <w:t> &lt; 0.05</w:t>
      </w:r>
      <w:r>
        <w:t>,</w:t>
      </w:r>
      <w:r w:rsidRPr="009D2C14">
        <w:t xml:space="preserve"> a</w:t>
      </w:r>
      <w:r w:rsidRPr="00707DBC">
        <w:t>ppropriate for a 95% confidence of correct predictions</w:t>
      </w:r>
      <w:r>
        <w:t>,</w:t>
      </w:r>
      <w:r w:rsidRPr="00707DBC">
        <w:t xml:space="preserve"> will reach deep into the top left corner and must hit or exceed the dashed magenta line. At the other end of performance, a random binary classifier with an infinite training set would follow the dashed red line. The red shaded area shows the 95% confidence band of a random classifier that predicts class by a process random draw with probability </w:t>
      </w:r>
      <w:proofErr w:type="spellStart"/>
      <w:r w:rsidRPr="00707DBC">
        <w:rPr>
          <w:i/>
          <w:iCs/>
        </w:rPr>
        <w:t>P</w:t>
      </w:r>
      <w:r w:rsidRPr="00707DBC">
        <w:rPr>
          <w:vertAlign w:val="subscript"/>
        </w:rPr>
        <w:t>thres</w:t>
      </w:r>
      <w:proofErr w:type="spellEnd"/>
      <w:r w:rsidRPr="00D473B0">
        <w:t>.</w:t>
      </w:r>
    </w:p>
    <w:p w14:paraId="54F45659" w14:textId="419DBEFE" w:rsidR="008931E1" w:rsidRPr="00707DBC" w:rsidRDefault="008931E1" w:rsidP="008931E1">
      <w:pPr>
        <w:contextualSpacing/>
        <w:rPr>
          <w:vertAlign w:val="subscript"/>
        </w:rPr>
      </w:pPr>
      <w:r w:rsidRPr="00707DBC">
        <w:lastRenderedPageBreak/>
        <w:t xml:space="preserve">The colored solid lines in </w:t>
      </w:r>
      <w:r w:rsidR="000D3F70">
        <w:t>S12</w:t>
      </w:r>
      <w:r w:rsidR="00F65632" w:rsidRPr="00707DBC">
        <w:t xml:space="preserve"> </w:t>
      </w:r>
      <w:r w:rsidRPr="00707DBC">
        <w:t xml:space="preserve">Fig plot the ROC curves from 10 trials of </w:t>
      </w:r>
      <w:r w:rsidRPr="00707DBC">
        <w:rPr>
          <w:i/>
          <w:iCs/>
        </w:rPr>
        <w:t>k</w:t>
      </w:r>
      <w:r>
        <w:t> = </w:t>
      </w:r>
      <w:r w:rsidRPr="006D2DC4">
        <w:t>10 cross-validation. The rib classifier has lower cla</w:t>
      </w:r>
      <w:r w:rsidRPr="00707DBC">
        <w:t xml:space="preserve">ssification performance because it is farther from the corner that defines the perfect classifier. </w:t>
      </w:r>
      <w:r w:rsidR="000D3F70">
        <w:t>S12</w:t>
      </w:r>
      <w:r w:rsidR="00F65632" w:rsidRPr="00707DBC">
        <w:t xml:space="preserve"> </w:t>
      </w:r>
      <w:r w:rsidRPr="00707DBC">
        <w:t xml:space="preserve">Fig shows that the specific performance of the classifier depends on the classifier threshold in a complicated way—the ROC curves vary by trial and are not smooth. The ROC curve has </w:t>
      </w:r>
      <w:proofErr w:type="spellStart"/>
      <w:r w:rsidRPr="00707DBC">
        <w:rPr>
          <w:i/>
          <w:iCs/>
        </w:rPr>
        <w:t>P</w:t>
      </w:r>
      <w:r w:rsidRPr="00707DBC">
        <w:rPr>
          <w:vertAlign w:val="subscript"/>
        </w:rPr>
        <w:t>thres</w:t>
      </w:r>
      <w:proofErr w:type="spellEnd"/>
      <w:r w:rsidRPr="00707DBC">
        <w:t xml:space="preserve"> as an implicit parameter, but </w:t>
      </w:r>
      <w:r w:rsidR="000D3F70">
        <w:t>S12</w:t>
      </w:r>
      <w:r w:rsidR="00F65632" w:rsidRPr="00707DBC">
        <w:t xml:space="preserve"> </w:t>
      </w:r>
      <w:r w:rsidRPr="00707DBC">
        <w:t xml:space="preserve">Fig explicitly shows how three of the performance metrics of </w:t>
      </w:r>
      <w:r w:rsidR="00024ABD">
        <w:t>Equation (6)</w:t>
      </w:r>
      <w:r w:rsidRPr="00707DBC">
        <w:t xml:space="preserve"> vary with </w:t>
      </w:r>
      <w:proofErr w:type="spellStart"/>
      <w:r w:rsidRPr="00707DBC">
        <w:rPr>
          <w:i/>
          <w:iCs/>
        </w:rPr>
        <w:t>P</w:t>
      </w:r>
      <w:r w:rsidRPr="00707DBC">
        <w:rPr>
          <w:vertAlign w:val="subscript"/>
        </w:rPr>
        <w:t>thres</w:t>
      </w:r>
      <w:proofErr w:type="spellEnd"/>
      <w:r w:rsidRPr="00707DBC">
        <w:t>.</w:t>
      </w:r>
    </w:p>
    <w:p w14:paraId="3CA189F8" w14:textId="17684CAB" w:rsidR="008931E1" w:rsidRDefault="008931E1" w:rsidP="008931E1">
      <w:pPr>
        <w:contextualSpacing/>
      </w:pPr>
      <w:r w:rsidRPr="00707DBC">
        <w:t xml:space="preserve">When </w:t>
      </w:r>
      <w:proofErr w:type="spellStart"/>
      <w:r w:rsidRPr="00707DBC">
        <w:rPr>
          <w:i/>
          <w:iCs/>
        </w:rPr>
        <w:t>P</w:t>
      </w:r>
      <w:r w:rsidRPr="00707DBC">
        <w:rPr>
          <w:vertAlign w:val="subscript"/>
        </w:rPr>
        <w:t>thres</w:t>
      </w:r>
      <w:proofErr w:type="spellEnd"/>
      <w:r>
        <w:t> = </w:t>
      </w:r>
      <w:r w:rsidRPr="00707DBC">
        <w:t>0, the random classifier will assign class</w:t>
      </w:r>
      <w:r w:rsidRPr="00707DBC">
        <w:rPr>
          <w:i/>
          <w:iCs/>
        </w:rPr>
        <w:t xml:space="preserve"> D</w:t>
      </w:r>
      <w:r>
        <w:rPr>
          <w:i/>
          <w:iCs/>
        </w:rPr>
        <w:t> = </w:t>
      </w:r>
      <w:r w:rsidRPr="00D473B0">
        <w:rPr>
          <w:i/>
          <w:iCs/>
        </w:rPr>
        <w:t>0</w:t>
      </w:r>
      <w:r w:rsidRPr="00707DBC">
        <w:t xml:space="preserve"> to each data point. It will misclassify </w:t>
      </w:r>
      <w:proofErr w:type="gramStart"/>
      <w:r w:rsidRPr="00707DBC">
        <w:t>all of</w:t>
      </w:r>
      <w:proofErr w:type="gramEnd"/>
      <w:r w:rsidRPr="00707DBC">
        <w:t xml:space="preserve"> the</w:t>
      </w:r>
      <w:r w:rsidRPr="00707DBC">
        <w:rPr>
          <w:i/>
          <w:iCs/>
        </w:rPr>
        <w:t xml:space="preserve"> D</w:t>
      </w:r>
      <w:r>
        <w:rPr>
          <w:i/>
          <w:iCs/>
        </w:rPr>
        <w:t> = </w:t>
      </w:r>
      <w:r w:rsidRPr="00D473B0">
        <w:rPr>
          <w:i/>
          <w:iCs/>
        </w:rPr>
        <w:t>2</w:t>
      </w:r>
      <w:r w:rsidRPr="00707DBC">
        <w:t xml:space="preserve"> points but will correctly classify the</w:t>
      </w:r>
      <w:r w:rsidRPr="00707DBC">
        <w:rPr>
          <w:i/>
          <w:iCs/>
        </w:rPr>
        <w:t xml:space="preserve"> D</w:t>
      </w:r>
      <w:r>
        <w:rPr>
          <w:i/>
          <w:iCs/>
        </w:rPr>
        <w:t> = </w:t>
      </w:r>
      <w:r w:rsidRPr="00D473B0">
        <w:rPr>
          <w:i/>
          <w:iCs/>
        </w:rPr>
        <w:t>0</w:t>
      </w:r>
      <w:r w:rsidRPr="00707DBC">
        <w:t xml:space="preserve"> points. When</w:t>
      </w:r>
      <w:r w:rsidRPr="00707DBC">
        <w:rPr>
          <w:i/>
          <w:iCs/>
        </w:rPr>
        <w:t xml:space="preserve"> </w:t>
      </w:r>
      <w:proofErr w:type="spellStart"/>
      <w:r w:rsidRPr="00707DBC">
        <w:rPr>
          <w:i/>
          <w:iCs/>
        </w:rPr>
        <w:t>P</w:t>
      </w:r>
      <w:r w:rsidRPr="00707DBC">
        <w:rPr>
          <w:vertAlign w:val="subscript"/>
        </w:rPr>
        <w:t>thres</w:t>
      </w:r>
      <w:proofErr w:type="spellEnd"/>
      <w:r>
        <w:t> = </w:t>
      </w:r>
      <w:r w:rsidRPr="00707DBC">
        <w:t xml:space="preserve">1, the opposite occurs. </w:t>
      </w:r>
      <w:proofErr w:type="gramStart"/>
      <w:r w:rsidRPr="00707DBC">
        <w:t>Therefore</w:t>
      </w:r>
      <w:proofErr w:type="gramEnd"/>
      <w:r w:rsidRPr="00707DBC">
        <w:t xml:space="preserve"> the confidence band for accuracy </w:t>
      </w:r>
      <w:r w:rsidRPr="00707DBC">
        <w:rPr>
          <w:i/>
          <w:iCs/>
        </w:rPr>
        <w:t>A</w:t>
      </w:r>
      <w:r w:rsidRPr="00707DBC">
        <w:t xml:space="preserve"> (</w:t>
      </w:r>
      <w:r w:rsidR="000D3F70">
        <w:t>S13</w:t>
      </w:r>
      <w:r w:rsidR="00F65632">
        <w:t>A</w:t>
      </w:r>
      <w:r w:rsidR="00F65632" w:rsidRPr="00707DBC">
        <w:t xml:space="preserve"> </w:t>
      </w:r>
      <w:r w:rsidRPr="00707DBC">
        <w:t xml:space="preserve">Fig) is tilted compared to the band for Matthews correlation coefficient </w:t>
      </w:r>
      <w:r w:rsidRPr="00707DBC">
        <w:rPr>
          <w:i/>
          <w:iCs/>
        </w:rPr>
        <w:t>MCC</w:t>
      </w:r>
      <w:r w:rsidRPr="00707DBC">
        <w:t xml:space="preserve"> (</w:t>
      </w:r>
      <w:r w:rsidR="000D3F70">
        <w:t>S13</w:t>
      </w:r>
      <w:r w:rsidR="00F65632">
        <w:t xml:space="preserve">B </w:t>
      </w:r>
      <w:r>
        <w:t>Fig</w:t>
      </w:r>
      <w:r w:rsidRPr="00707DBC">
        <w:t>). Note that this dataset has different numbers of points in each class.</w:t>
      </w:r>
    </w:p>
    <w:p w14:paraId="1C36CFAE" w14:textId="77777777" w:rsidR="008931E1" w:rsidRDefault="008931E1" w:rsidP="002D2A6A">
      <w:pPr>
        <w:pStyle w:val="Figure-PLOS"/>
      </w:pPr>
      <w:r>
        <w:lastRenderedPageBreak/>
        <w:drawing>
          <wp:inline distT="0" distB="0" distL="0" distR="0" wp14:anchorId="756CAD96" wp14:editId="654C4695">
            <wp:extent cx="5946140" cy="5946140"/>
            <wp:effectExtent l="0" t="0" r="0" b="0"/>
            <wp:docPr id="458526917" name="Picture 45852691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526917" name="Picture 458526917" descr="Chart, scatter chart&#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6140" cy="5946140"/>
                    </a:xfrm>
                    <a:prstGeom prst="rect">
                      <a:avLst/>
                    </a:prstGeom>
                    <a:noFill/>
                    <a:ln>
                      <a:noFill/>
                    </a:ln>
                  </pic:spPr>
                </pic:pic>
              </a:graphicData>
            </a:graphic>
          </wp:inline>
        </w:drawing>
      </w:r>
    </w:p>
    <w:p w14:paraId="7DC9FEDA" w14:textId="7E04B9FF" w:rsidR="008931E1" w:rsidRDefault="000D3F70" w:rsidP="008931E1">
      <w:pPr>
        <w:pStyle w:val="Figurecaption-PLoS"/>
      </w:pPr>
      <w:r>
        <w:rPr>
          <w:b/>
        </w:rPr>
        <w:t>S13</w:t>
      </w:r>
      <w:r w:rsidR="00F65632">
        <w:rPr>
          <w:b/>
        </w:rPr>
        <w:t xml:space="preserve"> </w:t>
      </w:r>
      <w:r w:rsidR="008931E1" w:rsidRPr="00151D17">
        <w:rPr>
          <w:b/>
        </w:rPr>
        <w:t>Fig.</w:t>
      </w:r>
      <w:r w:rsidR="008931E1">
        <w:rPr>
          <w:b/>
        </w:rPr>
        <w:t xml:space="preserve"> Classifier metrics as a function of posterior probability threshold for femoral classifiers.</w:t>
      </w:r>
      <w:r w:rsidR="008931E1">
        <w:t xml:space="preserve"> (</w:t>
      </w:r>
      <w:proofErr w:type="gramStart"/>
      <w:r w:rsidR="008931E1">
        <w:t>A,B</w:t>
      </w:r>
      <w:proofErr w:type="gramEnd"/>
      <w:r w:rsidR="008931E1">
        <w:t xml:space="preserve">) Three performance metrics </w:t>
      </w:r>
      <w:r w:rsidR="008931E1">
        <w:rPr>
          <w:i/>
          <w:iCs/>
        </w:rPr>
        <w:t>A</w:t>
      </w:r>
      <w:r w:rsidR="008931E1">
        <w:t xml:space="preserve">, </w:t>
      </w:r>
      <w:r w:rsidR="008931E1">
        <w:rPr>
          <w:i/>
          <w:iCs/>
        </w:rPr>
        <w:t>B</w:t>
      </w:r>
      <w:r w:rsidR="008931E1">
        <w:t xml:space="preserve">, and </w:t>
      </w:r>
      <w:r w:rsidR="008931E1">
        <w:rPr>
          <w:i/>
          <w:iCs/>
        </w:rPr>
        <w:t>MCC</w:t>
      </w:r>
      <w:r w:rsidR="008931E1">
        <w:t xml:space="preserve"> (</w:t>
      </w:r>
      <w:r w:rsidR="00024ABD">
        <w:t>Equation (6)</w:t>
      </w:r>
      <w:r w:rsidR="008931E1">
        <w:t xml:space="preserve">) are plotted as a function of the classification threshold </w:t>
      </w:r>
      <w:proofErr w:type="spellStart"/>
      <w:r w:rsidR="008931E1">
        <w:rPr>
          <w:i/>
          <w:iCs/>
        </w:rPr>
        <w:t>P</w:t>
      </w:r>
      <w:r w:rsidR="008931E1" w:rsidRPr="006A2053">
        <w:rPr>
          <w:vertAlign w:val="subscript"/>
        </w:rPr>
        <w:t>thres</w:t>
      </w:r>
      <w:proofErr w:type="spellEnd"/>
      <w:r w:rsidR="008931E1">
        <w:t xml:space="preserve">. Each colored curve represents the </w:t>
      </w:r>
      <w:r w:rsidR="008931E1">
        <w:rPr>
          <w:i/>
          <w:iCs/>
        </w:rPr>
        <w:t>P</w:t>
      </w:r>
      <w:r w:rsidR="008931E1">
        <w:rPr>
          <w:vertAlign w:val="subscript"/>
        </w:rPr>
        <w:t>2</w:t>
      </w:r>
      <w:r w:rsidR="008931E1">
        <w:t xml:space="preserve"> values from one of 10 different trials of</w:t>
      </w:r>
      <w:r w:rsidR="008931E1" w:rsidRPr="006C7722">
        <w:rPr>
          <w:i/>
          <w:iCs/>
        </w:rPr>
        <w:t xml:space="preserve"> </w:t>
      </w:r>
      <w:r w:rsidR="008931E1">
        <w:rPr>
          <w:i/>
          <w:iCs/>
        </w:rPr>
        <w:t>k</w:t>
      </w:r>
      <w:r w:rsidR="008931E1">
        <w:t> = 10-fold cross-validation of the femoral dataset. (</w:t>
      </w:r>
      <w:proofErr w:type="gramStart"/>
      <w:r w:rsidR="008931E1">
        <w:t>C,D</w:t>
      </w:r>
      <w:proofErr w:type="gramEnd"/>
      <w:r w:rsidR="008931E1">
        <w:t xml:space="preserve">) The maximum accuracy values attained by each of the three metrics are plotted for a value or linear range of </w:t>
      </w:r>
      <w:proofErr w:type="spellStart"/>
      <w:r w:rsidR="008931E1">
        <w:rPr>
          <w:i/>
          <w:iCs/>
        </w:rPr>
        <w:t>P</w:t>
      </w:r>
      <w:r w:rsidR="008931E1" w:rsidRPr="006A2053">
        <w:rPr>
          <w:vertAlign w:val="subscript"/>
        </w:rPr>
        <w:t>thres</w:t>
      </w:r>
      <w:proofErr w:type="spellEnd"/>
      <w:r w:rsidR="008931E1">
        <w:t xml:space="preserve"> values at which the maxima occur. In general, it is not possible to achieve the maximum accuracy or other classification metric by choosing a fixed value of </w:t>
      </w:r>
      <w:proofErr w:type="spellStart"/>
      <w:r w:rsidR="008931E1">
        <w:rPr>
          <w:i/>
          <w:iCs/>
        </w:rPr>
        <w:t>P</w:t>
      </w:r>
      <w:r w:rsidR="008931E1" w:rsidRPr="006A2053">
        <w:rPr>
          <w:vertAlign w:val="subscript"/>
        </w:rPr>
        <w:t>thres</w:t>
      </w:r>
      <w:proofErr w:type="spellEnd"/>
      <w:r w:rsidR="008931E1">
        <w:t xml:space="preserve"> because optimization depends both on the trial curve </w:t>
      </w:r>
      <w:proofErr w:type="gramStart"/>
      <w:r w:rsidR="008931E1">
        <w:t>and also</w:t>
      </w:r>
      <w:proofErr w:type="gramEnd"/>
      <w:r w:rsidR="008931E1">
        <w:t xml:space="preserve"> on the metric used.</w:t>
      </w:r>
    </w:p>
    <w:p w14:paraId="4942FDB0" w14:textId="4337D22A" w:rsidR="008931E1" w:rsidRDefault="008931E1" w:rsidP="008931E1">
      <w:pPr>
        <w:contextualSpacing/>
      </w:pPr>
      <w:r w:rsidRPr="00707DBC">
        <w:lastRenderedPageBreak/>
        <w:t xml:space="preserve">In </w:t>
      </w:r>
      <w:r w:rsidR="000D3F70">
        <w:t>S1</w:t>
      </w:r>
      <w:r w:rsidR="00142B8A">
        <w:t>3</w:t>
      </w:r>
      <w:r>
        <w:t xml:space="preserve">C Fig and </w:t>
      </w:r>
      <w:r w:rsidR="000D3F70">
        <w:t>S1</w:t>
      </w:r>
      <w:r w:rsidR="00142B8A">
        <w:t>3</w:t>
      </w:r>
      <w:r>
        <w:t>D</w:t>
      </w:r>
      <w:r w:rsidRPr="00707DBC">
        <w:t xml:space="preserve"> Fig, the horizontal extent</w:t>
      </w:r>
      <w:r>
        <w:t>s</w:t>
      </w:r>
      <w:r w:rsidRPr="00707DBC">
        <w:t xml:space="preserve"> of the lines indicate the range of values </w:t>
      </w:r>
      <w:proofErr w:type="spellStart"/>
      <w:r w:rsidRPr="00707DBC">
        <w:rPr>
          <w:i/>
          <w:iCs/>
        </w:rPr>
        <w:t>P</w:t>
      </w:r>
      <w:r w:rsidRPr="00707DBC">
        <w:rPr>
          <w:vertAlign w:val="subscript"/>
        </w:rPr>
        <w:t>thres</w:t>
      </w:r>
      <w:proofErr w:type="spellEnd"/>
      <w:r w:rsidRPr="00707DBC">
        <w:t xml:space="preserve"> for which each curve achieves its maximum value. The colors of the lines correspond to the matching curves in the upper panels. </w:t>
      </w:r>
      <w:r w:rsidR="000D3F70">
        <w:t>S13</w:t>
      </w:r>
      <w:r w:rsidR="00F65632" w:rsidRPr="00707DBC">
        <w:t xml:space="preserve"> </w:t>
      </w:r>
      <w:r w:rsidRPr="00707DBC">
        <w:t xml:space="preserve">Fig </w:t>
      </w:r>
      <w:r>
        <w:t>illustrates</w:t>
      </w:r>
      <w:r w:rsidRPr="00707DBC">
        <w:t xml:space="preserve"> the problem inherent in the remark by Fabbri </w:t>
      </w:r>
      <w:r w:rsidRPr="00707DBC">
        <w:rPr>
          <w:i/>
          <w:iCs/>
        </w:rPr>
        <w:t>et al.</w:t>
      </w:r>
      <w:r w:rsidRPr="00707DBC">
        <w:t xml:space="preserve"> that they might need higher values of </w:t>
      </w:r>
      <w:proofErr w:type="spellStart"/>
      <w:r w:rsidRPr="00707DBC">
        <w:rPr>
          <w:i/>
          <w:iCs/>
        </w:rPr>
        <w:t>P</w:t>
      </w:r>
      <w:r w:rsidRPr="00707DBC">
        <w:rPr>
          <w:vertAlign w:val="subscript"/>
        </w:rPr>
        <w:t>thres</w:t>
      </w:r>
      <w:proofErr w:type="spellEnd"/>
      <w:r w:rsidRPr="00707DBC">
        <w:t xml:space="preserve">. Although changing </w:t>
      </w:r>
      <w:proofErr w:type="spellStart"/>
      <w:r w:rsidRPr="00707DBC">
        <w:rPr>
          <w:i/>
          <w:iCs/>
        </w:rPr>
        <w:t>P</w:t>
      </w:r>
      <w:r w:rsidRPr="00707DBC">
        <w:rPr>
          <w:vertAlign w:val="subscript"/>
        </w:rPr>
        <w:t>thres</w:t>
      </w:r>
      <w:proofErr w:type="spellEnd"/>
      <w:r w:rsidRPr="00707DBC">
        <w:t xml:space="preserve"> might help with the classification of an individual test data point, it would also alter the overall classification performance. A higher value of </w:t>
      </w:r>
      <w:proofErr w:type="spellStart"/>
      <w:r w:rsidRPr="00707DBC">
        <w:rPr>
          <w:i/>
          <w:iCs/>
        </w:rPr>
        <w:t>P</w:t>
      </w:r>
      <w:r w:rsidRPr="00707DBC">
        <w:rPr>
          <w:vertAlign w:val="subscript"/>
        </w:rPr>
        <w:t>thres</w:t>
      </w:r>
      <w:proofErr w:type="spellEnd"/>
      <w:r w:rsidRPr="00707DBC">
        <w:rPr>
          <w:vertAlign w:val="subscript"/>
        </w:rPr>
        <w:t xml:space="preserve"> </w:t>
      </w:r>
      <w:r w:rsidRPr="00707DBC">
        <w:t xml:space="preserve">produces fewer false positives (predicting class 2 for a datum that is </w:t>
      </w:r>
      <w:proofErr w:type="gramStart"/>
      <w:r w:rsidRPr="00707DBC">
        <w:t>actually class</w:t>
      </w:r>
      <w:proofErr w:type="gramEnd"/>
      <w:r w:rsidRPr="00707DBC">
        <w:t xml:space="preserve"> 1), but more false negatives (predicting a valid class 2 as class 1). Each of the different cross-validation trial curves achieves its maximum at different values of </w:t>
      </w:r>
      <w:proofErr w:type="spellStart"/>
      <w:r w:rsidRPr="00707DBC">
        <w:rPr>
          <w:i/>
          <w:iCs/>
        </w:rPr>
        <w:t>P</w:t>
      </w:r>
      <w:r w:rsidRPr="00707DBC">
        <w:rPr>
          <w:vertAlign w:val="subscript"/>
        </w:rPr>
        <w:t>thres</w:t>
      </w:r>
      <w:proofErr w:type="spellEnd"/>
      <w:r w:rsidRPr="00707DBC">
        <w:t xml:space="preserve">. </w:t>
      </w:r>
      <w:r w:rsidR="000D3F70">
        <w:t>S14</w:t>
      </w:r>
      <w:r w:rsidR="00F65632" w:rsidRPr="00707DBC">
        <w:t xml:space="preserve"> </w:t>
      </w:r>
      <w:r w:rsidRPr="00707DBC">
        <w:t xml:space="preserve">Fig shows the same </w:t>
      </w:r>
      <w:r>
        <w:t>kind</w:t>
      </w:r>
      <w:r w:rsidRPr="00707DBC">
        <w:t xml:space="preserve"> of curves for pFDA classifiers built from rib training data. The curves are very different from those in </w:t>
      </w:r>
      <w:r w:rsidR="000D3F70">
        <w:t>S13</w:t>
      </w:r>
      <w:r w:rsidR="00F65632" w:rsidRPr="00707DBC">
        <w:t xml:space="preserve"> </w:t>
      </w:r>
      <w:r w:rsidRPr="00707DBC">
        <w:t>Fig.</w:t>
      </w:r>
    </w:p>
    <w:p w14:paraId="2A0B1298" w14:textId="77777777" w:rsidR="008931E1" w:rsidRPr="008931E1" w:rsidRDefault="008931E1" w:rsidP="002D2A6A">
      <w:pPr>
        <w:pStyle w:val="Figure-PLOS"/>
      </w:pPr>
      <w:r w:rsidRPr="008931E1">
        <w:lastRenderedPageBreak/>
        <w:drawing>
          <wp:inline distT="0" distB="0" distL="0" distR="0" wp14:anchorId="3A3CB30C" wp14:editId="45ADA2EF">
            <wp:extent cx="5946140" cy="5946140"/>
            <wp:effectExtent l="0" t="0" r="0" b="0"/>
            <wp:docPr id="1632208736" name="Picture 16322087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08736" name="Picture 1632208736" descr="Diagram&#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6140" cy="5946140"/>
                    </a:xfrm>
                    <a:prstGeom prst="rect">
                      <a:avLst/>
                    </a:prstGeom>
                    <a:noFill/>
                    <a:ln>
                      <a:noFill/>
                    </a:ln>
                  </pic:spPr>
                </pic:pic>
              </a:graphicData>
            </a:graphic>
          </wp:inline>
        </w:drawing>
      </w:r>
    </w:p>
    <w:p w14:paraId="05D519E7" w14:textId="7EBA1A31" w:rsidR="008931E1" w:rsidRDefault="000D3F70" w:rsidP="008931E1">
      <w:pPr>
        <w:pStyle w:val="Figurecaption-PLoS"/>
        <w:rPr>
          <w:b/>
        </w:rPr>
      </w:pPr>
      <w:r>
        <w:rPr>
          <w:b/>
          <w:bCs/>
        </w:rPr>
        <w:t>S14</w:t>
      </w:r>
      <w:r w:rsidR="00F65632" w:rsidRPr="0080393D">
        <w:rPr>
          <w:b/>
          <w:bCs/>
        </w:rPr>
        <w:t xml:space="preserve"> </w:t>
      </w:r>
      <w:r w:rsidR="008931E1" w:rsidRPr="0080393D">
        <w:rPr>
          <w:b/>
          <w:bCs/>
        </w:rPr>
        <w:t>Fig. Classifier metrics as a function of posterior probability threshold for rib classifiers.</w:t>
      </w:r>
      <w:r w:rsidR="008931E1" w:rsidRPr="0063042E">
        <w:t xml:space="preserve"> </w:t>
      </w:r>
      <w:r w:rsidR="008931E1">
        <w:t>(</w:t>
      </w:r>
      <w:proofErr w:type="gramStart"/>
      <w:r w:rsidR="008931E1">
        <w:t>A,B</w:t>
      </w:r>
      <w:proofErr w:type="gramEnd"/>
      <w:r w:rsidR="008931E1">
        <w:t xml:space="preserve">) </w:t>
      </w:r>
      <w:r w:rsidR="008931E1" w:rsidRPr="0063042E">
        <w:t xml:space="preserve">The three performance metrics from </w:t>
      </w:r>
      <w:r w:rsidR="00024ABD">
        <w:t>Equation (6)</w:t>
      </w:r>
      <w:r w:rsidR="008931E1" w:rsidRPr="0063042E">
        <w:t xml:space="preserve"> are plotted as a function of the classification threshold </w:t>
      </w:r>
      <w:proofErr w:type="spellStart"/>
      <w:r w:rsidR="008931E1" w:rsidRPr="0063042E">
        <w:rPr>
          <w:i/>
          <w:iCs/>
        </w:rPr>
        <w:t>P</w:t>
      </w:r>
      <w:r w:rsidR="008931E1" w:rsidRPr="0063042E">
        <w:rPr>
          <w:vertAlign w:val="subscript"/>
        </w:rPr>
        <w:t>thres</w:t>
      </w:r>
      <w:proofErr w:type="spellEnd"/>
      <w:r w:rsidR="008931E1" w:rsidRPr="0063042E">
        <w:t xml:space="preserve">. Each colored line is based on the </w:t>
      </w:r>
      <w:r w:rsidR="008931E1" w:rsidRPr="0063042E">
        <w:rPr>
          <w:i/>
          <w:iCs/>
        </w:rPr>
        <w:t>P</w:t>
      </w:r>
      <w:r w:rsidR="008931E1" w:rsidRPr="0063042E">
        <w:rPr>
          <w:vertAlign w:val="subscript"/>
        </w:rPr>
        <w:t>2</w:t>
      </w:r>
      <w:r w:rsidR="008931E1" w:rsidRPr="0063042E">
        <w:t xml:space="preserve"> values from a single trial of </w:t>
      </w:r>
      <w:r w:rsidR="008931E1" w:rsidRPr="0063042E">
        <w:rPr>
          <w:i/>
          <w:iCs/>
        </w:rPr>
        <w:t>k</w:t>
      </w:r>
      <w:r w:rsidR="008931E1">
        <w:t> = </w:t>
      </w:r>
      <w:r w:rsidR="008931E1" w:rsidRPr="0063042E">
        <w:t xml:space="preserve">10-fold cross-validation of the femoral dataset; there are 10 such trials plotted. </w:t>
      </w:r>
      <w:r w:rsidR="008931E1">
        <w:t>(</w:t>
      </w:r>
      <w:proofErr w:type="gramStart"/>
      <w:r w:rsidR="008931E1">
        <w:t>C,D</w:t>
      </w:r>
      <w:proofErr w:type="gramEnd"/>
      <w:r w:rsidR="008931E1">
        <w:t>)</w:t>
      </w:r>
      <w:r w:rsidR="008931E1" w:rsidRPr="0063042E">
        <w:t xml:space="preserve"> </w:t>
      </w:r>
      <w:r w:rsidR="008931E1">
        <w:t>P</w:t>
      </w:r>
      <w:r w:rsidR="008931E1" w:rsidRPr="0063042E">
        <w:t xml:space="preserve">lots </w:t>
      </w:r>
      <w:r w:rsidR="008931E1">
        <w:t xml:space="preserve">show </w:t>
      </w:r>
      <w:r w:rsidR="008931E1" w:rsidRPr="0063042E">
        <w:t xml:space="preserve">the location of the maximum values attained by each of the three metrics. The maximum value may be obtained for a single point, or for a linear range of </w:t>
      </w:r>
      <w:proofErr w:type="spellStart"/>
      <w:r w:rsidR="008931E1" w:rsidRPr="0063042E">
        <w:rPr>
          <w:i/>
          <w:iCs/>
        </w:rPr>
        <w:t>P</w:t>
      </w:r>
      <w:r w:rsidR="008931E1" w:rsidRPr="0063042E">
        <w:rPr>
          <w:vertAlign w:val="subscript"/>
        </w:rPr>
        <w:t>thres</w:t>
      </w:r>
      <w:proofErr w:type="spellEnd"/>
      <w:r w:rsidR="008931E1" w:rsidRPr="0063042E">
        <w:t xml:space="preserve"> values.</w:t>
      </w:r>
    </w:p>
    <w:p w14:paraId="5B4F6DBC" w14:textId="36A59909" w:rsidR="008931E1" w:rsidRPr="00707DBC" w:rsidRDefault="000D3F70" w:rsidP="008931E1">
      <w:pPr>
        <w:contextualSpacing/>
      </w:pPr>
      <w:r>
        <w:lastRenderedPageBreak/>
        <w:t>S13</w:t>
      </w:r>
      <w:r w:rsidR="00F65632" w:rsidRPr="00707DBC">
        <w:t xml:space="preserve"> </w:t>
      </w:r>
      <w:r w:rsidR="008931E1" w:rsidRPr="00707DBC">
        <w:t xml:space="preserve">Fig and </w:t>
      </w:r>
      <w:r>
        <w:t>S14</w:t>
      </w:r>
      <w:r w:rsidR="00F65632" w:rsidRPr="00707DBC">
        <w:t xml:space="preserve"> </w:t>
      </w:r>
      <w:r w:rsidR="008931E1" w:rsidRPr="00707DBC">
        <w:t xml:space="preserve">Fig show that obtaining optimum performance for the classifiers is quite complex, not a simple matter of moving from </w:t>
      </w:r>
      <w:proofErr w:type="spellStart"/>
      <w:r w:rsidR="008931E1" w:rsidRPr="00707DBC">
        <w:rPr>
          <w:i/>
          <w:iCs/>
        </w:rPr>
        <w:t>P</w:t>
      </w:r>
      <w:r w:rsidR="008931E1" w:rsidRPr="00707DBC">
        <w:rPr>
          <w:vertAlign w:val="subscript"/>
        </w:rPr>
        <w:t>thres</w:t>
      </w:r>
      <w:proofErr w:type="spellEnd"/>
      <w:r w:rsidR="008931E1">
        <w:t> = </w:t>
      </w:r>
      <w:r w:rsidR="008931E1" w:rsidRPr="006D2DC4">
        <w:t xml:space="preserve">0.5 to </w:t>
      </w:r>
      <w:proofErr w:type="spellStart"/>
      <w:r w:rsidR="008931E1" w:rsidRPr="00707DBC">
        <w:rPr>
          <w:i/>
          <w:iCs/>
        </w:rPr>
        <w:t>P</w:t>
      </w:r>
      <w:r w:rsidR="008931E1" w:rsidRPr="00707DBC">
        <w:rPr>
          <w:vertAlign w:val="subscript"/>
        </w:rPr>
        <w:t>thres</w:t>
      </w:r>
      <w:proofErr w:type="spellEnd"/>
      <w:r w:rsidR="008931E1">
        <w:t> = </w:t>
      </w:r>
      <w:r w:rsidR="008931E1" w:rsidRPr="006D2DC4">
        <w:t>0.8. The maxima</w:t>
      </w:r>
      <w:r w:rsidR="008931E1" w:rsidRPr="00707DBC">
        <w:t xml:space="preserve"> </w:t>
      </w:r>
      <w:proofErr w:type="gramStart"/>
      <w:r w:rsidR="008931E1" w:rsidRPr="00707DBC">
        <w:t>is</w:t>
      </w:r>
      <w:proofErr w:type="gramEnd"/>
      <w:r w:rsidR="008931E1" w:rsidRPr="00707DBC">
        <w:t xml:space="preserve"> highly dependent on the data set and the value of </w:t>
      </w:r>
      <w:proofErr w:type="spellStart"/>
      <w:r w:rsidR="008931E1" w:rsidRPr="00707DBC">
        <w:rPr>
          <w:i/>
          <w:iCs/>
        </w:rPr>
        <w:t>P</w:t>
      </w:r>
      <w:r w:rsidR="008931E1" w:rsidRPr="00707DBC">
        <w:rPr>
          <w:vertAlign w:val="subscript"/>
        </w:rPr>
        <w:t>thres</w:t>
      </w:r>
      <w:proofErr w:type="spellEnd"/>
      <w:r w:rsidR="008931E1" w:rsidRPr="00707DBC">
        <w:t xml:space="preserve">. It even varies from one random </w:t>
      </w:r>
      <w:r w:rsidR="008931E1" w:rsidRPr="00707DBC">
        <w:rPr>
          <w:i/>
          <w:iCs/>
        </w:rPr>
        <w:t>k</w:t>
      </w:r>
      <w:r w:rsidR="008931E1" w:rsidRPr="00707DBC">
        <w:t>-fold cross-validation trial to the next.</w:t>
      </w:r>
    </w:p>
    <w:p w14:paraId="1131B5B1" w14:textId="07C94F3A" w:rsidR="008931E1" w:rsidRPr="00707DBC" w:rsidRDefault="008931E1" w:rsidP="008931E1">
      <w:pPr>
        <w:contextualSpacing/>
      </w:pPr>
      <w:r w:rsidRPr="00707DBC">
        <w:t xml:space="preserve">Fabbri </w:t>
      </w:r>
      <w:r w:rsidRPr="00707DBC">
        <w:rPr>
          <w:i/>
          <w:iCs/>
        </w:rPr>
        <w:t>et al.</w:t>
      </w:r>
      <w:r w:rsidRPr="00707DBC">
        <w:t xml:space="preserve"> suggest that it may be necessary to have </w:t>
      </w:r>
      <w:proofErr w:type="spellStart"/>
      <w:r w:rsidRPr="00707DBC">
        <w:rPr>
          <w:i/>
          <w:iCs/>
        </w:rPr>
        <w:t>P</w:t>
      </w:r>
      <w:r w:rsidRPr="00707DBC">
        <w:rPr>
          <w:vertAlign w:val="subscript"/>
        </w:rPr>
        <w:t>thres</w:t>
      </w:r>
      <w:proofErr w:type="spellEnd"/>
      <w:r>
        <w:t xml:space="preserve"> </w:t>
      </w:r>
      <w:r w:rsidRPr="006D2DC4">
        <w:t>≥</w:t>
      </w:r>
      <w:r>
        <w:t xml:space="preserve"> </w:t>
      </w:r>
      <w:r w:rsidRPr="006D2DC4">
        <w:t>0.8</w:t>
      </w:r>
      <w:r w:rsidRPr="00707DBC">
        <w:t xml:space="preserve">, but that is not true for any of the cases examined. Femoral (dataset ds1) training data classifiers generally achieve maxima for accuracy for </w:t>
      </w:r>
      <w:proofErr w:type="spellStart"/>
      <w:r w:rsidRPr="00707DBC">
        <w:rPr>
          <w:i/>
          <w:iCs/>
        </w:rPr>
        <w:t>P</w:t>
      </w:r>
      <w:r w:rsidRPr="00707DBC">
        <w:rPr>
          <w:vertAlign w:val="subscript"/>
        </w:rPr>
        <w:t>thres</w:t>
      </w:r>
      <w:proofErr w:type="spellEnd"/>
      <w:r>
        <w:t xml:space="preserve"> </w:t>
      </w:r>
      <w:r w:rsidRPr="006D2DC4">
        <w:t>&gt;</w:t>
      </w:r>
      <w:r>
        <w:t xml:space="preserve"> </w:t>
      </w:r>
      <w:r w:rsidRPr="006D2DC4">
        <w:t>0.5, but the exact value differs between trials</w:t>
      </w:r>
      <w:r w:rsidRPr="00707DBC">
        <w:t xml:space="preserve"> (</w:t>
      </w:r>
      <w:r w:rsidR="000D3F70">
        <w:t>S1</w:t>
      </w:r>
      <w:r w:rsidR="00142B8A">
        <w:t>3</w:t>
      </w:r>
      <w:r w:rsidRPr="00707DBC">
        <w:t xml:space="preserve"> Fig). </w:t>
      </w:r>
      <w:r>
        <w:t xml:space="preserve">Whereas </w:t>
      </w:r>
      <w:r w:rsidRPr="00707DBC">
        <w:t xml:space="preserve">balanced accuracy (ds1) has no maxima for </w:t>
      </w:r>
      <w:proofErr w:type="spellStart"/>
      <w:r w:rsidRPr="00707DBC">
        <w:rPr>
          <w:i/>
          <w:iCs/>
        </w:rPr>
        <w:t>P</w:t>
      </w:r>
      <w:r w:rsidRPr="00707DBC">
        <w:rPr>
          <w:vertAlign w:val="subscript"/>
        </w:rPr>
        <w:t>thres</w:t>
      </w:r>
      <w:proofErr w:type="spellEnd"/>
      <w:r>
        <w:t xml:space="preserve"> </w:t>
      </w:r>
      <w:r w:rsidRPr="006D2DC4">
        <w:t>&gt;</w:t>
      </w:r>
      <w:r>
        <w:t xml:space="preserve"> </w:t>
      </w:r>
      <w:r w:rsidRPr="006D2DC4">
        <w:t>0.8</w:t>
      </w:r>
      <w:r>
        <w:t>,</w:t>
      </w:r>
      <w:r w:rsidRPr="006D2DC4">
        <w:t xml:space="preserve"> </w:t>
      </w:r>
      <w:r>
        <w:t>t</w:t>
      </w:r>
      <w:r w:rsidRPr="00707DBC">
        <w:t xml:space="preserve">he Matthews correlation coefficient has maxima for several curves near </w:t>
      </w:r>
      <w:proofErr w:type="spellStart"/>
      <w:r w:rsidRPr="00707DBC">
        <w:rPr>
          <w:i/>
          <w:iCs/>
        </w:rPr>
        <w:t>P</w:t>
      </w:r>
      <w:r w:rsidRPr="00707DBC">
        <w:rPr>
          <w:vertAlign w:val="subscript"/>
        </w:rPr>
        <w:t>thres</w:t>
      </w:r>
      <w:proofErr w:type="spellEnd"/>
      <w:r>
        <w:t xml:space="preserve"> </w:t>
      </w:r>
      <w:r w:rsidRPr="006D2DC4">
        <w:t>≈</w:t>
      </w:r>
      <w:r>
        <w:t xml:space="preserve"> </w:t>
      </w:r>
      <w:r w:rsidRPr="006D2DC4">
        <w:t>0.9</w:t>
      </w:r>
      <w:r>
        <w:t xml:space="preserve"> (</w:t>
      </w:r>
      <w:r w:rsidR="000D3F70">
        <w:t>S13</w:t>
      </w:r>
      <w:r w:rsidR="00F65632">
        <w:t xml:space="preserve">B </w:t>
      </w:r>
      <w:r>
        <w:t>Fig)</w:t>
      </w:r>
      <w:r w:rsidRPr="006D2DC4">
        <w:t>.</w:t>
      </w:r>
    </w:p>
    <w:p w14:paraId="3B140C76" w14:textId="33F0B82D" w:rsidR="008931E1" w:rsidRPr="00707DBC" w:rsidRDefault="008931E1" w:rsidP="008931E1">
      <w:pPr>
        <w:contextualSpacing/>
      </w:pPr>
      <w:r w:rsidRPr="00707DBC">
        <w:t xml:space="preserve">The rib data classifier is almost entirely different—none of the metrics achieves a maximum for </w:t>
      </w:r>
      <w:proofErr w:type="spellStart"/>
      <w:r w:rsidRPr="00707DBC">
        <w:rPr>
          <w:i/>
          <w:iCs/>
        </w:rPr>
        <w:t>P</w:t>
      </w:r>
      <w:r w:rsidRPr="00707DBC">
        <w:rPr>
          <w:vertAlign w:val="subscript"/>
        </w:rPr>
        <w:t>thres</w:t>
      </w:r>
      <w:proofErr w:type="spellEnd"/>
      <w:r>
        <w:t xml:space="preserve"> </w:t>
      </w:r>
      <w:r w:rsidRPr="006D2DC4">
        <w:t>&gt;</w:t>
      </w:r>
      <w:r>
        <w:t xml:space="preserve"> </w:t>
      </w:r>
      <w:r w:rsidRPr="006D2DC4">
        <w:t>0.6; increasing the threshold above that value seriousl</w:t>
      </w:r>
      <w:r w:rsidRPr="00707DBC">
        <w:t>y reduces performance (</w:t>
      </w:r>
      <w:r w:rsidR="000D3F70">
        <w:t>S1</w:t>
      </w:r>
      <w:r w:rsidR="00142B8A">
        <w:t>4</w:t>
      </w:r>
      <w:r w:rsidR="00F65632" w:rsidRPr="00707DBC">
        <w:t xml:space="preserve"> </w:t>
      </w:r>
      <w:r w:rsidRPr="00707DBC">
        <w:t xml:space="preserve">Fig). At </w:t>
      </w:r>
      <w:proofErr w:type="spellStart"/>
      <w:r w:rsidRPr="00707DBC">
        <w:rPr>
          <w:i/>
          <w:iCs/>
        </w:rPr>
        <w:t>P</w:t>
      </w:r>
      <w:r w:rsidRPr="00707DBC">
        <w:rPr>
          <w:vertAlign w:val="subscript"/>
        </w:rPr>
        <w:t>thres</w:t>
      </w:r>
      <w:proofErr w:type="spellEnd"/>
      <w:r>
        <w:t> = </w:t>
      </w:r>
      <w:r w:rsidRPr="006D2DC4">
        <w:t>1</w:t>
      </w:r>
      <w:r w:rsidRPr="00707DBC">
        <w:t>, balanced accuracy</w:t>
      </w:r>
      <w:r w:rsidRPr="00707DBC">
        <w:rPr>
          <w:i/>
          <w:iCs/>
        </w:rPr>
        <w:t xml:space="preserve"> </w:t>
      </w:r>
      <w:r w:rsidRPr="00707DBC">
        <w:t xml:space="preserve">and </w:t>
      </w:r>
      <w:proofErr w:type="gramStart"/>
      <w:r w:rsidRPr="00707DBC">
        <w:t>Matthews</w:t>
      </w:r>
      <w:proofErr w:type="gramEnd"/>
      <w:r w:rsidRPr="00707DBC">
        <w:t xml:space="preserve"> correlation coefficient have values no better than random guessing.</w:t>
      </w:r>
    </w:p>
    <w:p w14:paraId="0B2ED773" w14:textId="73530BAD" w:rsidR="008931E1" w:rsidRDefault="008931E1" w:rsidP="002D2A6A">
      <w:pPr>
        <w:rPr>
          <w:sz w:val="20"/>
        </w:rPr>
      </w:pPr>
      <w:r w:rsidRPr="00707DBC">
        <w:t xml:space="preserve">The ROC curves and specific metric curves demonstrates that classifier performance is a nonlinear effect that can be counterintuitive. Increasing the value of </w:t>
      </w:r>
      <w:proofErr w:type="spellStart"/>
      <w:r w:rsidRPr="00707DBC">
        <w:rPr>
          <w:i/>
          <w:iCs/>
        </w:rPr>
        <w:t>P</w:t>
      </w:r>
      <w:r w:rsidRPr="00707DBC">
        <w:rPr>
          <w:vertAlign w:val="subscript"/>
        </w:rPr>
        <w:t>thres</w:t>
      </w:r>
      <w:proofErr w:type="spellEnd"/>
      <w:r w:rsidRPr="00707DBC">
        <w:t xml:space="preserve"> might seem like a way to improve classifications, but in general it is not. The results here are for </w:t>
      </w:r>
      <w:r w:rsidRPr="00707DBC">
        <w:rPr>
          <w:i/>
          <w:iCs/>
        </w:rPr>
        <w:t>k</w:t>
      </w:r>
      <w:r>
        <w:t> = </w:t>
      </w:r>
      <w:r w:rsidRPr="006D2DC4">
        <w:t xml:space="preserve">10-fold cross-validation, but qualitatively similar complexity exists for other values of </w:t>
      </w:r>
      <w:r w:rsidRPr="00707DBC">
        <w:rPr>
          <w:i/>
          <w:iCs/>
        </w:rPr>
        <w:t>k</w:t>
      </w:r>
      <w:r w:rsidRPr="00707DBC">
        <w:t>, as well as for LOOCV and for other performance metrics.</w:t>
      </w:r>
    </w:p>
    <w:p w14:paraId="1F0BFC52" w14:textId="69A429D7" w:rsidR="008931E1" w:rsidRPr="00634ACB" w:rsidRDefault="00C64FE4" w:rsidP="008931E1">
      <w:pPr>
        <w:pStyle w:val="Heading2-PLoS"/>
        <w:numPr>
          <w:ilvl w:val="0"/>
          <w:numId w:val="19"/>
        </w:numPr>
        <w:ind w:left="0" w:firstLine="0"/>
      </w:pPr>
      <w:bookmarkStart w:id="2" w:name="_Hlk126072169"/>
      <w:r>
        <w:rPr>
          <w:i/>
          <w:iCs/>
        </w:rPr>
        <w:t>P</w:t>
      </w:r>
      <w:r>
        <w:t xml:space="preserve"> </w:t>
      </w:r>
      <w:r w:rsidR="008931E1" w:rsidRPr="00634ACB">
        <w:t xml:space="preserve">values and the </w:t>
      </w:r>
      <w:r w:rsidR="008931E1" w:rsidRPr="00CE43D7">
        <w:rPr>
          <w:i/>
          <w:iCs/>
        </w:rPr>
        <w:t>p</w:t>
      </w:r>
      <w:r w:rsidR="008931E1" w:rsidRPr="00634ACB">
        <w:t xml:space="preserve"> &lt; 0.05 threshold</w:t>
      </w:r>
      <w:bookmarkEnd w:id="2"/>
    </w:p>
    <w:p w14:paraId="29DB8957" w14:textId="087D56B1" w:rsidR="008931E1" w:rsidRDefault="008931E1" w:rsidP="008931E1">
      <w:pPr>
        <w:contextualSpacing/>
      </w:pPr>
      <w:r>
        <w:t xml:space="preserve">There has been an ongoing debate about the role of </w:t>
      </w:r>
      <w:r w:rsidR="00C64FE4">
        <w:rPr>
          <w:i/>
          <w:iCs/>
        </w:rPr>
        <w:t>P</w:t>
      </w:r>
      <w:r w:rsidR="00C64FE4">
        <w:t xml:space="preserve"> </w:t>
      </w:r>
      <w:r>
        <w:t xml:space="preserve">values and the choice of </w:t>
      </w:r>
      <w:r w:rsidR="00C64FE4" w:rsidRPr="0015267B">
        <w:rPr>
          <w:i/>
          <w:iCs/>
        </w:rPr>
        <w:t>α</w:t>
      </w:r>
      <w:r>
        <w:t xml:space="preserve"> = 0.05 in scientific research. Discussion has focused on several problematic issues, including inability to replicate results </w:t>
      </w:r>
      <w:r>
        <w:fldChar w:fldCharType="begin"/>
      </w:r>
      <w:r w:rsidR="00937347">
        <w:instrText xml:space="preserve"> ADDIN ZOTERO_ITEM CSL_CITATION {"citationID":"uzszOT5x","properties":{"formattedCitation":"[9]","plainCitation":"[9]","noteIndex":0},"citationItems":[{"id":39930,"uris":["http://zotero.org/groups/2718895/items/E6822TCN"],"itemData":{"id":39930,"type":"article-journal","container-title":"Nature Methods","DOI":"10.1038/nmeth.3288","ISSN":"1548-7091, 1548-7105","issue":"3","journalAbbreviation":"Nat Methods","language":"en","page":"179-185","source":"DOI.org (Crossref)","title":"The fickle &lt;i&gt;P&lt;/i&gt; value generates irreproducible results","volume":"12","author":[{"family":"Halsey","given":"Lewis G"},{"family":"Curran-Everett","given":"Douglas"},{"family":"Vowler","given":"Sarah L"},{"family":"Drummond","given":"Gordon B"}],"issued":{"date-parts":[["2015",3]]}}}],"schema":"https://github.com/citation-style-language/schema/raw/master/csl-citation.json"} </w:instrText>
      </w:r>
      <w:r>
        <w:fldChar w:fldCharType="separate"/>
      </w:r>
      <w:r w:rsidR="00B84200">
        <w:t>[9]</w:t>
      </w:r>
      <w:r>
        <w:fldChar w:fldCharType="end"/>
      </w:r>
      <w:r>
        <w:t xml:space="preserve"> and strong incentives to find “significant” effects that lead to “</w:t>
      </w:r>
      <w:r w:rsidR="00C64FE4">
        <w:rPr>
          <w:i/>
          <w:iCs/>
        </w:rPr>
        <w:t>P</w:t>
      </w:r>
      <w:r w:rsidR="00C64FE4">
        <w:t xml:space="preserve"> </w:t>
      </w:r>
      <w:r>
        <w:t xml:space="preserve">hacking” and other kinds of data manipulation </w:t>
      </w:r>
      <w:r>
        <w:fldChar w:fldCharType="begin"/>
      </w:r>
      <w:r w:rsidR="00937347">
        <w:instrText xml:space="preserve"> ADDIN ZOTERO_ITEM CSL_CITATION {"citationID":"aoauetkpoa","properties":{"formattedCitation":"[10]","plainCitation":"[10]","noteIndex":0},"citationItems":[{"id":39749,"uris":["http://zotero.org/groups/2718895/items/J38QAW49"],"itemData":{"id":39749,"type":"article-journal","container-title":"PLOS Biology","DOI":"10.1371/journal.pbio.1002106","ISSN":"1545-7885","issue":"3","journalAbbreviation":"PLoS Biol","language":"en","page":"e1002106","source":"DOI.org (Crossref)","title":"The extent and consequences of &lt;i&gt;p&lt;/i&gt;-hacking in science","volume":"13","author":[{"family":"Head","given":"Megan L."},{"family":"Holman","given":"Luke"},{"family":"Lanfear","given":"Rob"},{"family":"Kahn","given":"Andrew T."},{"family":"Jennions","given":"Michael D."}],"issued":{"date-parts":[["2015",3,13]]}}}],"schema":"https://github.com/citation-style-language/schema/raw/master/csl-citation.json"} </w:instrText>
      </w:r>
      <w:r>
        <w:fldChar w:fldCharType="separate"/>
      </w:r>
      <w:r w:rsidR="00B84200">
        <w:t>[10]</w:t>
      </w:r>
      <w:r>
        <w:fldChar w:fldCharType="end"/>
      </w:r>
      <w:r>
        <w:t xml:space="preserve">. A common criticism among statisticians is that </w:t>
      </w:r>
      <w:r w:rsidR="00C64FE4">
        <w:rPr>
          <w:i/>
          <w:iCs/>
        </w:rPr>
        <w:t>P</w:t>
      </w:r>
      <w:r w:rsidR="00C64FE4">
        <w:t xml:space="preserve"> </w:t>
      </w:r>
      <w:r>
        <w:t xml:space="preserve">value, by itself, does not completely capture the nature of the statistical results. Effect size is also important; a “significant” effect that is very small may not be very important </w:t>
      </w:r>
      <w:r>
        <w:fldChar w:fldCharType="begin"/>
      </w:r>
      <w:r w:rsidR="00937347">
        <w:instrText xml:space="preserve"> ADDIN ZOTERO_ITEM CSL_CITATION {"citationID":"a20i9sa04c7","properties":{"formattedCitation":"[11]","plainCitation":"[11]","noteIndex":0},"citationItems":[{"id":39750,"uris":["http://zotero.org/groups/2718895/items/TTWW9LI4"],"itemData":{"id":39750,"type":"article-journal","container-title":"EJIFCC","ISSN":"1650-3414","issue":"1","journalAbbreviation":"EJIFCC","language":"eng","note":"PMID: 27683404\nPMCID: PMC4975211","page":"19-23","source":"PubMed","title":"The effect size: beyond statistical significance","title-short":"The Effect Size","volume":"23","author":[{"family":"Cano-Corres","given":"Ruth"},{"family":"Sánchez-Álvarez","given":"Javier"},{"family":"Fuentes-Arderiu","given":"Xavier"}],"issued":{"date-parts":[["2012",4]]}}}],"schema":"https://github.com/citation-style-language/schema/raw/master/csl-citation.json"} </w:instrText>
      </w:r>
      <w:r>
        <w:fldChar w:fldCharType="separate"/>
      </w:r>
      <w:r w:rsidR="00B84200">
        <w:t>[11]</w:t>
      </w:r>
      <w:r>
        <w:fldChar w:fldCharType="end"/>
      </w:r>
      <w:r>
        <w:t>.</w:t>
      </w:r>
    </w:p>
    <w:p w14:paraId="6630A73E" w14:textId="4FFE4B26" w:rsidR="008931E1" w:rsidRDefault="008931E1" w:rsidP="008931E1">
      <w:pPr>
        <w:contextualSpacing/>
      </w:pPr>
      <w:r>
        <w:t xml:space="preserve">Fabbri </w:t>
      </w:r>
      <w:r w:rsidRPr="001232CE">
        <w:rPr>
          <w:i/>
          <w:iCs/>
        </w:rPr>
        <w:t>et al.</w:t>
      </w:r>
      <w:r>
        <w:t xml:space="preserve"> provide a good example of this latter issue in their PGLS regression of bone compactness versus their categorical variable </w:t>
      </w:r>
      <w:r>
        <w:rPr>
          <w:i/>
          <w:iCs/>
        </w:rPr>
        <w:t>D</w:t>
      </w:r>
      <w:r>
        <w:t xml:space="preserve">. They follow the normal practice of using </w:t>
      </w:r>
      <w:r w:rsidR="00C64FE4">
        <w:rPr>
          <w:i/>
          <w:iCs/>
        </w:rPr>
        <w:t>P</w:t>
      </w:r>
      <w:r w:rsidR="00C64FE4">
        <w:t> </w:t>
      </w:r>
      <w:r>
        <w:t xml:space="preserve">&lt; 0.05 as their significance threshold. Yet the actual effect size they find in the regression is remarkably low, with </w:t>
      </w:r>
      <w:r>
        <w:rPr>
          <w:i/>
          <w:iCs/>
        </w:rPr>
        <w:t>R</w:t>
      </w:r>
      <w:r>
        <w:rPr>
          <w:vertAlign w:val="superscript"/>
        </w:rPr>
        <w:t>2</w:t>
      </w:r>
      <w:r>
        <w:t xml:space="preserve"> = 0.178 for femoral data and </w:t>
      </w:r>
      <w:r>
        <w:rPr>
          <w:i/>
          <w:iCs/>
        </w:rPr>
        <w:t>R</w:t>
      </w:r>
      <w:r>
        <w:rPr>
          <w:vertAlign w:val="superscript"/>
        </w:rPr>
        <w:t>2</w:t>
      </w:r>
      <w:r>
        <w:t xml:space="preserve"> = 0.108 for rib data. These values </w:t>
      </w:r>
      <w:r>
        <w:lastRenderedPageBreak/>
        <w:t xml:space="preserve">indicate that the correlation between </w:t>
      </w:r>
      <w:r w:rsidRPr="00EF008C">
        <w:rPr>
          <w:i/>
        </w:rPr>
        <w:t>Cg</w:t>
      </w:r>
      <w:r>
        <w:t xml:space="preserve"> and the categorical variable </w:t>
      </w:r>
      <w:r>
        <w:rPr>
          <w:i/>
          <w:iCs/>
        </w:rPr>
        <w:t xml:space="preserve">D, </w:t>
      </w:r>
      <w:r>
        <w:t>even if it is statistically significant, explains just 11% to 18% of the variation across the dataset.</w:t>
      </w:r>
    </w:p>
    <w:p w14:paraId="738CF127" w14:textId="381F72BD" w:rsidR="008931E1" w:rsidRDefault="008931E1" w:rsidP="008931E1">
      <w:pPr>
        <w:contextualSpacing/>
      </w:pPr>
      <w:r>
        <w:t xml:space="preserve">The debate about appropriate values of the threshold </w:t>
      </w:r>
      <w:r w:rsidR="00817A27" w:rsidRPr="0015267B">
        <w:rPr>
          <w:i/>
          <w:iCs/>
        </w:rPr>
        <w:t>α</w:t>
      </w:r>
      <w:r>
        <w:t xml:space="preserve"> has primarily been focused on </w:t>
      </w:r>
      <w:r w:rsidRPr="00383D98">
        <w:rPr>
          <w:i/>
          <w:iCs/>
        </w:rPr>
        <w:t>lowering</w:t>
      </w:r>
      <w:r>
        <w:t xml:space="preserve"> the threshold to </w:t>
      </w:r>
      <w:r w:rsidR="00817A27" w:rsidRPr="0015267B">
        <w:rPr>
          <w:i/>
          <w:iCs/>
        </w:rPr>
        <w:t>α</w:t>
      </w:r>
      <w:r>
        <w:t xml:space="preserve"> = 0.01 </w:t>
      </w:r>
      <w:r>
        <w:fldChar w:fldCharType="begin"/>
      </w:r>
      <w:r w:rsidR="00937347">
        <w:instrText xml:space="preserve"> ADDIN ZOTERO_ITEM CSL_CITATION {"citationID":"a2k0tej0vov","properties":{"formattedCitation":"[12]","plainCitation":"[12]","noteIndex":0},"citationItems":[{"id":39748,"uris":["http://zotero.org/groups/2718895/items/YVT9HUUZ"],"itemData":{"id":39748,"type":"article-journal","container-title":"Biomedical Journal of Scientific &amp; Technical Research","DOI":"10.26717/BJSTR.2018.06.001359","ISSN":"25741241","issue":"3","journalAbbreviation":"BJSTR","source":"DOI.org (Crossref)","title":"What &lt;i&gt;p&lt;/i&gt;-value must be used as the statistical significance threshold? &lt;i&gt;P&lt;/i&gt;≤0.005, &lt;i&gt;P&lt;/i&gt;≤0.01, &lt;i&gt;P&lt;/i&gt;≤0.05, or no value at all?","title-short":"What p-value must be used as the Statistical Significance Threshold?","URL":"https://biomedres.us/fulltexts/BJSTR.MS.ID.001359.php","volume":"6","author":[{"family":"Cesana","given":"Bruno Mario"}],"accessed":{"date-parts":[["2022",9,21]]},"issued":{"date-parts":[["2018",7,6]]}}}],"schema":"https://github.com/citation-style-language/schema/raw/master/csl-citation.json"} </w:instrText>
      </w:r>
      <w:r>
        <w:fldChar w:fldCharType="separate"/>
      </w:r>
      <w:r w:rsidR="00B84200">
        <w:t>[12]</w:t>
      </w:r>
      <w:r>
        <w:fldChar w:fldCharType="end"/>
      </w:r>
      <w:r>
        <w:t xml:space="preserve"> or </w:t>
      </w:r>
      <w:r w:rsidR="00817A27" w:rsidRPr="00653CB5">
        <w:rPr>
          <w:i/>
          <w:iCs/>
        </w:rPr>
        <w:t>α</w:t>
      </w:r>
      <w:r>
        <w:t xml:space="preserve"> = 0.005 </w:t>
      </w:r>
      <w:r>
        <w:fldChar w:fldCharType="begin"/>
      </w:r>
      <w:r w:rsidR="00937347">
        <w:instrText xml:space="preserve"> ADDIN ZOTERO_ITEM CSL_CITATION {"citationID":"a27isbasp9m","properties":{"formattedCitation":"[13,14]","plainCitation":"[13,14]","noteIndex":0},"citationItems":[{"id":39747,"uris":["http://zotero.org/groups/2718895/items/SNM7U7BE"],"itemData":{"id":39747,"type":"article-journal","container-title":"Nature Human Behaviour","DOI":"10.1038/s41562-017-0189-z","ISSN":"2397-3374","issue":"1","journalAbbreviation":"Nat Hum Behav","language":"en","page":"6-10","source":"DOI.org (Crossref)","title":"Redefine statistical significance","volume":"2","author":[{"family":"Benjamin","given":"Daniel J."},{"family":"Berger","given":"James O."},{"family":"Johannesson","given":"Magnus"},{"family":"Nosek","given":"Brian A."},{"family":"Wagenmakers","given":"E.-J."},{"family":"Berk","given":"Richard"},{"family":"Bollen","given":"Kenneth A."},{"family":"Brembs","given":"Björn"},{"family":"Brown","given":"Lawrence"},{"family":"Camerer","given":"Colin"},{"family":"Cesarini","given":"David"},{"family":"Chambers","given":"Christopher D."},{"family":"Clyde","given":"Merlise"},{"family":"Cook","given":"Thomas D."},{"family":"De Boeck","given":"Paul"},{"family":"Dienes","given":"Zoltan"},{"family":"Dreber","given":"Anna"},{"family":"Easwaran","given":"Kenny"},{"family":"Efferson","given":"Charles"},{"family":"Fehr","given":"Ernst"},{"family":"Fidler","given":"Fiona"},{"family":"Field","given":"Andy P."},{"family":"Forster","given":"Malcolm"},{"family":"George","given":"Edward I."},{"family":"Gonzalez","given":"Richard"},{"family":"Goodman","given":"Steven"},{"family":"Green","given":"Edwin"},{"family":"Green","given":"Donald P."},{"family":"Greenwald","given":"Anthony G."},{"family":"Hadfield","given":"Jarrod D."},{"family":"Hedges","given":"Larry V."},{"family":"Held","given":"Leonhard"},{"family":"Hua Ho","given":"Teck"},{"family":"Hoijtink","given":"Herbert"},{"family":"Hruschka","given":"Daniel J."},{"family":"Imai","given":"Kosuke"},{"family":"Imbens","given":"Guido"},{"family":"Ioannidis","given":"John P. A."},{"family":"Jeon","given":"Minjeong"},{"family":"Jones","given":"James Holland"},{"family":"Kirchler","given":"Michael"},{"family":"Laibson","given":"David"},{"family":"List","given":"John"},{"family":"Little","given":"Roderick"},{"family":"Lupia","given":"Arthur"},{"family":"Machery","given":"Edouard"},{"family":"Maxwell","given":"Scott E."},{"family":"McCarthy","given":"Michael"},{"family":"Moore","given":"Don A."},{"family":"Morgan","given":"Stephen L."},{"family":"Munafó","given":"Marcus"},{"family":"Nakagawa","given":"Shinichi"},{"family":"Nyhan","given":"Brendan"},{"family":"Parker","given":"Timothy H."},{"family":"Pericchi","given":"Luis"},{"family":"Perugini","given":"Marco"},{"family":"Rouder","given":"Jeff"},{"family":"Rousseau","given":"Judith"},{"family":"Savalei","given":"Victoria"},{"family":"Schönbrodt","given":"Felix D."},{"family":"Sellke","given":"Thomas"},{"family":"Sinclair","given":"Betsy"},{"family":"Tingley","given":"Dustin"},{"family":"Van Zandt","given":"Trisha"},{"family":"Vazire","given":"Simine"},{"family":"Watts","given":"Duncan J."},{"family":"Winship","given":"Christopher"},{"family":"Wolpert","given":"Robert L."},{"family":"Xie","given":"Yu"},{"family":"Young","given":"Cristobal"},{"family":"Zinman","given":"Jonathan"},{"family":"Johnson","given":"Valen E."}],"issued":{"date-parts":[["2018",1]]}}},{"id":39746,"uris":["http://zotero.org/groups/2718895/items/YJRH4PYM"],"itemData":{"id":39746,"type":"article-journal","container-title":"JAMA","DOI":"10.1001/jama.2018.1536","ISSN":"0098-7484","issue":"14","journalAbbreviation":"JAMA","language":"en","page":"1429","source":"DOI.org (Crossref)","title":"The proposal to lower &lt;i&gt;P&lt;/i&gt; value thresholds to 0.005","volume":"319","author":[{"family":"Ioannidis","given":"John P. A."}],"issued":{"date-parts":[["2018",4,10]]}}}],"schema":"https://github.com/citation-style-language/schema/raw/master/csl-citation.json"} </w:instrText>
      </w:r>
      <w:r>
        <w:fldChar w:fldCharType="separate"/>
      </w:r>
      <w:r w:rsidR="00B84200">
        <w:t>[13,14]</w:t>
      </w:r>
      <w:r>
        <w:fldChar w:fldCharType="end"/>
      </w:r>
      <w:r>
        <w:t xml:space="preserve">. Conversely, there are some examples where very strong effects have been published in the scientific literature at </w:t>
      </w:r>
      <w:r w:rsidR="00817A27" w:rsidRPr="00653CB5">
        <w:rPr>
          <w:i/>
          <w:iCs/>
        </w:rPr>
        <w:t>α</w:t>
      </w:r>
      <w:r>
        <w:t xml:space="preserve"> = 0.1. However, we are not aware of any scientific results that </w:t>
      </w:r>
      <w:proofErr w:type="gramStart"/>
      <w:r>
        <w:t>are considered to be</w:t>
      </w:r>
      <w:proofErr w:type="gramEnd"/>
      <w:r>
        <w:t xml:space="preserve"> valid without qualifications based on statistical analyses that have 20% to 33% or more classification error inherent in them.</w:t>
      </w:r>
    </w:p>
    <w:p w14:paraId="010C5A23" w14:textId="77777777" w:rsidR="008931E1" w:rsidRPr="00D701EF" w:rsidRDefault="008931E1" w:rsidP="008931E1">
      <w:pPr>
        <w:pStyle w:val="Heading2-PLoS"/>
        <w:numPr>
          <w:ilvl w:val="0"/>
          <w:numId w:val="19"/>
        </w:numPr>
        <w:ind w:left="0" w:firstLine="0"/>
      </w:pPr>
      <w:r w:rsidRPr="00D701EF">
        <w:t>Classification performance metrics</w:t>
      </w:r>
    </w:p>
    <w:p w14:paraId="51EA92A8" w14:textId="77777777" w:rsidR="008931E1" w:rsidRDefault="008931E1" w:rsidP="008931E1">
      <w:pPr>
        <w:contextualSpacing/>
      </w:pPr>
      <w:r>
        <w:t>Counting misclassifications is not sufficient to measure how well or poorly a classifier works. In a two-class classification problem, the usual terminology is to call one case “positive” and the other “negative.”</w:t>
      </w:r>
    </w:p>
    <w:p w14:paraId="2F091BBD" w14:textId="77777777" w:rsidR="008931E1" w:rsidRDefault="008931E1" w:rsidP="008931E1">
      <w:pPr>
        <w:contextualSpacing/>
      </w:pPr>
      <w:r>
        <w:t xml:space="preserve">The most basic element on which performance metrics are constructed is the confusion matrix </w:t>
      </w:r>
      <m:oMath>
        <m:r>
          <w:rPr>
            <w:rFonts w:ascii="Cambria Math" w:hAnsi="Cambria Math"/>
          </w:rPr>
          <m:t>c</m:t>
        </m:r>
      </m:oMath>
      <w:r>
        <w:t xml:space="preserve">, which in the case of two-class classification problem is given </w:t>
      </w:r>
      <w:proofErr w:type="gramStart"/>
      <w:r>
        <w:t>by</w:t>
      </w:r>
      <w:proofErr w:type="gramEnd"/>
    </w:p>
    <w:p w14:paraId="0B79E566" w14:textId="77777777" w:rsidR="008931E1" w:rsidRDefault="008931E1" w:rsidP="008931E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0"/>
        <w:gridCol w:w="1070"/>
      </w:tblGrid>
      <w:tr w:rsidR="008931E1" w14:paraId="599AB948" w14:textId="77777777" w:rsidTr="00D473B0">
        <w:tc>
          <w:tcPr>
            <w:tcW w:w="8280" w:type="dxa"/>
            <w:vAlign w:val="center"/>
          </w:tcPr>
          <w:p w14:paraId="5E623552" w14:textId="77777777" w:rsidR="008931E1" w:rsidRDefault="008931E1" w:rsidP="00D473B0">
            <w:pPr>
              <w:pStyle w:val="Equation-PLoS"/>
            </w:pPr>
            <m:oMath>
              <m:r>
                <m:t>c</m:t>
              </m:r>
              <m:r>
                <m:rPr>
                  <m:sty m:val="p"/>
                </m:rPr>
                <m:t>=</m:t>
              </m:r>
              <m:d>
                <m:dPr>
                  <m:ctrlPr/>
                </m:dPr>
                <m:e>
                  <m:m>
                    <m:mPr>
                      <m:mcs>
                        <m:mc>
                          <m:mcPr>
                            <m:count m:val="2"/>
                            <m:mcJc m:val="center"/>
                          </m:mcPr>
                        </m:mc>
                      </m:mcs>
                      <m:ctrlPr/>
                    </m:mPr>
                    <m:mr>
                      <m:e>
                        <m:r>
                          <m:t>tp</m:t>
                        </m:r>
                      </m:e>
                      <m:e>
                        <m:r>
                          <m:t>fn</m:t>
                        </m:r>
                      </m:e>
                    </m:mr>
                    <m:mr>
                      <m:e>
                        <m:r>
                          <m:t>fp</m:t>
                        </m:r>
                      </m:e>
                      <m:e>
                        <m:r>
                          <m:t>tn</m:t>
                        </m:r>
                      </m:e>
                    </m:mr>
                  </m:m>
                </m:e>
              </m:d>
            </m:oMath>
            <w:r>
              <w:t xml:space="preserve">, </w:t>
            </w:r>
            <m:oMath>
              <m:sSub>
                <m:sSubPr>
                  <m:ctrlPr/>
                </m:sSubPr>
                <m:e>
                  <m:r>
                    <m:t>n</m:t>
                  </m:r>
                </m:e>
                <m:sub>
                  <m:r>
                    <m:rPr>
                      <m:sty m:val="p"/>
                    </m:rPr>
                    <m:t>p</m:t>
                  </m:r>
                </m:sub>
              </m:sSub>
              <m:r>
                <m:rPr>
                  <m:sty m:val="p"/>
                </m:rPr>
                <m:t>=</m:t>
              </m:r>
              <m:r>
                <m:t>tp</m:t>
              </m:r>
              <m:r>
                <m:rPr>
                  <m:sty m:val="p"/>
                </m:rPr>
                <m:t>+</m:t>
              </m:r>
              <m:r>
                <m:t>fn</m:t>
              </m:r>
            </m:oMath>
            <w:r>
              <w:t xml:space="preserve">, </w:t>
            </w:r>
            <m:oMath>
              <m:sSub>
                <m:sSubPr>
                  <m:ctrlPr/>
                </m:sSubPr>
                <m:e>
                  <m:r>
                    <m:t>n</m:t>
                  </m:r>
                </m:e>
                <m:sub>
                  <m:r>
                    <m:rPr>
                      <m:sty m:val="p"/>
                    </m:rPr>
                    <m:t>n</m:t>
                  </m:r>
                </m:sub>
              </m:sSub>
              <m:r>
                <m:rPr>
                  <m:sty m:val="p"/>
                </m:rPr>
                <m:t>=</m:t>
              </m:r>
              <m:r>
                <m:t>tn</m:t>
              </m:r>
              <m:r>
                <m:rPr>
                  <m:sty m:val="p"/>
                </m:rPr>
                <m:t>+</m:t>
              </m:r>
              <m:r>
                <m:t>fp</m:t>
              </m:r>
            </m:oMath>
          </w:p>
        </w:tc>
        <w:tc>
          <w:tcPr>
            <w:tcW w:w="1070" w:type="dxa"/>
            <w:vAlign w:val="center"/>
          </w:tcPr>
          <w:p w14:paraId="78A47EA0" w14:textId="3160BF13" w:rsidR="008931E1" w:rsidRDefault="008931E1" w:rsidP="00D473B0">
            <w:pPr>
              <w:pStyle w:val="Equation-PLoS"/>
            </w:pPr>
            <w:r>
              <w:t>(</w:t>
            </w:r>
            <w:r w:rsidR="00024ABD">
              <w:t>5</w:t>
            </w:r>
            <w:r>
              <w:t>)</w:t>
            </w:r>
          </w:p>
        </w:tc>
      </w:tr>
    </w:tbl>
    <w:p w14:paraId="1FC2F46C" w14:textId="4F5A3446" w:rsidR="008931E1" w:rsidRDefault="008931E1" w:rsidP="008931E1">
      <w:pPr>
        <w:ind w:firstLine="0"/>
        <w:contextualSpacing/>
      </w:pPr>
      <w:r>
        <w:t xml:space="preserve">where </w:t>
      </w:r>
      <w:proofErr w:type="spellStart"/>
      <w:r>
        <w:rPr>
          <w:i/>
          <w:iCs/>
        </w:rPr>
        <w:t>tp</w:t>
      </w:r>
      <w:proofErr w:type="spellEnd"/>
      <w:r>
        <w:t xml:space="preserve"> is the number of true positives—</w:t>
      </w:r>
      <w:r w:rsidRPr="00CE43D7">
        <w:rPr>
          <w:i/>
          <w:iCs/>
        </w:rPr>
        <w:t>i.e.</w:t>
      </w:r>
      <w:r>
        <w:t xml:space="preserve">, data points that are part of the positive class, and which are classified to be positive, and </w:t>
      </w:r>
      <w:proofErr w:type="spellStart"/>
      <w:r>
        <w:rPr>
          <w:i/>
          <w:iCs/>
        </w:rPr>
        <w:t>fn</w:t>
      </w:r>
      <w:proofErr w:type="spellEnd"/>
      <w:r>
        <w:t xml:space="preserve"> is the number of false negatives—</w:t>
      </w:r>
      <w:r w:rsidRPr="00CE43D7">
        <w:rPr>
          <w:i/>
          <w:iCs/>
        </w:rPr>
        <w:t>i.e.</w:t>
      </w:r>
      <w:r>
        <w:t xml:space="preserve">, the number of data points that are </w:t>
      </w:r>
      <w:proofErr w:type="gramStart"/>
      <w:r>
        <w:t>actually part</w:t>
      </w:r>
      <w:proofErr w:type="gramEnd"/>
      <w:r>
        <w:t xml:space="preserve"> of the positive group despite being classified as negative. These two counts sum to </w:t>
      </w:r>
      <w:r>
        <w:rPr>
          <w:i/>
          <w:iCs/>
        </w:rPr>
        <w:t>n</w:t>
      </w:r>
      <w:r>
        <w:rPr>
          <w:vertAlign w:val="subscript"/>
        </w:rPr>
        <w:t>p</w:t>
      </w:r>
      <w:r>
        <w:t>, the total number of points in the positive group. The other parameters are the number of false positives</w:t>
      </w:r>
      <w:r>
        <w:rPr>
          <w:i/>
          <w:iCs/>
        </w:rPr>
        <w:t xml:space="preserve"> </w:t>
      </w:r>
      <w:proofErr w:type="spellStart"/>
      <w:r>
        <w:rPr>
          <w:i/>
          <w:iCs/>
        </w:rPr>
        <w:t>fp</w:t>
      </w:r>
      <w:proofErr w:type="spellEnd"/>
      <w:r>
        <w:t xml:space="preserve"> and true negatives </w:t>
      </w:r>
      <w:proofErr w:type="spellStart"/>
      <w:r>
        <w:rPr>
          <w:i/>
          <w:iCs/>
        </w:rPr>
        <w:t>tn</w:t>
      </w:r>
      <w:proofErr w:type="spellEnd"/>
      <w:r>
        <w:t xml:space="preserve">, which sum to the number of points in the negative group </w:t>
      </w:r>
      <w:proofErr w:type="spellStart"/>
      <w:r>
        <w:rPr>
          <w:i/>
          <w:iCs/>
        </w:rPr>
        <w:t>n</w:t>
      </w:r>
      <w:r>
        <w:rPr>
          <w:vertAlign w:val="subscript"/>
        </w:rPr>
        <w:t>n</w:t>
      </w:r>
      <w:proofErr w:type="spellEnd"/>
      <w:r>
        <w:t xml:space="preserve">. Several of the most common metrics based on the confusion matrix are shown in </w:t>
      </w:r>
      <w:r w:rsidR="00024ABD">
        <w:t>Equation (6)</w:t>
      </w:r>
      <w:r>
        <w:t>.</w:t>
      </w:r>
    </w:p>
    <w:p w14:paraId="152790FA" w14:textId="77777777" w:rsidR="008931E1" w:rsidRDefault="008931E1" w:rsidP="008931E1">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32"/>
        <w:gridCol w:w="928"/>
      </w:tblGrid>
      <w:tr w:rsidR="008931E1" w14:paraId="3CCBE52E" w14:textId="77777777" w:rsidTr="00D473B0">
        <w:trPr>
          <w:cantSplit/>
          <w:trHeight w:val="1440"/>
        </w:trPr>
        <w:tc>
          <w:tcPr>
            <w:tcW w:w="8432" w:type="dxa"/>
            <w:vAlign w:val="center"/>
          </w:tcPr>
          <w:p w14:paraId="29F19413" w14:textId="77777777" w:rsidR="008931E1" w:rsidRDefault="00AB1E07" w:rsidP="00D473B0">
            <w:pPr>
              <w:pStyle w:val="Equation-PLoS"/>
            </w:pPr>
            <m:oMathPara>
              <m:oMath>
                <m:m>
                  <m:mPr>
                    <m:rSpRule m:val="4"/>
                    <m:rSp m:val="6"/>
                    <m:mcs>
                      <m:mc>
                        <m:mcPr>
                          <m:count m:val="1"/>
                          <m:mcJc m:val="center"/>
                        </m:mcPr>
                      </m:mc>
                    </m:mcs>
                    <m:ctrlPr/>
                  </m:mPr>
                  <m:mr>
                    <m:e>
                      <m:r>
                        <m:t>A</m:t>
                      </m:r>
                      <m:r>
                        <m:rPr>
                          <m:sty m:val="p"/>
                        </m:rPr>
                        <m:t xml:space="preserve">= </m:t>
                      </m:r>
                      <m:f>
                        <m:fPr>
                          <m:ctrlPr/>
                        </m:fPr>
                        <m:num>
                          <m:r>
                            <m:t>tp</m:t>
                          </m:r>
                          <m:r>
                            <m:rPr>
                              <m:sty m:val="p"/>
                            </m:rPr>
                            <m:t>+</m:t>
                          </m:r>
                          <m:r>
                            <m:t>tn</m:t>
                          </m:r>
                        </m:num>
                        <m:den>
                          <m:r>
                            <m:t>tp</m:t>
                          </m:r>
                          <m:r>
                            <m:rPr>
                              <m:sty m:val="p"/>
                            </m:rPr>
                            <m:t>+</m:t>
                          </m:r>
                          <m:r>
                            <m:t>fn</m:t>
                          </m:r>
                          <m:r>
                            <m:rPr>
                              <m:sty m:val="p"/>
                            </m:rPr>
                            <m:t>+</m:t>
                          </m:r>
                          <m:r>
                            <m:t>fp</m:t>
                          </m:r>
                          <m:r>
                            <m:rPr>
                              <m:sty m:val="p"/>
                            </m:rPr>
                            <m:t>+</m:t>
                          </m:r>
                          <m:r>
                            <m:t>tn</m:t>
                          </m:r>
                        </m:den>
                      </m:f>
                    </m:e>
                  </m:mr>
                  <m:mr>
                    <m:e>
                      <m:r>
                        <m:t>B</m:t>
                      </m:r>
                      <m:r>
                        <m:rPr>
                          <m:sty m:val="p"/>
                        </m:rPr>
                        <m:t>=</m:t>
                      </m:r>
                      <m:f>
                        <m:fPr>
                          <m:ctrlPr/>
                        </m:fPr>
                        <m:num>
                          <m:r>
                            <m:rPr>
                              <m:sty m:val="p"/>
                            </m:rPr>
                            <m:t>1</m:t>
                          </m:r>
                        </m:num>
                        <m:den>
                          <m:r>
                            <m:rPr>
                              <m:sty m:val="p"/>
                            </m:rPr>
                            <m:t>2</m:t>
                          </m:r>
                        </m:den>
                      </m:f>
                      <m:d>
                        <m:dPr>
                          <m:ctrlPr/>
                        </m:dPr>
                        <m:e>
                          <m:f>
                            <m:fPr>
                              <m:ctrlPr/>
                            </m:fPr>
                            <m:num>
                              <m:r>
                                <m:t>tp</m:t>
                              </m:r>
                            </m:num>
                            <m:den>
                              <m:r>
                                <m:t>tp</m:t>
                              </m:r>
                              <m:r>
                                <m:rPr>
                                  <m:sty m:val="p"/>
                                </m:rPr>
                                <m:t>+</m:t>
                              </m:r>
                              <m:r>
                                <m:t>fn</m:t>
                              </m:r>
                            </m:den>
                          </m:f>
                          <m:r>
                            <m:rPr>
                              <m:sty m:val="p"/>
                            </m:rPr>
                            <m:t>+</m:t>
                          </m:r>
                          <m:f>
                            <m:fPr>
                              <m:ctrlPr/>
                            </m:fPr>
                            <m:num>
                              <m:r>
                                <m:t>tn</m:t>
                              </m:r>
                            </m:num>
                            <m:den>
                              <m:r>
                                <m:t>tn</m:t>
                              </m:r>
                              <m:r>
                                <m:rPr>
                                  <m:sty m:val="p"/>
                                </m:rPr>
                                <m:t>+</m:t>
                              </m:r>
                              <m:r>
                                <m:t>fp</m:t>
                              </m:r>
                            </m:den>
                          </m:f>
                        </m:e>
                      </m:d>
                    </m:e>
                  </m:mr>
                  <m:mr>
                    <m:e>
                      <m:r>
                        <m:t>MCC</m:t>
                      </m:r>
                      <m:r>
                        <m:rPr>
                          <m:sty m:val="p"/>
                        </m:rPr>
                        <m:t xml:space="preserve">= </m:t>
                      </m:r>
                      <m:f>
                        <m:fPr>
                          <m:ctrlPr/>
                        </m:fPr>
                        <m:num>
                          <m:r>
                            <m:t>tp</m:t>
                          </m:r>
                          <m:r>
                            <m:rPr>
                              <m:sty m:val="p"/>
                            </m:rPr>
                            <m:t>*</m:t>
                          </m:r>
                          <m:r>
                            <m:t>tn</m:t>
                          </m:r>
                          <m:r>
                            <m:rPr>
                              <m:sty m:val="p"/>
                            </m:rPr>
                            <m:t>-</m:t>
                          </m:r>
                          <m:r>
                            <m:t>fp</m:t>
                          </m:r>
                          <m:r>
                            <m:rPr>
                              <m:sty m:val="p"/>
                            </m:rPr>
                            <m:t>*</m:t>
                          </m:r>
                          <m:r>
                            <m:t>fn</m:t>
                          </m:r>
                        </m:num>
                        <m:den>
                          <m:rad>
                            <m:radPr>
                              <m:degHide m:val="1"/>
                              <m:ctrlPr/>
                            </m:radPr>
                            <m:deg/>
                            <m:e>
                              <m:d>
                                <m:dPr>
                                  <m:ctrlPr/>
                                </m:dPr>
                                <m:e>
                                  <m:r>
                                    <m:t>tp</m:t>
                                  </m:r>
                                  <m:r>
                                    <m:rPr>
                                      <m:sty m:val="p"/>
                                    </m:rPr>
                                    <m:t>+</m:t>
                                  </m:r>
                                  <m:r>
                                    <m:t>fp</m:t>
                                  </m:r>
                                </m:e>
                              </m:d>
                              <m:d>
                                <m:dPr>
                                  <m:ctrlPr/>
                                </m:dPr>
                                <m:e>
                                  <m:r>
                                    <m:t>tp</m:t>
                                  </m:r>
                                  <m:r>
                                    <m:rPr>
                                      <m:sty m:val="p"/>
                                    </m:rPr>
                                    <m:t>+</m:t>
                                  </m:r>
                                  <m:r>
                                    <m:t>fn</m:t>
                                  </m:r>
                                </m:e>
                              </m:d>
                              <m:d>
                                <m:dPr>
                                  <m:ctrlPr/>
                                </m:dPr>
                                <m:e>
                                  <m:r>
                                    <m:t>tn</m:t>
                                  </m:r>
                                  <m:r>
                                    <m:rPr>
                                      <m:sty m:val="p"/>
                                    </m:rPr>
                                    <m:t>+</m:t>
                                  </m:r>
                                  <m:r>
                                    <m:t>fp</m:t>
                                  </m:r>
                                </m:e>
                              </m:d>
                              <m:d>
                                <m:dPr>
                                  <m:ctrlPr/>
                                </m:dPr>
                                <m:e>
                                  <m:r>
                                    <m:t>tn</m:t>
                                  </m:r>
                                  <m:r>
                                    <m:rPr>
                                      <m:sty m:val="p"/>
                                    </m:rPr>
                                    <m:t>+</m:t>
                                  </m:r>
                                  <m:r>
                                    <m:t>fn</m:t>
                                  </m:r>
                                </m:e>
                              </m:d>
                            </m:e>
                          </m:rad>
                        </m:den>
                      </m:f>
                    </m:e>
                  </m:mr>
                </m:m>
              </m:oMath>
            </m:oMathPara>
          </w:p>
        </w:tc>
        <w:tc>
          <w:tcPr>
            <w:tcW w:w="928" w:type="dxa"/>
            <w:vAlign w:val="center"/>
          </w:tcPr>
          <w:p w14:paraId="33CA5ACB" w14:textId="77777777" w:rsidR="008931E1" w:rsidRDefault="008931E1" w:rsidP="00D473B0">
            <w:pPr>
              <w:pStyle w:val="Equation-PLoS"/>
            </w:pPr>
          </w:p>
          <w:p w14:paraId="7509F8EE" w14:textId="77777777" w:rsidR="008931E1" w:rsidRDefault="008931E1" w:rsidP="00D473B0">
            <w:pPr>
              <w:pStyle w:val="Equation-PLoS"/>
            </w:pPr>
          </w:p>
          <w:p w14:paraId="1A9FC4D7" w14:textId="77777777" w:rsidR="008931E1" w:rsidRDefault="008931E1" w:rsidP="00D473B0">
            <w:pPr>
              <w:pStyle w:val="Equation-PLoS"/>
            </w:pPr>
          </w:p>
          <w:p w14:paraId="7E4F21AD" w14:textId="1C554723" w:rsidR="008931E1" w:rsidRDefault="008931E1" w:rsidP="00D473B0">
            <w:pPr>
              <w:pStyle w:val="Equation-PLoS"/>
            </w:pPr>
            <w:r>
              <w:t>(</w:t>
            </w:r>
            <w:r w:rsidR="00024ABD">
              <w:t>6</w:t>
            </w:r>
            <w:r>
              <w:t>)</w:t>
            </w:r>
            <w:r w:rsidDel="00392C38">
              <w:t xml:space="preserve"> </w:t>
            </w:r>
          </w:p>
        </w:tc>
      </w:tr>
      <w:tr w:rsidR="008931E1" w14:paraId="5FE66C9B" w14:textId="77777777" w:rsidTr="00D473B0">
        <w:trPr>
          <w:cantSplit/>
          <w:trHeight w:val="765"/>
        </w:trPr>
        <w:tc>
          <w:tcPr>
            <w:tcW w:w="8432" w:type="dxa"/>
            <w:vAlign w:val="center"/>
          </w:tcPr>
          <w:p w14:paraId="7523EEF3" w14:textId="77777777" w:rsidR="008931E1" w:rsidRDefault="008931E1" w:rsidP="00D473B0">
            <w:pPr>
              <w:pStyle w:val="Equation-PLoS"/>
            </w:pPr>
            <m:oMathPara>
              <m:oMath>
                <m:r>
                  <m:t>TPR</m:t>
                </m:r>
                <m:r>
                  <m:rPr>
                    <m:sty m:val="p"/>
                  </m:rPr>
                  <m:t xml:space="preserve">= </m:t>
                </m:r>
                <m:f>
                  <m:fPr>
                    <m:ctrlPr/>
                  </m:fPr>
                  <m:num>
                    <m:r>
                      <m:t>tp</m:t>
                    </m:r>
                  </m:num>
                  <m:den>
                    <m:r>
                      <m:t>tp</m:t>
                    </m:r>
                    <m:r>
                      <m:rPr>
                        <m:sty m:val="p"/>
                      </m:rPr>
                      <m:t>+</m:t>
                    </m:r>
                    <m:r>
                      <m:t>fn</m:t>
                    </m:r>
                  </m:den>
                </m:f>
              </m:oMath>
            </m:oMathPara>
          </w:p>
        </w:tc>
        <w:tc>
          <w:tcPr>
            <w:tcW w:w="928" w:type="dxa"/>
            <w:vAlign w:val="center"/>
          </w:tcPr>
          <w:p w14:paraId="7E92C6ED" w14:textId="77777777" w:rsidR="008931E1" w:rsidRDefault="008931E1" w:rsidP="00D473B0">
            <w:pPr>
              <w:pStyle w:val="Equation-PLoS"/>
            </w:pPr>
          </w:p>
        </w:tc>
      </w:tr>
      <w:tr w:rsidR="008931E1" w14:paraId="040F3997" w14:textId="77777777" w:rsidTr="00D473B0">
        <w:trPr>
          <w:cantSplit/>
          <w:trHeight w:val="810"/>
        </w:trPr>
        <w:tc>
          <w:tcPr>
            <w:tcW w:w="8432" w:type="dxa"/>
            <w:vAlign w:val="center"/>
          </w:tcPr>
          <w:p w14:paraId="25E14F8D" w14:textId="77777777" w:rsidR="008931E1" w:rsidRDefault="008931E1" w:rsidP="00D473B0">
            <w:pPr>
              <w:pStyle w:val="Equation-PLoS"/>
              <w:rPr>
                <w:rFonts w:ascii="Calibri" w:eastAsia="Calibri" w:hAnsi="Calibri"/>
              </w:rPr>
            </w:pPr>
            <m:oMathPara>
              <m:oMath>
                <m:r>
                  <m:t>FPR</m:t>
                </m:r>
                <m:r>
                  <m:rPr>
                    <m:sty m:val="p"/>
                  </m:rPr>
                  <m:t xml:space="preserve">= </m:t>
                </m:r>
                <m:f>
                  <m:fPr>
                    <m:ctrlPr/>
                  </m:fPr>
                  <m:num>
                    <m:r>
                      <m:t>fp</m:t>
                    </m:r>
                  </m:num>
                  <m:den>
                    <m:r>
                      <m:t>fp</m:t>
                    </m:r>
                    <m:r>
                      <m:rPr>
                        <m:sty m:val="p"/>
                      </m:rPr>
                      <m:t>+</m:t>
                    </m:r>
                    <m:r>
                      <m:t>tn</m:t>
                    </m:r>
                  </m:den>
                </m:f>
              </m:oMath>
            </m:oMathPara>
          </w:p>
        </w:tc>
        <w:tc>
          <w:tcPr>
            <w:tcW w:w="928" w:type="dxa"/>
            <w:vAlign w:val="center"/>
          </w:tcPr>
          <w:p w14:paraId="4FB59483" w14:textId="77777777" w:rsidR="008931E1" w:rsidRDefault="008931E1" w:rsidP="00D473B0">
            <w:pPr>
              <w:pStyle w:val="Equation-PLoS"/>
            </w:pPr>
          </w:p>
        </w:tc>
      </w:tr>
    </w:tbl>
    <w:p w14:paraId="5720FAB8" w14:textId="27A84978" w:rsidR="008931E1" w:rsidRDefault="008931E1" w:rsidP="008931E1">
      <w:pPr>
        <w:contextualSpacing/>
      </w:pPr>
      <w:r>
        <w:t xml:space="preserve">The simplest of these metrics is accuracy </w:t>
      </w:r>
      <w:r>
        <w:rPr>
          <w:i/>
          <w:iCs/>
        </w:rPr>
        <w:t>A</w:t>
      </w:r>
      <w:r>
        <w:t xml:space="preserve">, the total number of correct classifications divided by the total number of data points. This metric has intuitive appeal, but it has many known weaknesses—for example it can understate or overstate the accuracy if the number of points in the groups or the misclassification rates vary between the two classes. Balanced accuracy </w:t>
      </w:r>
      <w:r>
        <w:rPr>
          <w:i/>
          <w:iCs/>
        </w:rPr>
        <w:t>B</w:t>
      </w:r>
      <w:r>
        <w:t xml:space="preserve"> was developed to overcome those issues, but it too has certain weaknesses. Many other metrics exist, but arguably the best single-valued metric is the Matthews correlation coefficient </w:t>
      </w:r>
      <w:r>
        <w:rPr>
          <w:i/>
          <w:iCs/>
        </w:rPr>
        <w:t>MCC</w:t>
      </w:r>
      <w:r>
        <w:t xml:space="preserve"> </w:t>
      </w:r>
      <w:r>
        <w:fldChar w:fldCharType="begin"/>
      </w:r>
      <w:r w:rsidR="00937347">
        <w:instrText xml:space="preserve"> ADDIN ZOTERO_ITEM CSL_CITATION {"citationID":"KqjWZRf8","properties":{"formattedCitation":"[15]","plainCitation":"[15]","noteIndex":0},"citationItems":[{"id":39719,"uris":["http://zotero.org/groups/2718895/items/F3NLJ7ZW"],"itemData":{"id":39719,"type":"article-journal","abstract":"Evaluating binary classifications is a pivotal task in statistics and machine learning, because it can influence decisions in multiple areas, including for example prognosis or therapies of patients in critical conditions. The scientific community has not agreed on a general-purpose statistical indicator for evaluating two-class confusion matrices (having true positives, true negatives, false positives, and false negatives) yet, even if advantages of the Matthews correlation coefficient (MCC) over accuracy and F1 score have already been shown.In this manuscript, we reaffirm that MCC is a robust metric that summarizes the classifier performance in a single value, if positive and negative cases are of equal importance. We compare MCC to other metrics which value positive and negative cases equally: balanced accuracy (BA), bookmaker informedness (BM), and markedness (MK). We explain the mathematical relationships between MCC and these indicators, then show some use cases and a bioinformatics scenario where these metrics disagree and where MCC generates a more informative response.Additionally, we describe three exceptions where BM can be more appropriate: analyzing classifications where dataset prevalence is unrepresentative, comparing classifiers on different datasets, and assessing the random guessing level of a classifier. Except in these cases, we believe that MCC is the most informative among the single metrics discussed, and suggest it as standard measure for scientists of all fields. A Matthews correlation coefficient close to +1, in fact, means having high values for all the other confusion matrix metrics. The same cannot be said for balanced accuracy, markedness, bookmaker informedness, accuracy and F1 score.","container-title":"BioData Mining","DOI":"10.1186/s13040-021-00244-z","ISSN":"1756-0381","issue":"1","journalAbbreviation":"BioData Mining","language":"en","page":"13","source":"DOI.org (Crossref)","title":"The Matthews correlation coefficient (MCC) is more reliable than balanced accuracy, bookmaker informedness, and markedness in two-class confusion matrix evaluation","volume":"14","author":[{"family":"Chicco","given":"Davide"},{"family":"Tötsch","given":"Niklas"},{"family":"Jurman","given":"Giuseppe"}],"issued":{"date-parts":[["2021",12]]}}}],"schema":"https://github.com/citation-style-language/schema/raw/master/csl-citation.json"} </w:instrText>
      </w:r>
      <w:r>
        <w:fldChar w:fldCharType="separate"/>
      </w:r>
      <w:r w:rsidR="00B84200">
        <w:t>[15]</w:t>
      </w:r>
      <w:r>
        <w:fldChar w:fldCharType="end"/>
      </w:r>
      <w:r>
        <w:t xml:space="preserve">. </w:t>
      </w:r>
      <w:r w:rsidRPr="00CE43D7">
        <w:rPr>
          <w:i/>
          <w:iCs/>
        </w:rPr>
        <w:t>MCC</w:t>
      </w:r>
      <w:r>
        <w:t xml:space="preserve"> has the value of 1 for perfect classification, 0 for classification that is no better than random, and a minimum value of −1 for a completely anticorrelated result (</w:t>
      </w:r>
      <w:r w:rsidRPr="00CE43D7">
        <w:rPr>
          <w:i/>
          <w:iCs/>
        </w:rPr>
        <w:t>i.e.</w:t>
      </w:r>
      <w:r>
        <w:t>, a classifier that classifies all members of the positive group as negative and vice versa).</w:t>
      </w:r>
    </w:p>
    <w:p w14:paraId="273F4CC5" w14:textId="77777777" w:rsidR="008931E1" w:rsidRDefault="008931E1" w:rsidP="008931E1">
      <w:pPr>
        <w:contextualSpacing/>
      </w:pPr>
      <w:r>
        <w:t>For the simple, highly symmetric example distribution of Equations (1) and (2) and the misclassification probability (3), we can derive a theoretical value of the accuracy:</w:t>
      </w:r>
    </w:p>
    <w:p w14:paraId="4270F8EF" w14:textId="77777777" w:rsidR="008931E1" w:rsidRDefault="008931E1" w:rsidP="008931E1">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0"/>
        <w:gridCol w:w="1070"/>
      </w:tblGrid>
      <w:tr w:rsidR="008931E1" w:rsidRPr="00C73B8E" w14:paraId="10AD0DF2" w14:textId="77777777" w:rsidTr="00D473B0">
        <w:tc>
          <w:tcPr>
            <w:tcW w:w="8280" w:type="dxa"/>
            <w:shd w:val="clear" w:color="auto" w:fill="FFFFFF" w:themeFill="background1"/>
            <w:vAlign w:val="center"/>
          </w:tcPr>
          <w:p w14:paraId="030ABABA" w14:textId="77777777" w:rsidR="008931E1" w:rsidRPr="00C73B8E" w:rsidRDefault="008931E1" w:rsidP="00D473B0">
            <w:pPr>
              <w:pStyle w:val="Equation-PLoS"/>
            </w:pPr>
            <m:oMathPara>
              <m:oMath>
                <m:r>
                  <m:t>A</m:t>
                </m:r>
                <m:r>
                  <m:rPr>
                    <m:sty m:val="p"/>
                  </m:rPr>
                  <m:t>=</m:t>
                </m:r>
                <m:f>
                  <m:fPr>
                    <m:ctrlPr/>
                  </m:fPr>
                  <m:num>
                    <m:r>
                      <m:rPr>
                        <m:sty m:val="p"/>
                      </m:rPr>
                      <m:t>1</m:t>
                    </m:r>
                  </m:num>
                  <m:den>
                    <m:r>
                      <m:rPr>
                        <m:sty m:val="p"/>
                      </m:rPr>
                      <m:t>2</m:t>
                    </m:r>
                  </m:den>
                </m:f>
                <m:d>
                  <m:dPr>
                    <m:ctrlPr/>
                  </m:dPr>
                  <m:e>
                    <m:r>
                      <m:rPr>
                        <m:sty m:val="p"/>
                      </m:rPr>
                      <m:t>2- erfc</m:t>
                    </m:r>
                    <m:d>
                      <m:dPr>
                        <m:ctrlPr/>
                      </m:dPr>
                      <m:e>
                        <m:f>
                          <m:fPr>
                            <m:ctrlPr/>
                          </m:fPr>
                          <m:num>
                            <m:r>
                              <m:t>d</m:t>
                            </m:r>
                          </m:num>
                          <m:den>
                            <m:r>
                              <m:t>σ</m:t>
                            </m:r>
                            <m:rad>
                              <m:radPr>
                                <m:degHide m:val="1"/>
                                <m:ctrlPr/>
                              </m:radPr>
                              <m:deg/>
                              <m:e>
                                <m:r>
                                  <m:rPr>
                                    <m:sty m:val="p"/>
                                  </m:rPr>
                                  <m:t>2</m:t>
                                </m:r>
                              </m:e>
                            </m:rad>
                          </m:den>
                        </m:f>
                      </m:e>
                    </m:d>
                  </m:e>
                </m:d>
              </m:oMath>
            </m:oMathPara>
          </w:p>
        </w:tc>
        <w:tc>
          <w:tcPr>
            <w:tcW w:w="1070" w:type="dxa"/>
            <w:shd w:val="clear" w:color="auto" w:fill="FFFFFF" w:themeFill="background1"/>
            <w:vAlign w:val="center"/>
          </w:tcPr>
          <w:p w14:paraId="4DAA1323" w14:textId="1FA36DF7" w:rsidR="008931E1" w:rsidRPr="00C73B8E" w:rsidRDefault="008931E1" w:rsidP="00D473B0">
            <w:pPr>
              <w:pStyle w:val="Equation-PLoS"/>
            </w:pPr>
            <w:r w:rsidRPr="00C73B8E">
              <w:t>(</w:t>
            </w:r>
            <w:r w:rsidR="00024ABD">
              <w:t>7</w:t>
            </w:r>
            <w:r w:rsidRPr="00C73B8E">
              <w:t>)</w:t>
            </w:r>
          </w:p>
        </w:tc>
      </w:tr>
    </w:tbl>
    <w:p w14:paraId="59FCBA6E" w14:textId="77777777" w:rsidR="008931E1" w:rsidRDefault="008931E1" w:rsidP="008931E1">
      <w:pPr>
        <w:contextualSpacing/>
      </w:pPr>
      <w:r>
        <w:t xml:space="preserve">In addition to the different metrics for assessing the confusion matrix, there are also different ways to calculate it. Training-set errors—misclassifications that occur within the training set itself—may underestimate the true misclassification rate that would occur with test points that have not been processed by the algorithm in the same way that the training set has. We found misclassified points in Fabbri </w:t>
      </w:r>
      <w:r w:rsidRPr="00CE43D7">
        <w:rPr>
          <w:i/>
          <w:iCs/>
        </w:rPr>
        <w:t>et al.</w:t>
      </w:r>
      <w:r>
        <w:t xml:space="preserve"> that were in the training set yet were still misclassified.</w:t>
      </w:r>
    </w:p>
    <w:p w14:paraId="4F88ECAB" w14:textId="77777777" w:rsidR="008931E1" w:rsidRPr="005A449E" w:rsidRDefault="008931E1" w:rsidP="008931E1">
      <w:pPr>
        <w:pStyle w:val="Heading2-PLoS"/>
        <w:numPr>
          <w:ilvl w:val="0"/>
          <w:numId w:val="19"/>
        </w:numPr>
        <w:ind w:left="0" w:firstLine="0"/>
      </w:pPr>
      <w:bookmarkStart w:id="3" w:name="_Hlk126072197"/>
      <w:r w:rsidRPr="005A449E">
        <w:lastRenderedPageBreak/>
        <w:t>pFDA bug or misunderstanding</w:t>
      </w:r>
      <w:bookmarkEnd w:id="3"/>
    </w:p>
    <w:p w14:paraId="52EC4CBD" w14:textId="333D79B1" w:rsidR="008931E1" w:rsidRDefault="008931E1" w:rsidP="008931E1">
      <w:pPr>
        <w:ind w:firstLine="0"/>
        <w:contextualSpacing/>
      </w:pPr>
      <w:r>
        <w:t xml:space="preserve">While working with the pFDA code of Motani and Schmitz </w:t>
      </w:r>
      <w:r>
        <w:fldChar w:fldCharType="begin"/>
      </w:r>
      <w:r w:rsidR="00937347">
        <w:instrText xml:space="preserve"> ADDIN ZOTERO_ITEM CSL_CITATION {"citationID":"Vi30QCHp","properties":{"formattedCitation":"[16]","plainCitation":"[16]","noteIndex":0},"citationItems":[{"id":40035,"uris":["http://zotero.org/groups/2718895/items/3RGJN58S"],"itemData":{"id":40035,"type":"software","archive":"GitHub","archive_location":"lschmitz/phylo.fda","genre":"R","title":"Phylogenetic flexible discriminant analysis (Motani and Schmitz 2011, Evolution)","URL":"https://github.com/lschmitz/phylo.fda","version":"0.2","author":[{"family":"Schmitz","given":"Lars"}],"accessed":{"date-parts":[["2023",1,30]]},"issued":{"date-parts":[["2022",6,13]]}}}],"schema":"https://github.com/citation-style-language/schema/raw/master/csl-citation.json"} </w:instrText>
      </w:r>
      <w:r>
        <w:fldChar w:fldCharType="separate"/>
      </w:r>
      <w:r w:rsidR="00B84200">
        <w:rPr>
          <w:noProof/>
        </w:rPr>
        <w:t>[16]</w:t>
      </w:r>
      <w:r>
        <w:fldChar w:fldCharType="end"/>
      </w:r>
      <w:r>
        <w:t xml:space="preserve">, we discovered that the confusion matrix for training-set classification errors returned the classification matrix with a different layout than any other reference or source we could find. The normal confusion matrix is given by </w:t>
      </w:r>
      <w:r w:rsidR="00024ABD">
        <w:t>Equation (5)</w:t>
      </w:r>
      <w:r>
        <w:t xml:space="preserve">. We found that pFDA instead </w:t>
      </w:r>
      <w:proofErr w:type="gramStart"/>
      <w:r>
        <w:t>returns</w:t>
      </w:r>
      <w:proofErr w:type="gramEnd"/>
      <w:r>
        <w:t xml:space="preserve"> </w:t>
      </w:r>
    </w:p>
    <w:p w14:paraId="4E48C8B9" w14:textId="77777777" w:rsidR="008931E1" w:rsidRDefault="008931E1" w:rsidP="008931E1">
      <w:pPr>
        <w:ind w:firstLine="0"/>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0"/>
        <w:gridCol w:w="1070"/>
      </w:tblGrid>
      <w:tr w:rsidR="008931E1" w:rsidRPr="00C73B8E" w14:paraId="05A216B6" w14:textId="77777777" w:rsidTr="00D473B0">
        <w:tc>
          <w:tcPr>
            <w:tcW w:w="8280" w:type="dxa"/>
            <w:vAlign w:val="center"/>
          </w:tcPr>
          <w:p w14:paraId="594947C8" w14:textId="77777777" w:rsidR="008931E1" w:rsidRPr="00C73B8E" w:rsidRDefault="00AB1E07" w:rsidP="00D473B0">
            <w:pPr>
              <w:pStyle w:val="Equation-PLoS"/>
            </w:pPr>
            <m:oMathPara>
              <m:oMath>
                <m:sSub>
                  <m:sSubPr>
                    <m:ctrlPr/>
                  </m:sSubPr>
                  <m:e>
                    <m:r>
                      <m:t>c</m:t>
                    </m:r>
                  </m:e>
                  <m:sub>
                    <m:r>
                      <m:t>pFDA</m:t>
                    </m:r>
                  </m:sub>
                </m:sSub>
                <m:r>
                  <m:rPr>
                    <m:sty m:val="p"/>
                  </m:rPr>
                  <m:t>=</m:t>
                </m:r>
                <m:d>
                  <m:dPr>
                    <m:ctrlPr/>
                  </m:dPr>
                  <m:e>
                    <m:m>
                      <m:mPr>
                        <m:mcs>
                          <m:mc>
                            <m:mcPr>
                              <m:count m:val="2"/>
                              <m:mcJc m:val="center"/>
                            </m:mcPr>
                          </m:mc>
                        </m:mcs>
                        <m:ctrlPr/>
                      </m:mPr>
                      <m:mr>
                        <m:e>
                          <m:r>
                            <m:t>tp</m:t>
                          </m:r>
                        </m:e>
                        <m:e>
                          <m:r>
                            <m:t>fp</m:t>
                          </m:r>
                        </m:e>
                      </m:mr>
                      <m:mr>
                        <m:e>
                          <m:r>
                            <m:t>fn</m:t>
                          </m:r>
                        </m:e>
                        <m:e>
                          <m:r>
                            <m:t>tn</m:t>
                          </m:r>
                        </m:e>
                      </m:mr>
                    </m:m>
                  </m:e>
                </m:d>
              </m:oMath>
            </m:oMathPara>
          </w:p>
        </w:tc>
        <w:tc>
          <w:tcPr>
            <w:tcW w:w="1070" w:type="dxa"/>
            <w:vAlign w:val="center"/>
          </w:tcPr>
          <w:p w14:paraId="6B53B70B" w14:textId="6A81FF31" w:rsidR="008931E1" w:rsidRPr="00C73B8E" w:rsidRDefault="008931E1" w:rsidP="00D473B0">
            <w:pPr>
              <w:pStyle w:val="Equation-PLoS"/>
            </w:pPr>
            <w:r w:rsidRPr="00C73B8E">
              <w:t>(</w:t>
            </w:r>
            <w:r w:rsidR="00024ABD">
              <w:t>8</w:t>
            </w:r>
            <w:r w:rsidRPr="00C73B8E">
              <w:t>)</w:t>
            </w:r>
          </w:p>
        </w:tc>
      </w:tr>
    </w:tbl>
    <w:p w14:paraId="364E0561" w14:textId="620746C9" w:rsidR="008931E1" w:rsidRDefault="008931E1" w:rsidP="008931E1">
      <w:pPr>
        <w:contextualSpacing/>
      </w:pPr>
      <w:r>
        <w:t xml:space="preserve">This is the matrix transpose of the confusion matrix as it is usually defined. The pFDA returns the matrix in this form because that is also the convention for the </w:t>
      </w:r>
      <w:proofErr w:type="spellStart"/>
      <w:r>
        <w:t>mda</w:t>
      </w:r>
      <w:proofErr w:type="spellEnd"/>
      <w:r>
        <w:t xml:space="preserve"> R library, which implements FDA without the phylogenetic correction done by pFDA. The documentation for the function responsible does not specify the form of the confusion matrix but simply refers to “the confusion matrix” without elaboration </w:t>
      </w:r>
      <w:r>
        <w:fldChar w:fldCharType="begin"/>
      </w:r>
      <w:r w:rsidR="00937347">
        <w:instrText xml:space="preserve"> ADDIN ZOTERO_ITEM CSL_CITATION {"citationID":"GM23mFDY","properties":{"formattedCitation":"[17]","plainCitation":"[17]","noteIndex":0},"citationItems":[{"id":40039,"uris":["http://zotero.org/groups/2718895/items/6NGM5V62"],"itemData":{"id":40039,"type":"webpage","container-title":"r-project.org","title":"R: confusion matrices","URL":"https://search.r-project.org/CRAN/refmans/mda/html/confusion.html","accessed":{"date-parts":[["2023",2,1]]}}}],"schema":"https://github.com/citation-style-language/schema/raw/master/csl-citation.json"} </w:instrText>
      </w:r>
      <w:r>
        <w:fldChar w:fldCharType="separate"/>
      </w:r>
      <w:r w:rsidR="00B84200">
        <w:t>[17]</w:t>
      </w:r>
      <w:r>
        <w:fldChar w:fldCharType="end"/>
      </w:r>
      <w:r>
        <w:t xml:space="preserve">. The documentation includes an example that uses the famous Fisher dataset for LDA, which includes measures of Iris flower petals for different varieties of Iris. It is clear from the example that the layout of the confusion matrix obeys </w:t>
      </w:r>
      <w:r w:rsidR="00024ABD">
        <w:t>Equation (8)</w:t>
      </w:r>
      <w:r>
        <w:t xml:space="preserve"> rather than </w:t>
      </w:r>
      <w:r w:rsidR="00024ABD">
        <w:t>Equation (5)</w:t>
      </w:r>
      <w:r>
        <w:t xml:space="preserve"> because the confusion matrix in the format of </w:t>
      </w:r>
      <w:r w:rsidR="00024ABD">
        <w:t xml:space="preserve">Equation </w:t>
      </w:r>
      <w:r>
        <w:t>(</w:t>
      </w:r>
      <w:r w:rsidR="00024ABD">
        <w:t>5</w:t>
      </w:r>
      <w:r>
        <w:t xml:space="preserve">) has rows that sum to the total number of points (50 in the case of the Iris dataset). The result shown on the manual page has columns that sum to 50, whereas the rows sum to 50, 49, and 51. </w:t>
      </w:r>
    </w:p>
    <w:p w14:paraId="6A313C18" w14:textId="0471EC34" w:rsidR="008931E1" w:rsidRDefault="008931E1" w:rsidP="008931E1">
      <w:pPr>
        <w:contextualSpacing/>
        <w:rPr>
          <w:b/>
          <w:bCs/>
        </w:rPr>
      </w:pPr>
      <w:r>
        <w:t>It is unclear whether this reflects a software bug—</w:t>
      </w:r>
      <w:r w:rsidRPr="00CE43D7">
        <w:rPr>
          <w:i/>
          <w:iCs/>
        </w:rPr>
        <w:t>i.e.</w:t>
      </w:r>
      <w:r>
        <w:rPr>
          <w:i/>
          <w:iCs/>
        </w:rPr>
        <w:t>,</w:t>
      </w:r>
      <w:r>
        <w:t xml:space="preserve"> the </w:t>
      </w:r>
      <w:proofErr w:type="spellStart"/>
      <w:r>
        <w:t>mda</w:t>
      </w:r>
      <w:proofErr w:type="spellEnd"/>
      <w:r>
        <w:t xml:space="preserve"> library intended it to be the normal convention but mistakenly returns the transpose—or a deliberate decision to return a non-standard confusion matrix. Either way, it is potentially a trap for the unwary user of </w:t>
      </w:r>
      <w:proofErr w:type="spellStart"/>
      <w:r>
        <w:t>mda</w:t>
      </w:r>
      <w:proofErr w:type="spellEnd"/>
      <w:r>
        <w:t xml:space="preserve"> and, by extension, pFDA. Using a different confusion matrix format would alter the results of classification accuracy metrics in </w:t>
      </w:r>
      <w:r w:rsidR="00024ABD">
        <w:t>Equation (6)</w:t>
      </w:r>
      <w:r>
        <w:t xml:space="preserve">. We do not know whether the “correct classification rates” reported by Fabbri </w:t>
      </w:r>
      <w:r w:rsidRPr="00CE43D7">
        <w:rPr>
          <w:i/>
          <w:iCs/>
        </w:rPr>
        <w:t>et al.</w:t>
      </w:r>
      <w:r>
        <w:t xml:space="preserve"> were based on the confusion matrix returned by pFDA, but if so, that could account for some of the differences between our accuracy calculations and theirs.</w:t>
      </w:r>
    </w:p>
    <w:p w14:paraId="7DDB4719" w14:textId="77777777" w:rsidR="008931E1" w:rsidRPr="00C60E00" w:rsidRDefault="008931E1" w:rsidP="00B84200">
      <w:pPr>
        <w:pStyle w:val="Heading1-PLoS"/>
        <w:pageBreakBefore/>
      </w:pPr>
      <w:r>
        <w:lastRenderedPageBreak/>
        <w:t>References for supplementary information</w:t>
      </w:r>
    </w:p>
    <w:p w14:paraId="42CDC688" w14:textId="77777777" w:rsidR="00AB1E07" w:rsidRPr="00AB1E07" w:rsidRDefault="008931E1" w:rsidP="00AB1E07">
      <w:pPr>
        <w:pStyle w:val="Bibliography"/>
        <w:rPr>
          <w:rFonts w:cs="Times New Roman"/>
        </w:rPr>
      </w:pPr>
      <w:r>
        <w:fldChar w:fldCharType="begin"/>
      </w:r>
      <w:r w:rsidR="00AB1E07">
        <w:instrText xml:space="preserve"> ADDIN ZOTERO_BIBL {"uncited":[],"omitted":[],"custom":[]} CSL_BIBLIOGRAPHY </w:instrText>
      </w:r>
      <w:r>
        <w:fldChar w:fldCharType="separate"/>
      </w:r>
      <w:r w:rsidR="00AB1E07" w:rsidRPr="00AB1E07">
        <w:rPr>
          <w:rFonts w:cs="Times New Roman"/>
        </w:rPr>
        <w:t xml:space="preserve">1. </w:t>
      </w:r>
      <w:r w:rsidR="00AB1E07" w:rsidRPr="00AB1E07">
        <w:rPr>
          <w:rFonts w:cs="Times New Roman"/>
        </w:rPr>
        <w:tab/>
        <w:t xml:space="preserve">Piantadosi S, Byar DP, Green SB. The ecological fallacy. Am J Epidemiol. 1988;127: 893–904. </w:t>
      </w:r>
      <w:proofErr w:type="gramStart"/>
      <w:r w:rsidR="00AB1E07" w:rsidRPr="00AB1E07">
        <w:rPr>
          <w:rFonts w:cs="Times New Roman"/>
        </w:rPr>
        <w:t>doi:10.1093/oxfordjournals.aje.a</w:t>
      </w:r>
      <w:proofErr w:type="gramEnd"/>
      <w:r w:rsidR="00AB1E07" w:rsidRPr="00AB1E07">
        <w:rPr>
          <w:rFonts w:cs="Times New Roman"/>
        </w:rPr>
        <w:t>114892</w:t>
      </w:r>
    </w:p>
    <w:p w14:paraId="6B4621FA" w14:textId="77777777" w:rsidR="00AB1E07" w:rsidRPr="00AB1E07" w:rsidRDefault="00AB1E07" w:rsidP="00AB1E07">
      <w:pPr>
        <w:pStyle w:val="Bibliography"/>
        <w:rPr>
          <w:rFonts w:cs="Times New Roman"/>
        </w:rPr>
      </w:pPr>
      <w:r w:rsidRPr="00AB1E07">
        <w:rPr>
          <w:rFonts w:cs="Times New Roman"/>
        </w:rPr>
        <w:t xml:space="preserve">2. </w:t>
      </w:r>
      <w:r w:rsidRPr="00AB1E07">
        <w:rPr>
          <w:rFonts w:cs="Times New Roman"/>
        </w:rPr>
        <w:tab/>
        <w:t xml:space="preserve">Fryar CD, Carroll MD, Gu Q, Afful J, Ogden CL. Anthropometric Reference Data for Children and Adults: United States, 2015-2018. Vital Health Stat 3. 2021; 1–44. </w:t>
      </w:r>
    </w:p>
    <w:p w14:paraId="7C92541A" w14:textId="77777777" w:rsidR="00AB1E07" w:rsidRPr="00AB1E07" w:rsidRDefault="00AB1E07" w:rsidP="00AB1E07">
      <w:pPr>
        <w:pStyle w:val="Bibliography"/>
        <w:rPr>
          <w:rFonts w:cs="Times New Roman"/>
        </w:rPr>
      </w:pPr>
      <w:r w:rsidRPr="00AB1E07">
        <w:rPr>
          <w:rFonts w:cs="Times New Roman"/>
        </w:rPr>
        <w:t xml:space="preserve">3. </w:t>
      </w:r>
      <w:r w:rsidRPr="00AB1E07">
        <w:rPr>
          <w:rFonts w:cs="Times New Roman"/>
        </w:rPr>
        <w:tab/>
        <w:t xml:space="preserve">Fabbri M, </w:t>
      </w:r>
      <w:proofErr w:type="spellStart"/>
      <w:r w:rsidRPr="00AB1E07">
        <w:rPr>
          <w:rFonts w:cs="Times New Roman"/>
        </w:rPr>
        <w:t>Navalón</w:t>
      </w:r>
      <w:proofErr w:type="spellEnd"/>
      <w:r w:rsidRPr="00AB1E07">
        <w:rPr>
          <w:rFonts w:cs="Times New Roman"/>
        </w:rPr>
        <w:t xml:space="preserve"> G, Benson RBJ, Pol D, O’Connor J, Bhullar B-AS, et al. Subaqueous foraging among carnivorous dinosaurs. Nature. 2022;603: 852–857. doi:10.1038/s41586-022-04528-0</w:t>
      </w:r>
    </w:p>
    <w:p w14:paraId="14B15306" w14:textId="77777777" w:rsidR="00AB1E07" w:rsidRPr="00AB1E07" w:rsidRDefault="00AB1E07" w:rsidP="00AB1E07">
      <w:pPr>
        <w:pStyle w:val="Bibliography"/>
        <w:rPr>
          <w:rFonts w:cs="Times New Roman"/>
        </w:rPr>
      </w:pPr>
      <w:r w:rsidRPr="00AB1E07">
        <w:rPr>
          <w:rFonts w:cs="Times New Roman"/>
        </w:rPr>
        <w:t xml:space="preserve">4. </w:t>
      </w:r>
      <w:r w:rsidRPr="00AB1E07">
        <w:rPr>
          <w:rFonts w:cs="Times New Roman"/>
        </w:rPr>
        <w:tab/>
        <w:t xml:space="preserve">Gonçalves L, </w:t>
      </w:r>
      <w:proofErr w:type="spellStart"/>
      <w:r w:rsidRPr="00AB1E07">
        <w:rPr>
          <w:rFonts w:cs="Times New Roman"/>
        </w:rPr>
        <w:t>Subtil</w:t>
      </w:r>
      <w:proofErr w:type="spellEnd"/>
      <w:r w:rsidRPr="00AB1E07">
        <w:rPr>
          <w:rFonts w:cs="Times New Roman"/>
        </w:rPr>
        <w:t xml:space="preserve"> A, Oliveira MR, De </w:t>
      </w:r>
      <w:proofErr w:type="spellStart"/>
      <w:r w:rsidRPr="00AB1E07">
        <w:rPr>
          <w:rFonts w:cs="Times New Roman"/>
        </w:rPr>
        <w:t>Zea</w:t>
      </w:r>
      <w:proofErr w:type="spellEnd"/>
      <w:r w:rsidRPr="00AB1E07">
        <w:rPr>
          <w:rFonts w:cs="Times New Roman"/>
        </w:rPr>
        <w:t xml:space="preserve"> Bermudez P. ROC curve estimation. REVSTAT-Stat J. 2014; 1-20 Pages. doi:10.57805/REVSTAT.V12I1.141</w:t>
      </w:r>
    </w:p>
    <w:p w14:paraId="71CABE1B" w14:textId="77777777" w:rsidR="00AB1E07" w:rsidRPr="00AB1E07" w:rsidRDefault="00AB1E07" w:rsidP="00AB1E07">
      <w:pPr>
        <w:pStyle w:val="Bibliography"/>
        <w:rPr>
          <w:rFonts w:cs="Times New Roman"/>
        </w:rPr>
      </w:pPr>
      <w:r w:rsidRPr="00AB1E07">
        <w:rPr>
          <w:rFonts w:cs="Times New Roman"/>
        </w:rPr>
        <w:t xml:space="preserve">5. </w:t>
      </w:r>
      <w:r w:rsidRPr="00AB1E07">
        <w:rPr>
          <w:rFonts w:cs="Times New Roman"/>
        </w:rPr>
        <w:tab/>
        <w:t>Hoo ZH, Candlish J, Teare D. What is an ROC curve? Emerg Med J. 2017;34: 357–359. doi:10.1136/emermed-2017-206735</w:t>
      </w:r>
    </w:p>
    <w:p w14:paraId="09EC031B" w14:textId="77777777" w:rsidR="00AB1E07" w:rsidRPr="00AB1E07" w:rsidRDefault="00AB1E07" w:rsidP="00AB1E07">
      <w:pPr>
        <w:pStyle w:val="Bibliography"/>
        <w:rPr>
          <w:rFonts w:cs="Times New Roman"/>
        </w:rPr>
      </w:pPr>
      <w:r w:rsidRPr="00AB1E07">
        <w:rPr>
          <w:rFonts w:cs="Times New Roman"/>
        </w:rPr>
        <w:t xml:space="preserve">6. </w:t>
      </w:r>
      <w:r w:rsidRPr="00AB1E07">
        <w:rPr>
          <w:rFonts w:cs="Times New Roman"/>
        </w:rPr>
        <w:tab/>
        <w:t xml:space="preserve">Bradley AP. The use of the area under the ROC curve in the evaluation of machine learning algorithms. Pattern </w:t>
      </w:r>
      <w:proofErr w:type="spellStart"/>
      <w:r w:rsidRPr="00AB1E07">
        <w:rPr>
          <w:rFonts w:cs="Times New Roman"/>
        </w:rPr>
        <w:t>Recognit</w:t>
      </w:r>
      <w:proofErr w:type="spellEnd"/>
      <w:r w:rsidRPr="00AB1E07">
        <w:rPr>
          <w:rFonts w:cs="Times New Roman"/>
        </w:rPr>
        <w:t>. 1997;30: 1145–1159. doi:10.1016/S0031-3203(96)00142-2</w:t>
      </w:r>
    </w:p>
    <w:p w14:paraId="3E3FC87F" w14:textId="77777777" w:rsidR="00AB1E07" w:rsidRPr="00AB1E07" w:rsidRDefault="00AB1E07" w:rsidP="00AB1E07">
      <w:pPr>
        <w:pStyle w:val="Bibliography"/>
        <w:rPr>
          <w:rFonts w:cs="Times New Roman"/>
        </w:rPr>
      </w:pPr>
      <w:r w:rsidRPr="00AB1E07">
        <w:rPr>
          <w:rFonts w:cs="Times New Roman"/>
        </w:rPr>
        <w:t xml:space="preserve">7. </w:t>
      </w:r>
      <w:r w:rsidRPr="00AB1E07">
        <w:rPr>
          <w:rFonts w:cs="Times New Roman"/>
        </w:rPr>
        <w:tab/>
        <w:t xml:space="preserve">Davis J, </w:t>
      </w:r>
      <w:proofErr w:type="spellStart"/>
      <w:r w:rsidRPr="00AB1E07">
        <w:rPr>
          <w:rFonts w:cs="Times New Roman"/>
        </w:rPr>
        <w:t>Goadrich</w:t>
      </w:r>
      <w:proofErr w:type="spellEnd"/>
      <w:r w:rsidRPr="00AB1E07">
        <w:rPr>
          <w:rFonts w:cs="Times New Roman"/>
        </w:rPr>
        <w:t xml:space="preserve"> M. The relationship between precision-recall and ROC curves. Proceedings of the 23rd International Conference on Machine Learning, ICML ’06. Pittsburgh, Pennsylvania: ACM Press; 2006. pp. 233–240. doi:10.1145/1143844.1143874</w:t>
      </w:r>
    </w:p>
    <w:p w14:paraId="2FFB97FD" w14:textId="77777777" w:rsidR="00AB1E07" w:rsidRPr="00AB1E07" w:rsidRDefault="00AB1E07" w:rsidP="00AB1E07">
      <w:pPr>
        <w:pStyle w:val="Bibliography"/>
        <w:rPr>
          <w:rFonts w:cs="Times New Roman"/>
        </w:rPr>
      </w:pPr>
      <w:r w:rsidRPr="00AB1E07">
        <w:rPr>
          <w:rFonts w:cs="Times New Roman"/>
        </w:rPr>
        <w:t xml:space="preserve">8. </w:t>
      </w:r>
      <w:r w:rsidRPr="00AB1E07">
        <w:rPr>
          <w:rFonts w:cs="Times New Roman"/>
        </w:rPr>
        <w:tab/>
        <w:t xml:space="preserve">Omar L, </w:t>
      </w:r>
      <w:proofErr w:type="spellStart"/>
      <w:r w:rsidRPr="00AB1E07">
        <w:rPr>
          <w:rFonts w:cs="Times New Roman"/>
        </w:rPr>
        <w:t>Ivrissimtzis</w:t>
      </w:r>
      <w:proofErr w:type="spellEnd"/>
      <w:r w:rsidRPr="00AB1E07">
        <w:rPr>
          <w:rFonts w:cs="Times New Roman"/>
        </w:rPr>
        <w:t xml:space="preserve"> I. Using theoretical ROC curves for </w:t>
      </w:r>
      <w:proofErr w:type="spellStart"/>
      <w:r w:rsidRPr="00AB1E07">
        <w:rPr>
          <w:rFonts w:cs="Times New Roman"/>
        </w:rPr>
        <w:t>analysing</w:t>
      </w:r>
      <w:proofErr w:type="spellEnd"/>
      <w:r w:rsidRPr="00AB1E07">
        <w:rPr>
          <w:rFonts w:cs="Times New Roman"/>
        </w:rPr>
        <w:t xml:space="preserve"> machine learning binary classifiers. Pattern </w:t>
      </w:r>
      <w:proofErr w:type="spellStart"/>
      <w:r w:rsidRPr="00AB1E07">
        <w:rPr>
          <w:rFonts w:cs="Times New Roman"/>
        </w:rPr>
        <w:t>Recognit</w:t>
      </w:r>
      <w:proofErr w:type="spellEnd"/>
      <w:r w:rsidRPr="00AB1E07">
        <w:rPr>
          <w:rFonts w:cs="Times New Roman"/>
        </w:rPr>
        <w:t xml:space="preserve"> Lett. 2019;128: 447–451. </w:t>
      </w:r>
      <w:proofErr w:type="gramStart"/>
      <w:r w:rsidRPr="00AB1E07">
        <w:rPr>
          <w:rFonts w:cs="Times New Roman"/>
        </w:rPr>
        <w:t>doi:10.1016/j.patrec</w:t>
      </w:r>
      <w:proofErr w:type="gramEnd"/>
      <w:r w:rsidRPr="00AB1E07">
        <w:rPr>
          <w:rFonts w:cs="Times New Roman"/>
        </w:rPr>
        <w:t>.2019.10.004</w:t>
      </w:r>
    </w:p>
    <w:p w14:paraId="6202954E" w14:textId="77777777" w:rsidR="00AB1E07" w:rsidRPr="00AB1E07" w:rsidRDefault="00AB1E07" w:rsidP="00AB1E07">
      <w:pPr>
        <w:pStyle w:val="Bibliography"/>
        <w:rPr>
          <w:rFonts w:cs="Times New Roman"/>
        </w:rPr>
      </w:pPr>
      <w:r w:rsidRPr="00AB1E07">
        <w:rPr>
          <w:rFonts w:cs="Times New Roman"/>
        </w:rPr>
        <w:t xml:space="preserve">9. </w:t>
      </w:r>
      <w:r w:rsidRPr="00AB1E07">
        <w:rPr>
          <w:rFonts w:cs="Times New Roman"/>
        </w:rPr>
        <w:tab/>
        <w:t xml:space="preserve">Halsey LG, Curran-Everett D, </w:t>
      </w:r>
      <w:proofErr w:type="spellStart"/>
      <w:r w:rsidRPr="00AB1E07">
        <w:rPr>
          <w:rFonts w:cs="Times New Roman"/>
        </w:rPr>
        <w:t>Vowler</w:t>
      </w:r>
      <w:proofErr w:type="spellEnd"/>
      <w:r w:rsidRPr="00AB1E07">
        <w:rPr>
          <w:rFonts w:cs="Times New Roman"/>
        </w:rPr>
        <w:t xml:space="preserve"> SL, Drummond GB. The fickle </w:t>
      </w:r>
      <w:r w:rsidRPr="00AB1E07">
        <w:rPr>
          <w:rFonts w:cs="Times New Roman"/>
          <w:i/>
          <w:iCs/>
        </w:rPr>
        <w:t>P</w:t>
      </w:r>
      <w:r w:rsidRPr="00AB1E07">
        <w:rPr>
          <w:rFonts w:cs="Times New Roman"/>
        </w:rPr>
        <w:t xml:space="preserve"> value generates irreproducible results. Nat Methods. 2015;12: 179–185. doi:10.1038/nmeth.3288</w:t>
      </w:r>
    </w:p>
    <w:p w14:paraId="1826CDB8" w14:textId="77777777" w:rsidR="00AB1E07" w:rsidRPr="00AB1E07" w:rsidRDefault="00AB1E07" w:rsidP="00AB1E07">
      <w:pPr>
        <w:pStyle w:val="Bibliography"/>
        <w:rPr>
          <w:rFonts w:cs="Times New Roman"/>
        </w:rPr>
      </w:pPr>
      <w:r w:rsidRPr="00AB1E07">
        <w:rPr>
          <w:rFonts w:cs="Times New Roman"/>
        </w:rPr>
        <w:t xml:space="preserve">10. </w:t>
      </w:r>
      <w:r w:rsidRPr="00AB1E07">
        <w:rPr>
          <w:rFonts w:cs="Times New Roman"/>
        </w:rPr>
        <w:tab/>
        <w:t xml:space="preserve">Head ML, Holman L, Lanfear R, Kahn AT, </w:t>
      </w:r>
      <w:proofErr w:type="spellStart"/>
      <w:r w:rsidRPr="00AB1E07">
        <w:rPr>
          <w:rFonts w:cs="Times New Roman"/>
        </w:rPr>
        <w:t>Jennions</w:t>
      </w:r>
      <w:proofErr w:type="spellEnd"/>
      <w:r w:rsidRPr="00AB1E07">
        <w:rPr>
          <w:rFonts w:cs="Times New Roman"/>
        </w:rPr>
        <w:t xml:space="preserve"> MD. The extent and consequences of </w:t>
      </w:r>
      <w:r w:rsidRPr="00AB1E07">
        <w:rPr>
          <w:rFonts w:cs="Times New Roman"/>
          <w:i/>
          <w:iCs/>
        </w:rPr>
        <w:t>p</w:t>
      </w:r>
      <w:r w:rsidRPr="00AB1E07">
        <w:rPr>
          <w:rFonts w:cs="Times New Roman"/>
        </w:rPr>
        <w:t xml:space="preserve">-hacking in science. PLOS Biol. 2015;13: e1002106. </w:t>
      </w:r>
      <w:proofErr w:type="gramStart"/>
      <w:r w:rsidRPr="00AB1E07">
        <w:rPr>
          <w:rFonts w:cs="Times New Roman"/>
        </w:rPr>
        <w:t>doi:10.1371/journal.pbio</w:t>
      </w:r>
      <w:proofErr w:type="gramEnd"/>
      <w:r w:rsidRPr="00AB1E07">
        <w:rPr>
          <w:rFonts w:cs="Times New Roman"/>
        </w:rPr>
        <w:t>.1002106</w:t>
      </w:r>
    </w:p>
    <w:p w14:paraId="23AED367" w14:textId="77777777" w:rsidR="00AB1E07" w:rsidRPr="00AB1E07" w:rsidRDefault="00AB1E07" w:rsidP="00AB1E07">
      <w:pPr>
        <w:pStyle w:val="Bibliography"/>
        <w:rPr>
          <w:rFonts w:cs="Times New Roman"/>
        </w:rPr>
      </w:pPr>
      <w:r w:rsidRPr="00AB1E07">
        <w:rPr>
          <w:rFonts w:cs="Times New Roman"/>
        </w:rPr>
        <w:t xml:space="preserve">11. </w:t>
      </w:r>
      <w:r w:rsidRPr="00AB1E07">
        <w:rPr>
          <w:rFonts w:cs="Times New Roman"/>
        </w:rPr>
        <w:tab/>
        <w:t>Cano-Corres R, Sánchez-Álvarez J, Fuentes-</w:t>
      </w:r>
      <w:proofErr w:type="spellStart"/>
      <w:r w:rsidRPr="00AB1E07">
        <w:rPr>
          <w:rFonts w:cs="Times New Roman"/>
        </w:rPr>
        <w:t>Arderiu</w:t>
      </w:r>
      <w:proofErr w:type="spellEnd"/>
      <w:r w:rsidRPr="00AB1E07">
        <w:rPr>
          <w:rFonts w:cs="Times New Roman"/>
        </w:rPr>
        <w:t xml:space="preserve"> X. The effect size: beyond statistical significance. EJIFCC. 2012;23: 19–23. </w:t>
      </w:r>
    </w:p>
    <w:p w14:paraId="04F0DBCE" w14:textId="77777777" w:rsidR="00AB1E07" w:rsidRPr="00AB1E07" w:rsidRDefault="00AB1E07" w:rsidP="00AB1E07">
      <w:pPr>
        <w:pStyle w:val="Bibliography"/>
        <w:rPr>
          <w:rFonts w:cs="Times New Roman"/>
        </w:rPr>
      </w:pPr>
      <w:r w:rsidRPr="00AB1E07">
        <w:rPr>
          <w:rFonts w:cs="Times New Roman"/>
        </w:rPr>
        <w:t xml:space="preserve">12. </w:t>
      </w:r>
      <w:r w:rsidRPr="00AB1E07">
        <w:rPr>
          <w:rFonts w:cs="Times New Roman"/>
        </w:rPr>
        <w:tab/>
        <w:t xml:space="preserve">Cesana BM. What </w:t>
      </w:r>
      <w:r w:rsidRPr="00AB1E07">
        <w:rPr>
          <w:rFonts w:cs="Times New Roman"/>
          <w:i/>
          <w:iCs/>
        </w:rPr>
        <w:t>p</w:t>
      </w:r>
      <w:r w:rsidRPr="00AB1E07">
        <w:rPr>
          <w:rFonts w:cs="Times New Roman"/>
        </w:rPr>
        <w:t xml:space="preserve">-value must be used as the statistical significance threshold? </w:t>
      </w:r>
      <w:r w:rsidRPr="00AB1E07">
        <w:rPr>
          <w:rFonts w:cs="Times New Roman"/>
          <w:i/>
          <w:iCs/>
        </w:rPr>
        <w:t>P</w:t>
      </w:r>
      <w:r w:rsidRPr="00AB1E07">
        <w:rPr>
          <w:rFonts w:cs="Times New Roman"/>
        </w:rPr>
        <w:t xml:space="preserve">≤0.005, </w:t>
      </w:r>
      <w:r w:rsidRPr="00AB1E07">
        <w:rPr>
          <w:rFonts w:cs="Times New Roman"/>
          <w:i/>
          <w:iCs/>
        </w:rPr>
        <w:t>P</w:t>
      </w:r>
      <w:r w:rsidRPr="00AB1E07">
        <w:rPr>
          <w:rFonts w:cs="Times New Roman"/>
        </w:rPr>
        <w:t xml:space="preserve">≤0.01, </w:t>
      </w:r>
      <w:r w:rsidRPr="00AB1E07">
        <w:rPr>
          <w:rFonts w:cs="Times New Roman"/>
          <w:i/>
          <w:iCs/>
        </w:rPr>
        <w:t>P</w:t>
      </w:r>
      <w:r w:rsidRPr="00AB1E07">
        <w:rPr>
          <w:rFonts w:cs="Times New Roman"/>
        </w:rPr>
        <w:t>≤0.05, or no value at all? Biomed J Sci Tech Res. 2018;6. doi:10.26717/BJSTR.2018.06.001359</w:t>
      </w:r>
    </w:p>
    <w:p w14:paraId="272D28F5" w14:textId="77777777" w:rsidR="00AB1E07" w:rsidRPr="00AB1E07" w:rsidRDefault="00AB1E07" w:rsidP="00AB1E07">
      <w:pPr>
        <w:pStyle w:val="Bibliography"/>
        <w:rPr>
          <w:rFonts w:cs="Times New Roman"/>
        </w:rPr>
      </w:pPr>
      <w:r w:rsidRPr="00AB1E07">
        <w:rPr>
          <w:rFonts w:cs="Times New Roman"/>
        </w:rPr>
        <w:t xml:space="preserve">13. </w:t>
      </w:r>
      <w:r w:rsidRPr="00AB1E07">
        <w:rPr>
          <w:rFonts w:cs="Times New Roman"/>
        </w:rPr>
        <w:tab/>
        <w:t xml:space="preserve">Benjamin DJ, Berger JO, Johannesson M, Nosek BA, </w:t>
      </w:r>
      <w:proofErr w:type="spellStart"/>
      <w:r w:rsidRPr="00AB1E07">
        <w:rPr>
          <w:rFonts w:cs="Times New Roman"/>
        </w:rPr>
        <w:t>Wagenmakers</w:t>
      </w:r>
      <w:proofErr w:type="spellEnd"/>
      <w:r w:rsidRPr="00AB1E07">
        <w:rPr>
          <w:rFonts w:cs="Times New Roman"/>
        </w:rPr>
        <w:t xml:space="preserve"> E-J, Berk R, et al. Redefine statistical significance. Nat Hum </w:t>
      </w:r>
      <w:proofErr w:type="spellStart"/>
      <w:r w:rsidRPr="00AB1E07">
        <w:rPr>
          <w:rFonts w:cs="Times New Roman"/>
        </w:rPr>
        <w:t>Behav</w:t>
      </w:r>
      <w:proofErr w:type="spellEnd"/>
      <w:r w:rsidRPr="00AB1E07">
        <w:rPr>
          <w:rFonts w:cs="Times New Roman"/>
        </w:rPr>
        <w:t>. 2018;2: 6–10. doi:10.1038/s41562-017-0189-z</w:t>
      </w:r>
    </w:p>
    <w:p w14:paraId="0A88FE8C" w14:textId="77777777" w:rsidR="00AB1E07" w:rsidRPr="00AB1E07" w:rsidRDefault="00AB1E07" w:rsidP="00AB1E07">
      <w:pPr>
        <w:pStyle w:val="Bibliography"/>
        <w:rPr>
          <w:rFonts w:cs="Times New Roman"/>
        </w:rPr>
      </w:pPr>
      <w:r w:rsidRPr="00AB1E07">
        <w:rPr>
          <w:rFonts w:cs="Times New Roman"/>
        </w:rPr>
        <w:t xml:space="preserve">14. </w:t>
      </w:r>
      <w:r w:rsidRPr="00AB1E07">
        <w:rPr>
          <w:rFonts w:cs="Times New Roman"/>
        </w:rPr>
        <w:tab/>
        <w:t xml:space="preserve">Ioannidis JPA. The proposal to lower </w:t>
      </w:r>
      <w:r w:rsidRPr="00AB1E07">
        <w:rPr>
          <w:rFonts w:cs="Times New Roman"/>
          <w:i/>
          <w:iCs/>
        </w:rPr>
        <w:t>P</w:t>
      </w:r>
      <w:r w:rsidRPr="00AB1E07">
        <w:rPr>
          <w:rFonts w:cs="Times New Roman"/>
        </w:rPr>
        <w:t xml:space="preserve"> value thresholds to 0.005. JAMA. 2018;319: 1429. doi:10.1001/jama.2018.1536</w:t>
      </w:r>
    </w:p>
    <w:p w14:paraId="4499F589" w14:textId="77777777" w:rsidR="00AB1E07" w:rsidRPr="00AB1E07" w:rsidRDefault="00AB1E07" w:rsidP="00AB1E07">
      <w:pPr>
        <w:pStyle w:val="Bibliography"/>
        <w:rPr>
          <w:rFonts w:cs="Times New Roman"/>
        </w:rPr>
      </w:pPr>
      <w:r w:rsidRPr="00AB1E07">
        <w:rPr>
          <w:rFonts w:cs="Times New Roman"/>
        </w:rPr>
        <w:t xml:space="preserve">15. </w:t>
      </w:r>
      <w:r w:rsidRPr="00AB1E07">
        <w:rPr>
          <w:rFonts w:cs="Times New Roman"/>
        </w:rPr>
        <w:tab/>
        <w:t xml:space="preserve">Chicco D, </w:t>
      </w:r>
      <w:proofErr w:type="spellStart"/>
      <w:r w:rsidRPr="00AB1E07">
        <w:rPr>
          <w:rFonts w:cs="Times New Roman"/>
        </w:rPr>
        <w:t>Tötsch</w:t>
      </w:r>
      <w:proofErr w:type="spellEnd"/>
      <w:r w:rsidRPr="00AB1E07">
        <w:rPr>
          <w:rFonts w:cs="Times New Roman"/>
        </w:rPr>
        <w:t xml:space="preserve"> N, Jurman G. The Matthews correlation coefficient (MCC) is more reliable than balanced accuracy, bookmaker </w:t>
      </w:r>
      <w:proofErr w:type="spellStart"/>
      <w:r w:rsidRPr="00AB1E07">
        <w:rPr>
          <w:rFonts w:cs="Times New Roman"/>
        </w:rPr>
        <w:t>informedness</w:t>
      </w:r>
      <w:proofErr w:type="spellEnd"/>
      <w:r w:rsidRPr="00AB1E07">
        <w:rPr>
          <w:rFonts w:cs="Times New Roman"/>
        </w:rPr>
        <w:t xml:space="preserve">, and markedness in two-class confusion matrix evaluation. </w:t>
      </w:r>
      <w:proofErr w:type="spellStart"/>
      <w:r w:rsidRPr="00AB1E07">
        <w:rPr>
          <w:rFonts w:cs="Times New Roman"/>
        </w:rPr>
        <w:t>BioData</w:t>
      </w:r>
      <w:proofErr w:type="spellEnd"/>
      <w:r w:rsidRPr="00AB1E07">
        <w:rPr>
          <w:rFonts w:cs="Times New Roman"/>
        </w:rPr>
        <w:t xml:space="preserve"> Min. 2021;14: 13. doi:10.1186/s13040-021-00244-z</w:t>
      </w:r>
    </w:p>
    <w:p w14:paraId="616D56D8" w14:textId="77777777" w:rsidR="00AB1E07" w:rsidRPr="00AB1E07" w:rsidRDefault="00AB1E07" w:rsidP="00AB1E07">
      <w:pPr>
        <w:pStyle w:val="Bibliography"/>
        <w:rPr>
          <w:rFonts w:cs="Times New Roman"/>
        </w:rPr>
      </w:pPr>
      <w:r w:rsidRPr="00AB1E07">
        <w:rPr>
          <w:rFonts w:cs="Times New Roman"/>
        </w:rPr>
        <w:t xml:space="preserve">16. </w:t>
      </w:r>
      <w:r w:rsidRPr="00AB1E07">
        <w:rPr>
          <w:rFonts w:cs="Times New Roman"/>
        </w:rPr>
        <w:tab/>
        <w:t>Schmitz L. Phylogenetic flexible discriminant analysis (Motani and Schmitz 2011, Evolution). 2022. Available: https://github.com/lschmitz/phylo.fda</w:t>
      </w:r>
    </w:p>
    <w:p w14:paraId="3AA980A6" w14:textId="77777777" w:rsidR="00AB1E07" w:rsidRPr="00AB1E07" w:rsidRDefault="00AB1E07" w:rsidP="00AB1E07">
      <w:pPr>
        <w:pStyle w:val="Bibliography"/>
        <w:rPr>
          <w:rFonts w:cs="Times New Roman"/>
        </w:rPr>
      </w:pPr>
      <w:r w:rsidRPr="00AB1E07">
        <w:rPr>
          <w:rFonts w:cs="Times New Roman"/>
        </w:rPr>
        <w:t xml:space="preserve">17. </w:t>
      </w:r>
      <w:r w:rsidRPr="00AB1E07">
        <w:rPr>
          <w:rFonts w:cs="Times New Roman"/>
        </w:rPr>
        <w:tab/>
        <w:t>R: confusion matrices. In: r-project.org [Internet]. [cited 1 Feb 2023]. Available: https://search.r-project.org/CRAN/refmans/mda/html/confusion.html</w:t>
      </w:r>
    </w:p>
    <w:p w14:paraId="5C03523C" w14:textId="4320D8D0" w:rsidR="00866F57" w:rsidRPr="00866F57" w:rsidRDefault="008931E1" w:rsidP="002D2A6A">
      <w:pPr>
        <w:pStyle w:val="Bibliography"/>
      </w:pPr>
      <w:r>
        <w:fldChar w:fldCharType="end"/>
      </w:r>
    </w:p>
    <w:sectPr w:rsidR="00866F57" w:rsidRPr="00866F57" w:rsidSect="005F0D16">
      <w:footerReference w:type="even" r:id="rId12"/>
      <w:footerReference w:type="default" r:id="rId13"/>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BFA39C" w14:textId="77777777" w:rsidR="007B65C6" w:rsidRDefault="007B65C6" w:rsidP="00125C41">
      <w:r>
        <w:separator/>
      </w:r>
    </w:p>
  </w:endnote>
  <w:endnote w:type="continuationSeparator" w:id="0">
    <w:p w14:paraId="6ABA7092" w14:textId="77777777" w:rsidR="007B65C6" w:rsidRDefault="007B65C6" w:rsidP="00125C41">
      <w:r>
        <w:continuationSeparator/>
      </w:r>
    </w:p>
  </w:endnote>
  <w:endnote w:type="continuationNotice" w:id="1">
    <w:p w14:paraId="237C3D3E" w14:textId="77777777" w:rsidR="007B65C6" w:rsidRDefault="007B65C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EA4AC3C-9ADD-48FD-A4EC-C8BA326C4BE5}"/>
    <w:embedBold r:id="rId2" w:fontKey="{8B96FCB7-F308-42B1-B273-923A2F68E2F0}"/>
    <w:embedItalic r:id="rId3" w:fontKey="{4969F586-0706-4E9A-86E8-2221931F41DE}"/>
  </w:font>
  <w:font w:name="Calibri Light">
    <w:panose1 w:val="020F0302020204030204"/>
    <w:charset w:val="00"/>
    <w:family w:val="swiss"/>
    <w:pitch w:val="variable"/>
    <w:sig w:usb0="E4002EFF" w:usb1="C000247B" w:usb2="00000009" w:usb3="00000000" w:csb0="000001FF" w:csb1="00000000"/>
    <w:embedRegular r:id="rId4" w:fontKey="{117824F4-944D-4DEC-AAA3-C7BA73E504EA}"/>
  </w:font>
  <w:font w:name="Segoe UI">
    <w:panose1 w:val="020B0502040204020203"/>
    <w:charset w:val="00"/>
    <w:family w:val="swiss"/>
    <w:pitch w:val="variable"/>
    <w:sig w:usb0="E4002EFF" w:usb1="C000E47F" w:usb2="00000009" w:usb3="00000000" w:csb0="000001FF" w:csb1="00000000"/>
    <w:embedRegular r:id="rId5" w:fontKey="{01669FF3-448E-4336-80D6-6B191B4224D6}"/>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embedRegular r:id="rId6" w:fontKey="{C9656A94-34F7-4A5C-9E4F-8EC755373345}"/>
    <w:embedItalic r:id="rId7" w:fontKey="{9FB988A2-7ABE-4318-B64D-977DBF2F4E0C}"/>
    <w:embedBoldItalic r:id="rId8" w:fontKey="{ABD01CCD-9E79-4C06-AC39-42B23884447F}"/>
  </w:font>
  <w:font w:name="Times New Roman,Italic">
    <w:altName w:val="Klee One"/>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58615090"/>
      <w:docPartObj>
        <w:docPartGallery w:val="Page Numbers (Bottom of Page)"/>
        <w:docPartUnique/>
      </w:docPartObj>
    </w:sdtPr>
    <w:sdtEndPr>
      <w:rPr>
        <w:rStyle w:val="PageNumber"/>
      </w:rPr>
    </w:sdtEndPr>
    <w:sdtContent>
      <w:p w14:paraId="2FCE69DD" w14:textId="77777777" w:rsidR="007B65C6" w:rsidRDefault="007B65C6" w:rsidP="00D15BA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3E60A4F" w14:textId="596C6E40" w:rsidR="007B65C6" w:rsidRDefault="007B65C6" w:rsidP="00873E2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cs="Times New Roman"/>
        <w:szCs w:val="24"/>
      </w:rPr>
      <w:id w:val="1651180521"/>
      <w:docPartObj>
        <w:docPartGallery w:val="Page Numbers (Bottom of Page)"/>
        <w:docPartUnique/>
      </w:docPartObj>
    </w:sdtPr>
    <w:sdtEndPr>
      <w:rPr>
        <w:rStyle w:val="PageNumber"/>
      </w:rPr>
    </w:sdtEndPr>
    <w:sdtContent>
      <w:p w14:paraId="0E55C6E4" w14:textId="77777777" w:rsidR="007B65C6" w:rsidRDefault="007B65C6" w:rsidP="00D15BAF">
        <w:pPr>
          <w:pStyle w:val="Footer"/>
          <w:framePr w:wrap="none" w:vAnchor="text" w:hAnchor="margin" w:xAlign="right" w:y="1"/>
          <w:rPr>
            <w:rStyle w:val="PageNumber"/>
            <w:rFonts w:cs="Times New Roman"/>
            <w:szCs w:val="24"/>
          </w:rPr>
        </w:pPr>
        <w:r w:rsidRPr="00873E29">
          <w:rPr>
            <w:rStyle w:val="PageNumber"/>
            <w:rFonts w:cs="Times New Roman"/>
            <w:szCs w:val="24"/>
          </w:rPr>
          <w:fldChar w:fldCharType="begin"/>
        </w:r>
        <w:r w:rsidRPr="00873E29">
          <w:rPr>
            <w:rStyle w:val="PageNumber"/>
            <w:rFonts w:cs="Times New Roman"/>
            <w:szCs w:val="24"/>
          </w:rPr>
          <w:instrText xml:space="preserve"> PAGE </w:instrText>
        </w:r>
        <w:r w:rsidRPr="00873E29">
          <w:rPr>
            <w:rStyle w:val="PageNumber"/>
            <w:rFonts w:cs="Times New Roman"/>
            <w:szCs w:val="24"/>
          </w:rPr>
          <w:fldChar w:fldCharType="separate"/>
        </w:r>
        <w:r w:rsidRPr="00873E29">
          <w:rPr>
            <w:rStyle w:val="PageNumber"/>
            <w:rFonts w:cs="Times New Roman"/>
            <w:noProof/>
            <w:szCs w:val="24"/>
          </w:rPr>
          <w:t>1</w:t>
        </w:r>
        <w:r w:rsidRPr="00873E29">
          <w:rPr>
            <w:rStyle w:val="PageNumber"/>
            <w:rFonts w:cs="Times New Roman"/>
            <w:szCs w:val="24"/>
          </w:rPr>
          <w:fldChar w:fldCharType="end"/>
        </w:r>
      </w:p>
    </w:sdtContent>
  </w:sdt>
  <w:p w14:paraId="6F1C2FB0" w14:textId="1CC00A3F" w:rsidR="007B65C6" w:rsidRDefault="007B65C6" w:rsidP="00873E2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36BB55" w14:textId="77777777" w:rsidR="007B65C6" w:rsidRDefault="007B65C6" w:rsidP="00125C41">
      <w:r>
        <w:separator/>
      </w:r>
    </w:p>
  </w:footnote>
  <w:footnote w:type="continuationSeparator" w:id="0">
    <w:p w14:paraId="2A472675" w14:textId="77777777" w:rsidR="007B65C6" w:rsidRDefault="007B65C6" w:rsidP="00125C41">
      <w:r>
        <w:continuationSeparator/>
      </w:r>
    </w:p>
  </w:footnote>
  <w:footnote w:type="continuationNotice" w:id="1">
    <w:p w14:paraId="0AF38DA3" w14:textId="77777777" w:rsidR="007B65C6" w:rsidRDefault="007B65C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22A36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EFC3E1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937C87E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B780212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D0C4856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8920BA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B22026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236C0E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751C58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03492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45094D"/>
    <w:multiLevelType w:val="hybridMultilevel"/>
    <w:tmpl w:val="179C0456"/>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1" w15:restartNumberingAfterBreak="0">
    <w:nsid w:val="0AE23B3E"/>
    <w:multiLevelType w:val="hybridMultilevel"/>
    <w:tmpl w:val="063EC280"/>
    <w:lvl w:ilvl="0" w:tplc="2A3EDDCA">
      <w:start w:val="1"/>
      <w:numFmt w:val="decimal"/>
      <w:pStyle w:val="SIHeading1"/>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746C82"/>
    <w:multiLevelType w:val="hybridMultilevel"/>
    <w:tmpl w:val="B43ACA70"/>
    <w:lvl w:ilvl="0" w:tplc="B65A2A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6E2DAA"/>
    <w:multiLevelType w:val="hybridMultilevel"/>
    <w:tmpl w:val="FABA66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8715A21"/>
    <w:multiLevelType w:val="hybridMultilevel"/>
    <w:tmpl w:val="5AF26E1C"/>
    <w:lvl w:ilvl="0" w:tplc="0409000F">
      <w:start w:val="4"/>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8B465AF"/>
    <w:multiLevelType w:val="hybridMultilevel"/>
    <w:tmpl w:val="8C44879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C1C04F7"/>
    <w:multiLevelType w:val="hybridMultilevel"/>
    <w:tmpl w:val="7102F5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40A511F"/>
    <w:multiLevelType w:val="hybridMultilevel"/>
    <w:tmpl w:val="96EA12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4DD6950"/>
    <w:multiLevelType w:val="hybridMultilevel"/>
    <w:tmpl w:val="BCC2E42E"/>
    <w:lvl w:ilvl="0" w:tplc="57FCFAB8">
      <w:start w:val="1"/>
      <w:numFmt w:val="bullet"/>
      <w:lvlText w:val="•"/>
      <w:lvlJc w:val="left"/>
      <w:pPr>
        <w:tabs>
          <w:tab w:val="num" w:pos="720"/>
        </w:tabs>
        <w:ind w:left="720" w:hanging="360"/>
      </w:pPr>
      <w:rPr>
        <w:rFonts w:ascii="Arial" w:hAnsi="Arial" w:hint="default"/>
      </w:rPr>
    </w:lvl>
    <w:lvl w:ilvl="1" w:tplc="2850D27A">
      <w:numFmt w:val="bullet"/>
      <w:lvlText w:val="•"/>
      <w:lvlJc w:val="left"/>
      <w:pPr>
        <w:tabs>
          <w:tab w:val="num" w:pos="1440"/>
        </w:tabs>
        <w:ind w:left="1440" w:hanging="360"/>
      </w:pPr>
      <w:rPr>
        <w:rFonts w:ascii="Arial" w:hAnsi="Arial" w:hint="default"/>
      </w:rPr>
    </w:lvl>
    <w:lvl w:ilvl="2" w:tplc="08003614">
      <w:numFmt w:val="bullet"/>
      <w:lvlText w:val="•"/>
      <w:lvlJc w:val="left"/>
      <w:pPr>
        <w:tabs>
          <w:tab w:val="num" w:pos="2160"/>
        </w:tabs>
        <w:ind w:left="2160" w:hanging="360"/>
      </w:pPr>
      <w:rPr>
        <w:rFonts w:ascii="Arial" w:hAnsi="Arial" w:hint="default"/>
      </w:rPr>
    </w:lvl>
    <w:lvl w:ilvl="3" w:tplc="23CE16A2" w:tentative="1">
      <w:start w:val="1"/>
      <w:numFmt w:val="bullet"/>
      <w:lvlText w:val="•"/>
      <w:lvlJc w:val="left"/>
      <w:pPr>
        <w:tabs>
          <w:tab w:val="num" w:pos="2880"/>
        </w:tabs>
        <w:ind w:left="2880" w:hanging="360"/>
      </w:pPr>
      <w:rPr>
        <w:rFonts w:ascii="Arial" w:hAnsi="Arial" w:hint="default"/>
      </w:rPr>
    </w:lvl>
    <w:lvl w:ilvl="4" w:tplc="C492CEBE" w:tentative="1">
      <w:start w:val="1"/>
      <w:numFmt w:val="bullet"/>
      <w:lvlText w:val="•"/>
      <w:lvlJc w:val="left"/>
      <w:pPr>
        <w:tabs>
          <w:tab w:val="num" w:pos="3600"/>
        </w:tabs>
        <w:ind w:left="3600" w:hanging="360"/>
      </w:pPr>
      <w:rPr>
        <w:rFonts w:ascii="Arial" w:hAnsi="Arial" w:hint="default"/>
      </w:rPr>
    </w:lvl>
    <w:lvl w:ilvl="5" w:tplc="E2FA55A6" w:tentative="1">
      <w:start w:val="1"/>
      <w:numFmt w:val="bullet"/>
      <w:lvlText w:val="•"/>
      <w:lvlJc w:val="left"/>
      <w:pPr>
        <w:tabs>
          <w:tab w:val="num" w:pos="4320"/>
        </w:tabs>
        <w:ind w:left="4320" w:hanging="360"/>
      </w:pPr>
      <w:rPr>
        <w:rFonts w:ascii="Arial" w:hAnsi="Arial" w:hint="default"/>
      </w:rPr>
    </w:lvl>
    <w:lvl w:ilvl="6" w:tplc="15BE612C" w:tentative="1">
      <w:start w:val="1"/>
      <w:numFmt w:val="bullet"/>
      <w:lvlText w:val="•"/>
      <w:lvlJc w:val="left"/>
      <w:pPr>
        <w:tabs>
          <w:tab w:val="num" w:pos="5040"/>
        </w:tabs>
        <w:ind w:left="5040" w:hanging="360"/>
      </w:pPr>
      <w:rPr>
        <w:rFonts w:ascii="Arial" w:hAnsi="Arial" w:hint="default"/>
      </w:rPr>
    </w:lvl>
    <w:lvl w:ilvl="7" w:tplc="665678EA" w:tentative="1">
      <w:start w:val="1"/>
      <w:numFmt w:val="bullet"/>
      <w:lvlText w:val="•"/>
      <w:lvlJc w:val="left"/>
      <w:pPr>
        <w:tabs>
          <w:tab w:val="num" w:pos="5760"/>
        </w:tabs>
        <w:ind w:left="5760" w:hanging="360"/>
      </w:pPr>
      <w:rPr>
        <w:rFonts w:ascii="Arial" w:hAnsi="Arial" w:hint="default"/>
      </w:rPr>
    </w:lvl>
    <w:lvl w:ilvl="8" w:tplc="245ADE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F9566EB"/>
    <w:multiLevelType w:val="hybridMultilevel"/>
    <w:tmpl w:val="3EDAB1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0CD47F9"/>
    <w:multiLevelType w:val="hybridMultilevel"/>
    <w:tmpl w:val="A600CB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C7032F"/>
    <w:multiLevelType w:val="multilevel"/>
    <w:tmpl w:val="8690DAF4"/>
    <w:lvl w:ilvl="0">
      <w:start w:val="20"/>
      <w:numFmt w:val="decimal"/>
      <w:lvlText w:val="%1."/>
      <w:lvlJc w:val="left"/>
      <w:pPr>
        <w:tabs>
          <w:tab w:val="num" w:pos="8460"/>
        </w:tabs>
        <w:ind w:left="8460" w:hanging="360"/>
      </w:pPr>
    </w:lvl>
    <w:lvl w:ilvl="1" w:tentative="1">
      <w:start w:val="1"/>
      <w:numFmt w:val="decimal"/>
      <w:lvlText w:val="%2."/>
      <w:lvlJc w:val="left"/>
      <w:pPr>
        <w:tabs>
          <w:tab w:val="num" w:pos="9180"/>
        </w:tabs>
        <w:ind w:left="9180" w:hanging="360"/>
      </w:pPr>
    </w:lvl>
    <w:lvl w:ilvl="2" w:tentative="1">
      <w:start w:val="1"/>
      <w:numFmt w:val="decimal"/>
      <w:lvlText w:val="%3."/>
      <w:lvlJc w:val="left"/>
      <w:pPr>
        <w:tabs>
          <w:tab w:val="num" w:pos="9900"/>
        </w:tabs>
        <w:ind w:left="9900" w:hanging="360"/>
      </w:pPr>
    </w:lvl>
    <w:lvl w:ilvl="3" w:tentative="1">
      <w:start w:val="1"/>
      <w:numFmt w:val="decimal"/>
      <w:lvlText w:val="%4."/>
      <w:lvlJc w:val="left"/>
      <w:pPr>
        <w:tabs>
          <w:tab w:val="num" w:pos="10620"/>
        </w:tabs>
        <w:ind w:left="10620" w:hanging="360"/>
      </w:pPr>
    </w:lvl>
    <w:lvl w:ilvl="4" w:tentative="1">
      <w:start w:val="1"/>
      <w:numFmt w:val="decimal"/>
      <w:lvlText w:val="%5."/>
      <w:lvlJc w:val="left"/>
      <w:pPr>
        <w:tabs>
          <w:tab w:val="num" w:pos="11340"/>
        </w:tabs>
        <w:ind w:left="11340" w:hanging="360"/>
      </w:pPr>
    </w:lvl>
    <w:lvl w:ilvl="5" w:tentative="1">
      <w:start w:val="1"/>
      <w:numFmt w:val="decimal"/>
      <w:lvlText w:val="%6."/>
      <w:lvlJc w:val="left"/>
      <w:pPr>
        <w:tabs>
          <w:tab w:val="num" w:pos="12060"/>
        </w:tabs>
        <w:ind w:left="12060" w:hanging="360"/>
      </w:pPr>
    </w:lvl>
    <w:lvl w:ilvl="6" w:tentative="1">
      <w:start w:val="1"/>
      <w:numFmt w:val="decimal"/>
      <w:lvlText w:val="%7."/>
      <w:lvlJc w:val="left"/>
      <w:pPr>
        <w:tabs>
          <w:tab w:val="num" w:pos="12780"/>
        </w:tabs>
        <w:ind w:left="12780" w:hanging="360"/>
      </w:pPr>
    </w:lvl>
    <w:lvl w:ilvl="7" w:tentative="1">
      <w:start w:val="1"/>
      <w:numFmt w:val="decimal"/>
      <w:lvlText w:val="%8."/>
      <w:lvlJc w:val="left"/>
      <w:pPr>
        <w:tabs>
          <w:tab w:val="num" w:pos="13500"/>
        </w:tabs>
        <w:ind w:left="13500" w:hanging="360"/>
      </w:pPr>
    </w:lvl>
    <w:lvl w:ilvl="8" w:tentative="1">
      <w:start w:val="1"/>
      <w:numFmt w:val="decimal"/>
      <w:lvlText w:val="%9."/>
      <w:lvlJc w:val="left"/>
      <w:pPr>
        <w:tabs>
          <w:tab w:val="num" w:pos="14220"/>
        </w:tabs>
        <w:ind w:left="14220" w:hanging="360"/>
      </w:pPr>
    </w:lvl>
  </w:abstractNum>
  <w:abstractNum w:abstractNumId="22" w15:restartNumberingAfterBreak="0">
    <w:nsid w:val="522A56AA"/>
    <w:multiLevelType w:val="hybridMultilevel"/>
    <w:tmpl w:val="BEC4ED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922E40"/>
    <w:multiLevelType w:val="hybridMultilevel"/>
    <w:tmpl w:val="8C448792"/>
    <w:lvl w:ilvl="0" w:tplc="725829C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C6022A4"/>
    <w:multiLevelType w:val="hybridMultilevel"/>
    <w:tmpl w:val="77268E90"/>
    <w:lvl w:ilvl="0" w:tplc="0409000F">
      <w:start w:val="1"/>
      <w:numFmt w:val="decimal"/>
      <w:lvlText w:val="%1."/>
      <w:lvlJc w:val="left"/>
      <w:pPr>
        <w:ind w:left="7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0B237C"/>
    <w:multiLevelType w:val="hybridMultilevel"/>
    <w:tmpl w:val="2F927466"/>
    <w:lvl w:ilvl="0" w:tplc="20A0029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AC2736F"/>
    <w:multiLevelType w:val="hybridMultilevel"/>
    <w:tmpl w:val="36CA3A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D9219AC"/>
    <w:multiLevelType w:val="hybridMultilevel"/>
    <w:tmpl w:val="57E6A9B8"/>
    <w:lvl w:ilvl="0" w:tplc="A5FC44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FA10526"/>
    <w:multiLevelType w:val="hybridMultilevel"/>
    <w:tmpl w:val="816ECC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3651729">
    <w:abstractNumId w:val="17"/>
  </w:num>
  <w:num w:numId="2" w16cid:durableId="128522679">
    <w:abstractNumId w:val="13"/>
  </w:num>
  <w:num w:numId="3" w16cid:durableId="450128808">
    <w:abstractNumId w:val="20"/>
  </w:num>
  <w:num w:numId="4" w16cid:durableId="226459488">
    <w:abstractNumId w:val="24"/>
  </w:num>
  <w:num w:numId="5" w16cid:durableId="767194207">
    <w:abstractNumId w:val="26"/>
  </w:num>
  <w:num w:numId="6" w16cid:durableId="1246189015">
    <w:abstractNumId w:val="23"/>
  </w:num>
  <w:num w:numId="7" w16cid:durableId="1873878812">
    <w:abstractNumId w:val="15"/>
  </w:num>
  <w:num w:numId="8" w16cid:durableId="1481340497">
    <w:abstractNumId w:val="28"/>
  </w:num>
  <w:num w:numId="9" w16cid:durableId="1356618629">
    <w:abstractNumId w:val="19"/>
  </w:num>
  <w:num w:numId="10" w16cid:durableId="1314412111">
    <w:abstractNumId w:val="22"/>
  </w:num>
  <w:num w:numId="11" w16cid:durableId="1305892451">
    <w:abstractNumId w:val="11"/>
  </w:num>
  <w:num w:numId="12" w16cid:durableId="2031754783">
    <w:abstractNumId w:val="14"/>
  </w:num>
  <w:num w:numId="13" w16cid:durableId="766580522">
    <w:abstractNumId w:val="16"/>
  </w:num>
  <w:num w:numId="14" w16cid:durableId="2090344500">
    <w:abstractNumId w:val="12"/>
  </w:num>
  <w:num w:numId="15" w16cid:durableId="972178477">
    <w:abstractNumId w:val="27"/>
  </w:num>
  <w:num w:numId="16" w16cid:durableId="930236468">
    <w:abstractNumId w:val="10"/>
  </w:num>
  <w:num w:numId="17" w16cid:durableId="1732341246">
    <w:abstractNumId w:val="18"/>
  </w:num>
  <w:num w:numId="18" w16cid:durableId="1705017271">
    <w:abstractNumId w:val="21"/>
  </w:num>
  <w:num w:numId="19" w16cid:durableId="23360737">
    <w:abstractNumId w:val="25"/>
  </w:num>
  <w:num w:numId="20" w16cid:durableId="1052923870">
    <w:abstractNumId w:val="0"/>
  </w:num>
  <w:num w:numId="21" w16cid:durableId="818544687">
    <w:abstractNumId w:val="1"/>
  </w:num>
  <w:num w:numId="22" w16cid:durableId="789200086">
    <w:abstractNumId w:val="2"/>
  </w:num>
  <w:num w:numId="23" w16cid:durableId="255410185">
    <w:abstractNumId w:val="3"/>
  </w:num>
  <w:num w:numId="24" w16cid:durableId="1717898748">
    <w:abstractNumId w:val="8"/>
  </w:num>
  <w:num w:numId="25" w16cid:durableId="1022433264">
    <w:abstractNumId w:val="4"/>
  </w:num>
  <w:num w:numId="26" w16cid:durableId="233971761">
    <w:abstractNumId w:val="5"/>
  </w:num>
  <w:num w:numId="27" w16cid:durableId="869027433">
    <w:abstractNumId w:val="6"/>
  </w:num>
  <w:num w:numId="28" w16cid:durableId="1731421847">
    <w:abstractNumId w:val="7"/>
  </w:num>
  <w:num w:numId="29" w16cid:durableId="4707389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TrueTypeFonts/>
  <w:activeWritingStyle w:appName="MSWord" w:lang="en-US" w:vendorID="64" w:dllVersion="0" w:nlCheck="1" w:checkStyle="0"/>
  <w:activeWritingStyle w:appName="MSWord" w:lang="en-US" w:vendorID="64" w:dllVersion="4096"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mailMerge>
    <w:mainDocumentType w:val="formLetters"/>
    <w:dataType w:val="textFile"/>
    <w:activeRecord w:val="-1"/>
  </w:mailMerge>
  <w:defaultTabStop w:val="720"/>
  <w:characterSpacingControl w:val="doNotCompress"/>
  <w:hdrShapeDefaults>
    <o:shapedefaults v:ext="edit" spidmax="17203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75BA"/>
    <w:rsid w:val="00000480"/>
    <w:rsid w:val="0000058C"/>
    <w:rsid w:val="00000AD6"/>
    <w:rsid w:val="00001352"/>
    <w:rsid w:val="00001821"/>
    <w:rsid w:val="00002135"/>
    <w:rsid w:val="00002251"/>
    <w:rsid w:val="00002ACF"/>
    <w:rsid w:val="00002D46"/>
    <w:rsid w:val="0000383B"/>
    <w:rsid w:val="000038D9"/>
    <w:rsid w:val="00003D06"/>
    <w:rsid w:val="00004B3A"/>
    <w:rsid w:val="0000507F"/>
    <w:rsid w:val="00005858"/>
    <w:rsid w:val="00006C30"/>
    <w:rsid w:val="00007C41"/>
    <w:rsid w:val="000107AA"/>
    <w:rsid w:val="000108DF"/>
    <w:rsid w:val="000109F6"/>
    <w:rsid w:val="00010CA8"/>
    <w:rsid w:val="00010D40"/>
    <w:rsid w:val="00010F4D"/>
    <w:rsid w:val="00012470"/>
    <w:rsid w:val="000124CB"/>
    <w:rsid w:val="0001274A"/>
    <w:rsid w:val="0001310A"/>
    <w:rsid w:val="0001364E"/>
    <w:rsid w:val="000138B8"/>
    <w:rsid w:val="00013B92"/>
    <w:rsid w:val="00013CFE"/>
    <w:rsid w:val="00013E14"/>
    <w:rsid w:val="00013F95"/>
    <w:rsid w:val="00014BA1"/>
    <w:rsid w:val="0001534E"/>
    <w:rsid w:val="000153E3"/>
    <w:rsid w:val="00015729"/>
    <w:rsid w:val="000159A3"/>
    <w:rsid w:val="00015EAA"/>
    <w:rsid w:val="00015ECF"/>
    <w:rsid w:val="00015F85"/>
    <w:rsid w:val="000168B9"/>
    <w:rsid w:val="00016D4B"/>
    <w:rsid w:val="0001748E"/>
    <w:rsid w:val="0001763B"/>
    <w:rsid w:val="00017BA4"/>
    <w:rsid w:val="00020342"/>
    <w:rsid w:val="000206E1"/>
    <w:rsid w:val="00020AFD"/>
    <w:rsid w:val="00020C89"/>
    <w:rsid w:val="00020D16"/>
    <w:rsid w:val="0002151E"/>
    <w:rsid w:val="0002175A"/>
    <w:rsid w:val="000218A5"/>
    <w:rsid w:val="00021A66"/>
    <w:rsid w:val="00021B6D"/>
    <w:rsid w:val="00021EA6"/>
    <w:rsid w:val="00021F09"/>
    <w:rsid w:val="000223D1"/>
    <w:rsid w:val="0002253E"/>
    <w:rsid w:val="00022E3F"/>
    <w:rsid w:val="00023652"/>
    <w:rsid w:val="00023B8B"/>
    <w:rsid w:val="00024ABD"/>
    <w:rsid w:val="00024CBC"/>
    <w:rsid w:val="0002504F"/>
    <w:rsid w:val="000250FD"/>
    <w:rsid w:val="000252D4"/>
    <w:rsid w:val="00025651"/>
    <w:rsid w:val="00026107"/>
    <w:rsid w:val="00026447"/>
    <w:rsid w:val="00026985"/>
    <w:rsid w:val="00026E51"/>
    <w:rsid w:val="00027653"/>
    <w:rsid w:val="000300C0"/>
    <w:rsid w:val="00030495"/>
    <w:rsid w:val="000309AC"/>
    <w:rsid w:val="00031841"/>
    <w:rsid w:val="00031BEB"/>
    <w:rsid w:val="00032129"/>
    <w:rsid w:val="000325A3"/>
    <w:rsid w:val="00032727"/>
    <w:rsid w:val="0003282C"/>
    <w:rsid w:val="00032A3D"/>
    <w:rsid w:val="00032B11"/>
    <w:rsid w:val="00032D71"/>
    <w:rsid w:val="00034191"/>
    <w:rsid w:val="000350EA"/>
    <w:rsid w:val="00035875"/>
    <w:rsid w:val="00035959"/>
    <w:rsid w:val="000359BA"/>
    <w:rsid w:val="00035A8C"/>
    <w:rsid w:val="000361C8"/>
    <w:rsid w:val="00036484"/>
    <w:rsid w:val="0003660F"/>
    <w:rsid w:val="00036645"/>
    <w:rsid w:val="0003674A"/>
    <w:rsid w:val="00037010"/>
    <w:rsid w:val="000372FD"/>
    <w:rsid w:val="00037326"/>
    <w:rsid w:val="00037563"/>
    <w:rsid w:val="0003768D"/>
    <w:rsid w:val="00037ACD"/>
    <w:rsid w:val="00040A37"/>
    <w:rsid w:val="00040B49"/>
    <w:rsid w:val="00040D1F"/>
    <w:rsid w:val="00040E2C"/>
    <w:rsid w:val="00041951"/>
    <w:rsid w:val="000422B8"/>
    <w:rsid w:val="0004269F"/>
    <w:rsid w:val="00042B1E"/>
    <w:rsid w:val="00042D2D"/>
    <w:rsid w:val="00043017"/>
    <w:rsid w:val="00043357"/>
    <w:rsid w:val="000433DE"/>
    <w:rsid w:val="00043976"/>
    <w:rsid w:val="00043A9C"/>
    <w:rsid w:val="00045C5A"/>
    <w:rsid w:val="00045D80"/>
    <w:rsid w:val="00046073"/>
    <w:rsid w:val="00046C96"/>
    <w:rsid w:val="00046D89"/>
    <w:rsid w:val="00046F59"/>
    <w:rsid w:val="00047665"/>
    <w:rsid w:val="00047786"/>
    <w:rsid w:val="00047B90"/>
    <w:rsid w:val="00050932"/>
    <w:rsid w:val="00050B68"/>
    <w:rsid w:val="00051228"/>
    <w:rsid w:val="0005167E"/>
    <w:rsid w:val="000516A4"/>
    <w:rsid w:val="00051760"/>
    <w:rsid w:val="00051A81"/>
    <w:rsid w:val="00051E72"/>
    <w:rsid w:val="0005266C"/>
    <w:rsid w:val="00052673"/>
    <w:rsid w:val="000526DF"/>
    <w:rsid w:val="000527CB"/>
    <w:rsid w:val="00052D31"/>
    <w:rsid w:val="0005346C"/>
    <w:rsid w:val="00053549"/>
    <w:rsid w:val="00053AAC"/>
    <w:rsid w:val="000540F4"/>
    <w:rsid w:val="0005534D"/>
    <w:rsid w:val="0005581F"/>
    <w:rsid w:val="00055DE8"/>
    <w:rsid w:val="00055EC2"/>
    <w:rsid w:val="000568CE"/>
    <w:rsid w:val="00056A60"/>
    <w:rsid w:val="00056A67"/>
    <w:rsid w:val="00056AD3"/>
    <w:rsid w:val="000571E1"/>
    <w:rsid w:val="00057864"/>
    <w:rsid w:val="00060291"/>
    <w:rsid w:val="00060A6D"/>
    <w:rsid w:val="00061C9E"/>
    <w:rsid w:val="0006231D"/>
    <w:rsid w:val="00063B01"/>
    <w:rsid w:val="000646C7"/>
    <w:rsid w:val="00064F84"/>
    <w:rsid w:val="000655A2"/>
    <w:rsid w:val="000655AE"/>
    <w:rsid w:val="000657C3"/>
    <w:rsid w:val="00065A7E"/>
    <w:rsid w:val="00065ACF"/>
    <w:rsid w:val="0006667C"/>
    <w:rsid w:val="0006694C"/>
    <w:rsid w:val="00066F87"/>
    <w:rsid w:val="00067170"/>
    <w:rsid w:val="000677F8"/>
    <w:rsid w:val="0006799A"/>
    <w:rsid w:val="00067E13"/>
    <w:rsid w:val="00070366"/>
    <w:rsid w:val="000704E5"/>
    <w:rsid w:val="00070F2D"/>
    <w:rsid w:val="0007110C"/>
    <w:rsid w:val="0007127F"/>
    <w:rsid w:val="00071A1F"/>
    <w:rsid w:val="00071A53"/>
    <w:rsid w:val="00071C04"/>
    <w:rsid w:val="00071C91"/>
    <w:rsid w:val="000724F4"/>
    <w:rsid w:val="000726AC"/>
    <w:rsid w:val="000728D2"/>
    <w:rsid w:val="00072D22"/>
    <w:rsid w:val="000731F3"/>
    <w:rsid w:val="000732A0"/>
    <w:rsid w:val="0007342B"/>
    <w:rsid w:val="0007353D"/>
    <w:rsid w:val="0007362A"/>
    <w:rsid w:val="000736EE"/>
    <w:rsid w:val="00073886"/>
    <w:rsid w:val="00073A84"/>
    <w:rsid w:val="00074808"/>
    <w:rsid w:val="00074EDA"/>
    <w:rsid w:val="000755AE"/>
    <w:rsid w:val="000758CC"/>
    <w:rsid w:val="00075D9E"/>
    <w:rsid w:val="00075E3C"/>
    <w:rsid w:val="00076290"/>
    <w:rsid w:val="00077509"/>
    <w:rsid w:val="00077639"/>
    <w:rsid w:val="00077D58"/>
    <w:rsid w:val="0008012D"/>
    <w:rsid w:val="0008017E"/>
    <w:rsid w:val="00080777"/>
    <w:rsid w:val="00080BBE"/>
    <w:rsid w:val="0008142B"/>
    <w:rsid w:val="00081432"/>
    <w:rsid w:val="00081556"/>
    <w:rsid w:val="0008189E"/>
    <w:rsid w:val="00081D87"/>
    <w:rsid w:val="00081F86"/>
    <w:rsid w:val="00082150"/>
    <w:rsid w:val="0008249B"/>
    <w:rsid w:val="000824ED"/>
    <w:rsid w:val="00082762"/>
    <w:rsid w:val="00082CC8"/>
    <w:rsid w:val="000830C8"/>
    <w:rsid w:val="000830FA"/>
    <w:rsid w:val="0008320E"/>
    <w:rsid w:val="00083473"/>
    <w:rsid w:val="00084174"/>
    <w:rsid w:val="00084497"/>
    <w:rsid w:val="000846C7"/>
    <w:rsid w:val="000847FF"/>
    <w:rsid w:val="00084C06"/>
    <w:rsid w:val="00084FF8"/>
    <w:rsid w:val="00085C94"/>
    <w:rsid w:val="00085DD3"/>
    <w:rsid w:val="000875E4"/>
    <w:rsid w:val="000878C1"/>
    <w:rsid w:val="00087BFB"/>
    <w:rsid w:val="0009053E"/>
    <w:rsid w:val="000918A4"/>
    <w:rsid w:val="00091A19"/>
    <w:rsid w:val="00092EC2"/>
    <w:rsid w:val="00092F05"/>
    <w:rsid w:val="00093031"/>
    <w:rsid w:val="000933B7"/>
    <w:rsid w:val="000936A7"/>
    <w:rsid w:val="00093B4D"/>
    <w:rsid w:val="00093BB0"/>
    <w:rsid w:val="00093BC6"/>
    <w:rsid w:val="00093E80"/>
    <w:rsid w:val="000940C6"/>
    <w:rsid w:val="00094179"/>
    <w:rsid w:val="0009426C"/>
    <w:rsid w:val="00094E72"/>
    <w:rsid w:val="00095A99"/>
    <w:rsid w:val="00095EBA"/>
    <w:rsid w:val="00095F73"/>
    <w:rsid w:val="00096462"/>
    <w:rsid w:val="0009660C"/>
    <w:rsid w:val="00096D71"/>
    <w:rsid w:val="00097024"/>
    <w:rsid w:val="00097067"/>
    <w:rsid w:val="000972EB"/>
    <w:rsid w:val="000976EB"/>
    <w:rsid w:val="00097F66"/>
    <w:rsid w:val="000A03BB"/>
    <w:rsid w:val="000A07E2"/>
    <w:rsid w:val="000A0B51"/>
    <w:rsid w:val="000A1186"/>
    <w:rsid w:val="000A1D8F"/>
    <w:rsid w:val="000A22F7"/>
    <w:rsid w:val="000A246F"/>
    <w:rsid w:val="000A25B2"/>
    <w:rsid w:val="000A27C0"/>
    <w:rsid w:val="000A289B"/>
    <w:rsid w:val="000A2C3C"/>
    <w:rsid w:val="000A2F79"/>
    <w:rsid w:val="000A330F"/>
    <w:rsid w:val="000A392C"/>
    <w:rsid w:val="000A4137"/>
    <w:rsid w:val="000A41F1"/>
    <w:rsid w:val="000A4949"/>
    <w:rsid w:val="000A5075"/>
    <w:rsid w:val="000A58E4"/>
    <w:rsid w:val="000A5967"/>
    <w:rsid w:val="000A5984"/>
    <w:rsid w:val="000A59EA"/>
    <w:rsid w:val="000A5CA8"/>
    <w:rsid w:val="000A655C"/>
    <w:rsid w:val="000A691F"/>
    <w:rsid w:val="000A6CD7"/>
    <w:rsid w:val="000A7039"/>
    <w:rsid w:val="000A7165"/>
    <w:rsid w:val="000A7594"/>
    <w:rsid w:val="000B07EE"/>
    <w:rsid w:val="000B0BC2"/>
    <w:rsid w:val="000B0C84"/>
    <w:rsid w:val="000B109E"/>
    <w:rsid w:val="000B1238"/>
    <w:rsid w:val="000B1585"/>
    <w:rsid w:val="000B19F8"/>
    <w:rsid w:val="000B263A"/>
    <w:rsid w:val="000B2BA1"/>
    <w:rsid w:val="000B38F9"/>
    <w:rsid w:val="000B3DA2"/>
    <w:rsid w:val="000B436C"/>
    <w:rsid w:val="000B4A66"/>
    <w:rsid w:val="000B5164"/>
    <w:rsid w:val="000B520B"/>
    <w:rsid w:val="000B5264"/>
    <w:rsid w:val="000B5360"/>
    <w:rsid w:val="000B5B4E"/>
    <w:rsid w:val="000B61BC"/>
    <w:rsid w:val="000B6336"/>
    <w:rsid w:val="000B6612"/>
    <w:rsid w:val="000B6A49"/>
    <w:rsid w:val="000B6AC2"/>
    <w:rsid w:val="000B7572"/>
    <w:rsid w:val="000B77DD"/>
    <w:rsid w:val="000C09AE"/>
    <w:rsid w:val="000C104A"/>
    <w:rsid w:val="000C127B"/>
    <w:rsid w:val="000C138D"/>
    <w:rsid w:val="000C13A6"/>
    <w:rsid w:val="000C1F29"/>
    <w:rsid w:val="000C2229"/>
    <w:rsid w:val="000C2798"/>
    <w:rsid w:val="000C28C1"/>
    <w:rsid w:val="000C2CB4"/>
    <w:rsid w:val="000C33FE"/>
    <w:rsid w:val="000C35E0"/>
    <w:rsid w:val="000C39C7"/>
    <w:rsid w:val="000C4FBB"/>
    <w:rsid w:val="000C54E0"/>
    <w:rsid w:val="000C5F7B"/>
    <w:rsid w:val="000C666A"/>
    <w:rsid w:val="000C6966"/>
    <w:rsid w:val="000C6D51"/>
    <w:rsid w:val="000C6EFA"/>
    <w:rsid w:val="000C7076"/>
    <w:rsid w:val="000C7322"/>
    <w:rsid w:val="000C777C"/>
    <w:rsid w:val="000C7820"/>
    <w:rsid w:val="000C7BA6"/>
    <w:rsid w:val="000D06B7"/>
    <w:rsid w:val="000D0C49"/>
    <w:rsid w:val="000D1E4A"/>
    <w:rsid w:val="000D240E"/>
    <w:rsid w:val="000D2F46"/>
    <w:rsid w:val="000D39D7"/>
    <w:rsid w:val="000D3D4A"/>
    <w:rsid w:val="000D3F70"/>
    <w:rsid w:val="000D4504"/>
    <w:rsid w:val="000D4B81"/>
    <w:rsid w:val="000D5028"/>
    <w:rsid w:val="000D50AD"/>
    <w:rsid w:val="000D5A24"/>
    <w:rsid w:val="000D5D7C"/>
    <w:rsid w:val="000D63DD"/>
    <w:rsid w:val="000D6437"/>
    <w:rsid w:val="000D6906"/>
    <w:rsid w:val="000D6AD1"/>
    <w:rsid w:val="000D6CCA"/>
    <w:rsid w:val="000D6E44"/>
    <w:rsid w:val="000D72B1"/>
    <w:rsid w:val="000D7882"/>
    <w:rsid w:val="000D79C9"/>
    <w:rsid w:val="000E079A"/>
    <w:rsid w:val="000E0840"/>
    <w:rsid w:val="000E0B36"/>
    <w:rsid w:val="000E21DC"/>
    <w:rsid w:val="000E2352"/>
    <w:rsid w:val="000E2A0D"/>
    <w:rsid w:val="000E2EF4"/>
    <w:rsid w:val="000E2EF9"/>
    <w:rsid w:val="000E394A"/>
    <w:rsid w:val="000E3EC8"/>
    <w:rsid w:val="000E40C9"/>
    <w:rsid w:val="000E45A0"/>
    <w:rsid w:val="000E4ECF"/>
    <w:rsid w:val="000E52FE"/>
    <w:rsid w:val="000E5771"/>
    <w:rsid w:val="000E5D5A"/>
    <w:rsid w:val="000E61A4"/>
    <w:rsid w:val="000E66FE"/>
    <w:rsid w:val="000E6AF5"/>
    <w:rsid w:val="000E7D3D"/>
    <w:rsid w:val="000E7E06"/>
    <w:rsid w:val="000F0B49"/>
    <w:rsid w:val="000F0D5D"/>
    <w:rsid w:val="000F0FE0"/>
    <w:rsid w:val="000F17D1"/>
    <w:rsid w:val="000F1ADC"/>
    <w:rsid w:val="000F1B66"/>
    <w:rsid w:val="000F1CD7"/>
    <w:rsid w:val="000F212F"/>
    <w:rsid w:val="000F3C26"/>
    <w:rsid w:val="000F43E1"/>
    <w:rsid w:val="000F4DD3"/>
    <w:rsid w:val="000F51EE"/>
    <w:rsid w:val="000F55FE"/>
    <w:rsid w:val="000F5AAA"/>
    <w:rsid w:val="000F5D48"/>
    <w:rsid w:val="000F6021"/>
    <w:rsid w:val="000F6763"/>
    <w:rsid w:val="000F6A8B"/>
    <w:rsid w:val="000F72CF"/>
    <w:rsid w:val="000F763F"/>
    <w:rsid w:val="000F79D1"/>
    <w:rsid w:val="000F7AE5"/>
    <w:rsid w:val="001002BE"/>
    <w:rsid w:val="001015B7"/>
    <w:rsid w:val="00101F8D"/>
    <w:rsid w:val="0010323B"/>
    <w:rsid w:val="0010398E"/>
    <w:rsid w:val="00104328"/>
    <w:rsid w:val="00104C65"/>
    <w:rsid w:val="00104D40"/>
    <w:rsid w:val="00104F8C"/>
    <w:rsid w:val="00105440"/>
    <w:rsid w:val="001054CC"/>
    <w:rsid w:val="001061FF"/>
    <w:rsid w:val="001064C6"/>
    <w:rsid w:val="001067B2"/>
    <w:rsid w:val="00106801"/>
    <w:rsid w:val="00106E8E"/>
    <w:rsid w:val="001070B7"/>
    <w:rsid w:val="001074FE"/>
    <w:rsid w:val="00107DAD"/>
    <w:rsid w:val="001101BF"/>
    <w:rsid w:val="0011078C"/>
    <w:rsid w:val="00111398"/>
    <w:rsid w:val="00111837"/>
    <w:rsid w:val="0011194B"/>
    <w:rsid w:val="00111971"/>
    <w:rsid w:val="001119EF"/>
    <w:rsid w:val="00111B2B"/>
    <w:rsid w:val="00111D11"/>
    <w:rsid w:val="00111DF3"/>
    <w:rsid w:val="00112068"/>
    <w:rsid w:val="00112119"/>
    <w:rsid w:val="00112E31"/>
    <w:rsid w:val="00113370"/>
    <w:rsid w:val="001137E4"/>
    <w:rsid w:val="00113A66"/>
    <w:rsid w:val="00113AB9"/>
    <w:rsid w:val="00113B8F"/>
    <w:rsid w:val="00113C24"/>
    <w:rsid w:val="00113DE3"/>
    <w:rsid w:val="001142E9"/>
    <w:rsid w:val="00114C47"/>
    <w:rsid w:val="001151B6"/>
    <w:rsid w:val="00115414"/>
    <w:rsid w:val="00115726"/>
    <w:rsid w:val="00115CC5"/>
    <w:rsid w:val="00115EDF"/>
    <w:rsid w:val="00115EE6"/>
    <w:rsid w:val="0011677E"/>
    <w:rsid w:val="00117146"/>
    <w:rsid w:val="00117959"/>
    <w:rsid w:val="00120B28"/>
    <w:rsid w:val="00120C51"/>
    <w:rsid w:val="001213D6"/>
    <w:rsid w:val="0012144A"/>
    <w:rsid w:val="00121588"/>
    <w:rsid w:val="001216C6"/>
    <w:rsid w:val="00121747"/>
    <w:rsid w:val="00121895"/>
    <w:rsid w:val="00121BF9"/>
    <w:rsid w:val="00121C25"/>
    <w:rsid w:val="00121F61"/>
    <w:rsid w:val="001220F6"/>
    <w:rsid w:val="00122780"/>
    <w:rsid w:val="00122A0B"/>
    <w:rsid w:val="00122F5C"/>
    <w:rsid w:val="001232CE"/>
    <w:rsid w:val="00124C31"/>
    <w:rsid w:val="00124E94"/>
    <w:rsid w:val="00125774"/>
    <w:rsid w:val="00125896"/>
    <w:rsid w:val="001258C6"/>
    <w:rsid w:val="00125C31"/>
    <w:rsid w:val="00125C41"/>
    <w:rsid w:val="00125D15"/>
    <w:rsid w:val="0012674E"/>
    <w:rsid w:val="00126A92"/>
    <w:rsid w:val="001270C0"/>
    <w:rsid w:val="00127267"/>
    <w:rsid w:val="00127327"/>
    <w:rsid w:val="001279A9"/>
    <w:rsid w:val="0013022D"/>
    <w:rsid w:val="00130306"/>
    <w:rsid w:val="0013040E"/>
    <w:rsid w:val="00130712"/>
    <w:rsid w:val="00130C55"/>
    <w:rsid w:val="001314F7"/>
    <w:rsid w:val="0013205A"/>
    <w:rsid w:val="0013239A"/>
    <w:rsid w:val="001323B0"/>
    <w:rsid w:val="0013263D"/>
    <w:rsid w:val="001327AF"/>
    <w:rsid w:val="00132D36"/>
    <w:rsid w:val="00132D6F"/>
    <w:rsid w:val="00132F1A"/>
    <w:rsid w:val="00133AFB"/>
    <w:rsid w:val="00134196"/>
    <w:rsid w:val="00134346"/>
    <w:rsid w:val="00134479"/>
    <w:rsid w:val="00134AF9"/>
    <w:rsid w:val="00134B9A"/>
    <w:rsid w:val="00134CE1"/>
    <w:rsid w:val="00135290"/>
    <w:rsid w:val="001352C1"/>
    <w:rsid w:val="0013550C"/>
    <w:rsid w:val="00135DE1"/>
    <w:rsid w:val="0013626D"/>
    <w:rsid w:val="00136AC7"/>
    <w:rsid w:val="00136B71"/>
    <w:rsid w:val="00136BFB"/>
    <w:rsid w:val="00136DCA"/>
    <w:rsid w:val="00136DF6"/>
    <w:rsid w:val="00137099"/>
    <w:rsid w:val="00137147"/>
    <w:rsid w:val="001373E9"/>
    <w:rsid w:val="00137964"/>
    <w:rsid w:val="00137FC6"/>
    <w:rsid w:val="00137FF2"/>
    <w:rsid w:val="00140B67"/>
    <w:rsid w:val="00140BDE"/>
    <w:rsid w:val="00140EB8"/>
    <w:rsid w:val="00140FF3"/>
    <w:rsid w:val="00141027"/>
    <w:rsid w:val="0014117D"/>
    <w:rsid w:val="001412F1"/>
    <w:rsid w:val="00141826"/>
    <w:rsid w:val="00142421"/>
    <w:rsid w:val="00142A93"/>
    <w:rsid w:val="00142B13"/>
    <w:rsid w:val="00142B8A"/>
    <w:rsid w:val="0014302C"/>
    <w:rsid w:val="00143C53"/>
    <w:rsid w:val="00143FE1"/>
    <w:rsid w:val="001440D0"/>
    <w:rsid w:val="0014465E"/>
    <w:rsid w:val="00144B85"/>
    <w:rsid w:val="00144BAF"/>
    <w:rsid w:val="0014509C"/>
    <w:rsid w:val="0014560A"/>
    <w:rsid w:val="001456B7"/>
    <w:rsid w:val="00145F9F"/>
    <w:rsid w:val="00146558"/>
    <w:rsid w:val="001477B1"/>
    <w:rsid w:val="001478F5"/>
    <w:rsid w:val="001507F0"/>
    <w:rsid w:val="00150ACE"/>
    <w:rsid w:val="001511AE"/>
    <w:rsid w:val="00151486"/>
    <w:rsid w:val="00151D17"/>
    <w:rsid w:val="00151E73"/>
    <w:rsid w:val="00152649"/>
    <w:rsid w:val="0015267B"/>
    <w:rsid w:val="00153536"/>
    <w:rsid w:val="00153C01"/>
    <w:rsid w:val="00154159"/>
    <w:rsid w:val="00154C6C"/>
    <w:rsid w:val="001550AB"/>
    <w:rsid w:val="0015511E"/>
    <w:rsid w:val="00155227"/>
    <w:rsid w:val="001559FB"/>
    <w:rsid w:val="00155DB9"/>
    <w:rsid w:val="00155E68"/>
    <w:rsid w:val="0015705F"/>
    <w:rsid w:val="00157591"/>
    <w:rsid w:val="0015779D"/>
    <w:rsid w:val="00157CD5"/>
    <w:rsid w:val="00160D78"/>
    <w:rsid w:val="0016152E"/>
    <w:rsid w:val="001617F5"/>
    <w:rsid w:val="00161D0F"/>
    <w:rsid w:val="00161D4C"/>
    <w:rsid w:val="001625AB"/>
    <w:rsid w:val="00162E12"/>
    <w:rsid w:val="00163A66"/>
    <w:rsid w:val="00163C0F"/>
    <w:rsid w:val="00163CB5"/>
    <w:rsid w:val="00163E8D"/>
    <w:rsid w:val="00163FA6"/>
    <w:rsid w:val="00164170"/>
    <w:rsid w:val="0016420A"/>
    <w:rsid w:val="00164CB5"/>
    <w:rsid w:val="00164E72"/>
    <w:rsid w:val="00165575"/>
    <w:rsid w:val="00165AEF"/>
    <w:rsid w:val="00165C87"/>
    <w:rsid w:val="00165D56"/>
    <w:rsid w:val="001662B5"/>
    <w:rsid w:val="00167860"/>
    <w:rsid w:val="00167D71"/>
    <w:rsid w:val="00167F4A"/>
    <w:rsid w:val="00170294"/>
    <w:rsid w:val="001702E5"/>
    <w:rsid w:val="001708F7"/>
    <w:rsid w:val="00170FA4"/>
    <w:rsid w:val="00170FCF"/>
    <w:rsid w:val="00171305"/>
    <w:rsid w:val="0017172B"/>
    <w:rsid w:val="00171778"/>
    <w:rsid w:val="001720FD"/>
    <w:rsid w:val="0017294C"/>
    <w:rsid w:val="001735E1"/>
    <w:rsid w:val="0017444E"/>
    <w:rsid w:val="001744A5"/>
    <w:rsid w:val="0017503F"/>
    <w:rsid w:val="00175123"/>
    <w:rsid w:val="00175279"/>
    <w:rsid w:val="00175777"/>
    <w:rsid w:val="00175CAC"/>
    <w:rsid w:val="00175F13"/>
    <w:rsid w:val="00176293"/>
    <w:rsid w:val="00176C99"/>
    <w:rsid w:val="00176DBD"/>
    <w:rsid w:val="00176FF5"/>
    <w:rsid w:val="00177DAD"/>
    <w:rsid w:val="0018005B"/>
    <w:rsid w:val="0018030F"/>
    <w:rsid w:val="00180E70"/>
    <w:rsid w:val="00181245"/>
    <w:rsid w:val="001813CA"/>
    <w:rsid w:val="00182114"/>
    <w:rsid w:val="00182145"/>
    <w:rsid w:val="0018299D"/>
    <w:rsid w:val="00183417"/>
    <w:rsid w:val="001841A2"/>
    <w:rsid w:val="001842B5"/>
    <w:rsid w:val="0018441D"/>
    <w:rsid w:val="00184B72"/>
    <w:rsid w:val="00185767"/>
    <w:rsid w:val="00185F4A"/>
    <w:rsid w:val="001861E5"/>
    <w:rsid w:val="0018691E"/>
    <w:rsid w:val="00186CF4"/>
    <w:rsid w:val="00187383"/>
    <w:rsid w:val="0018790E"/>
    <w:rsid w:val="00187DCC"/>
    <w:rsid w:val="00190143"/>
    <w:rsid w:val="0019051C"/>
    <w:rsid w:val="00190539"/>
    <w:rsid w:val="0019124D"/>
    <w:rsid w:val="00191E18"/>
    <w:rsid w:val="00191E73"/>
    <w:rsid w:val="00192C3E"/>
    <w:rsid w:val="00192E73"/>
    <w:rsid w:val="001932CA"/>
    <w:rsid w:val="001933DC"/>
    <w:rsid w:val="00193E1C"/>
    <w:rsid w:val="00193F96"/>
    <w:rsid w:val="0019403E"/>
    <w:rsid w:val="00194371"/>
    <w:rsid w:val="0019517E"/>
    <w:rsid w:val="001955AC"/>
    <w:rsid w:val="00195919"/>
    <w:rsid w:val="001961B4"/>
    <w:rsid w:val="001968A6"/>
    <w:rsid w:val="00196C47"/>
    <w:rsid w:val="00196D64"/>
    <w:rsid w:val="00196F74"/>
    <w:rsid w:val="0019737C"/>
    <w:rsid w:val="0019785A"/>
    <w:rsid w:val="00197A31"/>
    <w:rsid w:val="001A09D1"/>
    <w:rsid w:val="001A1413"/>
    <w:rsid w:val="001A2007"/>
    <w:rsid w:val="001A2ADF"/>
    <w:rsid w:val="001A3794"/>
    <w:rsid w:val="001A39F3"/>
    <w:rsid w:val="001A420C"/>
    <w:rsid w:val="001A4626"/>
    <w:rsid w:val="001A4962"/>
    <w:rsid w:val="001A518F"/>
    <w:rsid w:val="001A5F6A"/>
    <w:rsid w:val="001A6592"/>
    <w:rsid w:val="001A6BF9"/>
    <w:rsid w:val="001A71C8"/>
    <w:rsid w:val="001A7929"/>
    <w:rsid w:val="001A7D54"/>
    <w:rsid w:val="001B0704"/>
    <w:rsid w:val="001B071B"/>
    <w:rsid w:val="001B0F8A"/>
    <w:rsid w:val="001B1DFE"/>
    <w:rsid w:val="001B1E68"/>
    <w:rsid w:val="001B30AE"/>
    <w:rsid w:val="001B310E"/>
    <w:rsid w:val="001B32EE"/>
    <w:rsid w:val="001B34E7"/>
    <w:rsid w:val="001B3754"/>
    <w:rsid w:val="001B3A9F"/>
    <w:rsid w:val="001B4DB5"/>
    <w:rsid w:val="001B4F57"/>
    <w:rsid w:val="001B5B7D"/>
    <w:rsid w:val="001B5EDB"/>
    <w:rsid w:val="001B602A"/>
    <w:rsid w:val="001B60A5"/>
    <w:rsid w:val="001B62CB"/>
    <w:rsid w:val="001B67E0"/>
    <w:rsid w:val="001B6846"/>
    <w:rsid w:val="001B6881"/>
    <w:rsid w:val="001B6B6A"/>
    <w:rsid w:val="001B6E55"/>
    <w:rsid w:val="001B7104"/>
    <w:rsid w:val="001B7E44"/>
    <w:rsid w:val="001B7F2A"/>
    <w:rsid w:val="001C0187"/>
    <w:rsid w:val="001C019A"/>
    <w:rsid w:val="001C0797"/>
    <w:rsid w:val="001C0924"/>
    <w:rsid w:val="001C17D0"/>
    <w:rsid w:val="001C18CA"/>
    <w:rsid w:val="001C19E8"/>
    <w:rsid w:val="001C1FF2"/>
    <w:rsid w:val="001C20C8"/>
    <w:rsid w:val="001C231B"/>
    <w:rsid w:val="001C2583"/>
    <w:rsid w:val="001C2BDC"/>
    <w:rsid w:val="001C3458"/>
    <w:rsid w:val="001C387E"/>
    <w:rsid w:val="001C3D94"/>
    <w:rsid w:val="001C401D"/>
    <w:rsid w:val="001C45D2"/>
    <w:rsid w:val="001C46EB"/>
    <w:rsid w:val="001C471A"/>
    <w:rsid w:val="001C59C3"/>
    <w:rsid w:val="001C5EAF"/>
    <w:rsid w:val="001C6239"/>
    <w:rsid w:val="001C6E74"/>
    <w:rsid w:val="001C7068"/>
    <w:rsid w:val="001C73DF"/>
    <w:rsid w:val="001C7501"/>
    <w:rsid w:val="001C7F29"/>
    <w:rsid w:val="001D0076"/>
    <w:rsid w:val="001D09C5"/>
    <w:rsid w:val="001D0B05"/>
    <w:rsid w:val="001D0D3F"/>
    <w:rsid w:val="001D0DBA"/>
    <w:rsid w:val="001D0F5B"/>
    <w:rsid w:val="001D0FA9"/>
    <w:rsid w:val="001D16C0"/>
    <w:rsid w:val="001D19F5"/>
    <w:rsid w:val="001D2179"/>
    <w:rsid w:val="001D2764"/>
    <w:rsid w:val="001D2D63"/>
    <w:rsid w:val="001D2EC9"/>
    <w:rsid w:val="001D2F11"/>
    <w:rsid w:val="001D30C6"/>
    <w:rsid w:val="001D36E3"/>
    <w:rsid w:val="001D3EF0"/>
    <w:rsid w:val="001D464E"/>
    <w:rsid w:val="001D46E7"/>
    <w:rsid w:val="001D48E7"/>
    <w:rsid w:val="001D5007"/>
    <w:rsid w:val="001D5A84"/>
    <w:rsid w:val="001D5EC8"/>
    <w:rsid w:val="001D5F89"/>
    <w:rsid w:val="001D60D4"/>
    <w:rsid w:val="001D62E7"/>
    <w:rsid w:val="001D6CB1"/>
    <w:rsid w:val="001D6CC0"/>
    <w:rsid w:val="001D7287"/>
    <w:rsid w:val="001D73A1"/>
    <w:rsid w:val="001D755D"/>
    <w:rsid w:val="001D75A0"/>
    <w:rsid w:val="001D7B94"/>
    <w:rsid w:val="001E0023"/>
    <w:rsid w:val="001E068B"/>
    <w:rsid w:val="001E093A"/>
    <w:rsid w:val="001E0AE9"/>
    <w:rsid w:val="001E120C"/>
    <w:rsid w:val="001E16E5"/>
    <w:rsid w:val="001E1780"/>
    <w:rsid w:val="001E21A8"/>
    <w:rsid w:val="001E2612"/>
    <w:rsid w:val="001E2678"/>
    <w:rsid w:val="001E267C"/>
    <w:rsid w:val="001E274E"/>
    <w:rsid w:val="001E2D98"/>
    <w:rsid w:val="001E3C41"/>
    <w:rsid w:val="001E3FB8"/>
    <w:rsid w:val="001E4809"/>
    <w:rsid w:val="001E4ED4"/>
    <w:rsid w:val="001E4FF2"/>
    <w:rsid w:val="001E4FF3"/>
    <w:rsid w:val="001E5288"/>
    <w:rsid w:val="001E5BC6"/>
    <w:rsid w:val="001E5E97"/>
    <w:rsid w:val="001E676B"/>
    <w:rsid w:val="001E6884"/>
    <w:rsid w:val="001E6B2D"/>
    <w:rsid w:val="001E7C7B"/>
    <w:rsid w:val="001E7D84"/>
    <w:rsid w:val="001E7EB7"/>
    <w:rsid w:val="001F00B4"/>
    <w:rsid w:val="001F07CB"/>
    <w:rsid w:val="001F0986"/>
    <w:rsid w:val="001F0AAD"/>
    <w:rsid w:val="001F10FA"/>
    <w:rsid w:val="001F1412"/>
    <w:rsid w:val="001F177B"/>
    <w:rsid w:val="001F1924"/>
    <w:rsid w:val="001F1B96"/>
    <w:rsid w:val="001F2869"/>
    <w:rsid w:val="001F2A19"/>
    <w:rsid w:val="001F3D42"/>
    <w:rsid w:val="001F486C"/>
    <w:rsid w:val="001F4A0B"/>
    <w:rsid w:val="001F4B82"/>
    <w:rsid w:val="001F571B"/>
    <w:rsid w:val="001F592D"/>
    <w:rsid w:val="001F61D4"/>
    <w:rsid w:val="001F6541"/>
    <w:rsid w:val="001F6BA7"/>
    <w:rsid w:val="001F77CF"/>
    <w:rsid w:val="0020026C"/>
    <w:rsid w:val="00200693"/>
    <w:rsid w:val="002008BA"/>
    <w:rsid w:val="00201291"/>
    <w:rsid w:val="0020135C"/>
    <w:rsid w:val="0020146E"/>
    <w:rsid w:val="00201D16"/>
    <w:rsid w:val="0020205C"/>
    <w:rsid w:val="002021D0"/>
    <w:rsid w:val="00202B03"/>
    <w:rsid w:val="00202CD8"/>
    <w:rsid w:val="00202E40"/>
    <w:rsid w:val="00202FF3"/>
    <w:rsid w:val="00203020"/>
    <w:rsid w:val="00203D88"/>
    <w:rsid w:val="00203FBB"/>
    <w:rsid w:val="0020425E"/>
    <w:rsid w:val="00204C56"/>
    <w:rsid w:val="002051C1"/>
    <w:rsid w:val="002057E2"/>
    <w:rsid w:val="00205841"/>
    <w:rsid w:val="00206443"/>
    <w:rsid w:val="002064A7"/>
    <w:rsid w:val="00206A73"/>
    <w:rsid w:val="0020713A"/>
    <w:rsid w:val="0020718D"/>
    <w:rsid w:val="00207326"/>
    <w:rsid w:val="002079D9"/>
    <w:rsid w:val="00210CC2"/>
    <w:rsid w:val="0021132C"/>
    <w:rsid w:val="00211353"/>
    <w:rsid w:val="0021152E"/>
    <w:rsid w:val="00211FB9"/>
    <w:rsid w:val="0021237C"/>
    <w:rsid w:val="0021273A"/>
    <w:rsid w:val="00212B12"/>
    <w:rsid w:val="0021318F"/>
    <w:rsid w:val="00213A7B"/>
    <w:rsid w:val="00213CB6"/>
    <w:rsid w:val="0021427E"/>
    <w:rsid w:val="002145FC"/>
    <w:rsid w:val="002149CC"/>
    <w:rsid w:val="00214B59"/>
    <w:rsid w:val="00215236"/>
    <w:rsid w:val="00215B76"/>
    <w:rsid w:val="00215E45"/>
    <w:rsid w:val="00215F4C"/>
    <w:rsid w:val="002162A6"/>
    <w:rsid w:val="00216616"/>
    <w:rsid w:val="00216D96"/>
    <w:rsid w:val="002200BE"/>
    <w:rsid w:val="0022029F"/>
    <w:rsid w:val="00220754"/>
    <w:rsid w:val="00220F66"/>
    <w:rsid w:val="002218BB"/>
    <w:rsid w:val="00221B08"/>
    <w:rsid w:val="002221BE"/>
    <w:rsid w:val="002227AB"/>
    <w:rsid w:val="0022379F"/>
    <w:rsid w:val="002238AB"/>
    <w:rsid w:val="00223DE5"/>
    <w:rsid w:val="00224468"/>
    <w:rsid w:val="00224B3F"/>
    <w:rsid w:val="00224B45"/>
    <w:rsid w:val="00224B66"/>
    <w:rsid w:val="00224D85"/>
    <w:rsid w:val="00224E65"/>
    <w:rsid w:val="00224F12"/>
    <w:rsid w:val="0022530E"/>
    <w:rsid w:val="00225F8E"/>
    <w:rsid w:val="00226193"/>
    <w:rsid w:val="002262B2"/>
    <w:rsid w:val="0022658F"/>
    <w:rsid w:val="0022680E"/>
    <w:rsid w:val="00226844"/>
    <w:rsid w:val="002268CB"/>
    <w:rsid w:val="00226954"/>
    <w:rsid w:val="002269C8"/>
    <w:rsid w:val="00226E02"/>
    <w:rsid w:val="00226E3E"/>
    <w:rsid w:val="00227334"/>
    <w:rsid w:val="002273EC"/>
    <w:rsid w:val="00227D98"/>
    <w:rsid w:val="00227EBF"/>
    <w:rsid w:val="002308A1"/>
    <w:rsid w:val="00231A1F"/>
    <w:rsid w:val="00231D0B"/>
    <w:rsid w:val="00232797"/>
    <w:rsid w:val="00232AFD"/>
    <w:rsid w:val="00233A84"/>
    <w:rsid w:val="00233E52"/>
    <w:rsid w:val="0023424B"/>
    <w:rsid w:val="0023432A"/>
    <w:rsid w:val="00234422"/>
    <w:rsid w:val="00234761"/>
    <w:rsid w:val="00234C82"/>
    <w:rsid w:val="00234EE2"/>
    <w:rsid w:val="002360BB"/>
    <w:rsid w:val="00236105"/>
    <w:rsid w:val="0023627C"/>
    <w:rsid w:val="00236BBE"/>
    <w:rsid w:val="00236C54"/>
    <w:rsid w:val="00236DDF"/>
    <w:rsid w:val="00237B42"/>
    <w:rsid w:val="00237ECF"/>
    <w:rsid w:val="00237FF8"/>
    <w:rsid w:val="002416B9"/>
    <w:rsid w:val="00241A2A"/>
    <w:rsid w:val="00241C3C"/>
    <w:rsid w:val="00241DC5"/>
    <w:rsid w:val="00242360"/>
    <w:rsid w:val="002423E2"/>
    <w:rsid w:val="002424A6"/>
    <w:rsid w:val="00242717"/>
    <w:rsid w:val="00242825"/>
    <w:rsid w:val="00242B24"/>
    <w:rsid w:val="002437DA"/>
    <w:rsid w:val="002440B2"/>
    <w:rsid w:val="00244F46"/>
    <w:rsid w:val="00245074"/>
    <w:rsid w:val="00245437"/>
    <w:rsid w:val="00245569"/>
    <w:rsid w:val="002458B7"/>
    <w:rsid w:val="002459C7"/>
    <w:rsid w:val="00245EB0"/>
    <w:rsid w:val="00245FE7"/>
    <w:rsid w:val="002461BE"/>
    <w:rsid w:val="0024621A"/>
    <w:rsid w:val="00246620"/>
    <w:rsid w:val="00246AAF"/>
    <w:rsid w:val="00246B1E"/>
    <w:rsid w:val="00246B92"/>
    <w:rsid w:val="00246BB6"/>
    <w:rsid w:val="002476BF"/>
    <w:rsid w:val="00247760"/>
    <w:rsid w:val="00247916"/>
    <w:rsid w:val="00247ACA"/>
    <w:rsid w:val="00247F4F"/>
    <w:rsid w:val="0025084B"/>
    <w:rsid w:val="00250DEC"/>
    <w:rsid w:val="00251990"/>
    <w:rsid w:val="00251F7A"/>
    <w:rsid w:val="00252562"/>
    <w:rsid w:val="00252860"/>
    <w:rsid w:val="00252A75"/>
    <w:rsid w:val="002536C4"/>
    <w:rsid w:val="00253D35"/>
    <w:rsid w:val="00254D2D"/>
    <w:rsid w:val="002553C3"/>
    <w:rsid w:val="0025595C"/>
    <w:rsid w:val="00255DFC"/>
    <w:rsid w:val="00255F84"/>
    <w:rsid w:val="00256091"/>
    <w:rsid w:val="002563E2"/>
    <w:rsid w:val="00256EA1"/>
    <w:rsid w:val="00256F44"/>
    <w:rsid w:val="00257D3D"/>
    <w:rsid w:val="00257F75"/>
    <w:rsid w:val="0026007F"/>
    <w:rsid w:val="00260301"/>
    <w:rsid w:val="002609A7"/>
    <w:rsid w:val="00260B50"/>
    <w:rsid w:val="00260B9C"/>
    <w:rsid w:val="00260BAB"/>
    <w:rsid w:val="00260F37"/>
    <w:rsid w:val="002610E1"/>
    <w:rsid w:val="00261729"/>
    <w:rsid w:val="00261851"/>
    <w:rsid w:val="00261896"/>
    <w:rsid w:val="0026199D"/>
    <w:rsid w:val="00261DE0"/>
    <w:rsid w:val="00262184"/>
    <w:rsid w:val="00262B4C"/>
    <w:rsid w:val="00262BA9"/>
    <w:rsid w:val="00262C2F"/>
    <w:rsid w:val="00262EA5"/>
    <w:rsid w:val="002649A9"/>
    <w:rsid w:val="00264F1A"/>
    <w:rsid w:val="00265470"/>
    <w:rsid w:val="00265925"/>
    <w:rsid w:val="00265C35"/>
    <w:rsid w:val="00265F1A"/>
    <w:rsid w:val="00266BCC"/>
    <w:rsid w:val="00267AF9"/>
    <w:rsid w:val="00267E6B"/>
    <w:rsid w:val="002702BF"/>
    <w:rsid w:val="0027057B"/>
    <w:rsid w:val="00270605"/>
    <w:rsid w:val="00270867"/>
    <w:rsid w:val="002708C2"/>
    <w:rsid w:val="002708DC"/>
    <w:rsid w:val="00271530"/>
    <w:rsid w:val="0027198E"/>
    <w:rsid w:val="00271CE8"/>
    <w:rsid w:val="00271D28"/>
    <w:rsid w:val="00272307"/>
    <w:rsid w:val="002723D0"/>
    <w:rsid w:val="00272904"/>
    <w:rsid w:val="00272B53"/>
    <w:rsid w:val="00272D16"/>
    <w:rsid w:val="00272FA6"/>
    <w:rsid w:val="00272FD9"/>
    <w:rsid w:val="0027333C"/>
    <w:rsid w:val="00273526"/>
    <w:rsid w:val="00273539"/>
    <w:rsid w:val="0027412F"/>
    <w:rsid w:val="002741D4"/>
    <w:rsid w:val="002745E2"/>
    <w:rsid w:val="002748F9"/>
    <w:rsid w:val="00274C5C"/>
    <w:rsid w:val="00275905"/>
    <w:rsid w:val="0027614B"/>
    <w:rsid w:val="00276198"/>
    <w:rsid w:val="00276215"/>
    <w:rsid w:val="00276B26"/>
    <w:rsid w:val="0027760C"/>
    <w:rsid w:val="00277D10"/>
    <w:rsid w:val="0028196D"/>
    <w:rsid w:val="0028223C"/>
    <w:rsid w:val="002822C8"/>
    <w:rsid w:val="00282A1F"/>
    <w:rsid w:val="00282A93"/>
    <w:rsid w:val="00282F16"/>
    <w:rsid w:val="00283573"/>
    <w:rsid w:val="00283701"/>
    <w:rsid w:val="00283D2F"/>
    <w:rsid w:val="00283FF3"/>
    <w:rsid w:val="00284E24"/>
    <w:rsid w:val="0028509B"/>
    <w:rsid w:val="002850DC"/>
    <w:rsid w:val="00285C51"/>
    <w:rsid w:val="00286216"/>
    <w:rsid w:val="002866FC"/>
    <w:rsid w:val="00286AA1"/>
    <w:rsid w:val="00286B43"/>
    <w:rsid w:val="002875F3"/>
    <w:rsid w:val="002876D5"/>
    <w:rsid w:val="00287953"/>
    <w:rsid w:val="00287A55"/>
    <w:rsid w:val="00287E13"/>
    <w:rsid w:val="002900AE"/>
    <w:rsid w:val="00290E86"/>
    <w:rsid w:val="0029134E"/>
    <w:rsid w:val="00291B93"/>
    <w:rsid w:val="00292449"/>
    <w:rsid w:val="002927D5"/>
    <w:rsid w:val="00292B94"/>
    <w:rsid w:val="0029307D"/>
    <w:rsid w:val="002933FA"/>
    <w:rsid w:val="00293ABC"/>
    <w:rsid w:val="00293BEF"/>
    <w:rsid w:val="00294921"/>
    <w:rsid w:val="00295029"/>
    <w:rsid w:val="00295EA0"/>
    <w:rsid w:val="00296292"/>
    <w:rsid w:val="00296FCC"/>
    <w:rsid w:val="0029782D"/>
    <w:rsid w:val="00297AA8"/>
    <w:rsid w:val="00297C7C"/>
    <w:rsid w:val="00297CB9"/>
    <w:rsid w:val="00297E5E"/>
    <w:rsid w:val="00297F04"/>
    <w:rsid w:val="002A0258"/>
    <w:rsid w:val="002A0484"/>
    <w:rsid w:val="002A05C4"/>
    <w:rsid w:val="002A06A3"/>
    <w:rsid w:val="002A06ED"/>
    <w:rsid w:val="002A0A55"/>
    <w:rsid w:val="002A1311"/>
    <w:rsid w:val="002A1857"/>
    <w:rsid w:val="002A1DFF"/>
    <w:rsid w:val="002A23E0"/>
    <w:rsid w:val="002A2674"/>
    <w:rsid w:val="002A2894"/>
    <w:rsid w:val="002A29E4"/>
    <w:rsid w:val="002A2EDB"/>
    <w:rsid w:val="002A3901"/>
    <w:rsid w:val="002A4761"/>
    <w:rsid w:val="002A49F1"/>
    <w:rsid w:val="002A55B8"/>
    <w:rsid w:val="002A5AC1"/>
    <w:rsid w:val="002A5D8E"/>
    <w:rsid w:val="002A6913"/>
    <w:rsid w:val="002A6A60"/>
    <w:rsid w:val="002A6E48"/>
    <w:rsid w:val="002A700F"/>
    <w:rsid w:val="002A706B"/>
    <w:rsid w:val="002A71C8"/>
    <w:rsid w:val="002A7441"/>
    <w:rsid w:val="002A74F8"/>
    <w:rsid w:val="002A756D"/>
    <w:rsid w:val="002A780A"/>
    <w:rsid w:val="002B02FF"/>
    <w:rsid w:val="002B0B64"/>
    <w:rsid w:val="002B0CBB"/>
    <w:rsid w:val="002B152F"/>
    <w:rsid w:val="002B1866"/>
    <w:rsid w:val="002B1F2F"/>
    <w:rsid w:val="002B1F34"/>
    <w:rsid w:val="002B2255"/>
    <w:rsid w:val="002B2649"/>
    <w:rsid w:val="002B3722"/>
    <w:rsid w:val="002B3756"/>
    <w:rsid w:val="002B40A6"/>
    <w:rsid w:val="002B46B6"/>
    <w:rsid w:val="002B519E"/>
    <w:rsid w:val="002B51DF"/>
    <w:rsid w:val="002B6790"/>
    <w:rsid w:val="002B68C9"/>
    <w:rsid w:val="002B75F6"/>
    <w:rsid w:val="002B75FC"/>
    <w:rsid w:val="002B7944"/>
    <w:rsid w:val="002C0056"/>
    <w:rsid w:val="002C01CA"/>
    <w:rsid w:val="002C03E6"/>
    <w:rsid w:val="002C0AA4"/>
    <w:rsid w:val="002C179F"/>
    <w:rsid w:val="002C17F3"/>
    <w:rsid w:val="002C18DD"/>
    <w:rsid w:val="002C1D21"/>
    <w:rsid w:val="002C212B"/>
    <w:rsid w:val="002C27FE"/>
    <w:rsid w:val="002C3605"/>
    <w:rsid w:val="002C4267"/>
    <w:rsid w:val="002C4DCF"/>
    <w:rsid w:val="002C5AB3"/>
    <w:rsid w:val="002C5B4A"/>
    <w:rsid w:val="002C5EBA"/>
    <w:rsid w:val="002C63A3"/>
    <w:rsid w:val="002C6949"/>
    <w:rsid w:val="002C6A24"/>
    <w:rsid w:val="002C6CB4"/>
    <w:rsid w:val="002C72F0"/>
    <w:rsid w:val="002C7C19"/>
    <w:rsid w:val="002C7C4D"/>
    <w:rsid w:val="002C7C9C"/>
    <w:rsid w:val="002C7EB7"/>
    <w:rsid w:val="002D0562"/>
    <w:rsid w:val="002D19FA"/>
    <w:rsid w:val="002D1B67"/>
    <w:rsid w:val="002D1B91"/>
    <w:rsid w:val="002D1E8A"/>
    <w:rsid w:val="002D1F7D"/>
    <w:rsid w:val="002D2A6A"/>
    <w:rsid w:val="002D2B69"/>
    <w:rsid w:val="002D2B75"/>
    <w:rsid w:val="002D2C5F"/>
    <w:rsid w:val="002D3461"/>
    <w:rsid w:val="002D3510"/>
    <w:rsid w:val="002D3902"/>
    <w:rsid w:val="002D3A00"/>
    <w:rsid w:val="002D3B94"/>
    <w:rsid w:val="002D3D02"/>
    <w:rsid w:val="002D40ED"/>
    <w:rsid w:val="002D455D"/>
    <w:rsid w:val="002D4654"/>
    <w:rsid w:val="002D4F74"/>
    <w:rsid w:val="002D4FA3"/>
    <w:rsid w:val="002D5754"/>
    <w:rsid w:val="002D5A7D"/>
    <w:rsid w:val="002D5ADA"/>
    <w:rsid w:val="002D6047"/>
    <w:rsid w:val="002D61B5"/>
    <w:rsid w:val="002D654E"/>
    <w:rsid w:val="002D6D93"/>
    <w:rsid w:val="002D6E61"/>
    <w:rsid w:val="002D7325"/>
    <w:rsid w:val="002D7437"/>
    <w:rsid w:val="002D74DB"/>
    <w:rsid w:val="002D7C6C"/>
    <w:rsid w:val="002D7D06"/>
    <w:rsid w:val="002E002F"/>
    <w:rsid w:val="002E01C1"/>
    <w:rsid w:val="002E045A"/>
    <w:rsid w:val="002E09A8"/>
    <w:rsid w:val="002E1303"/>
    <w:rsid w:val="002E1FA4"/>
    <w:rsid w:val="002E214C"/>
    <w:rsid w:val="002E2638"/>
    <w:rsid w:val="002E265D"/>
    <w:rsid w:val="002E2837"/>
    <w:rsid w:val="002E2A84"/>
    <w:rsid w:val="002E34B8"/>
    <w:rsid w:val="002E3766"/>
    <w:rsid w:val="002E37A0"/>
    <w:rsid w:val="002E43A4"/>
    <w:rsid w:val="002E47DC"/>
    <w:rsid w:val="002E494B"/>
    <w:rsid w:val="002E5206"/>
    <w:rsid w:val="002E5612"/>
    <w:rsid w:val="002E6A6F"/>
    <w:rsid w:val="002E6BEE"/>
    <w:rsid w:val="002E7395"/>
    <w:rsid w:val="002E775A"/>
    <w:rsid w:val="002F04DE"/>
    <w:rsid w:val="002F13D1"/>
    <w:rsid w:val="002F15AD"/>
    <w:rsid w:val="002F17CA"/>
    <w:rsid w:val="002F1BCC"/>
    <w:rsid w:val="002F36E8"/>
    <w:rsid w:val="002F3895"/>
    <w:rsid w:val="002F3A4B"/>
    <w:rsid w:val="002F3DA5"/>
    <w:rsid w:val="002F4066"/>
    <w:rsid w:val="002F42A6"/>
    <w:rsid w:val="002F445A"/>
    <w:rsid w:val="002F47B0"/>
    <w:rsid w:val="002F570F"/>
    <w:rsid w:val="002F5743"/>
    <w:rsid w:val="002F592D"/>
    <w:rsid w:val="002F5AF1"/>
    <w:rsid w:val="002F5DCC"/>
    <w:rsid w:val="002F5E5E"/>
    <w:rsid w:val="002F61EC"/>
    <w:rsid w:val="002F61FA"/>
    <w:rsid w:val="002F636D"/>
    <w:rsid w:val="002F647E"/>
    <w:rsid w:val="002F6C52"/>
    <w:rsid w:val="002F6EF0"/>
    <w:rsid w:val="002F70D4"/>
    <w:rsid w:val="002F7D44"/>
    <w:rsid w:val="003005D0"/>
    <w:rsid w:val="00300E1B"/>
    <w:rsid w:val="0030119A"/>
    <w:rsid w:val="00301C49"/>
    <w:rsid w:val="00302213"/>
    <w:rsid w:val="00302C4A"/>
    <w:rsid w:val="003031FC"/>
    <w:rsid w:val="003038F0"/>
    <w:rsid w:val="00303D34"/>
    <w:rsid w:val="00303E40"/>
    <w:rsid w:val="003041EF"/>
    <w:rsid w:val="003043F9"/>
    <w:rsid w:val="003048D5"/>
    <w:rsid w:val="00304BD1"/>
    <w:rsid w:val="00304BF6"/>
    <w:rsid w:val="00304F2B"/>
    <w:rsid w:val="00304F50"/>
    <w:rsid w:val="00305021"/>
    <w:rsid w:val="00305421"/>
    <w:rsid w:val="0030569A"/>
    <w:rsid w:val="00306040"/>
    <w:rsid w:val="003060F6"/>
    <w:rsid w:val="003063C4"/>
    <w:rsid w:val="00307088"/>
    <w:rsid w:val="003072A2"/>
    <w:rsid w:val="0030784F"/>
    <w:rsid w:val="00310258"/>
    <w:rsid w:val="00310588"/>
    <w:rsid w:val="00310638"/>
    <w:rsid w:val="00310836"/>
    <w:rsid w:val="00310901"/>
    <w:rsid w:val="003113FD"/>
    <w:rsid w:val="003116FD"/>
    <w:rsid w:val="003118EA"/>
    <w:rsid w:val="003121BC"/>
    <w:rsid w:val="003127CE"/>
    <w:rsid w:val="003134B9"/>
    <w:rsid w:val="0031366A"/>
    <w:rsid w:val="0031376F"/>
    <w:rsid w:val="003138FD"/>
    <w:rsid w:val="00313ADD"/>
    <w:rsid w:val="00313C27"/>
    <w:rsid w:val="00313EBD"/>
    <w:rsid w:val="00314117"/>
    <w:rsid w:val="003151B3"/>
    <w:rsid w:val="00315BCA"/>
    <w:rsid w:val="00315BFF"/>
    <w:rsid w:val="00315C07"/>
    <w:rsid w:val="00316B34"/>
    <w:rsid w:val="00317632"/>
    <w:rsid w:val="0031782A"/>
    <w:rsid w:val="00320276"/>
    <w:rsid w:val="003217C0"/>
    <w:rsid w:val="00321916"/>
    <w:rsid w:val="00322167"/>
    <w:rsid w:val="00322C17"/>
    <w:rsid w:val="00322CF0"/>
    <w:rsid w:val="0032305B"/>
    <w:rsid w:val="00323CC8"/>
    <w:rsid w:val="003243EF"/>
    <w:rsid w:val="00324523"/>
    <w:rsid w:val="003246E6"/>
    <w:rsid w:val="00324A0F"/>
    <w:rsid w:val="00324CF7"/>
    <w:rsid w:val="003253A7"/>
    <w:rsid w:val="003255BB"/>
    <w:rsid w:val="003255D7"/>
    <w:rsid w:val="003255DD"/>
    <w:rsid w:val="003255F2"/>
    <w:rsid w:val="00325659"/>
    <w:rsid w:val="00325B13"/>
    <w:rsid w:val="00325CAA"/>
    <w:rsid w:val="00326071"/>
    <w:rsid w:val="00326C47"/>
    <w:rsid w:val="00326F76"/>
    <w:rsid w:val="0032765D"/>
    <w:rsid w:val="00327B60"/>
    <w:rsid w:val="00327F0C"/>
    <w:rsid w:val="00330127"/>
    <w:rsid w:val="00330286"/>
    <w:rsid w:val="0033034F"/>
    <w:rsid w:val="00330B30"/>
    <w:rsid w:val="00330F25"/>
    <w:rsid w:val="0033122E"/>
    <w:rsid w:val="003315B4"/>
    <w:rsid w:val="00331F6C"/>
    <w:rsid w:val="00332F14"/>
    <w:rsid w:val="00332F68"/>
    <w:rsid w:val="00333D45"/>
    <w:rsid w:val="003347C2"/>
    <w:rsid w:val="003349C0"/>
    <w:rsid w:val="00334E40"/>
    <w:rsid w:val="00334E64"/>
    <w:rsid w:val="003358F3"/>
    <w:rsid w:val="00335ABB"/>
    <w:rsid w:val="00335E6D"/>
    <w:rsid w:val="00335E77"/>
    <w:rsid w:val="0033646E"/>
    <w:rsid w:val="003365DF"/>
    <w:rsid w:val="00336D27"/>
    <w:rsid w:val="00336DAD"/>
    <w:rsid w:val="003375B5"/>
    <w:rsid w:val="00337AD8"/>
    <w:rsid w:val="00337DCA"/>
    <w:rsid w:val="0034006D"/>
    <w:rsid w:val="003406D7"/>
    <w:rsid w:val="00340896"/>
    <w:rsid w:val="0034118F"/>
    <w:rsid w:val="003417C5"/>
    <w:rsid w:val="00341E81"/>
    <w:rsid w:val="003422F6"/>
    <w:rsid w:val="00342A7C"/>
    <w:rsid w:val="00342EC6"/>
    <w:rsid w:val="0034397D"/>
    <w:rsid w:val="00343CB2"/>
    <w:rsid w:val="00344029"/>
    <w:rsid w:val="00344C28"/>
    <w:rsid w:val="00344D19"/>
    <w:rsid w:val="00344E4B"/>
    <w:rsid w:val="00345318"/>
    <w:rsid w:val="00345502"/>
    <w:rsid w:val="00345CC2"/>
    <w:rsid w:val="003467F1"/>
    <w:rsid w:val="003469EF"/>
    <w:rsid w:val="00346B64"/>
    <w:rsid w:val="003471F7"/>
    <w:rsid w:val="00347C24"/>
    <w:rsid w:val="00347C8F"/>
    <w:rsid w:val="00347D33"/>
    <w:rsid w:val="00350532"/>
    <w:rsid w:val="003507D6"/>
    <w:rsid w:val="00350FF2"/>
    <w:rsid w:val="00351021"/>
    <w:rsid w:val="00351453"/>
    <w:rsid w:val="00351C56"/>
    <w:rsid w:val="00352C66"/>
    <w:rsid w:val="0035356B"/>
    <w:rsid w:val="003535E2"/>
    <w:rsid w:val="003538F0"/>
    <w:rsid w:val="00353BE5"/>
    <w:rsid w:val="003541EE"/>
    <w:rsid w:val="0035424D"/>
    <w:rsid w:val="00354767"/>
    <w:rsid w:val="00354823"/>
    <w:rsid w:val="003554B7"/>
    <w:rsid w:val="003554FF"/>
    <w:rsid w:val="0035631F"/>
    <w:rsid w:val="00357019"/>
    <w:rsid w:val="0035721D"/>
    <w:rsid w:val="003574AD"/>
    <w:rsid w:val="0035797B"/>
    <w:rsid w:val="00357A0A"/>
    <w:rsid w:val="00360194"/>
    <w:rsid w:val="00360490"/>
    <w:rsid w:val="0036074D"/>
    <w:rsid w:val="00360761"/>
    <w:rsid w:val="003608E8"/>
    <w:rsid w:val="00360D85"/>
    <w:rsid w:val="00360F50"/>
    <w:rsid w:val="00360F8E"/>
    <w:rsid w:val="003619DC"/>
    <w:rsid w:val="00361F58"/>
    <w:rsid w:val="0036274B"/>
    <w:rsid w:val="003629DD"/>
    <w:rsid w:val="00362FA7"/>
    <w:rsid w:val="00363164"/>
    <w:rsid w:val="00363175"/>
    <w:rsid w:val="003633E2"/>
    <w:rsid w:val="003634BD"/>
    <w:rsid w:val="00363517"/>
    <w:rsid w:val="00363D7A"/>
    <w:rsid w:val="00364F03"/>
    <w:rsid w:val="00365602"/>
    <w:rsid w:val="003661BB"/>
    <w:rsid w:val="00366323"/>
    <w:rsid w:val="00366B7B"/>
    <w:rsid w:val="00367549"/>
    <w:rsid w:val="00367641"/>
    <w:rsid w:val="00367FA8"/>
    <w:rsid w:val="0037038C"/>
    <w:rsid w:val="00370758"/>
    <w:rsid w:val="0037088F"/>
    <w:rsid w:val="00370A0C"/>
    <w:rsid w:val="003711D0"/>
    <w:rsid w:val="00371520"/>
    <w:rsid w:val="00371813"/>
    <w:rsid w:val="0037196D"/>
    <w:rsid w:val="00371D4B"/>
    <w:rsid w:val="00372122"/>
    <w:rsid w:val="00372192"/>
    <w:rsid w:val="00372B45"/>
    <w:rsid w:val="00372CAB"/>
    <w:rsid w:val="00372D4D"/>
    <w:rsid w:val="00373103"/>
    <w:rsid w:val="00373D1A"/>
    <w:rsid w:val="003742C5"/>
    <w:rsid w:val="003743D6"/>
    <w:rsid w:val="0037463D"/>
    <w:rsid w:val="003747A9"/>
    <w:rsid w:val="00374A93"/>
    <w:rsid w:val="00375559"/>
    <w:rsid w:val="00375B22"/>
    <w:rsid w:val="00375CEF"/>
    <w:rsid w:val="003765A8"/>
    <w:rsid w:val="00376D70"/>
    <w:rsid w:val="0038042E"/>
    <w:rsid w:val="003809FF"/>
    <w:rsid w:val="00380DBF"/>
    <w:rsid w:val="0038137F"/>
    <w:rsid w:val="0038177D"/>
    <w:rsid w:val="0038189D"/>
    <w:rsid w:val="00381962"/>
    <w:rsid w:val="00381E51"/>
    <w:rsid w:val="00382981"/>
    <w:rsid w:val="00382AD5"/>
    <w:rsid w:val="003838C0"/>
    <w:rsid w:val="00383D98"/>
    <w:rsid w:val="003844CC"/>
    <w:rsid w:val="00385798"/>
    <w:rsid w:val="003857A1"/>
    <w:rsid w:val="00385BC2"/>
    <w:rsid w:val="00386261"/>
    <w:rsid w:val="00386324"/>
    <w:rsid w:val="00386D88"/>
    <w:rsid w:val="00386F01"/>
    <w:rsid w:val="003874F4"/>
    <w:rsid w:val="00387517"/>
    <w:rsid w:val="00387545"/>
    <w:rsid w:val="003876CB"/>
    <w:rsid w:val="00387955"/>
    <w:rsid w:val="003879BB"/>
    <w:rsid w:val="00387E08"/>
    <w:rsid w:val="00390CD6"/>
    <w:rsid w:val="00390DC0"/>
    <w:rsid w:val="00390E5D"/>
    <w:rsid w:val="003912A3"/>
    <w:rsid w:val="0039145B"/>
    <w:rsid w:val="00391670"/>
    <w:rsid w:val="00391F49"/>
    <w:rsid w:val="0039207A"/>
    <w:rsid w:val="003924FC"/>
    <w:rsid w:val="0039266A"/>
    <w:rsid w:val="003926C5"/>
    <w:rsid w:val="003929C6"/>
    <w:rsid w:val="00393398"/>
    <w:rsid w:val="0039379F"/>
    <w:rsid w:val="003938F3"/>
    <w:rsid w:val="00393E1C"/>
    <w:rsid w:val="00394E2E"/>
    <w:rsid w:val="00394FFF"/>
    <w:rsid w:val="003959BD"/>
    <w:rsid w:val="00395AE1"/>
    <w:rsid w:val="00395CBA"/>
    <w:rsid w:val="00395D15"/>
    <w:rsid w:val="00395FCC"/>
    <w:rsid w:val="00395FE5"/>
    <w:rsid w:val="0039636C"/>
    <w:rsid w:val="00396AA0"/>
    <w:rsid w:val="00396D52"/>
    <w:rsid w:val="00397956"/>
    <w:rsid w:val="00397A2F"/>
    <w:rsid w:val="003A039F"/>
    <w:rsid w:val="003A05E3"/>
    <w:rsid w:val="003A0F27"/>
    <w:rsid w:val="003A100E"/>
    <w:rsid w:val="003A1BA6"/>
    <w:rsid w:val="003A2A72"/>
    <w:rsid w:val="003A2B59"/>
    <w:rsid w:val="003A33F9"/>
    <w:rsid w:val="003A43F2"/>
    <w:rsid w:val="003A4605"/>
    <w:rsid w:val="003A4BD4"/>
    <w:rsid w:val="003A584A"/>
    <w:rsid w:val="003A5B18"/>
    <w:rsid w:val="003A5D96"/>
    <w:rsid w:val="003A6132"/>
    <w:rsid w:val="003A633D"/>
    <w:rsid w:val="003A6505"/>
    <w:rsid w:val="003A656C"/>
    <w:rsid w:val="003A69A8"/>
    <w:rsid w:val="003A6E5F"/>
    <w:rsid w:val="003B01A8"/>
    <w:rsid w:val="003B0229"/>
    <w:rsid w:val="003B03FB"/>
    <w:rsid w:val="003B06F9"/>
    <w:rsid w:val="003B0C67"/>
    <w:rsid w:val="003B1529"/>
    <w:rsid w:val="003B19CF"/>
    <w:rsid w:val="003B1A0D"/>
    <w:rsid w:val="003B1E4A"/>
    <w:rsid w:val="003B1F43"/>
    <w:rsid w:val="003B234B"/>
    <w:rsid w:val="003B2A23"/>
    <w:rsid w:val="003B2CC6"/>
    <w:rsid w:val="003B3043"/>
    <w:rsid w:val="003B449D"/>
    <w:rsid w:val="003B4870"/>
    <w:rsid w:val="003B4ADD"/>
    <w:rsid w:val="003B4B9C"/>
    <w:rsid w:val="003B4DBB"/>
    <w:rsid w:val="003B5312"/>
    <w:rsid w:val="003B5563"/>
    <w:rsid w:val="003B56F6"/>
    <w:rsid w:val="003B58BE"/>
    <w:rsid w:val="003B5C50"/>
    <w:rsid w:val="003B6055"/>
    <w:rsid w:val="003B616C"/>
    <w:rsid w:val="003B6343"/>
    <w:rsid w:val="003B66FB"/>
    <w:rsid w:val="003B7CD7"/>
    <w:rsid w:val="003C01D5"/>
    <w:rsid w:val="003C025C"/>
    <w:rsid w:val="003C0380"/>
    <w:rsid w:val="003C0A9C"/>
    <w:rsid w:val="003C0D97"/>
    <w:rsid w:val="003C1291"/>
    <w:rsid w:val="003C19CC"/>
    <w:rsid w:val="003C21E5"/>
    <w:rsid w:val="003C2642"/>
    <w:rsid w:val="003C2724"/>
    <w:rsid w:val="003C2C4B"/>
    <w:rsid w:val="003C2DAD"/>
    <w:rsid w:val="003C35A5"/>
    <w:rsid w:val="003C3B60"/>
    <w:rsid w:val="003C45E9"/>
    <w:rsid w:val="003C47DC"/>
    <w:rsid w:val="003C4911"/>
    <w:rsid w:val="003C4990"/>
    <w:rsid w:val="003C4BD6"/>
    <w:rsid w:val="003C4C3E"/>
    <w:rsid w:val="003C4C61"/>
    <w:rsid w:val="003C4F8A"/>
    <w:rsid w:val="003C5011"/>
    <w:rsid w:val="003C5336"/>
    <w:rsid w:val="003C5557"/>
    <w:rsid w:val="003C5D44"/>
    <w:rsid w:val="003C5E88"/>
    <w:rsid w:val="003C6057"/>
    <w:rsid w:val="003C608D"/>
    <w:rsid w:val="003C634F"/>
    <w:rsid w:val="003C71A7"/>
    <w:rsid w:val="003C7D01"/>
    <w:rsid w:val="003C7FBF"/>
    <w:rsid w:val="003D096F"/>
    <w:rsid w:val="003D0C0C"/>
    <w:rsid w:val="003D1193"/>
    <w:rsid w:val="003D2330"/>
    <w:rsid w:val="003D2702"/>
    <w:rsid w:val="003D2A51"/>
    <w:rsid w:val="003D3177"/>
    <w:rsid w:val="003D3863"/>
    <w:rsid w:val="003D3AC9"/>
    <w:rsid w:val="003D3D1B"/>
    <w:rsid w:val="003D4296"/>
    <w:rsid w:val="003D42CE"/>
    <w:rsid w:val="003D464C"/>
    <w:rsid w:val="003D471E"/>
    <w:rsid w:val="003D4F7F"/>
    <w:rsid w:val="003D53F3"/>
    <w:rsid w:val="003D5963"/>
    <w:rsid w:val="003D5988"/>
    <w:rsid w:val="003D5D3A"/>
    <w:rsid w:val="003D5D58"/>
    <w:rsid w:val="003D7098"/>
    <w:rsid w:val="003D75BC"/>
    <w:rsid w:val="003D7BE8"/>
    <w:rsid w:val="003E00A1"/>
    <w:rsid w:val="003E06A0"/>
    <w:rsid w:val="003E0882"/>
    <w:rsid w:val="003E0CE9"/>
    <w:rsid w:val="003E0F6A"/>
    <w:rsid w:val="003E114A"/>
    <w:rsid w:val="003E139C"/>
    <w:rsid w:val="003E1939"/>
    <w:rsid w:val="003E2645"/>
    <w:rsid w:val="003E27D9"/>
    <w:rsid w:val="003E30CF"/>
    <w:rsid w:val="003E31B4"/>
    <w:rsid w:val="003E360B"/>
    <w:rsid w:val="003E3658"/>
    <w:rsid w:val="003E38D7"/>
    <w:rsid w:val="003E3E7C"/>
    <w:rsid w:val="003E41F4"/>
    <w:rsid w:val="003E420C"/>
    <w:rsid w:val="003E4310"/>
    <w:rsid w:val="003E4AFA"/>
    <w:rsid w:val="003E5092"/>
    <w:rsid w:val="003E51C0"/>
    <w:rsid w:val="003E526B"/>
    <w:rsid w:val="003E566B"/>
    <w:rsid w:val="003E5E70"/>
    <w:rsid w:val="003E63C7"/>
    <w:rsid w:val="003E6BCD"/>
    <w:rsid w:val="003E7266"/>
    <w:rsid w:val="003E78F0"/>
    <w:rsid w:val="003E7DE7"/>
    <w:rsid w:val="003F0415"/>
    <w:rsid w:val="003F04ED"/>
    <w:rsid w:val="003F0704"/>
    <w:rsid w:val="003F07CA"/>
    <w:rsid w:val="003F0AFD"/>
    <w:rsid w:val="003F0ECA"/>
    <w:rsid w:val="003F11D9"/>
    <w:rsid w:val="003F16B7"/>
    <w:rsid w:val="003F2002"/>
    <w:rsid w:val="003F25DB"/>
    <w:rsid w:val="003F29BB"/>
    <w:rsid w:val="003F2F56"/>
    <w:rsid w:val="003F3107"/>
    <w:rsid w:val="003F4CB3"/>
    <w:rsid w:val="003F522B"/>
    <w:rsid w:val="003F5813"/>
    <w:rsid w:val="003F6293"/>
    <w:rsid w:val="003F67A2"/>
    <w:rsid w:val="003F684C"/>
    <w:rsid w:val="003F68FF"/>
    <w:rsid w:val="003F6B2B"/>
    <w:rsid w:val="003F793F"/>
    <w:rsid w:val="00400496"/>
    <w:rsid w:val="004005DD"/>
    <w:rsid w:val="0040061D"/>
    <w:rsid w:val="004008D9"/>
    <w:rsid w:val="004009D3"/>
    <w:rsid w:val="0040138F"/>
    <w:rsid w:val="004018DE"/>
    <w:rsid w:val="0040196D"/>
    <w:rsid w:val="00401C5B"/>
    <w:rsid w:val="00401E97"/>
    <w:rsid w:val="00402427"/>
    <w:rsid w:val="00402DAE"/>
    <w:rsid w:val="00402DEB"/>
    <w:rsid w:val="004030B8"/>
    <w:rsid w:val="0040380D"/>
    <w:rsid w:val="00403A29"/>
    <w:rsid w:val="00404116"/>
    <w:rsid w:val="0040420B"/>
    <w:rsid w:val="00404263"/>
    <w:rsid w:val="00404412"/>
    <w:rsid w:val="00404F14"/>
    <w:rsid w:val="00405142"/>
    <w:rsid w:val="004053ED"/>
    <w:rsid w:val="0040566E"/>
    <w:rsid w:val="00405B89"/>
    <w:rsid w:val="00405B9C"/>
    <w:rsid w:val="004062D0"/>
    <w:rsid w:val="004064C8"/>
    <w:rsid w:val="00406C03"/>
    <w:rsid w:val="004070A8"/>
    <w:rsid w:val="00407E34"/>
    <w:rsid w:val="004100D0"/>
    <w:rsid w:val="00410801"/>
    <w:rsid w:val="00410D65"/>
    <w:rsid w:val="00410E08"/>
    <w:rsid w:val="00410EB9"/>
    <w:rsid w:val="00410FC6"/>
    <w:rsid w:val="00411B9B"/>
    <w:rsid w:val="00412C21"/>
    <w:rsid w:val="00412DF4"/>
    <w:rsid w:val="004130A9"/>
    <w:rsid w:val="004133BD"/>
    <w:rsid w:val="004136E5"/>
    <w:rsid w:val="004138C6"/>
    <w:rsid w:val="00413A1B"/>
    <w:rsid w:val="00413D2B"/>
    <w:rsid w:val="00413D5E"/>
    <w:rsid w:val="004143EA"/>
    <w:rsid w:val="00414AD5"/>
    <w:rsid w:val="00414C41"/>
    <w:rsid w:val="00414E88"/>
    <w:rsid w:val="00415855"/>
    <w:rsid w:val="004158D0"/>
    <w:rsid w:val="00415CA1"/>
    <w:rsid w:val="00415D7E"/>
    <w:rsid w:val="004160D7"/>
    <w:rsid w:val="00416367"/>
    <w:rsid w:val="00416881"/>
    <w:rsid w:val="00416F08"/>
    <w:rsid w:val="004170FB"/>
    <w:rsid w:val="004175BA"/>
    <w:rsid w:val="00417BDC"/>
    <w:rsid w:val="004202BB"/>
    <w:rsid w:val="00420894"/>
    <w:rsid w:val="0042094B"/>
    <w:rsid w:val="00420E15"/>
    <w:rsid w:val="00421208"/>
    <w:rsid w:val="00423186"/>
    <w:rsid w:val="00423599"/>
    <w:rsid w:val="00423625"/>
    <w:rsid w:val="0042390B"/>
    <w:rsid w:val="00423D3A"/>
    <w:rsid w:val="00424392"/>
    <w:rsid w:val="004247B5"/>
    <w:rsid w:val="00424C72"/>
    <w:rsid w:val="00424CCF"/>
    <w:rsid w:val="00424CD3"/>
    <w:rsid w:val="00425054"/>
    <w:rsid w:val="004255C7"/>
    <w:rsid w:val="00425EAD"/>
    <w:rsid w:val="00426557"/>
    <w:rsid w:val="00426C13"/>
    <w:rsid w:val="00426DDC"/>
    <w:rsid w:val="00426FF6"/>
    <w:rsid w:val="00427639"/>
    <w:rsid w:val="00427DA5"/>
    <w:rsid w:val="00427DC9"/>
    <w:rsid w:val="00427DDE"/>
    <w:rsid w:val="00427EBE"/>
    <w:rsid w:val="004301D9"/>
    <w:rsid w:val="00430280"/>
    <w:rsid w:val="004308A5"/>
    <w:rsid w:val="00430A78"/>
    <w:rsid w:val="00430F74"/>
    <w:rsid w:val="004314BA"/>
    <w:rsid w:val="0043173B"/>
    <w:rsid w:val="00431F6E"/>
    <w:rsid w:val="0043240C"/>
    <w:rsid w:val="00433472"/>
    <w:rsid w:val="00433958"/>
    <w:rsid w:val="004343AE"/>
    <w:rsid w:val="00434FD4"/>
    <w:rsid w:val="00435B88"/>
    <w:rsid w:val="00435BF3"/>
    <w:rsid w:val="00436338"/>
    <w:rsid w:val="0043646B"/>
    <w:rsid w:val="0043689F"/>
    <w:rsid w:val="00437160"/>
    <w:rsid w:val="00437525"/>
    <w:rsid w:val="004378ED"/>
    <w:rsid w:val="00437FA1"/>
    <w:rsid w:val="004414EB"/>
    <w:rsid w:val="00441516"/>
    <w:rsid w:val="00441ECF"/>
    <w:rsid w:val="00442B6B"/>
    <w:rsid w:val="00443122"/>
    <w:rsid w:val="0044439D"/>
    <w:rsid w:val="0044446A"/>
    <w:rsid w:val="004444DD"/>
    <w:rsid w:val="0044476B"/>
    <w:rsid w:val="00444923"/>
    <w:rsid w:val="00444C69"/>
    <w:rsid w:val="004454F5"/>
    <w:rsid w:val="004458AC"/>
    <w:rsid w:val="00446061"/>
    <w:rsid w:val="004469BF"/>
    <w:rsid w:val="00447557"/>
    <w:rsid w:val="00447F08"/>
    <w:rsid w:val="004502E8"/>
    <w:rsid w:val="004505F9"/>
    <w:rsid w:val="004507CD"/>
    <w:rsid w:val="00450F0A"/>
    <w:rsid w:val="0045154F"/>
    <w:rsid w:val="004517AC"/>
    <w:rsid w:val="00452C00"/>
    <w:rsid w:val="0045329B"/>
    <w:rsid w:val="00453503"/>
    <w:rsid w:val="0045357F"/>
    <w:rsid w:val="00453857"/>
    <w:rsid w:val="00454A06"/>
    <w:rsid w:val="00454DB5"/>
    <w:rsid w:val="00454EEF"/>
    <w:rsid w:val="00455D0E"/>
    <w:rsid w:val="00456117"/>
    <w:rsid w:val="004565CD"/>
    <w:rsid w:val="00456B3F"/>
    <w:rsid w:val="00456BC2"/>
    <w:rsid w:val="00456E98"/>
    <w:rsid w:val="00457150"/>
    <w:rsid w:val="004574FC"/>
    <w:rsid w:val="004577C3"/>
    <w:rsid w:val="00457CD6"/>
    <w:rsid w:val="00461638"/>
    <w:rsid w:val="00461A8E"/>
    <w:rsid w:val="00461F5B"/>
    <w:rsid w:val="00462517"/>
    <w:rsid w:val="00462673"/>
    <w:rsid w:val="00462720"/>
    <w:rsid w:val="00463923"/>
    <w:rsid w:val="00463ACE"/>
    <w:rsid w:val="0046426F"/>
    <w:rsid w:val="00464874"/>
    <w:rsid w:val="0046504E"/>
    <w:rsid w:val="00465988"/>
    <w:rsid w:val="004659D8"/>
    <w:rsid w:val="00465FBC"/>
    <w:rsid w:val="004660AB"/>
    <w:rsid w:val="00467255"/>
    <w:rsid w:val="004678B2"/>
    <w:rsid w:val="00467A29"/>
    <w:rsid w:val="00467A69"/>
    <w:rsid w:val="00467C7B"/>
    <w:rsid w:val="00470147"/>
    <w:rsid w:val="00470E80"/>
    <w:rsid w:val="004714D2"/>
    <w:rsid w:val="00471E2E"/>
    <w:rsid w:val="00472AA3"/>
    <w:rsid w:val="004731A7"/>
    <w:rsid w:val="00473767"/>
    <w:rsid w:val="00473B38"/>
    <w:rsid w:val="00473B41"/>
    <w:rsid w:val="00473BD0"/>
    <w:rsid w:val="0047494E"/>
    <w:rsid w:val="004752E8"/>
    <w:rsid w:val="00475B7B"/>
    <w:rsid w:val="004762C9"/>
    <w:rsid w:val="004763D8"/>
    <w:rsid w:val="004763E1"/>
    <w:rsid w:val="00476925"/>
    <w:rsid w:val="0047796F"/>
    <w:rsid w:val="00477A18"/>
    <w:rsid w:val="00477C88"/>
    <w:rsid w:val="0048080A"/>
    <w:rsid w:val="00480C77"/>
    <w:rsid w:val="00481247"/>
    <w:rsid w:val="004812B5"/>
    <w:rsid w:val="00481731"/>
    <w:rsid w:val="00481858"/>
    <w:rsid w:val="00481B6A"/>
    <w:rsid w:val="00481B77"/>
    <w:rsid w:val="00481E19"/>
    <w:rsid w:val="004823EF"/>
    <w:rsid w:val="00482CFE"/>
    <w:rsid w:val="00482D9F"/>
    <w:rsid w:val="004831EE"/>
    <w:rsid w:val="004836E4"/>
    <w:rsid w:val="0048388D"/>
    <w:rsid w:val="00483BCB"/>
    <w:rsid w:val="00483DC7"/>
    <w:rsid w:val="00483EF3"/>
    <w:rsid w:val="00484082"/>
    <w:rsid w:val="004840E1"/>
    <w:rsid w:val="00484274"/>
    <w:rsid w:val="004846FE"/>
    <w:rsid w:val="00484E43"/>
    <w:rsid w:val="00484F23"/>
    <w:rsid w:val="00485170"/>
    <w:rsid w:val="004852F0"/>
    <w:rsid w:val="004856D8"/>
    <w:rsid w:val="00485DA0"/>
    <w:rsid w:val="004861D9"/>
    <w:rsid w:val="00486463"/>
    <w:rsid w:val="00486688"/>
    <w:rsid w:val="00487040"/>
    <w:rsid w:val="004873C2"/>
    <w:rsid w:val="004876C8"/>
    <w:rsid w:val="00487CA4"/>
    <w:rsid w:val="00487FEB"/>
    <w:rsid w:val="00490018"/>
    <w:rsid w:val="0049002D"/>
    <w:rsid w:val="004900C3"/>
    <w:rsid w:val="00490697"/>
    <w:rsid w:val="00490A48"/>
    <w:rsid w:val="00490B99"/>
    <w:rsid w:val="00490DFD"/>
    <w:rsid w:val="004915CD"/>
    <w:rsid w:val="0049172C"/>
    <w:rsid w:val="00491F56"/>
    <w:rsid w:val="00492D1C"/>
    <w:rsid w:val="00493569"/>
    <w:rsid w:val="004937FC"/>
    <w:rsid w:val="004938FB"/>
    <w:rsid w:val="00493C92"/>
    <w:rsid w:val="0049403C"/>
    <w:rsid w:val="00494D2B"/>
    <w:rsid w:val="00494FBA"/>
    <w:rsid w:val="0049507A"/>
    <w:rsid w:val="0049567A"/>
    <w:rsid w:val="004956B0"/>
    <w:rsid w:val="0049584E"/>
    <w:rsid w:val="004959D8"/>
    <w:rsid w:val="00496CA1"/>
    <w:rsid w:val="00496FF9"/>
    <w:rsid w:val="0049713B"/>
    <w:rsid w:val="004A0351"/>
    <w:rsid w:val="004A0712"/>
    <w:rsid w:val="004A07ED"/>
    <w:rsid w:val="004A0ECE"/>
    <w:rsid w:val="004A179C"/>
    <w:rsid w:val="004A183F"/>
    <w:rsid w:val="004A19F3"/>
    <w:rsid w:val="004A2408"/>
    <w:rsid w:val="004A2668"/>
    <w:rsid w:val="004A2A41"/>
    <w:rsid w:val="004A2EA4"/>
    <w:rsid w:val="004A353A"/>
    <w:rsid w:val="004A3651"/>
    <w:rsid w:val="004A3F25"/>
    <w:rsid w:val="004A3F6F"/>
    <w:rsid w:val="004A4247"/>
    <w:rsid w:val="004A489E"/>
    <w:rsid w:val="004A4BA6"/>
    <w:rsid w:val="004A5B97"/>
    <w:rsid w:val="004A5CA5"/>
    <w:rsid w:val="004A654B"/>
    <w:rsid w:val="004A6707"/>
    <w:rsid w:val="004A6ACA"/>
    <w:rsid w:val="004A7273"/>
    <w:rsid w:val="004B0429"/>
    <w:rsid w:val="004B0A36"/>
    <w:rsid w:val="004B0B13"/>
    <w:rsid w:val="004B0FEA"/>
    <w:rsid w:val="004B186E"/>
    <w:rsid w:val="004B188A"/>
    <w:rsid w:val="004B281E"/>
    <w:rsid w:val="004B2D4C"/>
    <w:rsid w:val="004B2DD2"/>
    <w:rsid w:val="004B2F6C"/>
    <w:rsid w:val="004B34BB"/>
    <w:rsid w:val="004B34FC"/>
    <w:rsid w:val="004B3A34"/>
    <w:rsid w:val="004B3A56"/>
    <w:rsid w:val="004B3BB3"/>
    <w:rsid w:val="004B40EF"/>
    <w:rsid w:val="004B4546"/>
    <w:rsid w:val="004B48D4"/>
    <w:rsid w:val="004B4972"/>
    <w:rsid w:val="004B4CD4"/>
    <w:rsid w:val="004B4D2C"/>
    <w:rsid w:val="004B4F79"/>
    <w:rsid w:val="004B5FB3"/>
    <w:rsid w:val="004B6C3B"/>
    <w:rsid w:val="004B72DA"/>
    <w:rsid w:val="004B7DF3"/>
    <w:rsid w:val="004C00F4"/>
    <w:rsid w:val="004C0389"/>
    <w:rsid w:val="004C0564"/>
    <w:rsid w:val="004C056D"/>
    <w:rsid w:val="004C0895"/>
    <w:rsid w:val="004C0C01"/>
    <w:rsid w:val="004C0E39"/>
    <w:rsid w:val="004C0EF5"/>
    <w:rsid w:val="004C101F"/>
    <w:rsid w:val="004C13FB"/>
    <w:rsid w:val="004C1DB8"/>
    <w:rsid w:val="004C281A"/>
    <w:rsid w:val="004C2E84"/>
    <w:rsid w:val="004C3566"/>
    <w:rsid w:val="004C3791"/>
    <w:rsid w:val="004C3DE9"/>
    <w:rsid w:val="004C3E90"/>
    <w:rsid w:val="004C3FE1"/>
    <w:rsid w:val="004C44B0"/>
    <w:rsid w:val="004C563F"/>
    <w:rsid w:val="004C587B"/>
    <w:rsid w:val="004C5D2A"/>
    <w:rsid w:val="004C6670"/>
    <w:rsid w:val="004C7747"/>
    <w:rsid w:val="004C7C70"/>
    <w:rsid w:val="004C7EB5"/>
    <w:rsid w:val="004C7F47"/>
    <w:rsid w:val="004C7F6B"/>
    <w:rsid w:val="004D02F5"/>
    <w:rsid w:val="004D07AD"/>
    <w:rsid w:val="004D0EA1"/>
    <w:rsid w:val="004D0EB9"/>
    <w:rsid w:val="004D1086"/>
    <w:rsid w:val="004D1DBF"/>
    <w:rsid w:val="004D2895"/>
    <w:rsid w:val="004D2903"/>
    <w:rsid w:val="004D2B3E"/>
    <w:rsid w:val="004D351B"/>
    <w:rsid w:val="004D36EB"/>
    <w:rsid w:val="004D41B9"/>
    <w:rsid w:val="004D426A"/>
    <w:rsid w:val="004D6380"/>
    <w:rsid w:val="004D6655"/>
    <w:rsid w:val="004D6CDB"/>
    <w:rsid w:val="004D7591"/>
    <w:rsid w:val="004D7CF7"/>
    <w:rsid w:val="004E1312"/>
    <w:rsid w:val="004E1DD5"/>
    <w:rsid w:val="004E1E94"/>
    <w:rsid w:val="004E240A"/>
    <w:rsid w:val="004E32F9"/>
    <w:rsid w:val="004E3B02"/>
    <w:rsid w:val="004E4E7E"/>
    <w:rsid w:val="004E5511"/>
    <w:rsid w:val="004E5613"/>
    <w:rsid w:val="004E5701"/>
    <w:rsid w:val="004E6A48"/>
    <w:rsid w:val="004E6AF6"/>
    <w:rsid w:val="004E6B40"/>
    <w:rsid w:val="004E746A"/>
    <w:rsid w:val="004F0261"/>
    <w:rsid w:val="004F0BAA"/>
    <w:rsid w:val="004F1322"/>
    <w:rsid w:val="004F1808"/>
    <w:rsid w:val="004F1A7D"/>
    <w:rsid w:val="004F2673"/>
    <w:rsid w:val="004F2852"/>
    <w:rsid w:val="004F2D36"/>
    <w:rsid w:val="004F2DEB"/>
    <w:rsid w:val="004F3028"/>
    <w:rsid w:val="004F3829"/>
    <w:rsid w:val="004F3A65"/>
    <w:rsid w:val="004F3FAA"/>
    <w:rsid w:val="004F48F0"/>
    <w:rsid w:val="004F55E4"/>
    <w:rsid w:val="004F75B5"/>
    <w:rsid w:val="004F7DBF"/>
    <w:rsid w:val="004F7E75"/>
    <w:rsid w:val="00500C58"/>
    <w:rsid w:val="00500FBE"/>
    <w:rsid w:val="00501540"/>
    <w:rsid w:val="0050193F"/>
    <w:rsid w:val="005020DA"/>
    <w:rsid w:val="00502728"/>
    <w:rsid w:val="0050296A"/>
    <w:rsid w:val="0050334D"/>
    <w:rsid w:val="00503510"/>
    <w:rsid w:val="00503A16"/>
    <w:rsid w:val="00503A5E"/>
    <w:rsid w:val="00503C13"/>
    <w:rsid w:val="005040F7"/>
    <w:rsid w:val="005041D3"/>
    <w:rsid w:val="005042D7"/>
    <w:rsid w:val="0050470E"/>
    <w:rsid w:val="00504745"/>
    <w:rsid w:val="005047E8"/>
    <w:rsid w:val="005049DC"/>
    <w:rsid w:val="00504B88"/>
    <w:rsid w:val="0050521A"/>
    <w:rsid w:val="0050527A"/>
    <w:rsid w:val="00505828"/>
    <w:rsid w:val="00505A72"/>
    <w:rsid w:val="00505C21"/>
    <w:rsid w:val="00505FC9"/>
    <w:rsid w:val="005061ED"/>
    <w:rsid w:val="005063E7"/>
    <w:rsid w:val="005064C4"/>
    <w:rsid w:val="00506F93"/>
    <w:rsid w:val="00507536"/>
    <w:rsid w:val="00507873"/>
    <w:rsid w:val="0050788A"/>
    <w:rsid w:val="0051098E"/>
    <w:rsid w:val="00510A5D"/>
    <w:rsid w:val="00510C65"/>
    <w:rsid w:val="00510C69"/>
    <w:rsid w:val="00510FA2"/>
    <w:rsid w:val="00511054"/>
    <w:rsid w:val="00511156"/>
    <w:rsid w:val="00511242"/>
    <w:rsid w:val="00512189"/>
    <w:rsid w:val="0051283A"/>
    <w:rsid w:val="00512F9B"/>
    <w:rsid w:val="00514990"/>
    <w:rsid w:val="00514C2A"/>
    <w:rsid w:val="00514C74"/>
    <w:rsid w:val="0051563F"/>
    <w:rsid w:val="005156BB"/>
    <w:rsid w:val="00515851"/>
    <w:rsid w:val="00515C95"/>
    <w:rsid w:val="00515DC0"/>
    <w:rsid w:val="00516231"/>
    <w:rsid w:val="005163F3"/>
    <w:rsid w:val="00516D70"/>
    <w:rsid w:val="00516FFB"/>
    <w:rsid w:val="00517206"/>
    <w:rsid w:val="00517611"/>
    <w:rsid w:val="00517858"/>
    <w:rsid w:val="00517B87"/>
    <w:rsid w:val="00520763"/>
    <w:rsid w:val="00520CCE"/>
    <w:rsid w:val="00520DF1"/>
    <w:rsid w:val="00521599"/>
    <w:rsid w:val="00521BDB"/>
    <w:rsid w:val="00522363"/>
    <w:rsid w:val="00522CE2"/>
    <w:rsid w:val="005230AB"/>
    <w:rsid w:val="0052329A"/>
    <w:rsid w:val="00523545"/>
    <w:rsid w:val="00523560"/>
    <w:rsid w:val="00523819"/>
    <w:rsid w:val="005239D0"/>
    <w:rsid w:val="00523E29"/>
    <w:rsid w:val="005241B6"/>
    <w:rsid w:val="00524240"/>
    <w:rsid w:val="00524266"/>
    <w:rsid w:val="00524747"/>
    <w:rsid w:val="0052498A"/>
    <w:rsid w:val="00525098"/>
    <w:rsid w:val="00525362"/>
    <w:rsid w:val="00525665"/>
    <w:rsid w:val="005259EF"/>
    <w:rsid w:val="00526A28"/>
    <w:rsid w:val="0052706F"/>
    <w:rsid w:val="00527508"/>
    <w:rsid w:val="0052753E"/>
    <w:rsid w:val="005301C8"/>
    <w:rsid w:val="005305A6"/>
    <w:rsid w:val="00531145"/>
    <w:rsid w:val="00531518"/>
    <w:rsid w:val="00531A5B"/>
    <w:rsid w:val="00531B41"/>
    <w:rsid w:val="00531F36"/>
    <w:rsid w:val="005322FB"/>
    <w:rsid w:val="005324F7"/>
    <w:rsid w:val="00532573"/>
    <w:rsid w:val="00532F60"/>
    <w:rsid w:val="0053311B"/>
    <w:rsid w:val="005338C0"/>
    <w:rsid w:val="00533DDF"/>
    <w:rsid w:val="00534CD1"/>
    <w:rsid w:val="00534F0D"/>
    <w:rsid w:val="005353C1"/>
    <w:rsid w:val="0053551F"/>
    <w:rsid w:val="00535F5E"/>
    <w:rsid w:val="005366C8"/>
    <w:rsid w:val="00536E39"/>
    <w:rsid w:val="00537728"/>
    <w:rsid w:val="005378D3"/>
    <w:rsid w:val="00537B55"/>
    <w:rsid w:val="005408D9"/>
    <w:rsid w:val="00540926"/>
    <w:rsid w:val="005409DA"/>
    <w:rsid w:val="00540B8C"/>
    <w:rsid w:val="00541988"/>
    <w:rsid w:val="00541AA2"/>
    <w:rsid w:val="0054257B"/>
    <w:rsid w:val="005431A8"/>
    <w:rsid w:val="0054347D"/>
    <w:rsid w:val="00543653"/>
    <w:rsid w:val="005436F5"/>
    <w:rsid w:val="00544256"/>
    <w:rsid w:val="00544282"/>
    <w:rsid w:val="00544322"/>
    <w:rsid w:val="0054441F"/>
    <w:rsid w:val="00544B19"/>
    <w:rsid w:val="00544EF2"/>
    <w:rsid w:val="00544F15"/>
    <w:rsid w:val="00544F28"/>
    <w:rsid w:val="005451A1"/>
    <w:rsid w:val="0054542D"/>
    <w:rsid w:val="00545DBE"/>
    <w:rsid w:val="00545E57"/>
    <w:rsid w:val="0054603C"/>
    <w:rsid w:val="005467D7"/>
    <w:rsid w:val="00546E71"/>
    <w:rsid w:val="0054732B"/>
    <w:rsid w:val="00547A5A"/>
    <w:rsid w:val="00550765"/>
    <w:rsid w:val="00550913"/>
    <w:rsid w:val="00550A6B"/>
    <w:rsid w:val="00550DED"/>
    <w:rsid w:val="00550FF4"/>
    <w:rsid w:val="00551EAC"/>
    <w:rsid w:val="0055221C"/>
    <w:rsid w:val="005527CF"/>
    <w:rsid w:val="00552958"/>
    <w:rsid w:val="00553250"/>
    <w:rsid w:val="005534E1"/>
    <w:rsid w:val="00554382"/>
    <w:rsid w:val="0055448F"/>
    <w:rsid w:val="005544B7"/>
    <w:rsid w:val="005544F5"/>
    <w:rsid w:val="00554B49"/>
    <w:rsid w:val="00554F3A"/>
    <w:rsid w:val="0055504E"/>
    <w:rsid w:val="00555518"/>
    <w:rsid w:val="0055592A"/>
    <w:rsid w:val="0055614A"/>
    <w:rsid w:val="005561F8"/>
    <w:rsid w:val="005570DE"/>
    <w:rsid w:val="00557355"/>
    <w:rsid w:val="00557571"/>
    <w:rsid w:val="0055767D"/>
    <w:rsid w:val="00557997"/>
    <w:rsid w:val="00557D64"/>
    <w:rsid w:val="0056031A"/>
    <w:rsid w:val="0056056F"/>
    <w:rsid w:val="00560FD5"/>
    <w:rsid w:val="00561052"/>
    <w:rsid w:val="005610B4"/>
    <w:rsid w:val="00561467"/>
    <w:rsid w:val="00561628"/>
    <w:rsid w:val="00562095"/>
    <w:rsid w:val="00562219"/>
    <w:rsid w:val="0056247B"/>
    <w:rsid w:val="00563163"/>
    <w:rsid w:val="00563292"/>
    <w:rsid w:val="00564062"/>
    <w:rsid w:val="00564B22"/>
    <w:rsid w:val="00565CEB"/>
    <w:rsid w:val="00565E38"/>
    <w:rsid w:val="0056601D"/>
    <w:rsid w:val="005664E0"/>
    <w:rsid w:val="005665F6"/>
    <w:rsid w:val="00566BD0"/>
    <w:rsid w:val="005670D6"/>
    <w:rsid w:val="0056719D"/>
    <w:rsid w:val="00567441"/>
    <w:rsid w:val="00567840"/>
    <w:rsid w:val="00567C8A"/>
    <w:rsid w:val="00567D7E"/>
    <w:rsid w:val="00567F05"/>
    <w:rsid w:val="00570282"/>
    <w:rsid w:val="005707A4"/>
    <w:rsid w:val="00570AA1"/>
    <w:rsid w:val="00571100"/>
    <w:rsid w:val="005714ED"/>
    <w:rsid w:val="00571736"/>
    <w:rsid w:val="00571DED"/>
    <w:rsid w:val="00572306"/>
    <w:rsid w:val="005726AE"/>
    <w:rsid w:val="00572B5B"/>
    <w:rsid w:val="00572DB4"/>
    <w:rsid w:val="00572DFD"/>
    <w:rsid w:val="00573086"/>
    <w:rsid w:val="00573991"/>
    <w:rsid w:val="0057442B"/>
    <w:rsid w:val="0057481C"/>
    <w:rsid w:val="005754DC"/>
    <w:rsid w:val="00575697"/>
    <w:rsid w:val="0057630C"/>
    <w:rsid w:val="005766AC"/>
    <w:rsid w:val="00576B16"/>
    <w:rsid w:val="00576ED8"/>
    <w:rsid w:val="00576FD6"/>
    <w:rsid w:val="00577196"/>
    <w:rsid w:val="0057734C"/>
    <w:rsid w:val="00577430"/>
    <w:rsid w:val="00577866"/>
    <w:rsid w:val="005801F2"/>
    <w:rsid w:val="00580437"/>
    <w:rsid w:val="005806E8"/>
    <w:rsid w:val="00580927"/>
    <w:rsid w:val="00580D74"/>
    <w:rsid w:val="00580E54"/>
    <w:rsid w:val="005817BE"/>
    <w:rsid w:val="0058184A"/>
    <w:rsid w:val="00581BF6"/>
    <w:rsid w:val="00581E8E"/>
    <w:rsid w:val="005820A6"/>
    <w:rsid w:val="00582A27"/>
    <w:rsid w:val="00583092"/>
    <w:rsid w:val="0058385A"/>
    <w:rsid w:val="00583B82"/>
    <w:rsid w:val="0058404E"/>
    <w:rsid w:val="005844B1"/>
    <w:rsid w:val="00584DFC"/>
    <w:rsid w:val="00585140"/>
    <w:rsid w:val="005857ED"/>
    <w:rsid w:val="00585D17"/>
    <w:rsid w:val="005860BF"/>
    <w:rsid w:val="005866C0"/>
    <w:rsid w:val="00587944"/>
    <w:rsid w:val="00587BC7"/>
    <w:rsid w:val="005901FB"/>
    <w:rsid w:val="00590660"/>
    <w:rsid w:val="00590ABC"/>
    <w:rsid w:val="00590BE7"/>
    <w:rsid w:val="00590D8B"/>
    <w:rsid w:val="0059146B"/>
    <w:rsid w:val="005916BE"/>
    <w:rsid w:val="00591B55"/>
    <w:rsid w:val="00591D03"/>
    <w:rsid w:val="00591DC1"/>
    <w:rsid w:val="00592620"/>
    <w:rsid w:val="0059282C"/>
    <w:rsid w:val="00592B0A"/>
    <w:rsid w:val="005934E8"/>
    <w:rsid w:val="00593AD9"/>
    <w:rsid w:val="00593C4C"/>
    <w:rsid w:val="005940F8"/>
    <w:rsid w:val="00594259"/>
    <w:rsid w:val="0059436A"/>
    <w:rsid w:val="005943BD"/>
    <w:rsid w:val="00594415"/>
    <w:rsid w:val="00594AA7"/>
    <w:rsid w:val="00595460"/>
    <w:rsid w:val="00595681"/>
    <w:rsid w:val="00595763"/>
    <w:rsid w:val="0059580C"/>
    <w:rsid w:val="0059586A"/>
    <w:rsid w:val="00595E0C"/>
    <w:rsid w:val="00595E17"/>
    <w:rsid w:val="005962D9"/>
    <w:rsid w:val="00596AA9"/>
    <w:rsid w:val="0059702A"/>
    <w:rsid w:val="005970CC"/>
    <w:rsid w:val="00597425"/>
    <w:rsid w:val="005974C4"/>
    <w:rsid w:val="00597CDA"/>
    <w:rsid w:val="005A068D"/>
    <w:rsid w:val="005A1172"/>
    <w:rsid w:val="005A12B5"/>
    <w:rsid w:val="005A1EF4"/>
    <w:rsid w:val="005A207F"/>
    <w:rsid w:val="005A25B1"/>
    <w:rsid w:val="005A2B21"/>
    <w:rsid w:val="005A2FA6"/>
    <w:rsid w:val="005A3871"/>
    <w:rsid w:val="005A43A4"/>
    <w:rsid w:val="005A4452"/>
    <w:rsid w:val="005A4D0D"/>
    <w:rsid w:val="005A5012"/>
    <w:rsid w:val="005A51BD"/>
    <w:rsid w:val="005A5727"/>
    <w:rsid w:val="005A69E2"/>
    <w:rsid w:val="005A7A01"/>
    <w:rsid w:val="005B02F5"/>
    <w:rsid w:val="005B03E6"/>
    <w:rsid w:val="005B0661"/>
    <w:rsid w:val="005B09C0"/>
    <w:rsid w:val="005B0AAD"/>
    <w:rsid w:val="005B0BB3"/>
    <w:rsid w:val="005B0DA7"/>
    <w:rsid w:val="005B1282"/>
    <w:rsid w:val="005B14F4"/>
    <w:rsid w:val="005B1A55"/>
    <w:rsid w:val="005B205E"/>
    <w:rsid w:val="005B20A0"/>
    <w:rsid w:val="005B26E0"/>
    <w:rsid w:val="005B2A8D"/>
    <w:rsid w:val="005B2B45"/>
    <w:rsid w:val="005B3BCD"/>
    <w:rsid w:val="005B3BF7"/>
    <w:rsid w:val="005B461D"/>
    <w:rsid w:val="005B4868"/>
    <w:rsid w:val="005B4E38"/>
    <w:rsid w:val="005B52AE"/>
    <w:rsid w:val="005B614E"/>
    <w:rsid w:val="005B6196"/>
    <w:rsid w:val="005B6429"/>
    <w:rsid w:val="005B674C"/>
    <w:rsid w:val="005B6DAB"/>
    <w:rsid w:val="005B6EC3"/>
    <w:rsid w:val="005B74A0"/>
    <w:rsid w:val="005B7A12"/>
    <w:rsid w:val="005B7CF2"/>
    <w:rsid w:val="005C06FB"/>
    <w:rsid w:val="005C0869"/>
    <w:rsid w:val="005C0D9C"/>
    <w:rsid w:val="005C1283"/>
    <w:rsid w:val="005C17F6"/>
    <w:rsid w:val="005C1DB6"/>
    <w:rsid w:val="005C1E8E"/>
    <w:rsid w:val="005C1EA4"/>
    <w:rsid w:val="005C1F4F"/>
    <w:rsid w:val="005C1FA5"/>
    <w:rsid w:val="005C28F0"/>
    <w:rsid w:val="005C2B71"/>
    <w:rsid w:val="005C34B2"/>
    <w:rsid w:val="005C357A"/>
    <w:rsid w:val="005C399E"/>
    <w:rsid w:val="005C4880"/>
    <w:rsid w:val="005C5FE3"/>
    <w:rsid w:val="005C601E"/>
    <w:rsid w:val="005C6212"/>
    <w:rsid w:val="005C659D"/>
    <w:rsid w:val="005C7A81"/>
    <w:rsid w:val="005C7E26"/>
    <w:rsid w:val="005C7E77"/>
    <w:rsid w:val="005D053D"/>
    <w:rsid w:val="005D0D6F"/>
    <w:rsid w:val="005D158F"/>
    <w:rsid w:val="005D15DB"/>
    <w:rsid w:val="005D1631"/>
    <w:rsid w:val="005D2435"/>
    <w:rsid w:val="005D259D"/>
    <w:rsid w:val="005D27F4"/>
    <w:rsid w:val="005D2C9C"/>
    <w:rsid w:val="005D2DCD"/>
    <w:rsid w:val="005D2F56"/>
    <w:rsid w:val="005D31D0"/>
    <w:rsid w:val="005D327A"/>
    <w:rsid w:val="005D328F"/>
    <w:rsid w:val="005D335F"/>
    <w:rsid w:val="005D34BC"/>
    <w:rsid w:val="005D3829"/>
    <w:rsid w:val="005D39FC"/>
    <w:rsid w:val="005D3AC6"/>
    <w:rsid w:val="005D3FA0"/>
    <w:rsid w:val="005D431A"/>
    <w:rsid w:val="005D4339"/>
    <w:rsid w:val="005D476C"/>
    <w:rsid w:val="005D4D78"/>
    <w:rsid w:val="005D4E22"/>
    <w:rsid w:val="005D52F1"/>
    <w:rsid w:val="005D5562"/>
    <w:rsid w:val="005D56B0"/>
    <w:rsid w:val="005D584E"/>
    <w:rsid w:val="005D5850"/>
    <w:rsid w:val="005D5A0C"/>
    <w:rsid w:val="005D6063"/>
    <w:rsid w:val="005D6E9A"/>
    <w:rsid w:val="005D79E3"/>
    <w:rsid w:val="005D7FFE"/>
    <w:rsid w:val="005E0116"/>
    <w:rsid w:val="005E04E3"/>
    <w:rsid w:val="005E073D"/>
    <w:rsid w:val="005E0762"/>
    <w:rsid w:val="005E14E0"/>
    <w:rsid w:val="005E25E9"/>
    <w:rsid w:val="005E2B2E"/>
    <w:rsid w:val="005E2BBE"/>
    <w:rsid w:val="005E2F2E"/>
    <w:rsid w:val="005E30C3"/>
    <w:rsid w:val="005E3263"/>
    <w:rsid w:val="005E35B7"/>
    <w:rsid w:val="005E37A0"/>
    <w:rsid w:val="005E396E"/>
    <w:rsid w:val="005E3DC1"/>
    <w:rsid w:val="005E3F08"/>
    <w:rsid w:val="005E40E1"/>
    <w:rsid w:val="005E420E"/>
    <w:rsid w:val="005E4F41"/>
    <w:rsid w:val="005E5022"/>
    <w:rsid w:val="005E520C"/>
    <w:rsid w:val="005E52E6"/>
    <w:rsid w:val="005E53C3"/>
    <w:rsid w:val="005E5A74"/>
    <w:rsid w:val="005E5DC1"/>
    <w:rsid w:val="005E5F70"/>
    <w:rsid w:val="005E613E"/>
    <w:rsid w:val="005E6530"/>
    <w:rsid w:val="005E656B"/>
    <w:rsid w:val="005E6F3B"/>
    <w:rsid w:val="005E73C2"/>
    <w:rsid w:val="005F01AC"/>
    <w:rsid w:val="005F0A8B"/>
    <w:rsid w:val="005F0BAA"/>
    <w:rsid w:val="005F0D16"/>
    <w:rsid w:val="005F11FE"/>
    <w:rsid w:val="005F206B"/>
    <w:rsid w:val="005F342E"/>
    <w:rsid w:val="005F3551"/>
    <w:rsid w:val="005F3B40"/>
    <w:rsid w:val="005F40F9"/>
    <w:rsid w:val="005F4598"/>
    <w:rsid w:val="005F4919"/>
    <w:rsid w:val="005F4CDF"/>
    <w:rsid w:val="005F5114"/>
    <w:rsid w:val="005F5196"/>
    <w:rsid w:val="005F5253"/>
    <w:rsid w:val="005F64C8"/>
    <w:rsid w:val="005F690C"/>
    <w:rsid w:val="005F6A8B"/>
    <w:rsid w:val="005F6AC2"/>
    <w:rsid w:val="005F6D76"/>
    <w:rsid w:val="005F6EB0"/>
    <w:rsid w:val="005F7380"/>
    <w:rsid w:val="005F7398"/>
    <w:rsid w:val="005F78FB"/>
    <w:rsid w:val="005F7F3D"/>
    <w:rsid w:val="00600754"/>
    <w:rsid w:val="00600A67"/>
    <w:rsid w:val="0060104F"/>
    <w:rsid w:val="00601551"/>
    <w:rsid w:val="00601CFF"/>
    <w:rsid w:val="00601D1E"/>
    <w:rsid w:val="00601DA3"/>
    <w:rsid w:val="0060215F"/>
    <w:rsid w:val="0060224E"/>
    <w:rsid w:val="0060283B"/>
    <w:rsid w:val="00602B4F"/>
    <w:rsid w:val="00602EE5"/>
    <w:rsid w:val="006031F0"/>
    <w:rsid w:val="00603790"/>
    <w:rsid w:val="00603E89"/>
    <w:rsid w:val="0060406E"/>
    <w:rsid w:val="006045BE"/>
    <w:rsid w:val="00604C69"/>
    <w:rsid w:val="00604D60"/>
    <w:rsid w:val="0060506E"/>
    <w:rsid w:val="006050EE"/>
    <w:rsid w:val="00605200"/>
    <w:rsid w:val="00605461"/>
    <w:rsid w:val="00605536"/>
    <w:rsid w:val="00605829"/>
    <w:rsid w:val="00605F4C"/>
    <w:rsid w:val="006062C8"/>
    <w:rsid w:val="0060652B"/>
    <w:rsid w:val="006066FF"/>
    <w:rsid w:val="00606740"/>
    <w:rsid w:val="006069CE"/>
    <w:rsid w:val="00606A31"/>
    <w:rsid w:val="00606D59"/>
    <w:rsid w:val="00606D99"/>
    <w:rsid w:val="00607127"/>
    <w:rsid w:val="00610396"/>
    <w:rsid w:val="00611052"/>
    <w:rsid w:val="0061107B"/>
    <w:rsid w:val="006121E2"/>
    <w:rsid w:val="0061272A"/>
    <w:rsid w:val="00612765"/>
    <w:rsid w:val="006127A2"/>
    <w:rsid w:val="006127E9"/>
    <w:rsid w:val="00612AA0"/>
    <w:rsid w:val="00612C0C"/>
    <w:rsid w:val="00613ADB"/>
    <w:rsid w:val="00613B43"/>
    <w:rsid w:val="00613C05"/>
    <w:rsid w:val="00614AB5"/>
    <w:rsid w:val="00614C58"/>
    <w:rsid w:val="006151F0"/>
    <w:rsid w:val="006153DA"/>
    <w:rsid w:val="00615BDD"/>
    <w:rsid w:val="00615CF1"/>
    <w:rsid w:val="006161E3"/>
    <w:rsid w:val="0061678F"/>
    <w:rsid w:val="0061696D"/>
    <w:rsid w:val="00616FDF"/>
    <w:rsid w:val="00617075"/>
    <w:rsid w:val="00617F3E"/>
    <w:rsid w:val="00617FE5"/>
    <w:rsid w:val="0062012A"/>
    <w:rsid w:val="00620AAA"/>
    <w:rsid w:val="00621306"/>
    <w:rsid w:val="00621767"/>
    <w:rsid w:val="006219AA"/>
    <w:rsid w:val="00621DD0"/>
    <w:rsid w:val="00622346"/>
    <w:rsid w:val="0062260E"/>
    <w:rsid w:val="00622A28"/>
    <w:rsid w:val="006238C1"/>
    <w:rsid w:val="00623A73"/>
    <w:rsid w:val="00623F1E"/>
    <w:rsid w:val="00623F5B"/>
    <w:rsid w:val="00624283"/>
    <w:rsid w:val="00624291"/>
    <w:rsid w:val="006243F7"/>
    <w:rsid w:val="006246DD"/>
    <w:rsid w:val="00624FC1"/>
    <w:rsid w:val="0062500F"/>
    <w:rsid w:val="0062513D"/>
    <w:rsid w:val="006255DC"/>
    <w:rsid w:val="006256ED"/>
    <w:rsid w:val="00625AED"/>
    <w:rsid w:val="00625B62"/>
    <w:rsid w:val="00625C43"/>
    <w:rsid w:val="006264B7"/>
    <w:rsid w:val="0062692E"/>
    <w:rsid w:val="00626E3F"/>
    <w:rsid w:val="006270E4"/>
    <w:rsid w:val="00627615"/>
    <w:rsid w:val="00627B41"/>
    <w:rsid w:val="00627B5F"/>
    <w:rsid w:val="00627E5A"/>
    <w:rsid w:val="0063042E"/>
    <w:rsid w:val="006304DD"/>
    <w:rsid w:val="00630BEF"/>
    <w:rsid w:val="00631437"/>
    <w:rsid w:val="00631FF0"/>
    <w:rsid w:val="0063234D"/>
    <w:rsid w:val="006326AA"/>
    <w:rsid w:val="0063288E"/>
    <w:rsid w:val="00632ED5"/>
    <w:rsid w:val="00632F9E"/>
    <w:rsid w:val="006335B5"/>
    <w:rsid w:val="0063373B"/>
    <w:rsid w:val="006341E6"/>
    <w:rsid w:val="00634445"/>
    <w:rsid w:val="00634CDE"/>
    <w:rsid w:val="00635148"/>
    <w:rsid w:val="00635665"/>
    <w:rsid w:val="00636652"/>
    <w:rsid w:val="006366CF"/>
    <w:rsid w:val="0063692E"/>
    <w:rsid w:val="00636DDD"/>
    <w:rsid w:val="00637676"/>
    <w:rsid w:val="00640251"/>
    <w:rsid w:val="0064041F"/>
    <w:rsid w:val="00641152"/>
    <w:rsid w:val="006413EB"/>
    <w:rsid w:val="006415F2"/>
    <w:rsid w:val="00642161"/>
    <w:rsid w:val="00642C08"/>
    <w:rsid w:val="006434B7"/>
    <w:rsid w:val="00643894"/>
    <w:rsid w:val="00643917"/>
    <w:rsid w:val="00643B24"/>
    <w:rsid w:val="00643BB9"/>
    <w:rsid w:val="00643D68"/>
    <w:rsid w:val="00645382"/>
    <w:rsid w:val="00645655"/>
    <w:rsid w:val="006473BD"/>
    <w:rsid w:val="006473DC"/>
    <w:rsid w:val="006474BA"/>
    <w:rsid w:val="0064757B"/>
    <w:rsid w:val="00647CC1"/>
    <w:rsid w:val="006503D7"/>
    <w:rsid w:val="00650D3B"/>
    <w:rsid w:val="00650E1F"/>
    <w:rsid w:val="0065139A"/>
    <w:rsid w:val="0065155B"/>
    <w:rsid w:val="00651846"/>
    <w:rsid w:val="00651CF7"/>
    <w:rsid w:val="00651F22"/>
    <w:rsid w:val="0065210A"/>
    <w:rsid w:val="006521D5"/>
    <w:rsid w:val="006522B9"/>
    <w:rsid w:val="00652811"/>
    <w:rsid w:val="00652820"/>
    <w:rsid w:val="0065285B"/>
    <w:rsid w:val="00652ABD"/>
    <w:rsid w:val="00652E5C"/>
    <w:rsid w:val="0065300F"/>
    <w:rsid w:val="00653674"/>
    <w:rsid w:val="0065473F"/>
    <w:rsid w:val="00654CE4"/>
    <w:rsid w:val="00655383"/>
    <w:rsid w:val="006553D2"/>
    <w:rsid w:val="00655AF8"/>
    <w:rsid w:val="006568BD"/>
    <w:rsid w:val="00656BB1"/>
    <w:rsid w:val="00656C7E"/>
    <w:rsid w:val="00656D30"/>
    <w:rsid w:val="00656DB9"/>
    <w:rsid w:val="00657369"/>
    <w:rsid w:val="00657524"/>
    <w:rsid w:val="00657FD0"/>
    <w:rsid w:val="00660242"/>
    <w:rsid w:val="00660CDD"/>
    <w:rsid w:val="00660DEB"/>
    <w:rsid w:val="00660E8B"/>
    <w:rsid w:val="00661993"/>
    <w:rsid w:val="00661BA5"/>
    <w:rsid w:val="00662666"/>
    <w:rsid w:val="006630AE"/>
    <w:rsid w:val="006636BB"/>
    <w:rsid w:val="0066390E"/>
    <w:rsid w:val="00663969"/>
    <w:rsid w:val="00663A91"/>
    <w:rsid w:val="00663C6D"/>
    <w:rsid w:val="00663E3F"/>
    <w:rsid w:val="00664F3B"/>
    <w:rsid w:val="0066505D"/>
    <w:rsid w:val="006652BC"/>
    <w:rsid w:val="00665643"/>
    <w:rsid w:val="00665699"/>
    <w:rsid w:val="00665AAB"/>
    <w:rsid w:val="00665C13"/>
    <w:rsid w:val="00665F14"/>
    <w:rsid w:val="00665F49"/>
    <w:rsid w:val="0066618F"/>
    <w:rsid w:val="00666B35"/>
    <w:rsid w:val="00666F87"/>
    <w:rsid w:val="00667133"/>
    <w:rsid w:val="00667CC3"/>
    <w:rsid w:val="006702F6"/>
    <w:rsid w:val="00670344"/>
    <w:rsid w:val="00670896"/>
    <w:rsid w:val="00670FEB"/>
    <w:rsid w:val="0067129D"/>
    <w:rsid w:val="00671570"/>
    <w:rsid w:val="00671728"/>
    <w:rsid w:val="00671D6A"/>
    <w:rsid w:val="00672442"/>
    <w:rsid w:val="00672830"/>
    <w:rsid w:val="00673211"/>
    <w:rsid w:val="00673948"/>
    <w:rsid w:val="00673B85"/>
    <w:rsid w:val="00674916"/>
    <w:rsid w:val="00674FEA"/>
    <w:rsid w:val="006751F7"/>
    <w:rsid w:val="006756FC"/>
    <w:rsid w:val="0067578C"/>
    <w:rsid w:val="00677124"/>
    <w:rsid w:val="0067754C"/>
    <w:rsid w:val="00677B05"/>
    <w:rsid w:val="00677E7D"/>
    <w:rsid w:val="00680015"/>
    <w:rsid w:val="0068027D"/>
    <w:rsid w:val="006808AF"/>
    <w:rsid w:val="00680955"/>
    <w:rsid w:val="00680AF1"/>
    <w:rsid w:val="00680D8E"/>
    <w:rsid w:val="00680DBB"/>
    <w:rsid w:val="00681336"/>
    <w:rsid w:val="00681DD1"/>
    <w:rsid w:val="00682161"/>
    <w:rsid w:val="0068249B"/>
    <w:rsid w:val="0068268F"/>
    <w:rsid w:val="00683211"/>
    <w:rsid w:val="00683264"/>
    <w:rsid w:val="00683318"/>
    <w:rsid w:val="006836FC"/>
    <w:rsid w:val="00683F19"/>
    <w:rsid w:val="006843DE"/>
    <w:rsid w:val="00684ABB"/>
    <w:rsid w:val="00684CCB"/>
    <w:rsid w:val="00684DF6"/>
    <w:rsid w:val="00684E43"/>
    <w:rsid w:val="00685CDD"/>
    <w:rsid w:val="00685DB4"/>
    <w:rsid w:val="00686A81"/>
    <w:rsid w:val="00686F71"/>
    <w:rsid w:val="0068766A"/>
    <w:rsid w:val="0068770A"/>
    <w:rsid w:val="00687F7D"/>
    <w:rsid w:val="0069049D"/>
    <w:rsid w:val="0069051C"/>
    <w:rsid w:val="00690F42"/>
    <w:rsid w:val="006911D1"/>
    <w:rsid w:val="006928FE"/>
    <w:rsid w:val="00692E05"/>
    <w:rsid w:val="00693454"/>
    <w:rsid w:val="006935B6"/>
    <w:rsid w:val="0069395F"/>
    <w:rsid w:val="00694837"/>
    <w:rsid w:val="00694C51"/>
    <w:rsid w:val="00694FA9"/>
    <w:rsid w:val="0069513F"/>
    <w:rsid w:val="00695142"/>
    <w:rsid w:val="00695430"/>
    <w:rsid w:val="006955B8"/>
    <w:rsid w:val="00695C2B"/>
    <w:rsid w:val="00695DEE"/>
    <w:rsid w:val="00695EF7"/>
    <w:rsid w:val="006968F8"/>
    <w:rsid w:val="006972BC"/>
    <w:rsid w:val="006978B1"/>
    <w:rsid w:val="006A0548"/>
    <w:rsid w:val="006A0DAA"/>
    <w:rsid w:val="006A0FD7"/>
    <w:rsid w:val="006A0FD8"/>
    <w:rsid w:val="006A120B"/>
    <w:rsid w:val="006A1A82"/>
    <w:rsid w:val="006A1F0E"/>
    <w:rsid w:val="006A1FD7"/>
    <w:rsid w:val="006A2074"/>
    <w:rsid w:val="006A2754"/>
    <w:rsid w:val="006A28DC"/>
    <w:rsid w:val="006A34B7"/>
    <w:rsid w:val="006A38B0"/>
    <w:rsid w:val="006A3B98"/>
    <w:rsid w:val="006A4314"/>
    <w:rsid w:val="006A4393"/>
    <w:rsid w:val="006A466D"/>
    <w:rsid w:val="006A4760"/>
    <w:rsid w:val="006A498A"/>
    <w:rsid w:val="006A5323"/>
    <w:rsid w:val="006A53FB"/>
    <w:rsid w:val="006A5783"/>
    <w:rsid w:val="006A5F41"/>
    <w:rsid w:val="006A5F86"/>
    <w:rsid w:val="006A66D4"/>
    <w:rsid w:val="006A6B3B"/>
    <w:rsid w:val="006A6F0F"/>
    <w:rsid w:val="006A7592"/>
    <w:rsid w:val="006A79D8"/>
    <w:rsid w:val="006A7C45"/>
    <w:rsid w:val="006A7D83"/>
    <w:rsid w:val="006B0659"/>
    <w:rsid w:val="006B0B68"/>
    <w:rsid w:val="006B1470"/>
    <w:rsid w:val="006B1887"/>
    <w:rsid w:val="006B1963"/>
    <w:rsid w:val="006B205D"/>
    <w:rsid w:val="006B2490"/>
    <w:rsid w:val="006B265C"/>
    <w:rsid w:val="006B2776"/>
    <w:rsid w:val="006B2903"/>
    <w:rsid w:val="006B2962"/>
    <w:rsid w:val="006B345F"/>
    <w:rsid w:val="006B4009"/>
    <w:rsid w:val="006B4722"/>
    <w:rsid w:val="006B4863"/>
    <w:rsid w:val="006B490C"/>
    <w:rsid w:val="006B5087"/>
    <w:rsid w:val="006B5102"/>
    <w:rsid w:val="006B5755"/>
    <w:rsid w:val="006B6894"/>
    <w:rsid w:val="006B6926"/>
    <w:rsid w:val="006B6EA9"/>
    <w:rsid w:val="006B7CE2"/>
    <w:rsid w:val="006B7F47"/>
    <w:rsid w:val="006C002E"/>
    <w:rsid w:val="006C0040"/>
    <w:rsid w:val="006C0716"/>
    <w:rsid w:val="006C094F"/>
    <w:rsid w:val="006C0DB9"/>
    <w:rsid w:val="006C1058"/>
    <w:rsid w:val="006C111C"/>
    <w:rsid w:val="006C14F5"/>
    <w:rsid w:val="006C1544"/>
    <w:rsid w:val="006C16A0"/>
    <w:rsid w:val="006C1C3A"/>
    <w:rsid w:val="006C238A"/>
    <w:rsid w:val="006C240E"/>
    <w:rsid w:val="006C2428"/>
    <w:rsid w:val="006C299A"/>
    <w:rsid w:val="006C2B0D"/>
    <w:rsid w:val="006C2E4C"/>
    <w:rsid w:val="006C30CE"/>
    <w:rsid w:val="006C313C"/>
    <w:rsid w:val="006C3661"/>
    <w:rsid w:val="006C372E"/>
    <w:rsid w:val="006C39BB"/>
    <w:rsid w:val="006C3B23"/>
    <w:rsid w:val="006C3BF9"/>
    <w:rsid w:val="006C3DCC"/>
    <w:rsid w:val="006C4147"/>
    <w:rsid w:val="006C4449"/>
    <w:rsid w:val="006C4747"/>
    <w:rsid w:val="006C4CFF"/>
    <w:rsid w:val="006C4E98"/>
    <w:rsid w:val="006C5566"/>
    <w:rsid w:val="006C5633"/>
    <w:rsid w:val="006C5D11"/>
    <w:rsid w:val="006C5D4A"/>
    <w:rsid w:val="006C638C"/>
    <w:rsid w:val="006C63A9"/>
    <w:rsid w:val="006C6F4F"/>
    <w:rsid w:val="006C72A7"/>
    <w:rsid w:val="006C7722"/>
    <w:rsid w:val="006D0533"/>
    <w:rsid w:val="006D06AB"/>
    <w:rsid w:val="006D0D6B"/>
    <w:rsid w:val="006D10D7"/>
    <w:rsid w:val="006D1682"/>
    <w:rsid w:val="006D1A14"/>
    <w:rsid w:val="006D1F02"/>
    <w:rsid w:val="006D2608"/>
    <w:rsid w:val="006D299A"/>
    <w:rsid w:val="006D2C12"/>
    <w:rsid w:val="006D2EF9"/>
    <w:rsid w:val="006D41B2"/>
    <w:rsid w:val="006D4241"/>
    <w:rsid w:val="006D4428"/>
    <w:rsid w:val="006D44B8"/>
    <w:rsid w:val="006D4A91"/>
    <w:rsid w:val="006D4D6F"/>
    <w:rsid w:val="006D4F79"/>
    <w:rsid w:val="006D5148"/>
    <w:rsid w:val="006D54A2"/>
    <w:rsid w:val="006D5A4F"/>
    <w:rsid w:val="006D6358"/>
    <w:rsid w:val="006D663B"/>
    <w:rsid w:val="006D6B2E"/>
    <w:rsid w:val="006D700E"/>
    <w:rsid w:val="006D74F9"/>
    <w:rsid w:val="006D77B6"/>
    <w:rsid w:val="006E055A"/>
    <w:rsid w:val="006E067E"/>
    <w:rsid w:val="006E0897"/>
    <w:rsid w:val="006E09F1"/>
    <w:rsid w:val="006E0B60"/>
    <w:rsid w:val="006E0F4B"/>
    <w:rsid w:val="006E11C9"/>
    <w:rsid w:val="006E156E"/>
    <w:rsid w:val="006E1899"/>
    <w:rsid w:val="006E1A29"/>
    <w:rsid w:val="006E2BCE"/>
    <w:rsid w:val="006E3105"/>
    <w:rsid w:val="006E316F"/>
    <w:rsid w:val="006E437D"/>
    <w:rsid w:val="006E4F1D"/>
    <w:rsid w:val="006E4F23"/>
    <w:rsid w:val="006E5178"/>
    <w:rsid w:val="006E527A"/>
    <w:rsid w:val="006E59EC"/>
    <w:rsid w:val="006E60EC"/>
    <w:rsid w:val="006E6167"/>
    <w:rsid w:val="006E61C5"/>
    <w:rsid w:val="006E6243"/>
    <w:rsid w:val="006E6329"/>
    <w:rsid w:val="006E63F8"/>
    <w:rsid w:val="006E6551"/>
    <w:rsid w:val="006E6A7C"/>
    <w:rsid w:val="006E7520"/>
    <w:rsid w:val="006E7DFA"/>
    <w:rsid w:val="006E7E3A"/>
    <w:rsid w:val="006E7F8F"/>
    <w:rsid w:val="006F0547"/>
    <w:rsid w:val="006F0E0E"/>
    <w:rsid w:val="006F0FE0"/>
    <w:rsid w:val="006F13B9"/>
    <w:rsid w:val="006F1583"/>
    <w:rsid w:val="006F2C35"/>
    <w:rsid w:val="006F3499"/>
    <w:rsid w:val="006F3FC2"/>
    <w:rsid w:val="006F4278"/>
    <w:rsid w:val="006F44B5"/>
    <w:rsid w:val="006F4A0F"/>
    <w:rsid w:val="006F4AEF"/>
    <w:rsid w:val="006F518C"/>
    <w:rsid w:val="006F5293"/>
    <w:rsid w:val="006F5608"/>
    <w:rsid w:val="006F5D6F"/>
    <w:rsid w:val="006F6BCF"/>
    <w:rsid w:val="006F72CA"/>
    <w:rsid w:val="006F72DC"/>
    <w:rsid w:val="006F7431"/>
    <w:rsid w:val="006F7734"/>
    <w:rsid w:val="006F77C8"/>
    <w:rsid w:val="006F7C4C"/>
    <w:rsid w:val="006F7DBB"/>
    <w:rsid w:val="0070007F"/>
    <w:rsid w:val="0070021B"/>
    <w:rsid w:val="0070022D"/>
    <w:rsid w:val="00701099"/>
    <w:rsid w:val="0070164E"/>
    <w:rsid w:val="007016B6"/>
    <w:rsid w:val="007020FF"/>
    <w:rsid w:val="0070273A"/>
    <w:rsid w:val="00702777"/>
    <w:rsid w:val="00702999"/>
    <w:rsid w:val="00702B12"/>
    <w:rsid w:val="00703923"/>
    <w:rsid w:val="00703CC2"/>
    <w:rsid w:val="00703EA7"/>
    <w:rsid w:val="007049AC"/>
    <w:rsid w:val="00705220"/>
    <w:rsid w:val="0070546C"/>
    <w:rsid w:val="00706662"/>
    <w:rsid w:val="007067A9"/>
    <w:rsid w:val="007078FA"/>
    <w:rsid w:val="00710159"/>
    <w:rsid w:val="00710FBC"/>
    <w:rsid w:val="00711C2C"/>
    <w:rsid w:val="00711FD2"/>
    <w:rsid w:val="0071207C"/>
    <w:rsid w:val="00713176"/>
    <w:rsid w:val="007134B1"/>
    <w:rsid w:val="007138E8"/>
    <w:rsid w:val="00713B00"/>
    <w:rsid w:val="0071493D"/>
    <w:rsid w:val="00714A40"/>
    <w:rsid w:val="00714D20"/>
    <w:rsid w:val="00715755"/>
    <w:rsid w:val="007161DA"/>
    <w:rsid w:val="0071662D"/>
    <w:rsid w:val="007169E7"/>
    <w:rsid w:val="00716B9A"/>
    <w:rsid w:val="00717289"/>
    <w:rsid w:val="00717497"/>
    <w:rsid w:val="007177E1"/>
    <w:rsid w:val="00717D44"/>
    <w:rsid w:val="007201CB"/>
    <w:rsid w:val="0072046D"/>
    <w:rsid w:val="0072107E"/>
    <w:rsid w:val="00721586"/>
    <w:rsid w:val="0072178D"/>
    <w:rsid w:val="00721EED"/>
    <w:rsid w:val="007220BC"/>
    <w:rsid w:val="00722793"/>
    <w:rsid w:val="00722BAA"/>
    <w:rsid w:val="00722D96"/>
    <w:rsid w:val="00722E34"/>
    <w:rsid w:val="0072307B"/>
    <w:rsid w:val="00723080"/>
    <w:rsid w:val="007236C6"/>
    <w:rsid w:val="007245AA"/>
    <w:rsid w:val="00724625"/>
    <w:rsid w:val="00724D9F"/>
    <w:rsid w:val="00724FA8"/>
    <w:rsid w:val="00725117"/>
    <w:rsid w:val="00725837"/>
    <w:rsid w:val="00725D23"/>
    <w:rsid w:val="00726D35"/>
    <w:rsid w:val="0072782B"/>
    <w:rsid w:val="00727958"/>
    <w:rsid w:val="00727CB3"/>
    <w:rsid w:val="00727EF4"/>
    <w:rsid w:val="0073056E"/>
    <w:rsid w:val="00730769"/>
    <w:rsid w:val="00730A12"/>
    <w:rsid w:val="00730B18"/>
    <w:rsid w:val="00731F84"/>
    <w:rsid w:val="00732C01"/>
    <w:rsid w:val="00732C82"/>
    <w:rsid w:val="007342AA"/>
    <w:rsid w:val="007342DB"/>
    <w:rsid w:val="0073543E"/>
    <w:rsid w:val="00735D4C"/>
    <w:rsid w:val="00735F02"/>
    <w:rsid w:val="007363DE"/>
    <w:rsid w:val="007379BF"/>
    <w:rsid w:val="00737B67"/>
    <w:rsid w:val="00737BF0"/>
    <w:rsid w:val="00740464"/>
    <w:rsid w:val="007409A7"/>
    <w:rsid w:val="00740C24"/>
    <w:rsid w:val="00740D47"/>
    <w:rsid w:val="00740E6F"/>
    <w:rsid w:val="00741AF5"/>
    <w:rsid w:val="00742146"/>
    <w:rsid w:val="007426A9"/>
    <w:rsid w:val="007426EE"/>
    <w:rsid w:val="00742E2C"/>
    <w:rsid w:val="007435A9"/>
    <w:rsid w:val="00743978"/>
    <w:rsid w:val="00743FAC"/>
    <w:rsid w:val="0074407B"/>
    <w:rsid w:val="007444E6"/>
    <w:rsid w:val="00744B34"/>
    <w:rsid w:val="00744EF4"/>
    <w:rsid w:val="007457BF"/>
    <w:rsid w:val="00745968"/>
    <w:rsid w:val="007461DF"/>
    <w:rsid w:val="00746661"/>
    <w:rsid w:val="00746AAA"/>
    <w:rsid w:val="00747047"/>
    <w:rsid w:val="0074711A"/>
    <w:rsid w:val="007502C7"/>
    <w:rsid w:val="00750789"/>
    <w:rsid w:val="00750849"/>
    <w:rsid w:val="00750DEB"/>
    <w:rsid w:val="007511FD"/>
    <w:rsid w:val="0075170E"/>
    <w:rsid w:val="007517A4"/>
    <w:rsid w:val="00751D37"/>
    <w:rsid w:val="0075277F"/>
    <w:rsid w:val="0075322F"/>
    <w:rsid w:val="00753534"/>
    <w:rsid w:val="00753967"/>
    <w:rsid w:val="00753CCB"/>
    <w:rsid w:val="00753F26"/>
    <w:rsid w:val="007541B8"/>
    <w:rsid w:val="00754E9E"/>
    <w:rsid w:val="00754F09"/>
    <w:rsid w:val="007554ED"/>
    <w:rsid w:val="007555C3"/>
    <w:rsid w:val="00755DDE"/>
    <w:rsid w:val="00755FE7"/>
    <w:rsid w:val="0075643F"/>
    <w:rsid w:val="00756CAF"/>
    <w:rsid w:val="00756FC7"/>
    <w:rsid w:val="0075740A"/>
    <w:rsid w:val="0075747F"/>
    <w:rsid w:val="007579D1"/>
    <w:rsid w:val="00757B53"/>
    <w:rsid w:val="00757CB1"/>
    <w:rsid w:val="00760CA6"/>
    <w:rsid w:val="00760EAB"/>
    <w:rsid w:val="007613E1"/>
    <w:rsid w:val="00761D53"/>
    <w:rsid w:val="00761EC3"/>
    <w:rsid w:val="0076218D"/>
    <w:rsid w:val="00762560"/>
    <w:rsid w:val="00762614"/>
    <w:rsid w:val="0076291C"/>
    <w:rsid w:val="00762926"/>
    <w:rsid w:val="00762D5B"/>
    <w:rsid w:val="00762DC7"/>
    <w:rsid w:val="007634F5"/>
    <w:rsid w:val="00763BA0"/>
    <w:rsid w:val="00764B23"/>
    <w:rsid w:val="00764F57"/>
    <w:rsid w:val="0076504A"/>
    <w:rsid w:val="007653B6"/>
    <w:rsid w:val="007655FF"/>
    <w:rsid w:val="00765A27"/>
    <w:rsid w:val="00766B1D"/>
    <w:rsid w:val="00766F6B"/>
    <w:rsid w:val="00767062"/>
    <w:rsid w:val="007673DB"/>
    <w:rsid w:val="007679B6"/>
    <w:rsid w:val="00770590"/>
    <w:rsid w:val="007705EF"/>
    <w:rsid w:val="007708A3"/>
    <w:rsid w:val="00770965"/>
    <w:rsid w:val="00770AFB"/>
    <w:rsid w:val="00770C4C"/>
    <w:rsid w:val="00770D26"/>
    <w:rsid w:val="00770E5D"/>
    <w:rsid w:val="00771321"/>
    <w:rsid w:val="0077156E"/>
    <w:rsid w:val="00771A0F"/>
    <w:rsid w:val="00771E1E"/>
    <w:rsid w:val="00772332"/>
    <w:rsid w:val="007726A8"/>
    <w:rsid w:val="00772F4D"/>
    <w:rsid w:val="00773835"/>
    <w:rsid w:val="00773B76"/>
    <w:rsid w:val="00773CFB"/>
    <w:rsid w:val="00774210"/>
    <w:rsid w:val="00774BC2"/>
    <w:rsid w:val="00774E6C"/>
    <w:rsid w:val="007754ED"/>
    <w:rsid w:val="007758D7"/>
    <w:rsid w:val="00775A8D"/>
    <w:rsid w:val="00775C8E"/>
    <w:rsid w:val="00776354"/>
    <w:rsid w:val="00776561"/>
    <w:rsid w:val="007768B6"/>
    <w:rsid w:val="007769D7"/>
    <w:rsid w:val="00780153"/>
    <w:rsid w:val="00780233"/>
    <w:rsid w:val="00780514"/>
    <w:rsid w:val="007806FB"/>
    <w:rsid w:val="007807A6"/>
    <w:rsid w:val="00780D9D"/>
    <w:rsid w:val="00780E44"/>
    <w:rsid w:val="0078193F"/>
    <w:rsid w:val="00781BA9"/>
    <w:rsid w:val="00782685"/>
    <w:rsid w:val="007829B5"/>
    <w:rsid w:val="00782D5B"/>
    <w:rsid w:val="00783CB4"/>
    <w:rsid w:val="00784780"/>
    <w:rsid w:val="00784EC2"/>
    <w:rsid w:val="00785846"/>
    <w:rsid w:val="0078616A"/>
    <w:rsid w:val="0078673A"/>
    <w:rsid w:val="007869B6"/>
    <w:rsid w:val="00786D9C"/>
    <w:rsid w:val="007870A0"/>
    <w:rsid w:val="007878DC"/>
    <w:rsid w:val="00787933"/>
    <w:rsid w:val="00787B83"/>
    <w:rsid w:val="00787EE6"/>
    <w:rsid w:val="007900FC"/>
    <w:rsid w:val="00790684"/>
    <w:rsid w:val="007908C5"/>
    <w:rsid w:val="00790ADA"/>
    <w:rsid w:val="0079152C"/>
    <w:rsid w:val="007926B6"/>
    <w:rsid w:val="00792804"/>
    <w:rsid w:val="007929D5"/>
    <w:rsid w:val="007935A3"/>
    <w:rsid w:val="007939DE"/>
    <w:rsid w:val="00793CA3"/>
    <w:rsid w:val="00794150"/>
    <w:rsid w:val="007941CB"/>
    <w:rsid w:val="007946FC"/>
    <w:rsid w:val="00794B36"/>
    <w:rsid w:val="00794B8F"/>
    <w:rsid w:val="0079592C"/>
    <w:rsid w:val="00795CAF"/>
    <w:rsid w:val="00795EB9"/>
    <w:rsid w:val="00796610"/>
    <w:rsid w:val="00796DDE"/>
    <w:rsid w:val="00796DF9"/>
    <w:rsid w:val="00797042"/>
    <w:rsid w:val="00797AF0"/>
    <w:rsid w:val="007A07D5"/>
    <w:rsid w:val="007A07EC"/>
    <w:rsid w:val="007A0E6F"/>
    <w:rsid w:val="007A10DC"/>
    <w:rsid w:val="007A1478"/>
    <w:rsid w:val="007A19FB"/>
    <w:rsid w:val="007A264B"/>
    <w:rsid w:val="007A2CBA"/>
    <w:rsid w:val="007A3951"/>
    <w:rsid w:val="007A3BA7"/>
    <w:rsid w:val="007A3D77"/>
    <w:rsid w:val="007A4540"/>
    <w:rsid w:val="007A4AC2"/>
    <w:rsid w:val="007A4D77"/>
    <w:rsid w:val="007A4D7E"/>
    <w:rsid w:val="007A5320"/>
    <w:rsid w:val="007A53CA"/>
    <w:rsid w:val="007A5495"/>
    <w:rsid w:val="007A5C1D"/>
    <w:rsid w:val="007A6218"/>
    <w:rsid w:val="007A6314"/>
    <w:rsid w:val="007A6843"/>
    <w:rsid w:val="007A6AEE"/>
    <w:rsid w:val="007A6D18"/>
    <w:rsid w:val="007A70D2"/>
    <w:rsid w:val="007A7AD5"/>
    <w:rsid w:val="007B003D"/>
    <w:rsid w:val="007B028E"/>
    <w:rsid w:val="007B1C5F"/>
    <w:rsid w:val="007B1E01"/>
    <w:rsid w:val="007B1E14"/>
    <w:rsid w:val="007B25CE"/>
    <w:rsid w:val="007B2D9B"/>
    <w:rsid w:val="007B2E86"/>
    <w:rsid w:val="007B3F2E"/>
    <w:rsid w:val="007B4425"/>
    <w:rsid w:val="007B4837"/>
    <w:rsid w:val="007B493B"/>
    <w:rsid w:val="007B4A08"/>
    <w:rsid w:val="007B54F7"/>
    <w:rsid w:val="007B56B2"/>
    <w:rsid w:val="007B65C6"/>
    <w:rsid w:val="007B669A"/>
    <w:rsid w:val="007B66E1"/>
    <w:rsid w:val="007B6BF4"/>
    <w:rsid w:val="007B6DAF"/>
    <w:rsid w:val="007B6FCB"/>
    <w:rsid w:val="007B7115"/>
    <w:rsid w:val="007B736A"/>
    <w:rsid w:val="007B7AA8"/>
    <w:rsid w:val="007B7F39"/>
    <w:rsid w:val="007C003E"/>
    <w:rsid w:val="007C021C"/>
    <w:rsid w:val="007C0755"/>
    <w:rsid w:val="007C19B7"/>
    <w:rsid w:val="007C1CC9"/>
    <w:rsid w:val="007C2815"/>
    <w:rsid w:val="007C3103"/>
    <w:rsid w:val="007C3E61"/>
    <w:rsid w:val="007C419F"/>
    <w:rsid w:val="007C4211"/>
    <w:rsid w:val="007C438C"/>
    <w:rsid w:val="007C494E"/>
    <w:rsid w:val="007C4CFB"/>
    <w:rsid w:val="007C5033"/>
    <w:rsid w:val="007C5163"/>
    <w:rsid w:val="007C57F0"/>
    <w:rsid w:val="007C58F0"/>
    <w:rsid w:val="007C6409"/>
    <w:rsid w:val="007C670E"/>
    <w:rsid w:val="007C6787"/>
    <w:rsid w:val="007C68AF"/>
    <w:rsid w:val="007C6AFA"/>
    <w:rsid w:val="007C7253"/>
    <w:rsid w:val="007C76A5"/>
    <w:rsid w:val="007D003F"/>
    <w:rsid w:val="007D01F9"/>
    <w:rsid w:val="007D09CD"/>
    <w:rsid w:val="007D1159"/>
    <w:rsid w:val="007D1334"/>
    <w:rsid w:val="007D1D05"/>
    <w:rsid w:val="007D2366"/>
    <w:rsid w:val="007D2E2F"/>
    <w:rsid w:val="007D35C4"/>
    <w:rsid w:val="007D3619"/>
    <w:rsid w:val="007D3634"/>
    <w:rsid w:val="007D36EF"/>
    <w:rsid w:val="007D3C25"/>
    <w:rsid w:val="007D3EB5"/>
    <w:rsid w:val="007D3F6F"/>
    <w:rsid w:val="007D4E2A"/>
    <w:rsid w:val="007D5094"/>
    <w:rsid w:val="007D514E"/>
    <w:rsid w:val="007D7036"/>
    <w:rsid w:val="007E1287"/>
    <w:rsid w:val="007E189C"/>
    <w:rsid w:val="007E1A0C"/>
    <w:rsid w:val="007E1D7D"/>
    <w:rsid w:val="007E1FF5"/>
    <w:rsid w:val="007E26DF"/>
    <w:rsid w:val="007E2B06"/>
    <w:rsid w:val="007E300A"/>
    <w:rsid w:val="007E3157"/>
    <w:rsid w:val="007E3264"/>
    <w:rsid w:val="007E348F"/>
    <w:rsid w:val="007E36D1"/>
    <w:rsid w:val="007E4055"/>
    <w:rsid w:val="007E4AFB"/>
    <w:rsid w:val="007E5209"/>
    <w:rsid w:val="007E6194"/>
    <w:rsid w:val="007E6899"/>
    <w:rsid w:val="007E6AD9"/>
    <w:rsid w:val="007E6B2C"/>
    <w:rsid w:val="007E6B70"/>
    <w:rsid w:val="007E7202"/>
    <w:rsid w:val="007E76A1"/>
    <w:rsid w:val="007E79A7"/>
    <w:rsid w:val="007E7DAC"/>
    <w:rsid w:val="007F0628"/>
    <w:rsid w:val="007F0679"/>
    <w:rsid w:val="007F2CDB"/>
    <w:rsid w:val="007F3927"/>
    <w:rsid w:val="007F492B"/>
    <w:rsid w:val="007F4991"/>
    <w:rsid w:val="007F5124"/>
    <w:rsid w:val="007F5B8E"/>
    <w:rsid w:val="007F67FE"/>
    <w:rsid w:val="007F71BD"/>
    <w:rsid w:val="007F786C"/>
    <w:rsid w:val="007F7B84"/>
    <w:rsid w:val="007F7D13"/>
    <w:rsid w:val="007F7E83"/>
    <w:rsid w:val="0080004E"/>
    <w:rsid w:val="0080006B"/>
    <w:rsid w:val="008003BD"/>
    <w:rsid w:val="0080050A"/>
    <w:rsid w:val="00800D07"/>
    <w:rsid w:val="00801611"/>
    <w:rsid w:val="00801FCA"/>
    <w:rsid w:val="008025FB"/>
    <w:rsid w:val="008028EA"/>
    <w:rsid w:val="00802A79"/>
    <w:rsid w:val="00802D3A"/>
    <w:rsid w:val="008034D8"/>
    <w:rsid w:val="0080393D"/>
    <w:rsid w:val="00803AB5"/>
    <w:rsid w:val="00804120"/>
    <w:rsid w:val="00804737"/>
    <w:rsid w:val="00804941"/>
    <w:rsid w:val="008049EC"/>
    <w:rsid w:val="00804ACA"/>
    <w:rsid w:val="00804DB3"/>
    <w:rsid w:val="00804DB6"/>
    <w:rsid w:val="00805804"/>
    <w:rsid w:val="00806031"/>
    <w:rsid w:val="008064DC"/>
    <w:rsid w:val="008065F7"/>
    <w:rsid w:val="00806ECB"/>
    <w:rsid w:val="00806F5D"/>
    <w:rsid w:val="00807192"/>
    <w:rsid w:val="00807327"/>
    <w:rsid w:val="0080765E"/>
    <w:rsid w:val="008100D8"/>
    <w:rsid w:val="00810526"/>
    <w:rsid w:val="008105C5"/>
    <w:rsid w:val="00810819"/>
    <w:rsid w:val="0081085F"/>
    <w:rsid w:val="0081115E"/>
    <w:rsid w:val="008115AC"/>
    <w:rsid w:val="008116D0"/>
    <w:rsid w:val="00812146"/>
    <w:rsid w:val="008121E7"/>
    <w:rsid w:val="00812466"/>
    <w:rsid w:val="0081271B"/>
    <w:rsid w:val="00812AE3"/>
    <w:rsid w:val="00812B16"/>
    <w:rsid w:val="00812DA5"/>
    <w:rsid w:val="00813431"/>
    <w:rsid w:val="008134AD"/>
    <w:rsid w:val="00813FE6"/>
    <w:rsid w:val="0081402C"/>
    <w:rsid w:val="008143B5"/>
    <w:rsid w:val="00814475"/>
    <w:rsid w:val="008145C0"/>
    <w:rsid w:val="00814A2C"/>
    <w:rsid w:val="00814A4C"/>
    <w:rsid w:val="00814CAE"/>
    <w:rsid w:val="00814D07"/>
    <w:rsid w:val="00814FD5"/>
    <w:rsid w:val="0081519C"/>
    <w:rsid w:val="008151C9"/>
    <w:rsid w:val="00815293"/>
    <w:rsid w:val="008152AA"/>
    <w:rsid w:val="00815351"/>
    <w:rsid w:val="00815630"/>
    <w:rsid w:val="00815EF3"/>
    <w:rsid w:val="008164E3"/>
    <w:rsid w:val="00816A8A"/>
    <w:rsid w:val="00816D2A"/>
    <w:rsid w:val="00817A27"/>
    <w:rsid w:val="00817C20"/>
    <w:rsid w:val="00817E42"/>
    <w:rsid w:val="00820563"/>
    <w:rsid w:val="00820A14"/>
    <w:rsid w:val="00820F4F"/>
    <w:rsid w:val="00821411"/>
    <w:rsid w:val="00821418"/>
    <w:rsid w:val="00821450"/>
    <w:rsid w:val="0082169E"/>
    <w:rsid w:val="008216C9"/>
    <w:rsid w:val="00821B8D"/>
    <w:rsid w:val="00822CF1"/>
    <w:rsid w:val="00823964"/>
    <w:rsid w:val="0082464C"/>
    <w:rsid w:val="0082485C"/>
    <w:rsid w:val="0082498A"/>
    <w:rsid w:val="008249C9"/>
    <w:rsid w:val="00824AA4"/>
    <w:rsid w:val="00824B0B"/>
    <w:rsid w:val="00824BAE"/>
    <w:rsid w:val="0082528D"/>
    <w:rsid w:val="00825636"/>
    <w:rsid w:val="0082565D"/>
    <w:rsid w:val="008256F7"/>
    <w:rsid w:val="00826405"/>
    <w:rsid w:val="0082648E"/>
    <w:rsid w:val="00826589"/>
    <w:rsid w:val="0082682B"/>
    <w:rsid w:val="00826CD3"/>
    <w:rsid w:val="0082727F"/>
    <w:rsid w:val="0082775D"/>
    <w:rsid w:val="00827E9B"/>
    <w:rsid w:val="0083087F"/>
    <w:rsid w:val="00830E45"/>
    <w:rsid w:val="00830FC2"/>
    <w:rsid w:val="0083145D"/>
    <w:rsid w:val="00831B39"/>
    <w:rsid w:val="00831BAE"/>
    <w:rsid w:val="008323DA"/>
    <w:rsid w:val="008326F3"/>
    <w:rsid w:val="00832889"/>
    <w:rsid w:val="00832E0A"/>
    <w:rsid w:val="0083331C"/>
    <w:rsid w:val="00833343"/>
    <w:rsid w:val="008336E1"/>
    <w:rsid w:val="00833F93"/>
    <w:rsid w:val="008355D7"/>
    <w:rsid w:val="00835708"/>
    <w:rsid w:val="00835BE6"/>
    <w:rsid w:val="00835C90"/>
    <w:rsid w:val="00835D25"/>
    <w:rsid w:val="00836B68"/>
    <w:rsid w:val="00836E4C"/>
    <w:rsid w:val="00837B6C"/>
    <w:rsid w:val="00837CA8"/>
    <w:rsid w:val="00840005"/>
    <w:rsid w:val="00840C5C"/>
    <w:rsid w:val="00840DBC"/>
    <w:rsid w:val="0084119A"/>
    <w:rsid w:val="00842256"/>
    <w:rsid w:val="00842344"/>
    <w:rsid w:val="0084296C"/>
    <w:rsid w:val="00842D15"/>
    <w:rsid w:val="00842F67"/>
    <w:rsid w:val="008431AB"/>
    <w:rsid w:val="008431E0"/>
    <w:rsid w:val="008435AF"/>
    <w:rsid w:val="00843953"/>
    <w:rsid w:val="00843A3D"/>
    <w:rsid w:val="00843C5F"/>
    <w:rsid w:val="008440C8"/>
    <w:rsid w:val="008443F4"/>
    <w:rsid w:val="00844A2B"/>
    <w:rsid w:val="00845999"/>
    <w:rsid w:val="00845A82"/>
    <w:rsid w:val="00845C4F"/>
    <w:rsid w:val="00845E6B"/>
    <w:rsid w:val="00846243"/>
    <w:rsid w:val="008465DB"/>
    <w:rsid w:val="0084733D"/>
    <w:rsid w:val="00847723"/>
    <w:rsid w:val="0085009C"/>
    <w:rsid w:val="008501EB"/>
    <w:rsid w:val="008502F4"/>
    <w:rsid w:val="008505A8"/>
    <w:rsid w:val="0085099B"/>
    <w:rsid w:val="008510B7"/>
    <w:rsid w:val="008512FF"/>
    <w:rsid w:val="00852207"/>
    <w:rsid w:val="0085244E"/>
    <w:rsid w:val="00852784"/>
    <w:rsid w:val="0085333F"/>
    <w:rsid w:val="00853671"/>
    <w:rsid w:val="00853890"/>
    <w:rsid w:val="00853893"/>
    <w:rsid w:val="008538C9"/>
    <w:rsid w:val="0085421D"/>
    <w:rsid w:val="00854363"/>
    <w:rsid w:val="0085564B"/>
    <w:rsid w:val="008556B0"/>
    <w:rsid w:val="00855741"/>
    <w:rsid w:val="00856274"/>
    <w:rsid w:val="00856460"/>
    <w:rsid w:val="008569ED"/>
    <w:rsid w:val="00856A74"/>
    <w:rsid w:val="00856D03"/>
    <w:rsid w:val="00857152"/>
    <w:rsid w:val="00857370"/>
    <w:rsid w:val="008576FC"/>
    <w:rsid w:val="00857941"/>
    <w:rsid w:val="0086001C"/>
    <w:rsid w:val="008605D1"/>
    <w:rsid w:val="00860C61"/>
    <w:rsid w:val="00860D9A"/>
    <w:rsid w:val="00860F0F"/>
    <w:rsid w:val="00862523"/>
    <w:rsid w:val="008625E6"/>
    <w:rsid w:val="008627DC"/>
    <w:rsid w:val="00862E20"/>
    <w:rsid w:val="00862E33"/>
    <w:rsid w:val="0086360A"/>
    <w:rsid w:val="00863AA0"/>
    <w:rsid w:val="00863C93"/>
    <w:rsid w:val="00864300"/>
    <w:rsid w:val="008645C4"/>
    <w:rsid w:val="008649B3"/>
    <w:rsid w:val="008649F9"/>
    <w:rsid w:val="00864EFF"/>
    <w:rsid w:val="00864F03"/>
    <w:rsid w:val="00865540"/>
    <w:rsid w:val="008655DC"/>
    <w:rsid w:val="00865770"/>
    <w:rsid w:val="00865B06"/>
    <w:rsid w:val="00866293"/>
    <w:rsid w:val="00866846"/>
    <w:rsid w:val="00866F57"/>
    <w:rsid w:val="00866FE6"/>
    <w:rsid w:val="00867CB4"/>
    <w:rsid w:val="00867CE7"/>
    <w:rsid w:val="00867D7C"/>
    <w:rsid w:val="0087013E"/>
    <w:rsid w:val="00870555"/>
    <w:rsid w:val="008705C4"/>
    <w:rsid w:val="0087175B"/>
    <w:rsid w:val="00871C12"/>
    <w:rsid w:val="00872C55"/>
    <w:rsid w:val="00872CF5"/>
    <w:rsid w:val="00872F6D"/>
    <w:rsid w:val="00873E29"/>
    <w:rsid w:val="00874182"/>
    <w:rsid w:val="008746D5"/>
    <w:rsid w:val="00875463"/>
    <w:rsid w:val="0087581D"/>
    <w:rsid w:val="00875E0A"/>
    <w:rsid w:val="00875F54"/>
    <w:rsid w:val="00875FD6"/>
    <w:rsid w:val="0087726F"/>
    <w:rsid w:val="00877735"/>
    <w:rsid w:val="00877CB7"/>
    <w:rsid w:val="008801F3"/>
    <w:rsid w:val="00880C74"/>
    <w:rsid w:val="00880EB9"/>
    <w:rsid w:val="00881435"/>
    <w:rsid w:val="008814AC"/>
    <w:rsid w:val="00881664"/>
    <w:rsid w:val="008816FD"/>
    <w:rsid w:val="00882086"/>
    <w:rsid w:val="00882ABD"/>
    <w:rsid w:val="0088328E"/>
    <w:rsid w:val="008842B5"/>
    <w:rsid w:val="0088443D"/>
    <w:rsid w:val="008847F5"/>
    <w:rsid w:val="00884D4F"/>
    <w:rsid w:val="00885266"/>
    <w:rsid w:val="0088579B"/>
    <w:rsid w:val="00885FB9"/>
    <w:rsid w:val="00886598"/>
    <w:rsid w:val="00886793"/>
    <w:rsid w:val="008871E2"/>
    <w:rsid w:val="00887737"/>
    <w:rsid w:val="00887C01"/>
    <w:rsid w:val="008907DD"/>
    <w:rsid w:val="008907FA"/>
    <w:rsid w:val="00890EE5"/>
    <w:rsid w:val="00891433"/>
    <w:rsid w:val="008914EE"/>
    <w:rsid w:val="00891908"/>
    <w:rsid w:val="00891BB3"/>
    <w:rsid w:val="00891EBF"/>
    <w:rsid w:val="00892052"/>
    <w:rsid w:val="0089234B"/>
    <w:rsid w:val="00892766"/>
    <w:rsid w:val="00892EAF"/>
    <w:rsid w:val="008931E1"/>
    <w:rsid w:val="00893714"/>
    <w:rsid w:val="0089433A"/>
    <w:rsid w:val="008949DE"/>
    <w:rsid w:val="00894CD9"/>
    <w:rsid w:val="00894D5F"/>
    <w:rsid w:val="00895939"/>
    <w:rsid w:val="00895D16"/>
    <w:rsid w:val="00895F09"/>
    <w:rsid w:val="008960D7"/>
    <w:rsid w:val="008968A9"/>
    <w:rsid w:val="00896DF2"/>
    <w:rsid w:val="008973BF"/>
    <w:rsid w:val="00897505"/>
    <w:rsid w:val="00897837"/>
    <w:rsid w:val="008A03B3"/>
    <w:rsid w:val="008A0610"/>
    <w:rsid w:val="008A07D0"/>
    <w:rsid w:val="008A0B3A"/>
    <w:rsid w:val="008A10E5"/>
    <w:rsid w:val="008A110A"/>
    <w:rsid w:val="008A18B8"/>
    <w:rsid w:val="008A1D64"/>
    <w:rsid w:val="008A2023"/>
    <w:rsid w:val="008A21E6"/>
    <w:rsid w:val="008A2B6A"/>
    <w:rsid w:val="008A2DE7"/>
    <w:rsid w:val="008A306C"/>
    <w:rsid w:val="008A3381"/>
    <w:rsid w:val="008A3841"/>
    <w:rsid w:val="008A3921"/>
    <w:rsid w:val="008A3F1C"/>
    <w:rsid w:val="008A468C"/>
    <w:rsid w:val="008A480F"/>
    <w:rsid w:val="008A489B"/>
    <w:rsid w:val="008A4A5E"/>
    <w:rsid w:val="008A532E"/>
    <w:rsid w:val="008A59EA"/>
    <w:rsid w:val="008A5CBD"/>
    <w:rsid w:val="008A6077"/>
    <w:rsid w:val="008A6523"/>
    <w:rsid w:val="008A6780"/>
    <w:rsid w:val="008A693E"/>
    <w:rsid w:val="008A76B5"/>
    <w:rsid w:val="008B00C0"/>
    <w:rsid w:val="008B04BB"/>
    <w:rsid w:val="008B0E0B"/>
    <w:rsid w:val="008B0FBA"/>
    <w:rsid w:val="008B1201"/>
    <w:rsid w:val="008B1F77"/>
    <w:rsid w:val="008B2477"/>
    <w:rsid w:val="008B29D1"/>
    <w:rsid w:val="008B32F0"/>
    <w:rsid w:val="008B3436"/>
    <w:rsid w:val="008B391D"/>
    <w:rsid w:val="008B3EAD"/>
    <w:rsid w:val="008B491A"/>
    <w:rsid w:val="008B4A4B"/>
    <w:rsid w:val="008B4D70"/>
    <w:rsid w:val="008B4F74"/>
    <w:rsid w:val="008B54BB"/>
    <w:rsid w:val="008B556F"/>
    <w:rsid w:val="008B5C24"/>
    <w:rsid w:val="008B5D04"/>
    <w:rsid w:val="008B654A"/>
    <w:rsid w:val="008B698E"/>
    <w:rsid w:val="008B6FD8"/>
    <w:rsid w:val="008B7E37"/>
    <w:rsid w:val="008C0028"/>
    <w:rsid w:val="008C00B1"/>
    <w:rsid w:val="008C0387"/>
    <w:rsid w:val="008C0893"/>
    <w:rsid w:val="008C097E"/>
    <w:rsid w:val="008C0BC7"/>
    <w:rsid w:val="008C0C9B"/>
    <w:rsid w:val="008C1111"/>
    <w:rsid w:val="008C14C4"/>
    <w:rsid w:val="008C1754"/>
    <w:rsid w:val="008C1B6E"/>
    <w:rsid w:val="008C1EF4"/>
    <w:rsid w:val="008C1FF8"/>
    <w:rsid w:val="008C2247"/>
    <w:rsid w:val="008C23C9"/>
    <w:rsid w:val="008C263C"/>
    <w:rsid w:val="008C29FF"/>
    <w:rsid w:val="008C345C"/>
    <w:rsid w:val="008C3BF5"/>
    <w:rsid w:val="008C4201"/>
    <w:rsid w:val="008C443B"/>
    <w:rsid w:val="008C4634"/>
    <w:rsid w:val="008C463E"/>
    <w:rsid w:val="008C478D"/>
    <w:rsid w:val="008C4AA4"/>
    <w:rsid w:val="008C4C14"/>
    <w:rsid w:val="008C5201"/>
    <w:rsid w:val="008C52A7"/>
    <w:rsid w:val="008C56E4"/>
    <w:rsid w:val="008C58FE"/>
    <w:rsid w:val="008C683A"/>
    <w:rsid w:val="008C6B5C"/>
    <w:rsid w:val="008C7652"/>
    <w:rsid w:val="008D0600"/>
    <w:rsid w:val="008D07A5"/>
    <w:rsid w:val="008D0D7E"/>
    <w:rsid w:val="008D12EF"/>
    <w:rsid w:val="008D1938"/>
    <w:rsid w:val="008D19BF"/>
    <w:rsid w:val="008D1AA3"/>
    <w:rsid w:val="008D1B05"/>
    <w:rsid w:val="008D1C7A"/>
    <w:rsid w:val="008D1DC0"/>
    <w:rsid w:val="008D249E"/>
    <w:rsid w:val="008D29DE"/>
    <w:rsid w:val="008D2A87"/>
    <w:rsid w:val="008D358F"/>
    <w:rsid w:val="008D394F"/>
    <w:rsid w:val="008D3DDB"/>
    <w:rsid w:val="008D417F"/>
    <w:rsid w:val="008D4374"/>
    <w:rsid w:val="008D4C37"/>
    <w:rsid w:val="008D4DA3"/>
    <w:rsid w:val="008D51B1"/>
    <w:rsid w:val="008D571A"/>
    <w:rsid w:val="008D5C36"/>
    <w:rsid w:val="008D6093"/>
    <w:rsid w:val="008D60BC"/>
    <w:rsid w:val="008D67CF"/>
    <w:rsid w:val="008D6980"/>
    <w:rsid w:val="008D713D"/>
    <w:rsid w:val="008D7290"/>
    <w:rsid w:val="008D7481"/>
    <w:rsid w:val="008D7870"/>
    <w:rsid w:val="008D7C0B"/>
    <w:rsid w:val="008D7C4A"/>
    <w:rsid w:val="008E02CA"/>
    <w:rsid w:val="008E02FD"/>
    <w:rsid w:val="008E08FA"/>
    <w:rsid w:val="008E0932"/>
    <w:rsid w:val="008E0BEF"/>
    <w:rsid w:val="008E0F31"/>
    <w:rsid w:val="008E1153"/>
    <w:rsid w:val="008E1523"/>
    <w:rsid w:val="008E1680"/>
    <w:rsid w:val="008E17EC"/>
    <w:rsid w:val="008E21F2"/>
    <w:rsid w:val="008E224E"/>
    <w:rsid w:val="008E25E7"/>
    <w:rsid w:val="008E296A"/>
    <w:rsid w:val="008E2F8C"/>
    <w:rsid w:val="008E4270"/>
    <w:rsid w:val="008E4A8A"/>
    <w:rsid w:val="008E545D"/>
    <w:rsid w:val="008E6645"/>
    <w:rsid w:val="008E6774"/>
    <w:rsid w:val="008E6B02"/>
    <w:rsid w:val="008E6FFB"/>
    <w:rsid w:val="008E72E6"/>
    <w:rsid w:val="008E7B8B"/>
    <w:rsid w:val="008F0807"/>
    <w:rsid w:val="008F0C96"/>
    <w:rsid w:val="008F0F05"/>
    <w:rsid w:val="008F15C1"/>
    <w:rsid w:val="008F1C1C"/>
    <w:rsid w:val="008F1E8E"/>
    <w:rsid w:val="008F1F57"/>
    <w:rsid w:val="008F21B2"/>
    <w:rsid w:val="008F2241"/>
    <w:rsid w:val="008F30E2"/>
    <w:rsid w:val="008F3A6F"/>
    <w:rsid w:val="008F3B99"/>
    <w:rsid w:val="008F43A3"/>
    <w:rsid w:val="008F43D1"/>
    <w:rsid w:val="008F445D"/>
    <w:rsid w:val="008F4D86"/>
    <w:rsid w:val="008F6904"/>
    <w:rsid w:val="008F6C0F"/>
    <w:rsid w:val="008F7D35"/>
    <w:rsid w:val="008F7F58"/>
    <w:rsid w:val="008F7FDA"/>
    <w:rsid w:val="00900756"/>
    <w:rsid w:val="009009DD"/>
    <w:rsid w:val="00901EE3"/>
    <w:rsid w:val="00901F1D"/>
    <w:rsid w:val="0090202B"/>
    <w:rsid w:val="0090219B"/>
    <w:rsid w:val="00904330"/>
    <w:rsid w:val="00904EBB"/>
    <w:rsid w:val="00905862"/>
    <w:rsid w:val="00905907"/>
    <w:rsid w:val="00905AB3"/>
    <w:rsid w:val="00905B28"/>
    <w:rsid w:val="009065E3"/>
    <w:rsid w:val="0090688D"/>
    <w:rsid w:val="0090701B"/>
    <w:rsid w:val="0090717B"/>
    <w:rsid w:val="0090731A"/>
    <w:rsid w:val="00910338"/>
    <w:rsid w:val="009104D6"/>
    <w:rsid w:val="00910AC9"/>
    <w:rsid w:val="00910B97"/>
    <w:rsid w:val="00911804"/>
    <w:rsid w:val="00912055"/>
    <w:rsid w:val="00912342"/>
    <w:rsid w:val="009125BF"/>
    <w:rsid w:val="0091293C"/>
    <w:rsid w:val="00912D0A"/>
    <w:rsid w:val="00912E3F"/>
    <w:rsid w:val="00913908"/>
    <w:rsid w:val="0091412B"/>
    <w:rsid w:val="009141AD"/>
    <w:rsid w:val="009141F2"/>
    <w:rsid w:val="00914732"/>
    <w:rsid w:val="00914BBC"/>
    <w:rsid w:val="00914CAA"/>
    <w:rsid w:val="009150D9"/>
    <w:rsid w:val="009158A9"/>
    <w:rsid w:val="00915E2A"/>
    <w:rsid w:val="00916030"/>
    <w:rsid w:val="00916ABE"/>
    <w:rsid w:val="009171E0"/>
    <w:rsid w:val="00917595"/>
    <w:rsid w:val="0092026E"/>
    <w:rsid w:val="0092040D"/>
    <w:rsid w:val="00920A5F"/>
    <w:rsid w:val="009218FB"/>
    <w:rsid w:val="00921EC5"/>
    <w:rsid w:val="00921FE9"/>
    <w:rsid w:val="00922982"/>
    <w:rsid w:val="009233EA"/>
    <w:rsid w:val="00923949"/>
    <w:rsid w:val="00923A52"/>
    <w:rsid w:val="00924613"/>
    <w:rsid w:val="0092476C"/>
    <w:rsid w:val="00924829"/>
    <w:rsid w:val="00924947"/>
    <w:rsid w:val="00924B25"/>
    <w:rsid w:val="00924D30"/>
    <w:rsid w:val="00924E52"/>
    <w:rsid w:val="00925058"/>
    <w:rsid w:val="00925424"/>
    <w:rsid w:val="00925F2B"/>
    <w:rsid w:val="009260CE"/>
    <w:rsid w:val="009260D5"/>
    <w:rsid w:val="009267F1"/>
    <w:rsid w:val="00926C17"/>
    <w:rsid w:val="009270B5"/>
    <w:rsid w:val="0092763A"/>
    <w:rsid w:val="00927676"/>
    <w:rsid w:val="00927D05"/>
    <w:rsid w:val="00930411"/>
    <w:rsid w:val="009305F9"/>
    <w:rsid w:val="00931506"/>
    <w:rsid w:val="009319AB"/>
    <w:rsid w:val="0093200E"/>
    <w:rsid w:val="0093223D"/>
    <w:rsid w:val="00933DFC"/>
    <w:rsid w:val="0093422D"/>
    <w:rsid w:val="009348E6"/>
    <w:rsid w:val="00934A1B"/>
    <w:rsid w:val="00934B62"/>
    <w:rsid w:val="00935187"/>
    <w:rsid w:val="00936800"/>
    <w:rsid w:val="00936A4B"/>
    <w:rsid w:val="00936E3E"/>
    <w:rsid w:val="009371C2"/>
    <w:rsid w:val="00937347"/>
    <w:rsid w:val="009377EC"/>
    <w:rsid w:val="009378C2"/>
    <w:rsid w:val="00937926"/>
    <w:rsid w:val="00937DF2"/>
    <w:rsid w:val="00940D75"/>
    <w:rsid w:val="00940FA3"/>
    <w:rsid w:val="00941469"/>
    <w:rsid w:val="00941826"/>
    <w:rsid w:val="00941A23"/>
    <w:rsid w:val="00942013"/>
    <w:rsid w:val="009425EB"/>
    <w:rsid w:val="0094261B"/>
    <w:rsid w:val="00942BA7"/>
    <w:rsid w:val="00942C24"/>
    <w:rsid w:val="0094300D"/>
    <w:rsid w:val="0094451E"/>
    <w:rsid w:val="0094480F"/>
    <w:rsid w:val="0094596E"/>
    <w:rsid w:val="00945BF1"/>
    <w:rsid w:val="00945F48"/>
    <w:rsid w:val="00945F71"/>
    <w:rsid w:val="0094617C"/>
    <w:rsid w:val="0094636A"/>
    <w:rsid w:val="00946D7B"/>
    <w:rsid w:val="00947249"/>
    <w:rsid w:val="00947AB1"/>
    <w:rsid w:val="00947F94"/>
    <w:rsid w:val="00947FBA"/>
    <w:rsid w:val="009501C3"/>
    <w:rsid w:val="009509EC"/>
    <w:rsid w:val="00950CBF"/>
    <w:rsid w:val="00951175"/>
    <w:rsid w:val="00951C48"/>
    <w:rsid w:val="00951D23"/>
    <w:rsid w:val="009522EF"/>
    <w:rsid w:val="009526FC"/>
    <w:rsid w:val="009529E4"/>
    <w:rsid w:val="009541A4"/>
    <w:rsid w:val="0095428D"/>
    <w:rsid w:val="00954A89"/>
    <w:rsid w:val="00954C59"/>
    <w:rsid w:val="00954E9A"/>
    <w:rsid w:val="009550D7"/>
    <w:rsid w:val="0095543B"/>
    <w:rsid w:val="0095551D"/>
    <w:rsid w:val="00955EB1"/>
    <w:rsid w:val="00956167"/>
    <w:rsid w:val="00956DB6"/>
    <w:rsid w:val="009571D5"/>
    <w:rsid w:val="0096059D"/>
    <w:rsid w:val="00960964"/>
    <w:rsid w:val="00961227"/>
    <w:rsid w:val="0096156E"/>
    <w:rsid w:val="009615F4"/>
    <w:rsid w:val="00961979"/>
    <w:rsid w:val="0096243B"/>
    <w:rsid w:val="00962E41"/>
    <w:rsid w:val="009631C8"/>
    <w:rsid w:val="009634C2"/>
    <w:rsid w:val="00963BEB"/>
    <w:rsid w:val="00963C9E"/>
    <w:rsid w:val="00963D1B"/>
    <w:rsid w:val="009640B5"/>
    <w:rsid w:val="0096461E"/>
    <w:rsid w:val="00964C87"/>
    <w:rsid w:val="00964DE0"/>
    <w:rsid w:val="00964E61"/>
    <w:rsid w:val="009664A0"/>
    <w:rsid w:val="00966A2F"/>
    <w:rsid w:val="009708B1"/>
    <w:rsid w:val="009724AC"/>
    <w:rsid w:val="0097296C"/>
    <w:rsid w:val="00972E9D"/>
    <w:rsid w:val="00972FDC"/>
    <w:rsid w:val="00973614"/>
    <w:rsid w:val="009738B1"/>
    <w:rsid w:val="0097422D"/>
    <w:rsid w:val="009745C9"/>
    <w:rsid w:val="009749F2"/>
    <w:rsid w:val="00974EA8"/>
    <w:rsid w:val="0097547B"/>
    <w:rsid w:val="00975F9C"/>
    <w:rsid w:val="00976221"/>
    <w:rsid w:val="009766BD"/>
    <w:rsid w:val="00976D19"/>
    <w:rsid w:val="00977879"/>
    <w:rsid w:val="009806E9"/>
    <w:rsid w:val="00980724"/>
    <w:rsid w:val="00980BC7"/>
    <w:rsid w:val="00980CB2"/>
    <w:rsid w:val="00980D0C"/>
    <w:rsid w:val="00981219"/>
    <w:rsid w:val="00981977"/>
    <w:rsid w:val="00981B1A"/>
    <w:rsid w:val="00981B70"/>
    <w:rsid w:val="00981D82"/>
    <w:rsid w:val="0098272D"/>
    <w:rsid w:val="0098275D"/>
    <w:rsid w:val="00982852"/>
    <w:rsid w:val="0098297D"/>
    <w:rsid w:val="00982F9C"/>
    <w:rsid w:val="009840F8"/>
    <w:rsid w:val="0098542B"/>
    <w:rsid w:val="00985D27"/>
    <w:rsid w:val="00986CDE"/>
    <w:rsid w:val="00986DCA"/>
    <w:rsid w:val="00986FAA"/>
    <w:rsid w:val="009876FD"/>
    <w:rsid w:val="00987B21"/>
    <w:rsid w:val="00987C7D"/>
    <w:rsid w:val="0099040C"/>
    <w:rsid w:val="00990683"/>
    <w:rsid w:val="00990A03"/>
    <w:rsid w:val="00990B16"/>
    <w:rsid w:val="00990D53"/>
    <w:rsid w:val="00990D6D"/>
    <w:rsid w:val="00991795"/>
    <w:rsid w:val="00991C13"/>
    <w:rsid w:val="00991E51"/>
    <w:rsid w:val="0099213E"/>
    <w:rsid w:val="00992BF5"/>
    <w:rsid w:val="0099324D"/>
    <w:rsid w:val="009941EF"/>
    <w:rsid w:val="00994449"/>
    <w:rsid w:val="00994794"/>
    <w:rsid w:val="00994C77"/>
    <w:rsid w:val="00994F2A"/>
    <w:rsid w:val="009952DC"/>
    <w:rsid w:val="0099533A"/>
    <w:rsid w:val="00995367"/>
    <w:rsid w:val="0099616D"/>
    <w:rsid w:val="00996F42"/>
    <w:rsid w:val="0099747E"/>
    <w:rsid w:val="009A00A7"/>
    <w:rsid w:val="009A098F"/>
    <w:rsid w:val="009A0A3C"/>
    <w:rsid w:val="009A0B3A"/>
    <w:rsid w:val="009A138D"/>
    <w:rsid w:val="009A1462"/>
    <w:rsid w:val="009A2189"/>
    <w:rsid w:val="009A2312"/>
    <w:rsid w:val="009A275D"/>
    <w:rsid w:val="009A2802"/>
    <w:rsid w:val="009A285A"/>
    <w:rsid w:val="009A2F6D"/>
    <w:rsid w:val="009A3511"/>
    <w:rsid w:val="009A3799"/>
    <w:rsid w:val="009A3B4F"/>
    <w:rsid w:val="009A3D73"/>
    <w:rsid w:val="009A403F"/>
    <w:rsid w:val="009A4ACA"/>
    <w:rsid w:val="009A4B26"/>
    <w:rsid w:val="009A62A6"/>
    <w:rsid w:val="009A68AB"/>
    <w:rsid w:val="009A7360"/>
    <w:rsid w:val="009A7C47"/>
    <w:rsid w:val="009A7C9B"/>
    <w:rsid w:val="009B0138"/>
    <w:rsid w:val="009B06B8"/>
    <w:rsid w:val="009B0EB4"/>
    <w:rsid w:val="009B2054"/>
    <w:rsid w:val="009B21F6"/>
    <w:rsid w:val="009B24B7"/>
    <w:rsid w:val="009B25E5"/>
    <w:rsid w:val="009B28E6"/>
    <w:rsid w:val="009B2FC1"/>
    <w:rsid w:val="009B3607"/>
    <w:rsid w:val="009B36B8"/>
    <w:rsid w:val="009B3865"/>
    <w:rsid w:val="009B3D15"/>
    <w:rsid w:val="009B3E98"/>
    <w:rsid w:val="009B3F6B"/>
    <w:rsid w:val="009B4038"/>
    <w:rsid w:val="009B4368"/>
    <w:rsid w:val="009B455D"/>
    <w:rsid w:val="009B48C1"/>
    <w:rsid w:val="009B4DA5"/>
    <w:rsid w:val="009B60AD"/>
    <w:rsid w:val="009B6138"/>
    <w:rsid w:val="009B6BE7"/>
    <w:rsid w:val="009B6E26"/>
    <w:rsid w:val="009B6F51"/>
    <w:rsid w:val="009B769E"/>
    <w:rsid w:val="009B7E72"/>
    <w:rsid w:val="009C0DCF"/>
    <w:rsid w:val="009C0E89"/>
    <w:rsid w:val="009C137F"/>
    <w:rsid w:val="009C1BBB"/>
    <w:rsid w:val="009C253F"/>
    <w:rsid w:val="009C304A"/>
    <w:rsid w:val="009C321A"/>
    <w:rsid w:val="009C360D"/>
    <w:rsid w:val="009C3678"/>
    <w:rsid w:val="009C36EA"/>
    <w:rsid w:val="009C3976"/>
    <w:rsid w:val="009C3C36"/>
    <w:rsid w:val="009C3DFE"/>
    <w:rsid w:val="009C430C"/>
    <w:rsid w:val="009C48AE"/>
    <w:rsid w:val="009C4BCD"/>
    <w:rsid w:val="009C4F85"/>
    <w:rsid w:val="009C57E8"/>
    <w:rsid w:val="009C5D9C"/>
    <w:rsid w:val="009C6921"/>
    <w:rsid w:val="009C6D6E"/>
    <w:rsid w:val="009C6E6B"/>
    <w:rsid w:val="009C77B4"/>
    <w:rsid w:val="009C7D48"/>
    <w:rsid w:val="009C7D9B"/>
    <w:rsid w:val="009C7FB4"/>
    <w:rsid w:val="009D00CB"/>
    <w:rsid w:val="009D058E"/>
    <w:rsid w:val="009D086D"/>
    <w:rsid w:val="009D098C"/>
    <w:rsid w:val="009D0E0E"/>
    <w:rsid w:val="009D23E3"/>
    <w:rsid w:val="009D2700"/>
    <w:rsid w:val="009D313E"/>
    <w:rsid w:val="009D3575"/>
    <w:rsid w:val="009D36E7"/>
    <w:rsid w:val="009D3B29"/>
    <w:rsid w:val="009D4675"/>
    <w:rsid w:val="009D4717"/>
    <w:rsid w:val="009D490E"/>
    <w:rsid w:val="009D4D39"/>
    <w:rsid w:val="009D53DF"/>
    <w:rsid w:val="009D5428"/>
    <w:rsid w:val="009D5605"/>
    <w:rsid w:val="009D590C"/>
    <w:rsid w:val="009D5D3C"/>
    <w:rsid w:val="009D675D"/>
    <w:rsid w:val="009D6E10"/>
    <w:rsid w:val="009D75DE"/>
    <w:rsid w:val="009D7950"/>
    <w:rsid w:val="009D7A4A"/>
    <w:rsid w:val="009D7F92"/>
    <w:rsid w:val="009E0756"/>
    <w:rsid w:val="009E0ACD"/>
    <w:rsid w:val="009E12E4"/>
    <w:rsid w:val="009E168F"/>
    <w:rsid w:val="009E21AF"/>
    <w:rsid w:val="009E29E1"/>
    <w:rsid w:val="009E2B65"/>
    <w:rsid w:val="009E3834"/>
    <w:rsid w:val="009E3847"/>
    <w:rsid w:val="009E3C67"/>
    <w:rsid w:val="009E3D5D"/>
    <w:rsid w:val="009E411B"/>
    <w:rsid w:val="009E4AB7"/>
    <w:rsid w:val="009E51BD"/>
    <w:rsid w:val="009E5CB7"/>
    <w:rsid w:val="009E5EAC"/>
    <w:rsid w:val="009E697F"/>
    <w:rsid w:val="009E7843"/>
    <w:rsid w:val="009E78E8"/>
    <w:rsid w:val="009F0676"/>
    <w:rsid w:val="009F0681"/>
    <w:rsid w:val="009F0812"/>
    <w:rsid w:val="009F0A76"/>
    <w:rsid w:val="009F1075"/>
    <w:rsid w:val="009F1211"/>
    <w:rsid w:val="009F13CB"/>
    <w:rsid w:val="009F1E07"/>
    <w:rsid w:val="009F1F35"/>
    <w:rsid w:val="009F1F68"/>
    <w:rsid w:val="009F2290"/>
    <w:rsid w:val="009F2E64"/>
    <w:rsid w:val="009F33D9"/>
    <w:rsid w:val="009F36D1"/>
    <w:rsid w:val="009F3CEA"/>
    <w:rsid w:val="009F3DD5"/>
    <w:rsid w:val="009F455B"/>
    <w:rsid w:val="009F4582"/>
    <w:rsid w:val="009F4B85"/>
    <w:rsid w:val="009F529C"/>
    <w:rsid w:val="009F5436"/>
    <w:rsid w:val="009F5829"/>
    <w:rsid w:val="009F5982"/>
    <w:rsid w:val="009F6001"/>
    <w:rsid w:val="009F6B0C"/>
    <w:rsid w:val="009F74EF"/>
    <w:rsid w:val="009F7519"/>
    <w:rsid w:val="009F78EB"/>
    <w:rsid w:val="00A005A3"/>
    <w:rsid w:val="00A008A7"/>
    <w:rsid w:val="00A0099D"/>
    <w:rsid w:val="00A00D70"/>
    <w:rsid w:val="00A01599"/>
    <w:rsid w:val="00A0167F"/>
    <w:rsid w:val="00A01BE3"/>
    <w:rsid w:val="00A01FD7"/>
    <w:rsid w:val="00A02513"/>
    <w:rsid w:val="00A02684"/>
    <w:rsid w:val="00A02CC0"/>
    <w:rsid w:val="00A03540"/>
    <w:rsid w:val="00A03595"/>
    <w:rsid w:val="00A03D30"/>
    <w:rsid w:val="00A041DB"/>
    <w:rsid w:val="00A0434B"/>
    <w:rsid w:val="00A04675"/>
    <w:rsid w:val="00A050AC"/>
    <w:rsid w:val="00A052C2"/>
    <w:rsid w:val="00A05327"/>
    <w:rsid w:val="00A057C3"/>
    <w:rsid w:val="00A0598D"/>
    <w:rsid w:val="00A0640B"/>
    <w:rsid w:val="00A066C6"/>
    <w:rsid w:val="00A067AF"/>
    <w:rsid w:val="00A06948"/>
    <w:rsid w:val="00A06D46"/>
    <w:rsid w:val="00A077BF"/>
    <w:rsid w:val="00A077CF"/>
    <w:rsid w:val="00A07893"/>
    <w:rsid w:val="00A10140"/>
    <w:rsid w:val="00A101B7"/>
    <w:rsid w:val="00A1099A"/>
    <w:rsid w:val="00A1191B"/>
    <w:rsid w:val="00A11CF9"/>
    <w:rsid w:val="00A12717"/>
    <w:rsid w:val="00A136A3"/>
    <w:rsid w:val="00A136EC"/>
    <w:rsid w:val="00A13955"/>
    <w:rsid w:val="00A13B35"/>
    <w:rsid w:val="00A1441E"/>
    <w:rsid w:val="00A14777"/>
    <w:rsid w:val="00A14F18"/>
    <w:rsid w:val="00A14F37"/>
    <w:rsid w:val="00A1508B"/>
    <w:rsid w:val="00A1514D"/>
    <w:rsid w:val="00A156DA"/>
    <w:rsid w:val="00A15966"/>
    <w:rsid w:val="00A15F52"/>
    <w:rsid w:val="00A16131"/>
    <w:rsid w:val="00A16355"/>
    <w:rsid w:val="00A16B9A"/>
    <w:rsid w:val="00A1719D"/>
    <w:rsid w:val="00A1726B"/>
    <w:rsid w:val="00A17371"/>
    <w:rsid w:val="00A177D4"/>
    <w:rsid w:val="00A2095B"/>
    <w:rsid w:val="00A2163F"/>
    <w:rsid w:val="00A217E9"/>
    <w:rsid w:val="00A22802"/>
    <w:rsid w:val="00A22A9C"/>
    <w:rsid w:val="00A22C49"/>
    <w:rsid w:val="00A22C61"/>
    <w:rsid w:val="00A22D94"/>
    <w:rsid w:val="00A232B3"/>
    <w:rsid w:val="00A23348"/>
    <w:rsid w:val="00A234A7"/>
    <w:rsid w:val="00A234B2"/>
    <w:rsid w:val="00A236BB"/>
    <w:rsid w:val="00A2455A"/>
    <w:rsid w:val="00A24AE9"/>
    <w:rsid w:val="00A2569D"/>
    <w:rsid w:val="00A26295"/>
    <w:rsid w:val="00A26942"/>
    <w:rsid w:val="00A26CAF"/>
    <w:rsid w:val="00A26CD5"/>
    <w:rsid w:val="00A26D77"/>
    <w:rsid w:val="00A26E17"/>
    <w:rsid w:val="00A27624"/>
    <w:rsid w:val="00A27979"/>
    <w:rsid w:val="00A3063B"/>
    <w:rsid w:val="00A30860"/>
    <w:rsid w:val="00A30C99"/>
    <w:rsid w:val="00A30E52"/>
    <w:rsid w:val="00A30F7A"/>
    <w:rsid w:val="00A3143F"/>
    <w:rsid w:val="00A319D2"/>
    <w:rsid w:val="00A31C1D"/>
    <w:rsid w:val="00A3288A"/>
    <w:rsid w:val="00A333E0"/>
    <w:rsid w:val="00A33A6E"/>
    <w:rsid w:val="00A33B14"/>
    <w:rsid w:val="00A34742"/>
    <w:rsid w:val="00A34B15"/>
    <w:rsid w:val="00A35433"/>
    <w:rsid w:val="00A354C0"/>
    <w:rsid w:val="00A35649"/>
    <w:rsid w:val="00A35D0B"/>
    <w:rsid w:val="00A36462"/>
    <w:rsid w:val="00A36893"/>
    <w:rsid w:val="00A36B4A"/>
    <w:rsid w:val="00A36C92"/>
    <w:rsid w:val="00A36DEA"/>
    <w:rsid w:val="00A37A6E"/>
    <w:rsid w:val="00A37F8A"/>
    <w:rsid w:val="00A4004F"/>
    <w:rsid w:val="00A40C7B"/>
    <w:rsid w:val="00A40C88"/>
    <w:rsid w:val="00A417E3"/>
    <w:rsid w:val="00A42516"/>
    <w:rsid w:val="00A42751"/>
    <w:rsid w:val="00A42849"/>
    <w:rsid w:val="00A42C26"/>
    <w:rsid w:val="00A42E0F"/>
    <w:rsid w:val="00A43E27"/>
    <w:rsid w:val="00A43E2B"/>
    <w:rsid w:val="00A44138"/>
    <w:rsid w:val="00A449F8"/>
    <w:rsid w:val="00A45671"/>
    <w:rsid w:val="00A45D20"/>
    <w:rsid w:val="00A471BD"/>
    <w:rsid w:val="00A4734A"/>
    <w:rsid w:val="00A47574"/>
    <w:rsid w:val="00A47717"/>
    <w:rsid w:val="00A47720"/>
    <w:rsid w:val="00A47F7A"/>
    <w:rsid w:val="00A50336"/>
    <w:rsid w:val="00A50488"/>
    <w:rsid w:val="00A50EE9"/>
    <w:rsid w:val="00A50FEC"/>
    <w:rsid w:val="00A51388"/>
    <w:rsid w:val="00A51572"/>
    <w:rsid w:val="00A51EE4"/>
    <w:rsid w:val="00A52257"/>
    <w:rsid w:val="00A52384"/>
    <w:rsid w:val="00A52451"/>
    <w:rsid w:val="00A527C1"/>
    <w:rsid w:val="00A53063"/>
    <w:rsid w:val="00A53DC5"/>
    <w:rsid w:val="00A53EBC"/>
    <w:rsid w:val="00A53FE0"/>
    <w:rsid w:val="00A54027"/>
    <w:rsid w:val="00A54142"/>
    <w:rsid w:val="00A54838"/>
    <w:rsid w:val="00A54AB2"/>
    <w:rsid w:val="00A554FC"/>
    <w:rsid w:val="00A55831"/>
    <w:rsid w:val="00A5588B"/>
    <w:rsid w:val="00A558BB"/>
    <w:rsid w:val="00A559B0"/>
    <w:rsid w:val="00A56217"/>
    <w:rsid w:val="00A56591"/>
    <w:rsid w:val="00A56780"/>
    <w:rsid w:val="00A56989"/>
    <w:rsid w:val="00A56CDD"/>
    <w:rsid w:val="00A57EC1"/>
    <w:rsid w:val="00A60098"/>
    <w:rsid w:val="00A6067B"/>
    <w:rsid w:val="00A60730"/>
    <w:rsid w:val="00A61B37"/>
    <w:rsid w:val="00A61D16"/>
    <w:rsid w:val="00A61F6C"/>
    <w:rsid w:val="00A61FED"/>
    <w:rsid w:val="00A62018"/>
    <w:rsid w:val="00A62994"/>
    <w:rsid w:val="00A6303A"/>
    <w:rsid w:val="00A634D1"/>
    <w:rsid w:val="00A63987"/>
    <w:rsid w:val="00A6422E"/>
    <w:rsid w:val="00A64957"/>
    <w:rsid w:val="00A64EF6"/>
    <w:rsid w:val="00A652E3"/>
    <w:rsid w:val="00A6653C"/>
    <w:rsid w:val="00A66912"/>
    <w:rsid w:val="00A66C21"/>
    <w:rsid w:val="00A66E31"/>
    <w:rsid w:val="00A67288"/>
    <w:rsid w:val="00A6733D"/>
    <w:rsid w:val="00A67F6A"/>
    <w:rsid w:val="00A71526"/>
    <w:rsid w:val="00A717D9"/>
    <w:rsid w:val="00A71A45"/>
    <w:rsid w:val="00A71E5B"/>
    <w:rsid w:val="00A720E4"/>
    <w:rsid w:val="00A72573"/>
    <w:rsid w:val="00A726EF"/>
    <w:rsid w:val="00A72C3A"/>
    <w:rsid w:val="00A72E08"/>
    <w:rsid w:val="00A73266"/>
    <w:rsid w:val="00A73694"/>
    <w:rsid w:val="00A73A00"/>
    <w:rsid w:val="00A73A41"/>
    <w:rsid w:val="00A75467"/>
    <w:rsid w:val="00A75498"/>
    <w:rsid w:val="00A75599"/>
    <w:rsid w:val="00A75670"/>
    <w:rsid w:val="00A75D52"/>
    <w:rsid w:val="00A76887"/>
    <w:rsid w:val="00A76A3F"/>
    <w:rsid w:val="00A76C69"/>
    <w:rsid w:val="00A76D48"/>
    <w:rsid w:val="00A77216"/>
    <w:rsid w:val="00A772B4"/>
    <w:rsid w:val="00A77569"/>
    <w:rsid w:val="00A77F50"/>
    <w:rsid w:val="00A77FB0"/>
    <w:rsid w:val="00A80122"/>
    <w:rsid w:val="00A802A0"/>
    <w:rsid w:val="00A802A6"/>
    <w:rsid w:val="00A81266"/>
    <w:rsid w:val="00A816E2"/>
    <w:rsid w:val="00A82911"/>
    <w:rsid w:val="00A8297B"/>
    <w:rsid w:val="00A83A95"/>
    <w:rsid w:val="00A83E00"/>
    <w:rsid w:val="00A83F26"/>
    <w:rsid w:val="00A84114"/>
    <w:rsid w:val="00A843D7"/>
    <w:rsid w:val="00A84888"/>
    <w:rsid w:val="00A84A64"/>
    <w:rsid w:val="00A8715F"/>
    <w:rsid w:val="00A87958"/>
    <w:rsid w:val="00A87B0A"/>
    <w:rsid w:val="00A91512"/>
    <w:rsid w:val="00A924BB"/>
    <w:rsid w:val="00A92948"/>
    <w:rsid w:val="00A92C21"/>
    <w:rsid w:val="00A92E2B"/>
    <w:rsid w:val="00A932BE"/>
    <w:rsid w:val="00A939D2"/>
    <w:rsid w:val="00A93B55"/>
    <w:rsid w:val="00A93F26"/>
    <w:rsid w:val="00A9406E"/>
    <w:rsid w:val="00A940C8"/>
    <w:rsid w:val="00A94211"/>
    <w:rsid w:val="00A9482C"/>
    <w:rsid w:val="00A94903"/>
    <w:rsid w:val="00A95CE9"/>
    <w:rsid w:val="00A95E0F"/>
    <w:rsid w:val="00A96881"/>
    <w:rsid w:val="00A96C5A"/>
    <w:rsid w:val="00A972D7"/>
    <w:rsid w:val="00A972E8"/>
    <w:rsid w:val="00A97609"/>
    <w:rsid w:val="00A9786A"/>
    <w:rsid w:val="00AA06E6"/>
    <w:rsid w:val="00AA0D77"/>
    <w:rsid w:val="00AA0E14"/>
    <w:rsid w:val="00AA11C7"/>
    <w:rsid w:val="00AA16D8"/>
    <w:rsid w:val="00AA213B"/>
    <w:rsid w:val="00AA2509"/>
    <w:rsid w:val="00AA286A"/>
    <w:rsid w:val="00AA2AE5"/>
    <w:rsid w:val="00AA2EF4"/>
    <w:rsid w:val="00AA3077"/>
    <w:rsid w:val="00AA38D3"/>
    <w:rsid w:val="00AA3B2A"/>
    <w:rsid w:val="00AA40B1"/>
    <w:rsid w:val="00AA4D8C"/>
    <w:rsid w:val="00AA4F5A"/>
    <w:rsid w:val="00AA5275"/>
    <w:rsid w:val="00AA5438"/>
    <w:rsid w:val="00AA5890"/>
    <w:rsid w:val="00AA6EBF"/>
    <w:rsid w:val="00AA7364"/>
    <w:rsid w:val="00AA74F9"/>
    <w:rsid w:val="00AA7586"/>
    <w:rsid w:val="00AA774E"/>
    <w:rsid w:val="00AA7A63"/>
    <w:rsid w:val="00AA7E96"/>
    <w:rsid w:val="00AB0612"/>
    <w:rsid w:val="00AB0658"/>
    <w:rsid w:val="00AB066E"/>
    <w:rsid w:val="00AB0D1F"/>
    <w:rsid w:val="00AB1633"/>
    <w:rsid w:val="00AB16AD"/>
    <w:rsid w:val="00AB1B32"/>
    <w:rsid w:val="00AB1E07"/>
    <w:rsid w:val="00AB2CBA"/>
    <w:rsid w:val="00AB328F"/>
    <w:rsid w:val="00AB367C"/>
    <w:rsid w:val="00AB3726"/>
    <w:rsid w:val="00AB39AA"/>
    <w:rsid w:val="00AB3DBC"/>
    <w:rsid w:val="00AB4155"/>
    <w:rsid w:val="00AB420F"/>
    <w:rsid w:val="00AB4B32"/>
    <w:rsid w:val="00AB521F"/>
    <w:rsid w:val="00AB5CD6"/>
    <w:rsid w:val="00AB5EFA"/>
    <w:rsid w:val="00AB648D"/>
    <w:rsid w:val="00AB688C"/>
    <w:rsid w:val="00AB699F"/>
    <w:rsid w:val="00AB70B9"/>
    <w:rsid w:val="00AB7CFD"/>
    <w:rsid w:val="00AB7FD6"/>
    <w:rsid w:val="00AC0477"/>
    <w:rsid w:val="00AC0F2C"/>
    <w:rsid w:val="00AC0FC0"/>
    <w:rsid w:val="00AC15FA"/>
    <w:rsid w:val="00AC1900"/>
    <w:rsid w:val="00AC1A08"/>
    <w:rsid w:val="00AC1B05"/>
    <w:rsid w:val="00AC23D4"/>
    <w:rsid w:val="00AC25F1"/>
    <w:rsid w:val="00AC26F3"/>
    <w:rsid w:val="00AC31C6"/>
    <w:rsid w:val="00AC4504"/>
    <w:rsid w:val="00AC55A4"/>
    <w:rsid w:val="00AC5CCB"/>
    <w:rsid w:val="00AC5E41"/>
    <w:rsid w:val="00AC6B7F"/>
    <w:rsid w:val="00AC6D98"/>
    <w:rsid w:val="00AC7242"/>
    <w:rsid w:val="00AC7463"/>
    <w:rsid w:val="00AD02C1"/>
    <w:rsid w:val="00AD0487"/>
    <w:rsid w:val="00AD0859"/>
    <w:rsid w:val="00AD1489"/>
    <w:rsid w:val="00AD1F3A"/>
    <w:rsid w:val="00AD1F6C"/>
    <w:rsid w:val="00AD2269"/>
    <w:rsid w:val="00AD2419"/>
    <w:rsid w:val="00AD2592"/>
    <w:rsid w:val="00AD29A2"/>
    <w:rsid w:val="00AD29D7"/>
    <w:rsid w:val="00AD3120"/>
    <w:rsid w:val="00AD39A9"/>
    <w:rsid w:val="00AD416B"/>
    <w:rsid w:val="00AD4AF8"/>
    <w:rsid w:val="00AD617B"/>
    <w:rsid w:val="00AD7346"/>
    <w:rsid w:val="00AD7364"/>
    <w:rsid w:val="00AD7C0B"/>
    <w:rsid w:val="00AE09A9"/>
    <w:rsid w:val="00AE18B2"/>
    <w:rsid w:val="00AE2091"/>
    <w:rsid w:val="00AE228E"/>
    <w:rsid w:val="00AE3559"/>
    <w:rsid w:val="00AE3ECD"/>
    <w:rsid w:val="00AE49A2"/>
    <w:rsid w:val="00AE4AE0"/>
    <w:rsid w:val="00AE4D1F"/>
    <w:rsid w:val="00AE4DC2"/>
    <w:rsid w:val="00AE5412"/>
    <w:rsid w:val="00AE5CB5"/>
    <w:rsid w:val="00AE621B"/>
    <w:rsid w:val="00AE6AF9"/>
    <w:rsid w:val="00AE6AFE"/>
    <w:rsid w:val="00AE75C8"/>
    <w:rsid w:val="00AE7A88"/>
    <w:rsid w:val="00AF058D"/>
    <w:rsid w:val="00AF066F"/>
    <w:rsid w:val="00AF095A"/>
    <w:rsid w:val="00AF0B63"/>
    <w:rsid w:val="00AF0D5D"/>
    <w:rsid w:val="00AF146F"/>
    <w:rsid w:val="00AF17C3"/>
    <w:rsid w:val="00AF1802"/>
    <w:rsid w:val="00AF28C2"/>
    <w:rsid w:val="00AF31F8"/>
    <w:rsid w:val="00AF3280"/>
    <w:rsid w:val="00AF3888"/>
    <w:rsid w:val="00AF3F92"/>
    <w:rsid w:val="00AF471D"/>
    <w:rsid w:val="00AF4C4A"/>
    <w:rsid w:val="00AF4CFA"/>
    <w:rsid w:val="00AF4FB3"/>
    <w:rsid w:val="00AF5220"/>
    <w:rsid w:val="00AF5964"/>
    <w:rsid w:val="00AF5BB7"/>
    <w:rsid w:val="00AF5DBE"/>
    <w:rsid w:val="00AF5EE5"/>
    <w:rsid w:val="00AF63D8"/>
    <w:rsid w:val="00AF6778"/>
    <w:rsid w:val="00AF681B"/>
    <w:rsid w:val="00AF6A9B"/>
    <w:rsid w:val="00AF6CF2"/>
    <w:rsid w:val="00AF6D36"/>
    <w:rsid w:val="00AF7A09"/>
    <w:rsid w:val="00AF7EC6"/>
    <w:rsid w:val="00B002D8"/>
    <w:rsid w:val="00B004B6"/>
    <w:rsid w:val="00B00C31"/>
    <w:rsid w:val="00B015DA"/>
    <w:rsid w:val="00B021DF"/>
    <w:rsid w:val="00B0258F"/>
    <w:rsid w:val="00B025BA"/>
    <w:rsid w:val="00B02AF5"/>
    <w:rsid w:val="00B03904"/>
    <w:rsid w:val="00B03B68"/>
    <w:rsid w:val="00B03C25"/>
    <w:rsid w:val="00B03E5F"/>
    <w:rsid w:val="00B03EE1"/>
    <w:rsid w:val="00B040B4"/>
    <w:rsid w:val="00B0434F"/>
    <w:rsid w:val="00B05732"/>
    <w:rsid w:val="00B05A9B"/>
    <w:rsid w:val="00B05B34"/>
    <w:rsid w:val="00B05DAF"/>
    <w:rsid w:val="00B05F47"/>
    <w:rsid w:val="00B06100"/>
    <w:rsid w:val="00B065F6"/>
    <w:rsid w:val="00B06991"/>
    <w:rsid w:val="00B06A4A"/>
    <w:rsid w:val="00B074F7"/>
    <w:rsid w:val="00B075C9"/>
    <w:rsid w:val="00B07896"/>
    <w:rsid w:val="00B100DA"/>
    <w:rsid w:val="00B10868"/>
    <w:rsid w:val="00B1090D"/>
    <w:rsid w:val="00B109BE"/>
    <w:rsid w:val="00B115E3"/>
    <w:rsid w:val="00B12AB5"/>
    <w:rsid w:val="00B1303C"/>
    <w:rsid w:val="00B132A6"/>
    <w:rsid w:val="00B137EF"/>
    <w:rsid w:val="00B13CB4"/>
    <w:rsid w:val="00B148BE"/>
    <w:rsid w:val="00B1558F"/>
    <w:rsid w:val="00B159FA"/>
    <w:rsid w:val="00B15C7A"/>
    <w:rsid w:val="00B15D9C"/>
    <w:rsid w:val="00B17CAB"/>
    <w:rsid w:val="00B17F97"/>
    <w:rsid w:val="00B2000E"/>
    <w:rsid w:val="00B2006F"/>
    <w:rsid w:val="00B20242"/>
    <w:rsid w:val="00B20956"/>
    <w:rsid w:val="00B20C09"/>
    <w:rsid w:val="00B213E1"/>
    <w:rsid w:val="00B215D1"/>
    <w:rsid w:val="00B21B7A"/>
    <w:rsid w:val="00B2289B"/>
    <w:rsid w:val="00B22B3E"/>
    <w:rsid w:val="00B234EF"/>
    <w:rsid w:val="00B235D0"/>
    <w:rsid w:val="00B23A93"/>
    <w:rsid w:val="00B23CA2"/>
    <w:rsid w:val="00B23DA0"/>
    <w:rsid w:val="00B23E12"/>
    <w:rsid w:val="00B241D1"/>
    <w:rsid w:val="00B251DC"/>
    <w:rsid w:val="00B25270"/>
    <w:rsid w:val="00B2589A"/>
    <w:rsid w:val="00B25C82"/>
    <w:rsid w:val="00B25DDA"/>
    <w:rsid w:val="00B25E67"/>
    <w:rsid w:val="00B260C1"/>
    <w:rsid w:val="00B264AA"/>
    <w:rsid w:val="00B26B59"/>
    <w:rsid w:val="00B26C12"/>
    <w:rsid w:val="00B26E86"/>
    <w:rsid w:val="00B27558"/>
    <w:rsid w:val="00B27710"/>
    <w:rsid w:val="00B2772D"/>
    <w:rsid w:val="00B30268"/>
    <w:rsid w:val="00B3041F"/>
    <w:rsid w:val="00B30A11"/>
    <w:rsid w:val="00B30DF9"/>
    <w:rsid w:val="00B30F34"/>
    <w:rsid w:val="00B30FE5"/>
    <w:rsid w:val="00B310F4"/>
    <w:rsid w:val="00B3256C"/>
    <w:rsid w:val="00B331CF"/>
    <w:rsid w:val="00B3346C"/>
    <w:rsid w:val="00B33CB3"/>
    <w:rsid w:val="00B34278"/>
    <w:rsid w:val="00B34511"/>
    <w:rsid w:val="00B345A7"/>
    <w:rsid w:val="00B34AB6"/>
    <w:rsid w:val="00B34E5D"/>
    <w:rsid w:val="00B351D8"/>
    <w:rsid w:val="00B355F1"/>
    <w:rsid w:val="00B35D05"/>
    <w:rsid w:val="00B35FFA"/>
    <w:rsid w:val="00B360E7"/>
    <w:rsid w:val="00B36982"/>
    <w:rsid w:val="00B37768"/>
    <w:rsid w:val="00B3794A"/>
    <w:rsid w:val="00B37E19"/>
    <w:rsid w:val="00B40581"/>
    <w:rsid w:val="00B41499"/>
    <w:rsid w:val="00B4191A"/>
    <w:rsid w:val="00B42E42"/>
    <w:rsid w:val="00B4336B"/>
    <w:rsid w:val="00B433DE"/>
    <w:rsid w:val="00B4344F"/>
    <w:rsid w:val="00B43720"/>
    <w:rsid w:val="00B43C0B"/>
    <w:rsid w:val="00B449DB"/>
    <w:rsid w:val="00B44A26"/>
    <w:rsid w:val="00B44C31"/>
    <w:rsid w:val="00B4528E"/>
    <w:rsid w:val="00B452EC"/>
    <w:rsid w:val="00B453D6"/>
    <w:rsid w:val="00B45848"/>
    <w:rsid w:val="00B45CB3"/>
    <w:rsid w:val="00B4640B"/>
    <w:rsid w:val="00B4649B"/>
    <w:rsid w:val="00B47424"/>
    <w:rsid w:val="00B475D6"/>
    <w:rsid w:val="00B50445"/>
    <w:rsid w:val="00B5071A"/>
    <w:rsid w:val="00B5110A"/>
    <w:rsid w:val="00B51290"/>
    <w:rsid w:val="00B5140B"/>
    <w:rsid w:val="00B51E47"/>
    <w:rsid w:val="00B52021"/>
    <w:rsid w:val="00B52043"/>
    <w:rsid w:val="00B52425"/>
    <w:rsid w:val="00B52CFA"/>
    <w:rsid w:val="00B52E29"/>
    <w:rsid w:val="00B531CF"/>
    <w:rsid w:val="00B534C4"/>
    <w:rsid w:val="00B53AE8"/>
    <w:rsid w:val="00B542DC"/>
    <w:rsid w:val="00B54AD3"/>
    <w:rsid w:val="00B54B2A"/>
    <w:rsid w:val="00B558C9"/>
    <w:rsid w:val="00B55C0B"/>
    <w:rsid w:val="00B56EE8"/>
    <w:rsid w:val="00B56F7F"/>
    <w:rsid w:val="00B5734E"/>
    <w:rsid w:val="00B5753B"/>
    <w:rsid w:val="00B577FD"/>
    <w:rsid w:val="00B57AF7"/>
    <w:rsid w:val="00B60118"/>
    <w:rsid w:val="00B60453"/>
    <w:rsid w:val="00B606FF"/>
    <w:rsid w:val="00B616B4"/>
    <w:rsid w:val="00B61783"/>
    <w:rsid w:val="00B61F08"/>
    <w:rsid w:val="00B61F58"/>
    <w:rsid w:val="00B629D8"/>
    <w:rsid w:val="00B62F7D"/>
    <w:rsid w:val="00B63296"/>
    <w:rsid w:val="00B6346F"/>
    <w:rsid w:val="00B635F5"/>
    <w:rsid w:val="00B64F1E"/>
    <w:rsid w:val="00B65824"/>
    <w:rsid w:val="00B65B9E"/>
    <w:rsid w:val="00B66A25"/>
    <w:rsid w:val="00B66F0F"/>
    <w:rsid w:val="00B674AD"/>
    <w:rsid w:val="00B67B9E"/>
    <w:rsid w:val="00B70487"/>
    <w:rsid w:val="00B708B9"/>
    <w:rsid w:val="00B70B03"/>
    <w:rsid w:val="00B70D8F"/>
    <w:rsid w:val="00B70EEC"/>
    <w:rsid w:val="00B71139"/>
    <w:rsid w:val="00B71238"/>
    <w:rsid w:val="00B726C3"/>
    <w:rsid w:val="00B7276A"/>
    <w:rsid w:val="00B72C3D"/>
    <w:rsid w:val="00B72DF2"/>
    <w:rsid w:val="00B7313B"/>
    <w:rsid w:val="00B733C6"/>
    <w:rsid w:val="00B7391B"/>
    <w:rsid w:val="00B74068"/>
    <w:rsid w:val="00B743FD"/>
    <w:rsid w:val="00B7459C"/>
    <w:rsid w:val="00B74D0E"/>
    <w:rsid w:val="00B74D2A"/>
    <w:rsid w:val="00B752F2"/>
    <w:rsid w:val="00B75DEA"/>
    <w:rsid w:val="00B7684E"/>
    <w:rsid w:val="00B76FF8"/>
    <w:rsid w:val="00B7705E"/>
    <w:rsid w:val="00B77185"/>
    <w:rsid w:val="00B77DCD"/>
    <w:rsid w:val="00B806AE"/>
    <w:rsid w:val="00B80C1D"/>
    <w:rsid w:val="00B80DFF"/>
    <w:rsid w:val="00B81C1B"/>
    <w:rsid w:val="00B81C56"/>
    <w:rsid w:val="00B81CB8"/>
    <w:rsid w:val="00B82011"/>
    <w:rsid w:val="00B82697"/>
    <w:rsid w:val="00B826A4"/>
    <w:rsid w:val="00B82B6F"/>
    <w:rsid w:val="00B83579"/>
    <w:rsid w:val="00B8400F"/>
    <w:rsid w:val="00B840AE"/>
    <w:rsid w:val="00B84200"/>
    <w:rsid w:val="00B849F3"/>
    <w:rsid w:val="00B84A9C"/>
    <w:rsid w:val="00B84E1F"/>
    <w:rsid w:val="00B84E79"/>
    <w:rsid w:val="00B855B4"/>
    <w:rsid w:val="00B8581C"/>
    <w:rsid w:val="00B85CB2"/>
    <w:rsid w:val="00B85D70"/>
    <w:rsid w:val="00B861B5"/>
    <w:rsid w:val="00B86EF2"/>
    <w:rsid w:val="00B870D3"/>
    <w:rsid w:val="00B871EE"/>
    <w:rsid w:val="00B87216"/>
    <w:rsid w:val="00B875EA"/>
    <w:rsid w:val="00B87AB3"/>
    <w:rsid w:val="00B87DEF"/>
    <w:rsid w:val="00B90921"/>
    <w:rsid w:val="00B90CD5"/>
    <w:rsid w:val="00B912A1"/>
    <w:rsid w:val="00B9206E"/>
    <w:rsid w:val="00B93080"/>
    <w:rsid w:val="00B93542"/>
    <w:rsid w:val="00B940A9"/>
    <w:rsid w:val="00B94196"/>
    <w:rsid w:val="00B9482F"/>
    <w:rsid w:val="00B94C5A"/>
    <w:rsid w:val="00B9598E"/>
    <w:rsid w:val="00B96852"/>
    <w:rsid w:val="00B97151"/>
    <w:rsid w:val="00B971A4"/>
    <w:rsid w:val="00B97228"/>
    <w:rsid w:val="00B9735C"/>
    <w:rsid w:val="00B97D6F"/>
    <w:rsid w:val="00BA0127"/>
    <w:rsid w:val="00BA07F8"/>
    <w:rsid w:val="00BA0944"/>
    <w:rsid w:val="00BA0E11"/>
    <w:rsid w:val="00BA1C61"/>
    <w:rsid w:val="00BA239A"/>
    <w:rsid w:val="00BA26B1"/>
    <w:rsid w:val="00BA32FF"/>
    <w:rsid w:val="00BA37A7"/>
    <w:rsid w:val="00BA3BA3"/>
    <w:rsid w:val="00BA3DBA"/>
    <w:rsid w:val="00BA5989"/>
    <w:rsid w:val="00BA6055"/>
    <w:rsid w:val="00BA621E"/>
    <w:rsid w:val="00BA6361"/>
    <w:rsid w:val="00BA6752"/>
    <w:rsid w:val="00BA6F07"/>
    <w:rsid w:val="00BA6F3B"/>
    <w:rsid w:val="00BA708D"/>
    <w:rsid w:val="00BA7747"/>
    <w:rsid w:val="00BA780A"/>
    <w:rsid w:val="00BA7B08"/>
    <w:rsid w:val="00BA7CA7"/>
    <w:rsid w:val="00BB0288"/>
    <w:rsid w:val="00BB050E"/>
    <w:rsid w:val="00BB0DB3"/>
    <w:rsid w:val="00BB19AF"/>
    <w:rsid w:val="00BB2359"/>
    <w:rsid w:val="00BB250F"/>
    <w:rsid w:val="00BB27D2"/>
    <w:rsid w:val="00BB2F1C"/>
    <w:rsid w:val="00BB33A0"/>
    <w:rsid w:val="00BB382B"/>
    <w:rsid w:val="00BB582B"/>
    <w:rsid w:val="00BB6078"/>
    <w:rsid w:val="00BB6181"/>
    <w:rsid w:val="00BB6214"/>
    <w:rsid w:val="00BB655E"/>
    <w:rsid w:val="00BB6595"/>
    <w:rsid w:val="00BB6D62"/>
    <w:rsid w:val="00BC00E4"/>
    <w:rsid w:val="00BC02CE"/>
    <w:rsid w:val="00BC0671"/>
    <w:rsid w:val="00BC06C3"/>
    <w:rsid w:val="00BC10D6"/>
    <w:rsid w:val="00BC240E"/>
    <w:rsid w:val="00BC2A80"/>
    <w:rsid w:val="00BC2B39"/>
    <w:rsid w:val="00BC2EAE"/>
    <w:rsid w:val="00BC30A2"/>
    <w:rsid w:val="00BC320E"/>
    <w:rsid w:val="00BC3473"/>
    <w:rsid w:val="00BC3887"/>
    <w:rsid w:val="00BC3C34"/>
    <w:rsid w:val="00BC4664"/>
    <w:rsid w:val="00BC4A65"/>
    <w:rsid w:val="00BC4C3C"/>
    <w:rsid w:val="00BC5499"/>
    <w:rsid w:val="00BC5792"/>
    <w:rsid w:val="00BC583B"/>
    <w:rsid w:val="00BC5ABA"/>
    <w:rsid w:val="00BC5E70"/>
    <w:rsid w:val="00BC6370"/>
    <w:rsid w:val="00BC647D"/>
    <w:rsid w:val="00BC66F9"/>
    <w:rsid w:val="00BC6825"/>
    <w:rsid w:val="00BC6E8E"/>
    <w:rsid w:val="00BC70F5"/>
    <w:rsid w:val="00BC75FF"/>
    <w:rsid w:val="00BC7AF6"/>
    <w:rsid w:val="00BC7EF2"/>
    <w:rsid w:val="00BD0470"/>
    <w:rsid w:val="00BD04E9"/>
    <w:rsid w:val="00BD073C"/>
    <w:rsid w:val="00BD13B6"/>
    <w:rsid w:val="00BD169E"/>
    <w:rsid w:val="00BD1928"/>
    <w:rsid w:val="00BD1C1F"/>
    <w:rsid w:val="00BD1F82"/>
    <w:rsid w:val="00BD2619"/>
    <w:rsid w:val="00BD2659"/>
    <w:rsid w:val="00BD2CE1"/>
    <w:rsid w:val="00BD32AE"/>
    <w:rsid w:val="00BD37BE"/>
    <w:rsid w:val="00BD384A"/>
    <w:rsid w:val="00BD4135"/>
    <w:rsid w:val="00BD4C0A"/>
    <w:rsid w:val="00BD4CF0"/>
    <w:rsid w:val="00BD5560"/>
    <w:rsid w:val="00BD557E"/>
    <w:rsid w:val="00BD559F"/>
    <w:rsid w:val="00BD62F1"/>
    <w:rsid w:val="00BD654F"/>
    <w:rsid w:val="00BD6605"/>
    <w:rsid w:val="00BD6C9A"/>
    <w:rsid w:val="00BD7234"/>
    <w:rsid w:val="00BD7CAB"/>
    <w:rsid w:val="00BE0327"/>
    <w:rsid w:val="00BE09D1"/>
    <w:rsid w:val="00BE0AE6"/>
    <w:rsid w:val="00BE0C83"/>
    <w:rsid w:val="00BE12A6"/>
    <w:rsid w:val="00BE15BF"/>
    <w:rsid w:val="00BE18AA"/>
    <w:rsid w:val="00BE18AF"/>
    <w:rsid w:val="00BE1A60"/>
    <w:rsid w:val="00BE1B20"/>
    <w:rsid w:val="00BE208D"/>
    <w:rsid w:val="00BE2B88"/>
    <w:rsid w:val="00BE3019"/>
    <w:rsid w:val="00BE3302"/>
    <w:rsid w:val="00BE3F84"/>
    <w:rsid w:val="00BE409B"/>
    <w:rsid w:val="00BE4216"/>
    <w:rsid w:val="00BE452C"/>
    <w:rsid w:val="00BE4901"/>
    <w:rsid w:val="00BE4A9A"/>
    <w:rsid w:val="00BE583A"/>
    <w:rsid w:val="00BE5F39"/>
    <w:rsid w:val="00BE695E"/>
    <w:rsid w:val="00BE69F2"/>
    <w:rsid w:val="00BE6B17"/>
    <w:rsid w:val="00BE7306"/>
    <w:rsid w:val="00BE7418"/>
    <w:rsid w:val="00BE75FB"/>
    <w:rsid w:val="00BE7705"/>
    <w:rsid w:val="00BE7758"/>
    <w:rsid w:val="00BF0EED"/>
    <w:rsid w:val="00BF0FB6"/>
    <w:rsid w:val="00BF1B3A"/>
    <w:rsid w:val="00BF3C91"/>
    <w:rsid w:val="00BF3E9C"/>
    <w:rsid w:val="00BF3F64"/>
    <w:rsid w:val="00BF4451"/>
    <w:rsid w:val="00BF452F"/>
    <w:rsid w:val="00BF4B15"/>
    <w:rsid w:val="00BF4C4D"/>
    <w:rsid w:val="00BF4F20"/>
    <w:rsid w:val="00BF539F"/>
    <w:rsid w:val="00BF5635"/>
    <w:rsid w:val="00BF5B92"/>
    <w:rsid w:val="00BF5FB2"/>
    <w:rsid w:val="00BF6415"/>
    <w:rsid w:val="00BF689A"/>
    <w:rsid w:val="00BF6EA8"/>
    <w:rsid w:val="00BF7103"/>
    <w:rsid w:val="00BF7B0B"/>
    <w:rsid w:val="00C0038D"/>
    <w:rsid w:val="00C007D9"/>
    <w:rsid w:val="00C00857"/>
    <w:rsid w:val="00C00BEA"/>
    <w:rsid w:val="00C01578"/>
    <w:rsid w:val="00C018C6"/>
    <w:rsid w:val="00C01D47"/>
    <w:rsid w:val="00C01F28"/>
    <w:rsid w:val="00C026DF"/>
    <w:rsid w:val="00C02D78"/>
    <w:rsid w:val="00C02D96"/>
    <w:rsid w:val="00C030B4"/>
    <w:rsid w:val="00C033DE"/>
    <w:rsid w:val="00C03FD9"/>
    <w:rsid w:val="00C040C1"/>
    <w:rsid w:val="00C047AE"/>
    <w:rsid w:val="00C052CE"/>
    <w:rsid w:val="00C05343"/>
    <w:rsid w:val="00C054F2"/>
    <w:rsid w:val="00C057EB"/>
    <w:rsid w:val="00C05B64"/>
    <w:rsid w:val="00C05BE2"/>
    <w:rsid w:val="00C069E9"/>
    <w:rsid w:val="00C06EBF"/>
    <w:rsid w:val="00C07019"/>
    <w:rsid w:val="00C07254"/>
    <w:rsid w:val="00C07287"/>
    <w:rsid w:val="00C07535"/>
    <w:rsid w:val="00C108DB"/>
    <w:rsid w:val="00C10B3F"/>
    <w:rsid w:val="00C121B8"/>
    <w:rsid w:val="00C121E3"/>
    <w:rsid w:val="00C12C0F"/>
    <w:rsid w:val="00C1363F"/>
    <w:rsid w:val="00C13714"/>
    <w:rsid w:val="00C1375E"/>
    <w:rsid w:val="00C14185"/>
    <w:rsid w:val="00C14421"/>
    <w:rsid w:val="00C15D04"/>
    <w:rsid w:val="00C160E3"/>
    <w:rsid w:val="00C16924"/>
    <w:rsid w:val="00C16965"/>
    <w:rsid w:val="00C16E33"/>
    <w:rsid w:val="00C1721C"/>
    <w:rsid w:val="00C172E8"/>
    <w:rsid w:val="00C17A77"/>
    <w:rsid w:val="00C17AE9"/>
    <w:rsid w:val="00C2019B"/>
    <w:rsid w:val="00C205C4"/>
    <w:rsid w:val="00C20C71"/>
    <w:rsid w:val="00C20EAC"/>
    <w:rsid w:val="00C20FFE"/>
    <w:rsid w:val="00C212E7"/>
    <w:rsid w:val="00C21AF9"/>
    <w:rsid w:val="00C21BA3"/>
    <w:rsid w:val="00C21D5B"/>
    <w:rsid w:val="00C22267"/>
    <w:rsid w:val="00C223FD"/>
    <w:rsid w:val="00C22866"/>
    <w:rsid w:val="00C22977"/>
    <w:rsid w:val="00C22F3F"/>
    <w:rsid w:val="00C23269"/>
    <w:rsid w:val="00C23441"/>
    <w:rsid w:val="00C23896"/>
    <w:rsid w:val="00C23E0B"/>
    <w:rsid w:val="00C23F9D"/>
    <w:rsid w:val="00C24949"/>
    <w:rsid w:val="00C2497B"/>
    <w:rsid w:val="00C24B7E"/>
    <w:rsid w:val="00C25250"/>
    <w:rsid w:val="00C254E1"/>
    <w:rsid w:val="00C25793"/>
    <w:rsid w:val="00C2654E"/>
    <w:rsid w:val="00C266F7"/>
    <w:rsid w:val="00C26B5D"/>
    <w:rsid w:val="00C273FA"/>
    <w:rsid w:val="00C27614"/>
    <w:rsid w:val="00C27736"/>
    <w:rsid w:val="00C2788B"/>
    <w:rsid w:val="00C27BEF"/>
    <w:rsid w:val="00C305CC"/>
    <w:rsid w:val="00C30B6E"/>
    <w:rsid w:val="00C30E43"/>
    <w:rsid w:val="00C3208D"/>
    <w:rsid w:val="00C3217A"/>
    <w:rsid w:val="00C325C2"/>
    <w:rsid w:val="00C32611"/>
    <w:rsid w:val="00C32DB9"/>
    <w:rsid w:val="00C33142"/>
    <w:rsid w:val="00C331E4"/>
    <w:rsid w:val="00C33279"/>
    <w:rsid w:val="00C3345D"/>
    <w:rsid w:val="00C33D90"/>
    <w:rsid w:val="00C3404B"/>
    <w:rsid w:val="00C34987"/>
    <w:rsid w:val="00C352E3"/>
    <w:rsid w:val="00C355AD"/>
    <w:rsid w:val="00C35FE9"/>
    <w:rsid w:val="00C3604C"/>
    <w:rsid w:val="00C360DB"/>
    <w:rsid w:val="00C3674D"/>
    <w:rsid w:val="00C36C22"/>
    <w:rsid w:val="00C36D50"/>
    <w:rsid w:val="00C36F65"/>
    <w:rsid w:val="00C409B2"/>
    <w:rsid w:val="00C40CF2"/>
    <w:rsid w:val="00C40E97"/>
    <w:rsid w:val="00C41278"/>
    <w:rsid w:val="00C417B3"/>
    <w:rsid w:val="00C42047"/>
    <w:rsid w:val="00C420AC"/>
    <w:rsid w:val="00C42C5A"/>
    <w:rsid w:val="00C43012"/>
    <w:rsid w:val="00C43512"/>
    <w:rsid w:val="00C43AEC"/>
    <w:rsid w:val="00C441A2"/>
    <w:rsid w:val="00C4476E"/>
    <w:rsid w:val="00C449FC"/>
    <w:rsid w:val="00C45FBA"/>
    <w:rsid w:val="00C45FF1"/>
    <w:rsid w:val="00C4608E"/>
    <w:rsid w:val="00C4749B"/>
    <w:rsid w:val="00C476D0"/>
    <w:rsid w:val="00C47A18"/>
    <w:rsid w:val="00C50059"/>
    <w:rsid w:val="00C51366"/>
    <w:rsid w:val="00C51689"/>
    <w:rsid w:val="00C51952"/>
    <w:rsid w:val="00C521E0"/>
    <w:rsid w:val="00C532E3"/>
    <w:rsid w:val="00C5362E"/>
    <w:rsid w:val="00C53B7E"/>
    <w:rsid w:val="00C53F83"/>
    <w:rsid w:val="00C54131"/>
    <w:rsid w:val="00C544B4"/>
    <w:rsid w:val="00C547E7"/>
    <w:rsid w:val="00C54DC7"/>
    <w:rsid w:val="00C555A5"/>
    <w:rsid w:val="00C555D9"/>
    <w:rsid w:val="00C560FF"/>
    <w:rsid w:val="00C56309"/>
    <w:rsid w:val="00C5658A"/>
    <w:rsid w:val="00C57EDA"/>
    <w:rsid w:val="00C60C89"/>
    <w:rsid w:val="00C61589"/>
    <w:rsid w:val="00C617A4"/>
    <w:rsid w:val="00C617A8"/>
    <w:rsid w:val="00C61E80"/>
    <w:rsid w:val="00C61F12"/>
    <w:rsid w:val="00C624E2"/>
    <w:rsid w:val="00C6260B"/>
    <w:rsid w:val="00C62AB5"/>
    <w:rsid w:val="00C634C8"/>
    <w:rsid w:val="00C6394D"/>
    <w:rsid w:val="00C64389"/>
    <w:rsid w:val="00C64811"/>
    <w:rsid w:val="00C64878"/>
    <w:rsid w:val="00C64FE4"/>
    <w:rsid w:val="00C6506D"/>
    <w:rsid w:val="00C65325"/>
    <w:rsid w:val="00C661AD"/>
    <w:rsid w:val="00C66600"/>
    <w:rsid w:val="00C66A84"/>
    <w:rsid w:val="00C6715F"/>
    <w:rsid w:val="00C672E4"/>
    <w:rsid w:val="00C6758B"/>
    <w:rsid w:val="00C67888"/>
    <w:rsid w:val="00C7054B"/>
    <w:rsid w:val="00C708A7"/>
    <w:rsid w:val="00C7135C"/>
    <w:rsid w:val="00C717F8"/>
    <w:rsid w:val="00C718A5"/>
    <w:rsid w:val="00C71B55"/>
    <w:rsid w:val="00C72A35"/>
    <w:rsid w:val="00C72C06"/>
    <w:rsid w:val="00C72DBD"/>
    <w:rsid w:val="00C738E1"/>
    <w:rsid w:val="00C73C02"/>
    <w:rsid w:val="00C73CAF"/>
    <w:rsid w:val="00C74734"/>
    <w:rsid w:val="00C74BA9"/>
    <w:rsid w:val="00C75022"/>
    <w:rsid w:val="00C75919"/>
    <w:rsid w:val="00C759F3"/>
    <w:rsid w:val="00C75D85"/>
    <w:rsid w:val="00C75F71"/>
    <w:rsid w:val="00C7673D"/>
    <w:rsid w:val="00C76AE8"/>
    <w:rsid w:val="00C76C3C"/>
    <w:rsid w:val="00C76DF8"/>
    <w:rsid w:val="00C777A8"/>
    <w:rsid w:val="00C77F5F"/>
    <w:rsid w:val="00C77FBE"/>
    <w:rsid w:val="00C80854"/>
    <w:rsid w:val="00C80F90"/>
    <w:rsid w:val="00C811A3"/>
    <w:rsid w:val="00C81773"/>
    <w:rsid w:val="00C81FD9"/>
    <w:rsid w:val="00C8249B"/>
    <w:rsid w:val="00C831B5"/>
    <w:rsid w:val="00C8321F"/>
    <w:rsid w:val="00C833B2"/>
    <w:rsid w:val="00C8353D"/>
    <w:rsid w:val="00C8377E"/>
    <w:rsid w:val="00C8381D"/>
    <w:rsid w:val="00C83C15"/>
    <w:rsid w:val="00C84787"/>
    <w:rsid w:val="00C85EF1"/>
    <w:rsid w:val="00C8708F"/>
    <w:rsid w:val="00C87CBC"/>
    <w:rsid w:val="00C87EAE"/>
    <w:rsid w:val="00C905A6"/>
    <w:rsid w:val="00C909EB"/>
    <w:rsid w:val="00C90C67"/>
    <w:rsid w:val="00C90EBB"/>
    <w:rsid w:val="00C91286"/>
    <w:rsid w:val="00C91604"/>
    <w:rsid w:val="00C916C9"/>
    <w:rsid w:val="00C919BD"/>
    <w:rsid w:val="00C91DEF"/>
    <w:rsid w:val="00C91EA6"/>
    <w:rsid w:val="00C934D6"/>
    <w:rsid w:val="00C94403"/>
    <w:rsid w:val="00C948A9"/>
    <w:rsid w:val="00C95014"/>
    <w:rsid w:val="00C9566C"/>
    <w:rsid w:val="00C956F8"/>
    <w:rsid w:val="00C959F8"/>
    <w:rsid w:val="00C95AF4"/>
    <w:rsid w:val="00C960A0"/>
    <w:rsid w:val="00C965CA"/>
    <w:rsid w:val="00C96880"/>
    <w:rsid w:val="00C96979"/>
    <w:rsid w:val="00C96F14"/>
    <w:rsid w:val="00C97067"/>
    <w:rsid w:val="00C974A2"/>
    <w:rsid w:val="00C978D7"/>
    <w:rsid w:val="00CA0166"/>
    <w:rsid w:val="00CA04E2"/>
    <w:rsid w:val="00CA0E3A"/>
    <w:rsid w:val="00CA0F3C"/>
    <w:rsid w:val="00CA1468"/>
    <w:rsid w:val="00CA1590"/>
    <w:rsid w:val="00CA15D9"/>
    <w:rsid w:val="00CA26FF"/>
    <w:rsid w:val="00CA4819"/>
    <w:rsid w:val="00CA4EDF"/>
    <w:rsid w:val="00CA53EA"/>
    <w:rsid w:val="00CA628A"/>
    <w:rsid w:val="00CA6812"/>
    <w:rsid w:val="00CA7822"/>
    <w:rsid w:val="00CA7B6B"/>
    <w:rsid w:val="00CA7CB5"/>
    <w:rsid w:val="00CA7EDA"/>
    <w:rsid w:val="00CA7FEA"/>
    <w:rsid w:val="00CB04DC"/>
    <w:rsid w:val="00CB07FB"/>
    <w:rsid w:val="00CB0BD6"/>
    <w:rsid w:val="00CB1978"/>
    <w:rsid w:val="00CB1B81"/>
    <w:rsid w:val="00CB1BAD"/>
    <w:rsid w:val="00CB1E7D"/>
    <w:rsid w:val="00CB2246"/>
    <w:rsid w:val="00CB2404"/>
    <w:rsid w:val="00CB2906"/>
    <w:rsid w:val="00CB2995"/>
    <w:rsid w:val="00CB2ACB"/>
    <w:rsid w:val="00CB31E4"/>
    <w:rsid w:val="00CB3A51"/>
    <w:rsid w:val="00CB3DA2"/>
    <w:rsid w:val="00CB4732"/>
    <w:rsid w:val="00CB54BB"/>
    <w:rsid w:val="00CB5AC6"/>
    <w:rsid w:val="00CB5D66"/>
    <w:rsid w:val="00CB63A3"/>
    <w:rsid w:val="00CB6452"/>
    <w:rsid w:val="00CB647F"/>
    <w:rsid w:val="00CB69D2"/>
    <w:rsid w:val="00CB6BF8"/>
    <w:rsid w:val="00CC020D"/>
    <w:rsid w:val="00CC062A"/>
    <w:rsid w:val="00CC1B87"/>
    <w:rsid w:val="00CC3919"/>
    <w:rsid w:val="00CC3F93"/>
    <w:rsid w:val="00CC4229"/>
    <w:rsid w:val="00CC47BA"/>
    <w:rsid w:val="00CC4CBB"/>
    <w:rsid w:val="00CC4D6B"/>
    <w:rsid w:val="00CC5132"/>
    <w:rsid w:val="00CC5DF4"/>
    <w:rsid w:val="00CC5DFD"/>
    <w:rsid w:val="00CC672B"/>
    <w:rsid w:val="00CC7752"/>
    <w:rsid w:val="00CC79B5"/>
    <w:rsid w:val="00CC7DA4"/>
    <w:rsid w:val="00CC7FCF"/>
    <w:rsid w:val="00CD02B8"/>
    <w:rsid w:val="00CD1628"/>
    <w:rsid w:val="00CD1C2C"/>
    <w:rsid w:val="00CD2977"/>
    <w:rsid w:val="00CD2B90"/>
    <w:rsid w:val="00CD2CF5"/>
    <w:rsid w:val="00CD347B"/>
    <w:rsid w:val="00CD3C5E"/>
    <w:rsid w:val="00CD3D1B"/>
    <w:rsid w:val="00CD3F8D"/>
    <w:rsid w:val="00CD44E1"/>
    <w:rsid w:val="00CD4BE2"/>
    <w:rsid w:val="00CD4E93"/>
    <w:rsid w:val="00CD4FC5"/>
    <w:rsid w:val="00CD5744"/>
    <w:rsid w:val="00CD5EA1"/>
    <w:rsid w:val="00CD60DA"/>
    <w:rsid w:val="00CD6182"/>
    <w:rsid w:val="00CD6658"/>
    <w:rsid w:val="00CD6E32"/>
    <w:rsid w:val="00CD7743"/>
    <w:rsid w:val="00CD7E0C"/>
    <w:rsid w:val="00CE0094"/>
    <w:rsid w:val="00CE023E"/>
    <w:rsid w:val="00CE1AE7"/>
    <w:rsid w:val="00CE1C60"/>
    <w:rsid w:val="00CE224F"/>
    <w:rsid w:val="00CE2582"/>
    <w:rsid w:val="00CE276D"/>
    <w:rsid w:val="00CE2814"/>
    <w:rsid w:val="00CE2861"/>
    <w:rsid w:val="00CE303B"/>
    <w:rsid w:val="00CE35D2"/>
    <w:rsid w:val="00CE37D1"/>
    <w:rsid w:val="00CE37E0"/>
    <w:rsid w:val="00CE3C47"/>
    <w:rsid w:val="00CE43B9"/>
    <w:rsid w:val="00CE45D7"/>
    <w:rsid w:val="00CE4C5E"/>
    <w:rsid w:val="00CE51A7"/>
    <w:rsid w:val="00CE5211"/>
    <w:rsid w:val="00CE54AE"/>
    <w:rsid w:val="00CE59AD"/>
    <w:rsid w:val="00CE5A9A"/>
    <w:rsid w:val="00CE631B"/>
    <w:rsid w:val="00CE6477"/>
    <w:rsid w:val="00CE6870"/>
    <w:rsid w:val="00CE6C74"/>
    <w:rsid w:val="00CE6CE0"/>
    <w:rsid w:val="00CE77B2"/>
    <w:rsid w:val="00CF0A15"/>
    <w:rsid w:val="00CF0AAA"/>
    <w:rsid w:val="00CF0E10"/>
    <w:rsid w:val="00CF15BD"/>
    <w:rsid w:val="00CF1DF9"/>
    <w:rsid w:val="00CF1E8F"/>
    <w:rsid w:val="00CF21E1"/>
    <w:rsid w:val="00CF24C3"/>
    <w:rsid w:val="00CF2BA0"/>
    <w:rsid w:val="00CF2BB3"/>
    <w:rsid w:val="00CF30D4"/>
    <w:rsid w:val="00CF395D"/>
    <w:rsid w:val="00CF39EA"/>
    <w:rsid w:val="00CF3A76"/>
    <w:rsid w:val="00CF3DC9"/>
    <w:rsid w:val="00CF412C"/>
    <w:rsid w:val="00CF41D3"/>
    <w:rsid w:val="00CF472A"/>
    <w:rsid w:val="00CF4A99"/>
    <w:rsid w:val="00CF5D23"/>
    <w:rsid w:val="00CF5DBC"/>
    <w:rsid w:val="00CF5E1A"/>
    <w:rsid w:val="00CF5E44"/>
    <w:rsid w:val="00CF616F"/>
    <w:rsid w:val="00CF7369"/>
    <w:rsid w:val="00CF7379"/>
    <w:rsid w:val="00CF741B"/>
    <w:rsid w:val="00CF7B6F"/>
    <w:rsid w:val="00CF7BB9"/>
    <w:rsid w:val="00CF7E41"/>
    <w:rsid w:val="00D003CF"/>
    <w:rsid w:val="00D00951"/>
    <w:rsid w:val="00D00F21"/>
    <w:rsid w:val="00D01283"/>
    <w:rsid w:val="00D013F5"/>
    <w:rsid w:val="00D01703"/>
    <w:rsid w:val="00D0199B"/>
    <w:rsid w:val="00D01B45"/>
    <w:rsid w:val="00D01D88"/>
    <w:rsid w:val="00D01E28"/>
    <w:rsid w:val="00D01E59"/>
    <w:rsid w:val="00D01FB1"/>
    <w:rsid w:val="00D029B8"/>
    <w:rsid w:val="00D02A65"/>
    <w:rsid w:val="00D031D3"/>
    <w:rsid w:val="00D03265"/>
    <w:rsid w:val="00D0340F"/>
    <w:rsid w:val="00D0344B"/>
    <w:rsid w:val="00D03575"/>
    <w:rsid w:val="00D03B4C"/>
    <w:rsid w:val="00D03B78"/>
    <w:rsid w:val="00D044A9"/>
    <w:rsid w:val="00D05156"/>
    <w:rsid w:val="00D053A5"/>
    <w:rsid w:val="00D0556C"/>
    <w:rsid w:val="00D0576A"/>
    <w:rsid w:val="00D05891"/>
    <w:rsid w:val="00D060B5"/>
    <w:rsid w:val="00D0610B"/>
    <w:rsid w:val="00D066EA"/>
    <w:rsid w:val="00D06E7F"/>
    <w:rsid w:val="00D06F9E"/>
    <w:rsid w:val="00D074F3"/>
    <w:rsid w:val="00D07A94"/>
    <w:rsid w:val="00D102AB"/>
    <w:rsid w:val="00D102DA"/>
    <w:rsid w:val="00D10662"/>
    <w:rsid w:val="00D1071E"/>
    <w:rsid w:val="00D1081D"/>
    <w:rsid w:val="00D10A2A"/>
    <w:rsid w:val="00D10AB4"/>
    <w:rsid w:val="00D1117A"/>
    <w:rsid w:val="00D111BC"/>
    <w:rsid w:val="00D11BFD"/>
    <w:rsid w:val="00D11EE8"/>
    <w:rsid w:val="00D11F8E"/>
    <w:rsid w:val="00D1277A"/>
    <w:rsid w:val="00D13914"/>
    <w:rsid w:val="00D13ADE"/>
    <w:rsid w:val="00D13E86"/>
    <w:rsid w:val="00D14188"/>
    <w:rsid w:val="00D146F4"/>
    <w:rsid w:val="00D14AC3"/>
    <w:rsid w:val="00D14F79"/>
    <w:rsid w:val="00D1577D"/>
    <w:rsid w:val="00D15AC6"/>
    <w:rsid w:val="00D15BAF"/>
    <w:rsid w:val="00D1618E"/>
    <w:rsid w:val="00D163A6"/>
    <w:rsid w:val="00D164C2"/>
    <w:rsid w:val="00D16555"/>
    <w:rsid w:val="00D16BC5"/>
    <w:rsid w:val="00D16ED1"/>
    <w:rsid w:val="00D17340"/>
    <w:rsid w:val="00D17C9B"/>
    <w:rsid w:val="00D200B7"/>
    <w:rsid w:val="00D20941"/>
    <w:rsid w:val="00D209D1"/>
    <w:rsid w:val="00D216C8"/>
    <w:rsid w:val="00D2258A"/>
    <w:rsid w:val="00D22941"/>
    <w:rsid w:val="00D229EA"/>
    <w:rsid w:val="00D22D02"/>
    <w:rsid w:val="00D22D91"/>
    <w:rsid w:val="00D2309D"/>
    <w:rsid w:val="00D23220"/>
    <w:rsid w:val="00D23247"/>
    <w:rsid w:val="00D23C0B"/>
    <w:rsid w:val="00D24020"/>
    <w:rsid w:val="00D24436"/>
    <w:rsid w:val="00D25C85"/>
    <w:rsid w:val="00D25E43"/>
    <w:rsid w:val="00D261B3"/>
    <w:rsid w:val="00D268E2"/>
    <w:rsid w:val="00D26A5F"/>
    <w:rsid w:val="00D26B82"/>
    <w:rsid w:val="00D275EA"/>
    <w:rsid w:val="00D27690"/>
    <w:rsid w:val="00D27E4B"/>
    <w:rsid w:val="00D3066E"/>
    <w:rsid w:val="00D309A9"/>
    <w:rsid w:val="00D30CB2"/>
    <w:rsid w:val="00D31245"/>
    <w:rsid w:val="00D32C1F"/>
    <w:rsid w:val="00D32DEE"/>
    <w:rsid w:val="00D32FFA"/>
    <w:rsid w:val="00D33A8D"/>
    <w:rsid w:val="00D33B49"/>
    <w:rsid w:val="00D345A1"/>
    <w:rsid w:val="00D34B21"/>
    <w:rsid w:val="00D34DED"/>
    <w:rsid w:val="00D35CE9"/>
    <w:rsid w:val="00D35E87"/>
    <w:rsid w:val="00D36117"/>
    <w:rsid w:val="00D36165"/>
    <w:rsid w:val="00D3690F"/>
    <w:rsid w:val="00D369E3"/>
    <w:rsid w:val="00D36A68"/>
    <w:rsid w:val="00D371F6"/>
    <w:rsid w:val="00D3765C"/>
    <w:rsid w:val="00D37681"/>
    <w:rsid w:val="00D378FD"/>
    <w:rsid w:val="00D403A8"/>
    <w:rsid w:val="00D404AD"/>
    <w:rsid w:val="00D405BE"/>
    <w:rsid w:val="00D406E5"/>
    <w:rsid w:val="00D4118B"/>
    <w:rsid w:val="00D42244"/>
    <w:rsid w:val="00D4249D"/>
    <w:rsid w:val="00D4266E"/>
    <w:rsid w:val="00D438D9"/>
    <w:rsid w:val="00D4416E"/>
    <w:rsid w:val="00D441F9"/>
    <w:rsid w:val="00D443CF"/>
    <w:rsid w:val="00D44995"/>
    <w:rsid w:val="00D44EDD"/>
    <w:rsid w:val="00D4546D"/>
    <w:rsid w:val="00D459B8"/>
    <w:rsid w:val="00D45A67"/>
    <w:rsid w:val="00D46478"/>
    <w:rsid w:val="00D47A7D"/>
    <w:rsid w:val="00D47C5E"/>
    <w:rsid w:val="00D47E33"/>
    <w:rsid w:val="00D501B4"/>
    <w:rsid w:val="00D5103A"/>
    <w:rsid w:val="00D5113C"/>
    <w:rsid w:val="00D5155F"/>
    <w:rsid w:val="00D51742"/>
    <w:rsid w:val="00D519A2"/>
    <w:rsid w:val="00D51A7F"/>
    <w:rsid w:val="00D522D6"/>
    <w:rsid w:val="00D52AA5"/>
    <w:rsid w:val="00D531A2"/>
    <w:rsid w:val="00D537FD"/>
    <w:rsid w:val="00D53ABB"/>
    <w:rsid w:val="00D53FB1"/>
    <w:rsid w:val="00D5439A"/>
    <w:rsid w:val="00D54767"/>
    <w:rsid w:val="00D54B78"/>
    <w:rsid w:val="00D54BF3"/>
    <w:rsid w:val="00D54FDC"/>
    <w:rsid w:val="00D55185"/>
    <w:rsid w:val="00D553F9"/>
    <w:rsid w:val="00D56878"/>
    <w:rsid w:val="00D56B48"/>
    <w:rsid w:val="00D56F6B"/>
    <w:rsid w:val="00D57422"/>
    <w:rsid w:val="00D5745C"/>
    <w:rsid w:val="00D57EF8"/>
    <w:rsid w:val="00D60231"/>
    <w:rsid w:val="00D607CB"/>
    <w:rsid w:val="00D6110C"/>
    <w:rsid w:val="00D61DCC"/>
    <w:rsid w:val="00D61EC1"/>
    <w:rsid w:val="00D620CE"/>
    <w:rsid w:val="00D62450"/>
    <w:rsid w:val="00D629A4"/>
    <w:rsid w:val="00D62A1B"/>
    <w:rsid w:val="00D63760"/>
    <w:rsid w:val="00D63DDE"/>
    <w:rsid w:val="00D63EC3"/>
    <w:rsid w:val="00D63F4D"/>
    <w:rsid w:val="00D640B9"/>
    <w:rsid w:val="00D64274"/>
    <w:rsid w:val="00D654EC"/>
    <w:rsid w:val="00D65872"/>
    <w:rsid w:val="00D65EE1"/>
    <w:rsid w:val="00D660C5"/>
    <w:rsid w:val="00D6647E"/>
    <w:rsid w:val="00D66810"/>
    <w:rsid w:val="00D701C6"/>
    <w:rsid w:val="00D701EF"/>
    <w:rsid w:val="00D70378"/>
    <w:rsid w:val="00D713C8"/>
    <w:rsid w:val="00D713F4"/>
    <w:rsid w:val="00D714D1"/>
    <w:rsid w:val="00D71837"/>
    <w:rsid w:val="00D71DC2"/>
    <w:rsid w:val="00D71EDD"/>
    <w:rsid w:val="00D72164"/>
    <w:rsid w:val="00D721E0"/>
    <w:rsid w:val="00D72A8C"/>
    <w:rsid w:val="00D736D7"/>
    <w:rsid w:val="00D73805"/>
    <w:rsid w:val="00D73EC3"/>
    <w:rsid w:val="00D74E95"/>
    <w:rsid w:val="00D75117"/>
    <w:rsid w:val="00D751B4"/>
    <w:rsid w:val="00D756DF"/>
    <w:rsid w:val="00D7582F"/>
    <w:rsid w:val="00D75B4D"/>
    <w:rsid w:val="00D76356"/>
    <w:rsid w:val="00D767D3"/>
    <w:rsid w:val="00D767E5"/>
    <w:rsid w:val="00D77376"/>
    <w:rsid w:val="00D77D95"/>
    <w:rsid w:val="00D77DF1"/>
    <w:rsid w:val="00D77FEC"/>
    <w:rsid w:val="00D8083A"/>
    <w:rsid w:val="00D80B39"/>
    <w:rsid w:val="00D81F00"/>
    <w:rsid w:val="00D839A1"/>
    <w:rsid w:val="00D83B07"/>
    <w:rsid w:val="00D84068"/>
    <w:rsid w:val="00D8433A"/>
    <w:rsid w:val="00D843FA"/>
    <w:rsid w:val="00D846CB"/>
    <w:rsid w:val="00D8497E"/>
    <w:rsid w:val="00D84B21"/>
    <w:rsid w:val="00D84DC1"/>
    <w:rsid w:val="00D85162"/>
    <w:rsid w:val="00D858F1"/>
    <w:rsid w:val="00D85BF2"/>
    <w:rsid w:val="00D85EDB"/>
    <w:rsid w:val="00D86083"/>
    <w:rsid w:val="00D87995"/>
    <w:rsid w:val="00D87F7A"/>
    <w:rsid w:val="00D90355"/>
    <w:rsid w:val="00D903B7"/>
    <w:rsid w:val="00D91197"/>
    <w:rsid w:val="00D91321"/>
    <w:rsid w:val="00D91B4E"/>
    <w:rsid w:val="00D91BE5"/>
    <w:rsid w:val="00D922F6"/>
    <w:rsid w:val="00D925A0"/>
    <w:rsid w:val="00D92760"/>
    <w:rsid w:val="00D92A6E"/>
    <w:rsid w:val="00D9314D"/>
    <w:rsid w:val="00D93757"/>
    <w:rsid w:val="00D94061"/>
    <w:rsid w:val="00D94A11"/>
    <w:rsid w:val="00D95542"/>
    <w:rsid w:val="00D959A5"/>
    <w:rsid w:val="00D95BC4"/>
    <w:rsid w:val="00D9675A"/>
    <w:rsid w:val="00D96C80"/>
    <w:rsid w:val="00D978F0"/>
    <w:rsid w:val="00D97C25"/>
    <w:rsid w:val="00D97EC8"/>
    <w:rsid w:val="00D97FA1"/>
    <w:rsid w:val="00DA0340"/>
    <w:rsid w:val="00DA0518"/>
    <w:rsid w:val="00DA11EC"/>
    <w:rsid w:val="00DA137D"/>
    <w:rsid w:val="00DA18A3"/>
    <w:rsid w:val="00DA2111"/>
    <w:rsid w:val="00DA26A2"/>
    <w:rsid w:val="00DA27A0"/>
    <w:rsid w:val="00DA2800"/>
    <w:rsid w:val="00DA2978"/>
    <w:rsid w:val="00DA2E3E"/>
    <w:rsid w:val="00DA39D9"/>
    <w:rsid w:val="00DA4AE8"/>
    <w:rsid w:val="00DA5366"/>
    <w:rsid w:val="00DA571B"/>
    <w:rsid w:val="00DA626A"/>
    <w:rsid w:val="00DA6559"/>
    <w:rsid w:val="00DA7671"/>
    <w:rsid w:val="00DB006E"/>
    <w:rsid w:val="00DB044E"/>
    <w:rsid w:val="00DB0765"/>
    <w:rsid w:val="00DB083D"/>
    <w:rsid w:val="00DB08BD"/>
    <w:rsid w:val="00DB0C0D"/>
    <w:rsid w:val="00DB0C97"/>
    <w:rsid w:val="00DB1B77"/>
    <w:rsid w:val="00DB1BAE"/>
    <w:rsid w:val="00DB1F99"/>
    <w:rsid w:val="00DB2164"/>
    <w:rsid w:val="00DB2228"/>
    <w:rsid w:val="00DB2B56"/>
    <w:rsid w:val="00DB342D"/>
    <w:rsid w:val="00DB4303"/>
    <w:rsid w:val="00DB43CF"/>
    <w:rsid w:val="00DB43E9"/>
    <w:rsid w:val="00DB4582"/>
    <w:rsid w:val="00DB4A54"/>
    <w:rsid w:val="00DB4FB5"/>
    <w:rsid w:val="00DB5D1E"/>
    <w:rsid w:val="00DB60D4"/>
    <w:rsid w:val="00DB61B3"/>
    <w:rsid w:val="00DB62AE"/>
    <w:rsid w:val="00DB6C45"/>
    <w:rsid w:val="00DB6CF3"/>
    <w:rsid w:val="00DB7077"/>
    <w:rsid w:val="00DB7919"/>
    <w:rsid w:val="00DB7FD3"/>
    <w:rsid w:val="00DC0170"/>
    <w:rsid w:val="00DC01F9"/>
    <w:rsid w:val="00DC042B"/>
    <w:rsid w:val="00DC12F0"/>
    <w:rsid w:val="00DC142E"/>
    <w:rsid w:val="00DC152B"/>
    <w:rsid w:val="00DC1616"/>
    <w:rsid w:val="00DC1AFF"/>
    <w:rsid w:val="00DC1C5D"/>
    <w:rsid w:val="00DC1ED7"/>
    <w:rsid w:val="00DC2AD3"/>
    <w:rsid w:val="00DC2DF0"/>
    <w:rsid w:val="00DC2EB2"/>
    <w:rsid w:val="00DC403C"/>
    <w:rsid w:val="00DC45B0"/>
    <w:rsid w:val="00DC48E3"/>
    <w:rsid w:val="00DC4C8F"/>
    <w:rsid w:val="00DC4E25"/>
    <w:rsid w:val="00DC4EE5"/>
    <w:rsid w:val="00DC53F8"/>
    <w:rsid w:val="00DC556C"/>
    <w:rsid w:val="00DC58EE"/>
    <w:rsid w:val="00DC6650"/>
    <w:rsid w:val="00DC67B8"/>
    <w:rsid w:val="00DC73C9"/>
    <w:rsid w:val="00DC7C81"/>
    <w:rsid w:val="00DD0373"/>
    <w:rsid w:val="00DD0412"/>
    <w:rsid w:val="00DD05C7"/>
    <w:rsid w:val="00DD0749"/>
    <w:rsid w:val="00DD080F"/>
    <w:rsid w:val="00DD0B1D"/>
    <w:rsid w:val="00DD0BFF"/>
    <w:rsid w:val="00DD0C16"/>
    <w:rsid w:val="00DD0EAE"/>
    <w:rsid w:val="00DD1211"/>
    <w:rsid w:val="00DD18AE"/>
    <w:rsid w:val="00DD2751"/>
    <w:rsid w:val="00DD27C0"/>
    <w:rsid w:val="00DD2E7B"/>
    <w:rsid w:val="00DD2F8C"/>
    <w:rsid w:val="00DD31E2"/>
    <w:rsid w:val="00DD4A03"/>
    <w:rsid w:val="00DD513B"/>
    <w:rsid w:val="00DD55AA"/>
    <w:rsid w:val="00DD6276"/>
    <w:rsid w:val="00DD6B41"/>
    <w:rsid w:val="00DD6DD7"/>
    <w:rsid w:val="00DD6F39"/>
    <w:rsid w:val="00DD70EC"/>
    <w:rsid w:val="00DD7585"/>
    <w:rsid w:val="00DD7B93"/>
    <w:rsid w:val="00DE00C7"/>
    <w:rsid w:val="00DE063D"/>
    <w:rsid w:val="00DE0B54"/>
    <w:rsid w:val="00DE0F42"/>
    <w:rsid w:val="00DE1133"/>
    <w:rsid w:val="00DE198E"/>
    <w:rsid w:val="00DE1E22"/>
    <w:rsid w:val="00DE20AA"/>
    <w:rsid w:val="00DE2494"/>
    <w:rsid w:val="00DE28F9"/>
    <w:rsid w:val="00DE339D"/>
    <w:rsid w:val="00DE3885"/>
    <w:rsid w:val="00DE4295"/>
    <w:rsid w:val="00DE463A"/>
    <w:rsid w:val="00DE4990"/>
    <w:rsid w:val="00DE4D6A"/>
    <w:rsid w:val="00DE4DFD"/>
    <w:rsid w:val="00DE53B3"/>
    <w:rsid w:val="00DE5764"/>
    <w:rsid w:val="00DE5A67"/>
    <w:rsid w:val="00DE5DE7"/>
    <w:rsid w:val="00DE6390"/>
    <w:rsid w:val="00DE63F4"/>
    <w:rsid w:val="00DE7414"/>
    <w:rsid w:val="00DE7525"/>
    <w:rsid w:val="00DE755A"/>
    <w:rsid w:val="00DE78FD"/>
    <w:rsid w:val="00DE7AC8"/>
    <w:rsid w:val="00DE7B6B"/>
    <w:rsid w:val="00DF0177"/>
    <w:rsid w:val="00DF081C"/>
    <w:rsid w:val="00DF0824"/>
    <w:rsid w:val="00DF13CB"/>
    <w:rsid w:val="00DF1A8C"/>
    <w:rsid w:val="00DF1C8F"/>
    <w:rsid w:val="00DF2ABF"/>
    <w:rsid w:val="00DF2CFE"/>
    <w:rsid w:val="00DF2FD5"/>
    <w:rsid w:val="00DF3DA8"/>
    <w:rsid w:val="00DF57B8"/>
    <w:rsid w:val="00DF5ADF"/>
    <w:rsid w:val="00DF5B9B"/>
    <w:rsid w:val="00DF613C"/>
    <w:rsid w:val="00DF64B6"/>
    <w:rsid w:val="00DF64C0"/>
    <w:rsid w:val="00DF6831"/>
    <w:rsid w:val="00DF685A"/>
    <w:rsid w:val="00DF6AA9"/>
    <w:rsid w:val="00DF7057"/>
    <w:rsid w:val="00DF7367"/>
    <w:rsid w:val="00DF7392"/>
    <w:rsid w:val="00DF784B"/>
    <w:rsid w:val="00DF78B5"/>
    <w:rsid w:val="00DF7BD3"/>
    <w:rsid w:val="00E00107"/>
    <w:rsid w:val="00E00316"/>
    <w:rsid w:val="00E004EC"/>
    <w:rsid w:val="00E008A0"/>
    <w:rsid w:val="00E01166"/>
    <w:rsid w:val="00E01861"/>
    <w:rsid w:val="00E01BDF"/>
    <w:rsid w:val="00E01D3C"/>
    <w:rsid w:val="00E0234A"/>
    <w:rsid w:val="00E02889"/>
    <w:rsid w:val="00E02EA8"/>
    <w:rsid w:val="00E03506"/>
    <w:rsid w:val="00E03B74"/>
    <w:rsid w:val="00E03BC5"/>
    <w:rsid w:val="00E047BF"/>
    <w:rsid w:val="00E04D93"/>
    <w:rsid w:val="00E05FC4"/>
    <w:rsid w:val="00E05FCF"/>
    <w:rsid w:val="00E06741"/>
    <w:rsid w:val="00E06CD5"/>
    <w:rsid w:val="00E0726E"/>
    <w:rsid w:val="00E07945"/>
    <w:rsid w:val="00E07AD7"/>
    <w:rsid w:val="00E07E9F"/>
    <w:rsid w:val="00E07FCD"/>
    <w:rsid w:val="00E10DB0"/>
    <w:rsid w:val="00E10E39"/>
    <w:rsid w:val="00E10F50"/>
    <w:rsid w:val="00E11946"/>
    <w:rsid w:val="00E11F9C"/>
    <w:rsid w:val="00E124D5"/>
    <w:rsid w:val="00E12578"/>
    <w:rsid w:val="00E129B3"/>
    <w:rsid w:val="00E12AA3"/>
    <w:rsid w:val="00E12DC5"/>
    <w:rsid w:val="00E12F8A"/>
    <w:rsid w:val="00E144E9"/>
    <w:rsid w:val="00E149F0"/>
    <w:rsid w:val="00E14DF3"/>
    <w:rsid w:val="00E15BFA"/>
    <w:rsid w:val="00E15ED7"/>
    <w:rsid w:val="00E16369"/>
    <w:rsid w:val="00E16474"/>
    <w:rsid w:val="00E1779E"/>
    <w:rsid w:val="00E17A30"/>
    <w:rsid w:val="00E17DC3"/>
    <w:rsid w:val="00E20D59"/>
    <w:rsid w:val="00E211AE"/>
    <w:rsid w:val="00E21412"/>
    <w:rsid w:val="00E214CA"/>
    <w:rsid w:val="00E21EF3"/>
    <w:rsid w:val="00E21F23"/>
    <w:rsid w:val="00E220B1"/>
    <w:rsid w:val="00E2288D"/>
    <w:rsid w:val="00E2295E"/>
    <w:rsid w:val="00E229A3"/>
    <w:rsid w:val="00E22C15"/>
    <w:rsid w:val="00E22C18"/>
    <w:rsid w:val="00E23DFB"/>
    <w:rsid w:val="00E241DC"/>
    <w:rsid w:val="00E24218"/>
    <w:rsid w:val="00E24855"/>
    <w:rsid w:val="00E24F5D"/>
    <w:rsid w:val="00E2549B"/>
    <w:rsid w:val="00E25987"/>
    <w:rsid w:val="00E25D55"/>
    <w:rsid w:val="00E2766C"/>
    <w:rsid w:val="00E30A41"/>
    <w:rsid w:val="00E31422"/>
    <w:rsid w:val="00E31753"/>
    <w:rsid w:val="00E31A25"/>
    <w:rsid w:val="00E31F91"/>
    <w:rsid w:val="00E322C3"/>
    <w:rsid w:val="00E32532"/>
    <w:rsid w:val="00E328AE"/>
    <w:rsid w:val="00E32A6B"/>
    <w:rsid w:val="00E32C23"/>
    <w:rsid w:val="00E32CC5"/>
    <w:rsid w:val="00E33139"/>
    <w:rsid w:val="00E3315B"/>
    <w:rsid w:val="00E338BF"/>
    <w:rsid w:val="00E34A38"/>
    <w:rsid w:val="00E34A66"/>
    <w:rsid w:val="00E34D21"/>
    <w:rsid w:val="00E34E99"/>
    <w:rsid w:val="00E352E3"/>
    <w:rsid w:val="00E35434"/>
    <w:rsid w:val="00E36766"/>
    <w:rsid w:val="00E368DB"/>
    <w:rsid w:val="00E36AA4"/>
    <w:rsid w:val="00E36B6A"/>
    <w:rsid w:val="00E377FB"/>
    <w:rsid w:val="00E37BC3"/>
    <w:rsid w:val="00E37D31"/>
    <w:rsid w:val="00E37F3B"/>
    <w:rsid w:val="00E40560"/>
    <w:rsid w:val="00E40962"/>
    <w:rsid w:val="00E40AAA"/>
    <w:rsid w:val="00E40F03"/>
    <w:rsid w:val="00E4100A"/>
    <w:rsid w:val="00E410B7"/>
    <w:rsid w:val="00E4145C"/>
    <w:rsid w:val="00E4282B"/>
    <w:rsid w:val="00E42957"/>
    <w:rsid w:val="00E4298A"/>
    <w:rsid w:val="00E44311"/>
    <w:rsid w:val="00E444AD"/>
    <w:rsid w:val="00E447C5"/>
    <w:rsid w:val="00E4494A"/>
    <w:rsid w:val="00E44C70"/>
    <w:rsid w:val="00E44F8D"/>
    <w:rsid w:val="00E4508D"/>
    <w:rsid w:val="00E45148"/>
    <w:rsid w:val="00E4524F"/>
    <w:rsid w:val="00E47530"/>
    <w:rsid w:val="00E47BBB"/>
    <w:rsid w:val="00E47CEB"/>
    <w:rsid w:val="00E50187"/>
    <w:rsid w:val="00E50654"/>
    <w:rsid w:val="00E506FC"/>
    <w:rsid w:val="00E50817"/>
    <w:rsid w:val="00E50D24"/>
    <w:rsid w:val="00E50F2B"/>
    <w:rsid w:val="00E515CB"/>
    <w:rsid w:val="00E51699"/>
    <w:rsid w:val="00E518E0"/>
    <w:rsid w:val="00E51942"/>
    <w:rsid w:val="00E51B22"/>
    <w:rsid w:val="00E51C73"/>
    <w:rsid w:val="00E51FF6"/>
    <w:rsid w:val="00E523A7"/>
    <w:rsid w:val="00E52969"/>
    <w:rsid w:val="00E52BED"/>
    <w:rsid w:val="00E53BD0"/>
    <w:rsid w:val="00E54196"/>
    <w:rsid w:val="00E541C1"/>
    <w:rsid w:val="00E54575"/>
    <w:rsid w:val="00E548E5"/>
    <w:rsid w:val="00E5499E"/>
    <w:rsid w:val="00E54E24"/>
    <w:rsid w:val="00E55D2C"/>
    <w:rsid w:val="00E569A7"/>
    <w:rsid w:val="00E57F32"/>
    <w:rsid w:val="00E57F8F"/>
    <w:rsid w:val="00E609E6"/>
    <w:rsid w:val="00E613EF"/>
    <w:rsid w:val="00E61839"/>
    <w:rsid w:val="00E61F7F"/>
    <w:rsid w:val="00E624C7"/>
    <w:rsid w:val="00E62677"/>
    <w:rsid w:val="00E62719"/>
    <w:rsid w:val="00E628F1"/>
    <w:rsid w:val="00E633E0"/>
    <w:rsid w:val="00E6360A"/>
    <w:rsid w:val="00E637C0"/>
    <w:rsid w:val="00E63B1C"/>
    <w:rsid w:val="00E63D35"/>
    <w:rsid w:val="00E640D5"/>
    <w:rsid w:val="00E645D7"/>
    <w:rsid w:val="00E64FEA"/>
    <w:rsid w:val="00E651DC"/>
    <w:rsid w:val="00E657CA"/>
    <w:rsid w:val="00E6583E"/>
    <w:rsid w:val="00E658CB"/>
    <w:rsid w:val="00E65E90"/>
    <w:rsid w:val="00E65EB4"/>
    <w:rsid w:val="00E668ED"/>
    <w:rsid w:val="00E670C6"/>
    <w:rsid w:val="00E67470"/>
    <w:rsid w:val="00E67896"/>
    <w:rsid w:val="00E67AE5"/>
    <w:rsid w:val="00E704CB"/>
    <w:rsid w:val="00E70BD9"/>
    <w:rsid w:val="00E70FBF"/>
    <w:rsid w:val="00E711C3"/>
    <w:rsid w:val="00E721A8"/>
    <w:rsid w:val="00E7255F"/>
    <w:rsid w:val="00E730F5"/>
    <w:rsid w:val="00E73E13"/>
    <w:rsid w:val="00E742E9"/>
    <w:rsid w:val="00E743EC"/>
    <w:rsid w:val="00E746B0"/>
    <w:rsid w:val="00E746DD"/>
    <w:rsid w:val="00E747A8"/>
    <w:rsid w:val="00E757B5"/>
    <w:rsid w:val="00E75CCA"/>
    <w:rsid w:val="00E7655A"/>
    <w:rsid w:val="00E76A4C"/>
    <w:rsid w:val="00E77333"/>
    <w:rsid w:val="00E77362"/>
    <w:rsid w:val="00E77841"/>
    <w:rsid w:val="00E77AAF"/>
    <w:rsid w:val="00E77BDB"/>
    <w:rsid w:val="00E80EAA"/>
    <w:rsid w:val="00E80ED0"/>
    <w:rsid w:val="00E82027"/>
    <w:rsid w:val="00E820EB"/>
    <w:rsid w:val="00E826A5"/>
    <w:rsid w:val="00E829C6"/>
    <w:rsid w:val="00E82CB4"/>
    <w:rsid w:val="00E82F2A"/>
    <w:rsid w:val="00E82FC7"/>
    <w:rsid w:val="00E8303D"/>
    <w:rsid w:val="00E8362C"/>
    <w:rsid w:val="00E840B0"/>
    <w:rsid w:val="00E842CE"/>
    <w:rsid w:val="00E84323"/>
    <w:rsid w:val="00E84B69"/>
    <w:rsid w:val="00E852A3"/>
    <w:rsid w:val="00E853C8"/>
    <w:rsid w:val="00E8541E"/>
    <w:rsid w:val="00E861A4"/>
    <w:rsid w:val="00E864BB"/>
    <w:rsid w:val="00E86952"/>
    <w:rsid w:val="00E8698C"/>
    <w:rsid w:val="00E8721E"/>
    <w:rsid w:val="00E87949"/>
    <w:rsid w:val="00E87B8C"/>
    <w:rsid w:val="00E87D10"/>
    <w:rsid w:val="00E87D8F"/>
    <w:rsid w:val="00E90257"/>
    <w:rsid w:val="00E90A0A"/>
    <w:rsid w:val="00E91325"/>
    <w:rsid w:val="00E9145F"/>
    <w:rsid w:val="00E91AD1"/>
    <w:rsid w:val="00E91F8F"/>
    <w:rsid w:val="00E9229A"/>
    <w:rsid w:val="00E9274D"/>
    <w:rsid w:val="00E92AAB"/>
    <w:rsid w:val="00E92B78"/>
    <w:rsid w:val="00E93C84"/>
    <w:rsid w:val="00E94BD6"/>
    <w:rsid w:val="00E94CED"/>
    <w:rsid w:val="00E96E80"/>
    <w:rsid w:val="00E96FC3"/>
    <w:rsid w:val="00E97B0E"/>
    <w:rsid w:val="00E97FCC"/>
    <w:rsid w:val="00EA0012"/>
    <w:rsid w:val="00EA01C0"/>
    <w:rsid w:val="00EA0E3C"/>
    <w:rsid w:val="00EA1802"/>
    <w:rsid w:val="00EA384A"/>
    <w:rsid w:val="00EA3A02"/>
    <w:rsid w:val="00EA4156"/>
    <w:rsid w:val="00EA5067"/>
    <w:rsid w:val="00EA573D"/>
    <w:rsid w:val="00EA612F"/>
    <w:rsid w:val="00EA65FD"/>
    <w:rsid w:val="00EA68E8"/>
    <w:rsid w:val="00EA69DD"/>
    <w:rsid w:val="00EA787F"/>
    <w:rsid w:val="00EB07C8"/>
    <w:rsid w:val="00EB0D37"/>
    <w:rsid w:val="00EB161B"/>
    <w:rsid w:val="00EB17DA"/>
    <w:rsid w:val="00EB1FC6"/>
    <w:rsid w:val="00EB22F0"/>
    <w:rsid w:val="00EB269F"/>
    <w:rsid w:val="00EB2B29"/>
    <w:rsid w:val="00EB3607"/>
    <w:rsid w:val="00EB3E88"/>
    <w:rsid w:val="00EB4DFC"/>
    <w:rsid w:val="00EB5A40"/>
    <w:rsid w:val="00EB68D4"/>
    <w:rsid w:val="00EB69E2"/>
    <w:rsid w:val="00EB6C3D"/>
    <w:rsid w:val="00EB74A7"/>
    <w:rsid w:val="00EB7FD5"/>
    <w:rsid w:val="00EC0A76"/>
    <w:rsid w:val="00EC0B19"/>
    <w:rsid w:val="00EC0F7F"/>
    <w:rsid w:val="00EC1296"/>
    <w:rsid w:val="00EC13F5"/>
    <w:rsid w:val="00EC1735"/>
    <w:rsid w:val="00EC177A"/>
    <w:rsid w:val="00EC256C"/>
    <w:rsid w:val="00EC2A05"/>
    <w:rsid w:val="00EC2D72"/>
    <w:rsid w:val="00EC326F"/>
    <w:rsid w:val="00EC34BC"/>
    <w:rsid w:val="00EC34E6"/>
    <w:rsid w:val="00EC35EC"/>
    <w:rsid w:val="00EC3C15"/>
    <w:rsid w:val="00EC3C54"/>
    <w:rsid w:val="00EC460C"/>
    <w:rsid w:val="00EC51BE"/>
    <w:rsid w:val="00EC54F8"/>
    <w:rsid w:val="00EC6218"/>
    <w:rsid w:val="00EC6226"/>
    <w:rsid w:val="00EC64C8"/>
    <w:rsid w:val="00EC659F"/>
    <w:rsid w:val="00EC6770"/>
    <w:rsid w:val="00EC6AB2"/>
    <w:rsid w:val="00EC7402"/>
    <w:rsid w:val="00EC7C8D"/>
    <w:rsid w:val="00EC7FE9"/>
    <w:rsid w:val="00ED0E7F"/>
    <w:rsid w:val="00ED14BD"/>
    <w:rsid w:val="00ED1F13"/>
    <w:rsid w:val="00ED200E"/>
    <w:rsid w:val="00ED2743"/>
    <w:rsid w:val="00ED2C25"/>
    <w:rsid w:val="00ED319D"/>
    <w:rsid w:val="00ED366E"/>
    <w:rsid w:val="00ED3BD3"/>
    <w:rsid w:val="00ED43A0"/>
    <w:rsid w:val="00ED5143"/>
    <w:rsid w:val="00ED58CE"/>
    <w:rsid w:val="00ED5C8B"/>
    <w:rsid w:val="00ED6686"/>
    <w:rsid w:val="00ED74E7"/>
    <w:rsid w:val="00ED7F08"/>
    <w:rsid w:val="00EE007C"/>
    <w:rsid w:val="00EE0139"/>
    <w:rsid w:val="00EE041C"/>
    <w:rsid w:val="00EE135E"/>
    <w:rsid w:val="00EE180A"/>
    <w:rsid w:val="00EE1842"/>
    <w:rsid w:val="00EE20D2"/>
    <w:rsid w:val="00EE24EF"/>
    <w:rsid w:val="00EE250C"/>
    <w:rsid w:val="00EE25A7"/>
    <w:rsid w:val="00EE2D21"/>
    <w:rsid w:val="00EE34DB"/>
    <w:rsid w:val="00EE3D88"/>
    <w:rsid w:val="00EE4058"/>
    <w:rsid w:val="00EE44EF"/>
    <w:rsid w:val="00EE450B"/>
    <w:rsid w:val="00EE4656"/>
    <w:rsid w:val="00EE4666"/>
    <w:rsid w:val="00EE4749"/>
    <w:rsid w:val="00EE4C9D"/>
    <w:rsid w:val="00EE4E9F"/>
    <w:rsid w:val="00EE57F7"/>
    <w:rsid w:val="00EE5B44"/>
    <w:rsid w:val="00EE623F"/>
    <w:rsid w:val="00EE632A"/>
    <w:rsid w:val="00EE762A"/>
    <w:rsid w:val="00EE7DC7"/>
    <w:rsid w:val="00EE7FE4"/>
    <w:rsid w:val="00EF008C"/>
    <w:rsid w:val="00EF0DD0"/>
    <w:rsid w:val="00EF106F"/>
    <w:rsid w:val="00EF1B1A"/>
    <w:rsid w:val="00EF2965"/>
    <w:rsid w:val="00EF2CBF"/>
    <w:rsid w:val="00EF3272"/>
    <w:rsid w:val="00EF35C7"/>
    <w:rsid w:val="00EF38D7"/>
    <w:rsid w:val="00EF3E5D"/>
    <w:rsid w:val="00EF401E"/>
    <w:rsid w:val="00EF41CA"/>
    <w:rsid w:val="00EF4BC4"/>
    <w:rsid w:val="00EF5D2A"/>
    <w:rsid w:val="00EF5D47"/>
    <w:rsid w:val="00EF5D56"/>
    <w:rsid w:val="00EF6051"/>
    <w:rsid w:val="00EF65BB"/>
    <w:rsid w:val="00EF6F0B"/>
    <w:rsid w:val="00EF7029"/>
    <w:rsid w:val="00EF7837"/>
    <w:rsid w:val="00EF79FB"/>
    <w:rsid w:val="00EF7A5E"/>
    <w:rsid w:val="00EF7BC3"/>
    <w:rsid w:val="00EF7C50"/>
    <w:rsid w:val="00EF7CC3"/>
    <w:rsid w:val="00EF7D4B"/>
    <w:rsid w:val="00EF7EF3"/>
    <w:rsid w:val="00EF7F8A"/>
    <w:rsid w:val="00F00680"/>
    <w:rsid w:val="00F00B53"/>
    <w:rsid w:val="00F0189B"/>
    <w:rsid w:val="00F018B1"/>
    <w:rsid w:val="00F01EA9"/>
    <w:rsid w:val="00F0209E"/>
    <w:rsid w:val="00F02770"/>
    <w:rsid w:val="00F02E7D"/>
    <w:rsid w:val="00F038C5"/>
    <w:rsid w:val="00F038F8"/>
    <w:rsid w:val="00F046B1"/>
    <w:rsid w:val="00F046C6"/>
    <w:rsid w:val="00F04710"/>
    <w:rsid w:val="00F04879"/>
    <w:rsid w:val="00F04A80"/>
    <w:rsid w:val="00F04AAE"/>
    <w:rsid w:val="00F056F0"/>
    <w:rsid w:val="00F0583A"/>
    <w:rsid w:val="00F058FF"/>
    <w:rsid w:val="00F05A3B"/>
    <w:rsid w:val="00F05E61"/>
    <w:rsid w:val="00F06020"/>
    <w:rsid w:val="00F061E6"/>
    <w:rsid w:val="00F0694B"/>
    <w:rsid w:val="00F06D46"/>
    <w:rsid w:val="00F06E14"/>
    <w:rsid w:val="00F070F3"/>
    <w:rsid w:val="00F072A4"/>
    <w:rsid w:val="00F07B24"/>
    <w:rsid w:val="00F100F0"/>
    <w:rsid w:val="00F10C10"/>
    <w:rsid w:val="00F10D67"/>
    <w:rsid w:val="00F122D2"/>
    <w:rsid w:val="00F12484"/>
    <w:rsid w:val="00F130E6"/>
    <w:rsid w:val="00F13E09"/>
    <w:rsid w:val="00F141CF"/>
    <w:rsid w:val="00F14560"/>
    <w:rsid w:val="00F1472A"/>
    <w:rsid w:val="00F14EDC"/>
    <w:rsid w:val="00F1571D"/>
    <w:rsid w:val="00F157B1"/>
    <w:rsid w:val="00F15801"/>
    <w:rsid w:val="00F15F78"/>
    <w:rsid w:val="00F160C9"/>
    <w:rsid w:val="00F16244"/>
    <w:rsid w:val="00F164FA"/>
    <w:rsid w:val="00F16750"/>
    <w:rsid w:val="00F17175"/>
    <w:rsid w:val="00F171F1"/>
    <w:rsid w:val="00F1764F"/>
    <w:rsid w:val="00F179C0"/>
    <w:rsid w:val="00F20378"/>
    <w:rsid w:val="00F20650"/>
    <w:rsid w:val="00F20A2F"/>
    <w:rsid w:val="00F21043"/>
    <w:rsid w:val="00F215E8"/>
    <w:rsid w:val="00F215F2"/>
    <w:rsid w:val="00F2161A"/>
    <w:rsid w:val="00F216E5"/>
    <w:rsid w:val="00F22B6D"/>
    <w:rsid w:val="00F22E94"/>
    <w:rsid w:val="00F2307F"/>
    <w:rsid w:val="00F23293"/>
    <w:rsid w:val="00F236F8"/>
    <w:rsid w:val="00F237CA"/>
    <w:rsid w:val="00F23DA3"/>
    <w:rsid w:val="00F23E33"/>
    <w:rsid w:val="00F256C8"/>
    <w:rsid w:val="00F25718"/>
    <w:rsid w:val="00F262C8"/>
    <w:rsid w:val="00F269BD"/>
    <w:rsid w:val="00F26E21"/>
    <w:rsid w:val="00F26ECB"/>
    <w:rsid w:val="00F2739D"/>
    <w:rsid w:val="00F274FD"/>
    <w:rsid w:val="00F2771B"/>
    <w:rsid w:val="00F27F33"/>
    <w:rsid w:val="00F27F62"/>
    <w:rsid w:val="00F30546"/>
    <w:rsid w:val="00F30ECE"/>
    <w:rsid w:val="00F313BC"/>
    <w:rsid w:val="00F31C3A"/>
    <w:rsid w:val="00F32917"/>
    <w:rsid w:val="00F329A4"/>
    <w:rsid w:val="00F3375F"/>
    <w:rsid w:val="00F33E47"/>
    <w:rsid w:val="00F34528"/>
    <w:rsid w:val="00F347F0"/>
    <w:rsid w:val="00F352AF"/>
    <w:rsid w:val="00F36057"/>
    <w:rsid w:val="00F36C15"/>
    <w:rsid w:val="00F36EFC"/>
    <w:rsid w:val="00F372AF"/>
    <w:rsid w:val="00F37624"/>
    <w:rsid w:val="00F40371"/>
    <w:rsid w:val="00F40453"/>
    <w:rsid w:val="00F41538"/>
    <w:rsid w:val="00F418F3"/>
    <w:rsid w:val="00F41FBA"/>
    <w:rsid w:val="00F42078"/>
    <w:rsid w:val="00F42080"/>
    <w:rsid w:val="00F420B7"/>
    <w:rsid w:val="00F42526"/>
    <w:rsid w:val="00F42541"/>
    <w:rsid w:val="00F428B6"/>
    <w:rsid w:val="00F433C6"/>
    <w:rsid w:val="00F43652"/>
    <w:rsid w:val="00F43A51"/>
    <w:rsid w:val="00F43D9B"/>
    <w:rsid w:val="00F4421B"/>
    <w:rsid w:val="00F4469A"/>
    <w:rsid w:val="00F44964"/>
    <w:rsid w:val="00F45558"/>
    <w:rsid w:val="00F45FA3"/>
    <w:rsid w:val="00F46042"/>
    <w:rsid w:val="00F461FE"/>
    <w:rsid w:val="00F46CB9"/>
    <w:rsid w:val="00F473F4"/>
    <w:rsid w:val="00F474BC"/>
    <w:rsid w:val="00F47D89"/>
    <w:rsid w:val="00F47E67"/>
    <w:rsid w:val="00F5024D"/>
    <w:rsid w:val="00F50C5E"/>
    <w:rsid w:val="00F51013"/>
    <w:rsid w:val="00F51C62"/>
    <w:rsid w:val="00F521A6"/>
    <w:rsid w:val="00F52552"/>
    <w:rsid w:val="00F5269C"/>
    <w:rsid w:val="00F53671"/>
    <w:rsid w:val="00F536DE"/>
    <w:rsid w:val="00F549A6"/>
    <w:rsid w:val="00F549E5"/>
    <w:rsid w:val="00F54F20"/>
    <w:rsid w:val="00F54FC9"/>
    <w:rsid w:val="00F551F5"/>
    <w:rsid w:val="00F55762"/>
    <w:rsid w:val="00F55D89"/>
    <w:rsid w:val="00F5607E"/>
    <w:rsid w:val="00F565BE"/>
    <w:rsid w:val="00F57F10"/>
    <w:rsid w:val="00F608C1"/>
    <w:rsid w:val="00F60D28"/>
    <w:rsid w:val="00F61840"/>
    <w:rsid w:val="00F62287"/>
    <w:rsid w:val="00F62F14"/>
    <w:rsid w:val="00F63D2F"/>
    <w:rsid w:val="00F63DDB"/>
    <w:rsid w:val="00F63F0C"/>
    <w:rsid w:val="00F64914"/>
    <w:rsid w:val="00F64CDF"/>
    <w:rsid w:val="00F64FAD"/>
    <w:rsid w:val="00F65632"/>
    <w:rsid w:val="00F657E6"/>
    <w:rsid w:val="00F65AE5"/>
    <w:rsid w:val="00F65C40"/>
    <w:rsid w:val="00F65C51"/>
    <w:rsid w:val="00F6606A"/>
    <w:rsid w:val="00F660C2"/>
    <w:rsid w:val="00F66414"/>
    <w:rsid w:val="00F66473"/>
    <w:rsid w:val="00F66AC3"/>
    <w:rsid w:val="00F66D2B"/>
    <w:rsid w:val="00F674AE"/>
    <w:rsid w:val="00F67879"/>
    <w:rsid w:val="00F70E19"/>
    <w:rsid w:val="00F71AC3"/>
    <w:rsid w:val="00F71E96"/>
    <w:rsid w:val="00F72901"/>
    <w:rsid w:val="00F72C3D"/>
    <w:rsid w:val="00F73262"/>
    <w:rsid w:val="00F73A52"/>
    <w:rsid w:val="00F73C28"/>
    <w:rsid w:val="00F74520"/>
    <w:rsid w:val="00F74774"/>
    <w:rsid w:val="00F75178"/>
    <w:rsid w:val="00F75398"/>
    <w:rsid w:val="00F766AF"/>
    <w:rsid w:val="00F778AF"/>
    <w:rsid w:val="00F77E7D"/>
    <w:rsid w:val="00F800C5"/>
    <w:rsid w:val="00F807BC"/>
    <w:rsid w:val="00F812F6"/>
    <w:rsid w:val="00F8145F"/>
    <w:rsid w:val="00F81F96"/>
    <w:rsid w:val="00F82030"/>
    <w:rsid w:val="00F820B8"/>
    <w:rsid w:val="00F83B75"/>
    <w:rsid w:val="00F83C79"/>
    <w:rsid w:val="00F844D2"/>
    <w:rsid w:val="00F84ECD"/>
    <w:rsid w:val="00F84EE4"/>
    <w:rsid w:val="00F85676"/>
    <w:rsid w:val="00F856C1"/>
    <w:rsid w:val="00F857F4"/>
    <w:rsid w:val="00F8591C"/>
    <w:rsid w:val="00F86009"/>
    <w:rsid w:val="00F86187"/>
    <w:rsid w:val="00F86907"/>
    <w:rsid w:val="00F871FB"/>
    <w:rsid w:val="00F875C7"/>
    <w:rsid w:val="00F8778F"/>
    <w:rsid w:val="00F87A42"/>
    <w:rsid w:val="00F87B1C"/>
    <w:rsid w:val="00F903C0"/>
    <w:rsid w:val="00F906B8"/>
    <w:rsid w:val="00F90D7A"/>
    <w:rsid w:val="00F90D8D"/>
    <w:rsid w:val="00F91365"/>
    <w:rsid w:val="00F91A38"/>
    <w:rsid w:val="00F91D2F"/>
    <w:rsid w:val="00F92613"/>
    <w:rsid w:val="00F9282B"/>
    <w:rsid w:val="00F92987"/>
    <w:rsid w:val="00F92AB2"/>
    <w:rsid w:val="00F93003"/>
    <w:rsid w:val="00F934EF"/>
    <w:rsid w:val="00F938F7"/>
    <w:rsid w:val="00F93ABC"/>
    <w:rsid w:val="00F944F6"/>
    <w:rsid w:val="00F946FE"/>
    <w:rsid w:val="00F948CC"/>
    <w:rsid w:val="00F9512F"/>
    <w:rsid w:val="00F951F7"/>
    <w:rsid w:val="00F95252"/>
    <w:rsid w:val="00F9549B"/>
    <w:rsid w:val="00F957ED"/>
    <w:rsid w:val="00F959A7"/>
    <w:rsid w:val="00F95B1C"/>
    <w:rsid w:val="00F95C96"/>
    <w:rsid w:val="00F962F6"/>
    <w:rsid w:val="00F967F4"/>
    <w:rsid w:val="00F967F9"/>
    <w:rsid w:val="00F96811"/>
    <w:rsid w:val="00F968C5"/>
    <w:rsid w:val="00F973A6"/>
    <w:rsid w:val="00FA02F1"/>
    <w:rsid w:val="00FA061B"/>
    <w:rsid w:val="00FA0699"/>
    <w:rsid w:val="00FA217A"/>
    <w:rsid w:val="00FA2B16"/>
    <w:rsid w:val="00FA2DF9"/>
    <w:rsid w:val="00FA2F59"/>
    <w:rsid w:val="00FA2F8B"/>
    <w:rsid w:val="00FA34F7"/>
    <w:rsid w:val="00FA36EF"/>
    <w:rsid w:val="00FA37E8"/>
    <w:rsid w:val="00FA3BCE"/>
    <w:rsid w:val="00FA3D98"/>
    <w:rsid w:val="00FA4014"/>
    <w:rsid w:val="00FA427D"/>
    <w:rsid w:val="00FA4474"/>
    <w:rsid w:val="00FA44CF"/>
    <w:rsid w:val="00FA467D"/>
    <w:rsid w:val="00FA4780"/>
    <w:rsid w:val="00FA5072"/>
    <w:rsid w:val="00FA595F"/>
    <w:rsid w:val="00FA5C4D"/>
    <w:rsid w:val="00FA5CA0"/>
    <w:rsid w:val="00FA6207"/>
    <w:rsid w:val="00FA6817"/>
    <w:rsid w:val="00FA69F8"/>
    <w:rsid w:val="00FA729C"/>
    <w:rsid w:val="00FA72F7"/>
    <w:rsid w:val="00FA742D"/>
    <w:rsid w:val="00FA7650"/>
    <w:rsid w:val="00FA78C0"/>
    <w:rsid w:val="00FA78DE"/>
    <w:rsid w:val="00FA7DF3"/>
    <w:rsid w:val="00FB0187"/>
    <w:rsid w:val="00FB02D8"/>
    <w:rsid w:val="00FB0960"/>
    <w:rsid w:val="00FB116B"/>
    <w:rsid w:val="00FB1C49"/>
    <w:rsid w:val="00FB326F"/>
    <w:rsid w:val="00FB35AA"/>
    <w:rsid w:val="00FB3976"/>
    <w:rsid w:val="00FB3C49"/>
    <w:rsid w:val="00FB44D1"/>
    <w:rsid w:val="00FB44F1"/>
    <w:rsid w:val="00FB4DF4"/>
    <w:rsid w:val="00FB5A6B"/>
    <w:rsid w:val="00FB7568"/>
    <w:rsid w:val="00FB7945"/>
    <w:rsid w:val="00FB7D3B"/>
    <w:rsid w:val="00FC03AE"/>
    <w:rsid w:val="00FC081C"/>
    <w:rsid w:val="00FC0C29"/>
    <w:rsid w:val="00FC0D52"/>
    <w:rsid w:val="00FC2135"/>
    <w:rsid w:val="00FC2180"/>
    <w:rsid w:val="00FC2478"/>
    <w:rsid w:val="00FC2834"/>
    <w:rsid w:val="00FC2A39"/>
    <w:rsid w:val="00FC2F5C"/>
    <w:rsid w:val="00FC3367"/>
    <w:rsid w:val="00FC3385"/>
    <w:rsid w:val="00FC3728"/>
    <w:rsid w:val="00FC401D"/>
    <w:rsid w:val="00FC411B"/>
    <w:rsid w:val="00FC4898"/>
    <w:rsid w:val="00FC4DCA"/>
    <w:rsid w:val="00FC5133"/>
    <w:rsid w:val="00FC5559"/>
    <w:rsid w:val="00FC573D"/>
    <w:rsid w:val="00FC57E4"/>
    <w:rsid w:val="00FC6622"/>
    <w:rsid w:val="00FC668F"/>
    <w:rsid w:val="00FC69EA"/>
    <w:rsid w:val="00FC6FD6"/>
    <w:rsid w:val="00FC7DCF"/>
    <w:rsid w:val="00FD01AD"/>
    <w:rsid w:val="00FD10D5"/>
    <w:rsid w:val="00FD27F3"/>
    <w:rsid w:val="00FD2D68"/>
    <w:rsid w:val="00FD2E04"/>
    <w:rsid w:val="00FD3029"/>
    <w:rsid w:val="00FD3CCE"/>
    <w:rsid w:val="00FD3DD0"/>
    <w:rsid w:val="00FD4080"/>
    <w:rsid w:val="00FD4524"/>
    <w:rsid w:val="00FD4675"/>
    <w:rsid w:val="00FD4A67"/>
    <w:rsid w:val="00FD4BE2"/>
    <w:rsid w:val="00FD4ED9"/>
    <w:rsid w:val="00FD6190"/>
    <w:rsid w:val="00FD659A"/>
    <w:rsid w:val="00FD67F9"/>
    <w:rsid w:val="00FD715E"/>
    <w:rsid w:val="00FD7501"/>
    <w:rsid w:val="00FD7BCC"/>
    <w:rsid w:val="00FE0A46"/>
    <w:rsid w:val="00FE0BA6"/>
    <w:rsid w:val="00FE19A7"/>
    <w:rsid w:val="00FE1A4E"/>
    <w:rsid w:val="00FE2049"/>
    <w:rsid w:val="00FE304F"/>
    <w:rsid w:val="00FE39F4"/>
    <w:rsid w:val="00FE3B6A"/>
    <w:rsid w:val="00FE453B"/>
    <w:rsid w:val="00FE46C0"/>
    <w:rsid w:val="00FE5156"/>
    <w:rsid w:val="00FE5246"/>
    <w:rsid w:val="00FE597C"/>
    <w:rsid w:val="00FE5D47"/>
    <w:rsid w:val="00FE6482"/>
    <w:rsid w:val="00FE64AC"/>
    <w:rsid w:val="00FE75AD"/>
    <w:rsid w:val="00FE7732"/>
    <w:rsid w:val="00FE7836"/>
    <w:rsid w:val="00FF013F"/>
    <w:rsid w:val="00FF0A6B"/>
    <w:rsid w:val="00FF0E2D"/>
    <w:rsid w:val="00FF1F34"/>
    <w:rsid w:val="00FF1FA7"/>
    <w:rsid w:val="00FF2294"/>
    <w:rsid w:val="00FF261C"/>
    <w:rsid w:val="00FF2884"/>
    <w:rsid w:val="00FF2C6F"/>
    <w:rsid w:val="00FF2D5C"/>
    <w:rsid w:val="00FF321A"/>
    <w:rsid w:val="00FF324C"/>
    <w:rsid w:val="00FF3BFF"/>
    <w:rsid w:val="00FF3EAC"/>
    <w:rsid w:val="00FF41D6"/>
    <w:rsid w:val="00FF4232"/>
    <w:rsid w:val="00FF4286"/>
    <w:rsid w:val="00FF45BE"/>
    <w:rsid w:val="00FF470A"/>
    <w:rsid w:val="00FF4809"/>
    <w:rsid w:val="00FF4AA3"/>
    <w:rsid w:val="00FF4BF5"/>
    <w:rsid w:val="00FF4F76"/>
    <w:rsid w:val="00FF4FA6"/>
    <w:rsid w:val="00FF5F9B"/>
    <w:rsid w:val="00FF630C"/>
    <w:rsid w:val="00FF6395"/>
    <w:rsid w:val="00FF71A2"/>
    <w:rsid w:val="00FF727E"/>
    <w:rsid w:val="00FF7781"/>
    <w:rsid w:val="00FF78A1"/>
    <w:rsid w:val="00FF7A9A"/>
    <w:rsid w:val="00FF7A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72033"/>
    <o:shapelayout v:ext="edit">
      <o:idmap v:ext="edit" data="1"/>
    </o:shapelayout>
  </w:shapeDefaults>
  <w:decimalSymbol w:val="."/>
  <w:listSeparator w:val=","/>
  <w14:docId w14:val="5CA9EC46"/>
  <w14:defaultImageDpi w14:val="330"/>
  <w15:chartTrackingRefBased/>
  <w15:docId w15:val="{CEF07F39-A23D-4A88-8D39-D86E20B515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084B"/>
    <w:pPr>
      <w:spacing w:after="0" w:line="360" w:lineRule="auto"/>
      <w:ind w:firstLine="360"/>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945BF1"/>
    <w:pPr>
      <w:keepNext/>
      <w:keepLines/>
      <w:outlineLvl w:val="0"/>
    </w:pPr>
    <w:rPr>
      <w:rFonts w:eastAsiaTheme="majorEastAsia" w:cstheme="majorBidi"/>
      <w:b/>
      <w:color w:val="000000" w:themeColor="text1"/>
      <w:sz w:val="28"/>
      <w:szCs w:val="32"/>
    </w:rPr>
  </w:style>
  <w:style w:type="paragraph" w:styleId="Heading2">
    <w:name w:val="heading 2"/>
    <w:basedOn w:val="Normal"/>
    <w:next w:val="Normal"/>
    <w:link w:val="Heading2Char"/>
    <w:uiPriority w:val="9"/>
    <w:unhideWhenUsed/>
    <w:qFormat/>
    <w:rsid w:val="00945BF1"/>
    <w:pPr>
      <w:keepNext/>
      <w:keepLines/>
      <w:spacing w:before="40" w:line="259" w:lineRule="auto"/>
      <w:outlineLvl w:val="1"/>
    </w:pPr>
    <w:rPr>
      <w:rFonts w:asciiTheme="majorHAnsi" w:eastAsiaTheme="majorEastAsia" w:hAnsiTheme="majorHAnsi" w:cstheme="majorBidi"/>
      <w:color w:val="B35E06" w:themeColor="accent1" w:themeShade="BF"/>
      <w:sz w:val="26"/>
      <w:szCs w:val="26"/>
    </w:rPr>
  </w:style>
  <w:style w:type="paragraph" w:styleId="Heading3">
    <w:name w:val="heading 3"/>
    <w:basedOn w:val="Normal"/>
    <w:next w:val="Normal"/>
    <w:link w:val="Heading3Char"/>
    <w:uiPriority w:val="9"/>
    <w:unhideWhenUsed/>
    <w:qFormat/>
    <w:rsid w:val="007D5094"/>
    <w:pPr>
      <w:keepNext/>
      <w:keepLines/>
      <w:spacing w:before="40" w:line="259" w:lineRule="auto"/>
      <w:outlineLvl w:val="2"/>
    </w:pPr>
    <w:rPr>
      <w:rFonts w:asciiTheme="majorHAnsi" w:eastAsiaTheme="majorEastAsia" w:hAnsiTheme="majorHAnsi" w:cstheme="majorBidi"/>
      <w:color w:val="773F04"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5BF1"/>
    <w:rPr>
      <w:rFonts w:ascii="Times New Roman" w:eastAsiaTheme="majorEastAsia" w:hAnsi="Times New Roman" w:cstheme="majorBidi"/>
      <w:b/>
      <w:color w:val="000000" w:themeColor="text1"/>
      <w:sz w:val="28"/>
      <w:szCs w:val="32"/>
    </w:rPr>
  </w:style>
  <w:style w:type="character" w:customStyle="1" w:styleId="Heading2Char">
    <w:name w:val="Heading 2 Char"/>
    <w:basedOn w:val="DefaultParagraphFont"/>
    <w:link w:val="Heading2"/>
    <w:uiPriority w:val="9"/>
    <w:rsid w:val="00945BF1"/>
    <w:rPr>
      <w:rFonts w:asciiTheme="majorHAnsi" w:eastAsiaTheme="majorEastAsia" w:hAnsiTheme="majorHAnsi" w:cstheme="majorBidi"/>
      <w:color w:val="B35E06" w:themeColor="accent1" w:themeShade="BF"/>
      <w:sz w:val="26"/>
      <w:szCs w:val="26"/>
    </w:rPr>
  </w:style>
  <w:style w:type="character" w:customStyle="1" w:styleId="Heading3Char">
    <w:name w:val="Heading 3 Char"/>
    <w:basedOn w:val="DefaultParagraphFont"/>
    <w:link w:val="Heading3"/>
    <w:uiPriority w:val="9"/>
    <w:rsid w:val="007D5094"/>
    <w:rPr>
      <w:rFonts w:asciiTheme="majorHAnsi" w:eastAsiaTheme="majorEastAsia" w:hAnsiTheme="majorHAnsi" w:cstheme="majorBidi"/>
      <w:color w:val="773F04" w:themeColor="accent1" w:themeShade="7F"/>
      <w:sz w:val="24"/>
      <w:szCs w:val="24"/>
    </w:rPr>
  </w:style>
  <w:style w:type="paragraph" w:styleId="NormalWeb">
    <w:name w:val="Normal (Web)"/>
    <w:basedOn w:val="Normal"/>
    <w:uiPriority w:val="99"/>
    <w:unhideWhenUsed/>
    <w:rsid w:val="00C521E0"/>
    <w:pPr>
      <w:spacing w:before="100" w:beforeAutospacing="1" w:after="100" w:afterAutospacing="1"/>
    </w:pPr>
    <w:rPr>
      <w:szCs w:val="28"/>
    </w:rPr>
  </w:style>
  <w:style w:type="character" w:styleId="Hyperlink">
    <w:name w:val="Hyperlink"/>
    <w:basedOn w:val="DefaultParagraphFont"/>
    <w:uiPriority w:val="99"/>
    <w:unhideWhenUsed/>
    <w:rsid w:val="004C0C01"/>
    <w:rPr>
      <w:color w:val="6B9F25" w:themeColor="hyperlink"/>
      <w:u w:val="single"/>
    </w:rPr>
  </w:style>
  <w:style w:type="character" w:styleId="UnresolvedMention">
    <w:name w:val="Unresolved Mention"/>
    <w:basedOn w:val="DefaultParagraphFont"/>
    <w:uiPriority w:val="99"/>
    <w:semiHidden/>
    <w:unhideWhenUsed/>
    <w:rsid w:val="004C0C01"/>
    <w:rPr>
      <w:color w:val="605E5C"/>
      <w:shd w:val="clear" w:color="auto" w:fill="E1DFDD"/>
    </w:rPr>
  </w:style>
  <w:style w:type="paragraph" w:styleId="Bibliography">
    <w:name w:val="Bibliography"/>
    <w:basedOn w:val="Normal"/>
    <w:next w:val="Normal"/>
    <w:uiPriority w:val="37"/>
    <w:unhideWhenUsed/>
    <w:rsid w:val="0021132C"/>
    <w:pPr>
      <w:tabs>
        <w:tab w:val="left" w:pos="620"/>
      </w:tabs>
      <w:spacing w:after="240" w:line="240" w:lineRule="auto"/>
      <w:ind w:left="624" w:hanging="624"/>
    </w:pPr>
    <w:rPr>
      <w:rFonts w:eastAsiaTheme="minorHAnsi" w:cstheme="minorBidi"/>
      <w:szCs w:val="22"/>
    </w:rPr>
  </w:style>
  <w:style w:type="character" w:customStyle="1" w:styleId="self-citation-authors">
    <w:name w:val="self-citation-authors"/>
    <w:basedOn w:val="DefaultParagraphFont"/>
    <w:rsid w:val="005A068D"/>
  </w:style>
  <w:style w:type="character" w:customStyle="1" w:styleId="self-citation-year">
    <w:name w:val="self-citation-year"/>
    <w:basedOn w:val="DefaultParagraphFont"/>
    <w:rsid w:val="005A068D"/>
  </w:style>
  <w:style w:type="character" w:customStyle="1" w:styleId="self-citation-title">
    <w:name w:val="self-citation-title"/>
    <w:basedOn w:val="DefaultParagraphFont"/>
    <w:rsid w:val="005A068D"/>
  </w:style>
  <w:style w:type="character" w:customStyle="1" w:styleId="self-citation-journal">
    <w:name w:val="self-citation-journal"/>
    <w:basedOn w:val="DefaultParagraphFont"/>
    <w:rsid w:val="005A068D"/>
  </w:style>
  <w:style w:type="character" w:customStyle="1" w:styleId="self-citation-volume">
    <w:name w:val="self-citation-volume"/>
    <w:basedOn w:val="DefaultParagraphFont"/>
    <w:rsid w:val="005A068D"/>
  </w:style>
  <w:style w:type="character" w:customStyle="1" w:styleId="self-citation-elocation">
    <w:name w:val="self-citation-elocation"/>
    <w:basedOn w:val="DefaultParagraphFont"/>
    <w:rsid w:val="005A068D"/>
  </w:style>
  <w:style w:type="paragraph" w:styleId="ListParagraph">
    <w:name w:val="List Paragraph"/>
    <w:basedOn w:val="Normal"/>
    <w:uiPriority w:val="34"/>
    <w:qFormat/>
    <w:rsid w:val="001617F5"/>
    <w:pPr>
      <w:spacing w:line="259" w:lineRule="auto"/>
      <w:ind w:left="720"/>
      <w:contextualSpacing/>
    </w:pPr>
    <w:rPr>
      <w:rFonts w:eastAsiaTheme="minorHAnsi" w:cstheme="minorBidi"/>
      <w:szCs w:val="22"/>
    </w:rPr>
  </w:style>
  <w:style w:type="character" w:styleId="FollowedHyperlink">
    <w:name w:val="FollowedHyperlink"/>
    <w:basedOn w:val="DefaultParagraphFont"/>
    <w:uiPriority w:val="99"/>
    <w:semiHidden/>
    <w:unhideWhenUsed/>
    <w:rsid w:val="00F22E94"/>
    <w:rPr>
      <w:color w:val="B26B02" w:themeColor="followedHyperlink"/>
      <w:u w:val="single"/>
    </w:rPr>
  </w:style>
  <w:style w:type="paragraph" w:styleId="BalloonText">
    <w:name w:val="Balloon Text"/>
    <w:basedOn w:val="Normal"/>
    <w:link w:val="BalloonTextChar"/>
    <w:uiPriority w:val="99"/>
    <w:semiHidden/>
    <w:unhideWhenUsed/>
    <w:rsid w:val="00FF321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F321A"/>
    <w:rPr>
      <w:rFonts w:ascii="Segoe UI" w:hAnsi="Segoe UI" w:cs="Segoe UI"/>
      <w:sz w:val="18"/>
      <w:szCs w:val="18"/>
    </w:rPr>
  </w:style>
  <w:style w:type="character" w:styleId="CommentReference">
    <w:name w:val="annotation reference"/>
    <w:basedOn w:val="DefaultParagraphFont"/>
    <w:uiPriority w:val="99"/>
    <w:semiHidden/>
    <w:unhideWhenUsed/>
    <w:rsid w:val="00FF321A"/>
    <w:rPr>
      <w:sz w:val="16"/>
      <w:szCs w:val="16"/>
    </w:rPr>
  </w:style>
  <w:style w:type="paragraph" w:styleId="CommentText">
    <w:name w:val="annotation text"/>
    <w:basedOn w:val="Normal"/>
    <w:link w:val="CommentTextChar"/>
    <w:uiPriority w:val="99"/>
    <w:unhideWhenUsed/>
    <w:rsid w:val="00FF321A"/>
    <w:rPr>
      <w:rFonts w:eastAsiaTheme="minorHAnsi" w:cstheme="minorBidi"/>
      <w:sz w:val="20"/>
      <w:szCs w:val="20"/>
    </w:rPr>
  </w:style>
  <w:style w:type="character" w:customStyle="1" w:styleId="CommentTextChar">
    <w:name w:val="Comment Text Char"/>
    <w:basedOn w:val="DefaultParagraphFont"/>
    <w:link w:val="CommentText"/>
    <w:uiPriority w:val="99"/>
    <w:rsid w:val="00FF321A"/>
    <w:rPr>
      <w:sz w:val="20"/>
      <w:szCs w:val="20"/>
    </w:rPr>
  </w:style>
  <w:style w:type="paragraph" w:styleId="CommentSubject">
    <w:name w:val="annotation subject"/>
    <w:basedOn w:val="CommentText"/>
    <w:next w:val="CommentText"/>
    <w:link w:val="CommentSubjectChar"/>
    <w:uiPriority w:val="99"/>
    <w:semiHidden/>
    <w:unhideWhenUsed/>
    <w:rsid w:val="00FF321A"/>
    <w:rPr>
      <w:b/>
      <w:bCs/>
    </w:rPr>
  </w:style>
  <w:style w:type="character" w:customStyle="1" w:styleId="CommentSubjectChar">
    <w:name w:val="Comment Subject Char"/>
    <w:basedOn w:val="CommentTextChar"/>
    <w:link w:val="CommentSubject"/>
    <w:uiPriority w:val="99"/>
    <w:semiHidden/>
    <w:rsid w:val="00FF321A"/>
    <w:rPr>
      <w:b/>
      <w:bCs/>
      <w:sz w:val="20"/>
      <w:szCs w:val="20"/>
    </w:rPr>
  </w:style>
  <w:style w:type="character" w:styleId="PlaceholderText">
    <w:name w:val="Placeholder Text"/>
    <w:basedOn w:val="DefaultParagraphFont"/>
    <w:uiPriority w:val="99"/>
    <w:semiHidden/>
    <w:rsid w:val="00B109BE"/>
    <w:rPr>
      <w:color w:val="808080"/>
    </w:rPr>
  </w:style>
  <w:style w:type="paragraph" w:styleId="Footer">
    <w:name w:val="footer"/>
    <w:basedOn w:val="Normal"/>
    <w:link w:val="FooterChar"/>
    <w:uiPriority w:val="99"/>
    <w:unhideWhenUsed/>
    <w:rsid w:val="00125C41"/>
    <w:pPr>
      <w:tabs>
        <w:tab w:val="center" w:pos="4680"/>
        <w:tab w:val="right" w:pos="9360"/>
      </w:tabs>
    </w:pPr>
    <w:rPr>
      <w:rFonts w:eastAsiaTheme="minorHAnsi" w:cstheme="minorBidi"/>
      <w:szCs w:val="22"/>
    </w:rPr>
  </w:style>
  <w:style w:type="character" w:customStyle="1" w:styleId="FooterChar">
    <w:name w:val="Footer Char"/>
    <w:basedOn w:val="DefaultParagraphFont"/>
    <w:link w:val="Footer"/>
    <w:uiPriority w:val="99"/>
    <w:rsid w:val="00125C41"/>
  </w:style>
  <w:style w:type="character" w:styleId="PageNumber">
    <w:name w:val="page number"/>
    <w:basedOn w:val="DefaultParagraphFont"/>
    <w:uiPriority w:val="99"/>
    <w:semiHidden/>
    <w:unhideWhenUsed/>
    <w:rsid w:val="00125C41"/>
  </w:style>
  <w:style w:type="paragraph" w:styleId="Header">
    <w:name w:val="header"/>
    <w:basedOn w:val="Normal"/>
    <w:link w:val="HeaderChar"/>
    <w:uiPriority w:val="99"/>
    <w:unhideWhenUsed/>
    <w:rsid w:val="003E27D9"/>
    <w:pPr>
      <w:tabs>
        <w:tab w:val="center" w:pos="4680"/>
        <w:tab w:val="right" w:pos="9360"/>
      </w:tabs>
    </w:pPr>
    <w:rPr>
      <w:rFonts w:eastAsiaTheme="minorHAnsi" w:cstheme="minorBidi"/>
      <w:szCs w:val="22"/>
    </w:rPr>
  </w:style>
  <w:style w:type="character" w:customStyle="1" w:styleId="HeaderChar">
    <w:name w:val="Header Char"/>
    <w:basedOn w:val="DefaultParagraphFont"/>
    <w:link w:val="Header"/>
    <w:uiPriority w:val="99"/>
    <w:rsid w:val="003E27D9"/>
  </w:style>
  <w:style w:type="paragraph" w:customStyle="1" w:styleId="Affiliation">
    <w:name w:val="Affiliation"/>
    <w:basedOn w:val="Normal"/>
    <w:rsid w:val="004B281E"/>
    <w:rPr>
      <w:szCs w:val="28"/>
    </w:rPr>
  </w:style>
  <w:style w:type="paragraph" w:styleId="Title">
    <w:name w:val="Title"/>
    <w:aliases w:val="PLoS"/>
    <w:basedOn w:val="Heading1-PLoS"/>
    <w:next w:val="Normal"/>
    <w:link w:val="TitleChar"/>
    <w:uiPriority w:val="10"/>
    <w:qFormat/>
    <w:rsid w:val="00E214CA"/>
    <w:pPr>
      <w:spacing w:before="0" w:after="240" w:line="288" w:lineRule="auto"/>
    </w:pPr>
    <w:rPr>
      <w:spacing w:val="-10"/>
      <w:kern w:val="28"/>
      <w:sz w:val="44"/>
      <w:szCs w:val="56"/>
    </w:rPr>
  </w:style>
  <w:style w:type="paragraph" w:customStyle="1" w:styleId="Heading1-PLoS">
    <w:name w:val="Heading 1-PLoS"/>
    <w:basedOn w:val="Heading1"/>
    <w:qFormat/>
    <w:rsid w:val="007807A6"/>
    <w:pPr>
      <w:spacing w:before="240"/>
      <w:ind w:firstLine="0"/>
      <w:contextualSpacing/>
    </w:pPr>
    <w:rPr>
      <w:sz w:val="36"/>
    </w:rPr>
  </w:style>
  <w:style w:type="character" w:customStyle="1" w:styleId="TitleChar">
    <w:name w:val="Title Char"/>
    <w:aliases w:val="PLoS Char"/>
    <w:basedOn w:val="DefaultParagraphFont"/>
    <w:link w:val="Title"/>
    <w:uiPriority w:val="10"/>
    <w:rsid w:val="00E214CA"/>
    <w:rPr>
      <w:rFonts w:ascii="Times New Roman" w:eastAsiaTheme="majorEastAsia" w:hAnsi="Times New Roman" w:cstheme="majorBidi"/>
      <w:b/>
      <w:color w:val="000000" w:themeColor="text1"/>
      <w:spacing w:val="-10"/>
      <w:kern w:val="28"/>
      <w:sz w:val="44"/>
      <w:szCs w:val="56"/>
    </w:rPr>
  </w:style>
  <w:style w:type="paragraph" w:customStyle="1" w:styleId="Heading2-PLoS">
    <w:name w:val="Heading 2-PLoS"/>
    <w:basedOn w:val="Heading1-PLoS"/>
    <w:next w:val="Normal"/>
    <w:qFormat/>
    <w:rsid w:val="007807A6"/>
    <w:pPr>
      <w:outlineLvl w:val="1"/>
    </w:pPr>
    <w:rPr>
      <w:sz w:val="28"/>
    </w:rPr>
  </w:style>
  <w:style w:type="paragraph" w:customStyle="1" w:styleId="Table-PLoS">
    <w:name w:val="Table-PLoS"/>
    <w:basedOn w:val="Normal"/>
    <w:qFormat/>
    <w:rsid w:val="0025084B"/>
    <w:pPr>
      <w:keepLines/>
      <w:ind w:firstLine="0"/>
      <w:contextualSpacing/>
    </w:pPr>
    <w:rPr>
      <w:rFonts w:eastAsiaTheme="minorHAnsi"/>
      <w:sz w:val="20"/>
    </w:rPr>
  </w:style>
  <w:style w:type="paragraph" w:customStyle="1" w:styleId="Heading3-PLoS">
    <w:name w:val="Heading 3-PLoS"/>
    <w:basedOn w:val="Heading1-PLoS"/>
    <w:next w:val="Normal"/>
    <w:qFormat/>
    <w:rsid w:val="007807A6"/>
    <w:pPr>
      <w:keepLines w:val="0"/>
      <w:contextualSpacing w:val="0"/>
      <w:outlineLvl w:val="2"/>
    </w:pPr>
    <w:rPr>
      <w:b w:val="0"/>
      <w:sz w:val="24"/>
      <w:szCs w:val="26"/>
    </w:rPr>
  </w:style>
  <w:style w:type="paragraph" w:customStyle="1" w:styleId="Default">
    <w:name w:val="Default"/>
    <w:rsid w:val="00766F6B"/>
    <w:pPr>
      <w:autoSpaceDE w:val="0"/>
      <w:autoSpaceDN w:val="0"/>
      <w:adjustRightInd w:val="0"/>
      <w:spacing w:after="0" w:line="240" w:lineRule="auto"/>
    </w:pPr>
    <w:rPr>
      <w:rFonts w:ascii="Calibri" w:hAnsi="Calibri" w:cs="Calibri"/>
      <w:color w:val="000000"/>
      <w:sz w:val="24"/>
      <w:szCs w:val="24"/>
    </w:rPr>
  </w:style>
  <w:style w:type="paragraph" w:customStyle="1" w:styleId="Figurecaption-PLoS">
    <w:name w:val="Figure caption-PLoS"/>
    <w:basedOn w:val="Normal"/>
    <w:rsid w:val="0076218D"/>
    <w:pPr>
      <w:keepLines/>
      <w:pBdr>
        <w:bottom w:val="single" w:sz="4" w:space="10" w:color="auto"/>
      </w:pBdr>
      <w:spacing w:before="100" w:beforeAutospacing="1" w:after="100" w:afterAutospacing="1"/>
      <w:ind w:left="720" w:right="720" w:firstLine="0"/>
      <w:outlineLvl w:val="3"/>
    </w:pPr>
    <w:rPr>
      <w:sz w:val="20"/>
    </w:rPr>
  </w:style>
  <w:style w:type="character" w:customStyle="1" w:styleId="Manuscript">
    <w:name w:val="Manuscript"/>
    <w:rsid w:val="008A4A5E"/>
    <w:rPr>
      <w:rFonts w:ascii="New York" w:hAnsi="New York"/>
      <w:sz w:val="24"/>
    </w:rPr>
  </w:style>
  <w:style w:type="paragraph" w:customStyle="1" w:styleId="SIHeading1">
    <w:name w:val="SI Heading 1"/>
    <w:basedOn w:val="ListParagraph"/>
    <w:qFormat/>
    <w:rsid w:val="008A4A5E"/>
    <w:pPr>
      <w:numPr>
        <w:numId w:val="11"/>
      </w:numPr>
      <w:tabs>
        <w:tab w:val="left" w:pos="360"/>
      </w:tabs>
      <w:spacing w:line="240" w:lineRule="auto"/>
      <w:jc w:val="both"/>
    </w:pPr>
    <w:rPr>
      <w:rFonts w:eastAsia="Times New Roman" w:cs="Times New Roman"/>
      <w:b/>
      <w:szCs w:val="24"/>
    </w:rPr>
  </w:style>
  <w:style w:type="paragraph" w:styleId="Revision">
    <w:name w:val="Revision"/>
    <w:hidden/>
    <w:uiPriority w:val="99"/>
    <w:semiHidden/>
    <w:rsid w:val="0030119A"/>
    <w:pPr>
      <w:spacing w:after="0" w:line="240" w:lineRule="auto"/>
    </w:pPr>
  </w:style>
  <w:style w:type="character" w:styleId="Emphasis">
    <w:name w:val="Emphasis"/>
    <w:basedOn w:val="DefaultParagraphFont"/>
    <w:uiPriority w:val="20"/>
    <w:qFormat/>
    <w:rsid w:val="007C0755"/>
    <w:rPr>
      <w:i/>
      <w:iCs/>
    </w:rPr>
  </w:style>
  <w:style w:type="table" w:styleId="TableGrid">
    <w:name w:val="Table Grid"/>
    <w:basedOn w:val="TableNormal"/>
    <w:uiPriority w:val="39"/>
    <w:rsid w:val="001C01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rsid w:val="004B281E"/>
  </w:style>
  <w:style w:type="paragraph" w:customStyle="1" w:styleId="Tablecaption-PLoS">
    <w:name w:val="Table caption-PLoS"/>
    <w:basedOn w:val="Figurecaption-PLoS"/>
    <w:qFormat/>
    <w:rsid w:val="00430A78"/>
    <w:pPr>
      <w:keepNext/>
      <w:pBdr>
        <w:bottom w:val="none" w:sz="0" w:space="0" w:color="auto"/>
      </w:pBdr>
      <w:spacing w:after="240" w:afterAutospacing="0"/>
    </w:pPr>
  </w:style>
  <w:style w:type="paragraph" w:customStyle="1" w:styleId="Blockquote">
    <w:name w:val="Block quote"/>
    <w:basedOn w:val="Normal"/>
    <w:next w:val="Normal"/>
    <w:qFormat/>
    <w:rsid w:val="00E11F9C"/>
    <w:pPr>
      <w:spacing w:before="120" w:after="120"/>
      <w:ind w:left="720" w:right="720"/>
      <w:jc w:val="both"/>
    </w:pPr>
    <w:rPr>
      <w:sz w:val="20"/>
    </w:rPr>
  </w:style>
  <w:style w:type="paragraph" w:styleId="Caption">
    <w:name w:val="caption"/>
    <w:basedOn w:val="Normal"/>
    <w:next w:val="Normal"/>
    <w:uiPriority w:val="35"/>
    <w:unhideWhenUsed/>
    <w:qFormat/>
    <w:rsid w:val="000359BA"/>
    <w:pPr>
      <w:spacing w:after="200"/>
    </w:pPr>
    <w:rPr>
      <w:i/>
      <w:iCs/>
      <w:color w:val="323232" w:themeColor="text2"/>
      <w:sz w:val="18"/>
      <w:szCs w:val="18"/>
    </w:rPr>
  </w:style>
  <w:style w:type="paragraph" w:customStyle="1" w:styleId="Tabletitle-PLoS">
    <w:name w:val="Table title-PLoS"/>
    <w:basedOn w:val="Normal"/>
    <w:next w:val="Table-PLoS"/>
    <w:qFormat/>
    <w:rsid w:val="00D00F21"/>
    <w:pPr>
      <w:keepNext/>
      <w:keepLines/>
      <w:spacing w:before="240"/>
      <w:ind w:firstLine="0"/>
      <w:contextualSpacing/>
      <w:outlineLvl w:val="3"/>
    </w:pPr>
    <w:rPr>
      <w:b/>
    </w:rPr>
  </w:style>
  <w:style w:type="paragraph" w:customStyle="1" w:styleId="Figure-PLOS">
    <w:name w:val="Figure-PLOS"/>
    <w:basedOn w:val="Normal"/>
    <w:next w:val="Figurecaption-PLoS"/>
    <w:qFormat/>
    <w:rsid w:val="00666F87"/>
    <w:pPr>
      <w:spacing w:before="240"/>
      <w:ind w:firstLine="0"/>
    </w:pPr>
    <w:rPr>
      <w:noProof/>
    </w:rPr>
  </w:style>
  <w:style w:type="paragraph" w:customStyle="1" w:styleId="Equation-PLoS">
    <w:name w:val="Equation-PLoS"/>
    <w:basedOn w:val="Normal"/>
    <w:next w:val="Normal"/>
    <w:qFormat/>
    <w:rsid w:val="00657524"/>
    <w:pPr>
      <w:spacing w:after="240"/>
      <w:ind w:firstLine="0"/>
      <w:jc w:val="center"/>
    </w:pPr>
    <w:rPr>
      <w:rFonts w:ascii="Cambria Math" w:hAnsi="Cambria Math"/>
    </w:rPr>
  </w:style>
  <w:style w:type="paragraph" w:styleId="NoSpacing">
    <w:name w:val="No Spacing"/>
    <w:uiPriority w:val="1"/>
    <w:qFormat/>
    <w:rsid w:val="008931E1"/>
    <w:pPr>
      <w:spacing w:after="0" w:line="240" w:lineRule="auto"/>
      <w:ind w:firstLine="432"/>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39344">
      <w:bodyDiv w:val="1"/>
      <w:marLeft w:val="0"/>
      <w:marRight w:val="0"/>
      <w:marTop w:val="0"/>
      <w:marBottom w:val="0"/>
      <w:divBdr>
        <w:top w:val="none" w:sz="0" w:space="0" w:color="auto"/>
        <w:left w:val="none" w:sz="0" w:space="0" w:color="auto"/>
        <w:bottom w:val="none" w:sz="0" w:space="0" w:color="auto"/>
        <w:right w:val="none" w:sz="0" w:space="0" w:color="auto"/>
      </w:divBdr>
      <w:divsChild>
        <w:div w:id="2126580156">
          <w:marLeft w:val="0"/>
          <w:marRight w:val="0"/>
          <w:marTop w:val="0"/>
          <w:marBottom w:val="0"/>
          <w:divBdr>
            <w:top w:val="none" w:sz="0" w:space="0" w:color="auto"/>
            <w:left w:val="none" w:sz="0" w:space="0" w:color="auto"/>
            <w:bottom w:val="none" w:sz="0" w:space="0" w:color="auto"/>
            <w:right w:val="none" w:sz="0" w:space="0" w:color="auto"/>
          </w:divBdr>
          <w:divsChild>
            <w:div w:id="1595361275">
              <w:marLeft w:val="0"/>
              <w:marRight w:val="0"/>
              <w:marTop w:val="0"/>
              <w:marBottom w:val="0"/>
              <w:divBdr>
                <w:top w:val="none" w:sz="0" w:space="0" w:color="auto"/>
                <w:left w:val="none" w:sz="0" w:space="0" w:color="auto"/>
                <w:bottom w:val="none" w:sz="0" w:space="0" w:color="auto"/>
                <w:right w:val="none" w:sz="0" w:space="0" w:color="auto"/>
              </w:divBdr>
              <w:divsChild>
                <w:div w:id="199323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122274">
      <w:bodyDiv w:val="1"/>
      <w:marLeft w:val="0"/>
      <w:marRight w:val="0"/>
      <w:marTop w:val="0"/>
      <w:marBottom w:val="0"/>
      <w:divBdr>
        <w:top w:val="none" w:sz="0" w:space="0" w:color="auto"/>
        <w:left w:val="none" w:sz="0" w:space="0" w:color="auto"/>
        <w:bottom w:val="none" w:sz="0" w:space="0" w:color="auto"/>
        <w:right w:val="none" w:sz="0" w:space="0" w:color="auto"/>
      </w:divBdr>
    </w:div>
    <w:div w:id="105663802">
      <w:bodyDiv w:val="1"/>
      <w:marLeft w:val="0"/>
      <w:marRight w:val="0"/>
      <w:marTop w:val="0"/>
      <w:marBottom w:val="0"/>
      <w:divBdr>
        <w:top w:val="none" w:sz="0" w:space="0" w:color="auto"/>
        <w:left w:val="none" w:sz="0" w:space="0" w:color="auto"/>
        <w:bottom w:val="none" w:sz="0" w:space="0" w:color="auto"/>
        <w:right w:val="none" w:sz="0" w:space="0" w:color="auto"/>
      </w:divBdr>
    </w:div>
    <w:div w:id="139226664">
      <w:bodyDiv w:val="1"/>
      <w:marLeft w:val="0"/>
      <w:marRight w:val="0"/>
      <w:marTop w:val="0"/>
      <w:marBottom w:val="0"/>
      <w:divBdr>
        <w:top w:val="none" w:sz="0" w:space="0" w:color="auto"/>
        <w:left w:val="none" w:sz="0" w:space="0" w:color="auto"/>
        <w:bottom w:val="none" w:sz="0" w:space="0" w:color="auto"/>
        <w:right w:val="none" w:sz="0" w:space="0" w:color="auto"/>
      </w:divBdr>
    </w:div>
    <w:div w:id="212933776">
      <w:bodyDiv w:val="1"/>
      <w:marLeft w:val="0"/>
      <w:marRight w:val="0"/>
      <w:marTop w:val="0"/>
      <w:marBottom w:val="0"/>
      <w:divBdr>
        <w:top w:val="none" w:sz="0" w:space="0" w:color="auto"/>
        <w:left w:val="none" w:sz="0" w:space="0" w:color="auto"/>
        <w:bottom w:val="none" w:sz="0" w:space="0" w:color="auto"/>
        <w:right w:val="none" w:sz="0" w:space="0" w:color="auto"/>
      </w:divBdr>
      <w:divsChild>
        <w:div w:id="593829805">
          <w:marLeft w:val="0"/>
          <w:marRight w:val="0"/>
          <w:marTop w:val="0"/>
          <w:marBottom w:val="0"/>
          <w:divBdr>
            <w:top w:val="none" w:sz="0" w:space="0" w:color="auto"/>
            <w:left w:val="none" w:sz="0" w:space="0" w:color="auto"/>
            <w:bottom w:val="none" w:sz="0" w:space="0" w:color="auto"/>
            <w:right w:val="none" w:sz="0" w:space="0" w:color="auto"/>
          </w:divBdr>
        </w:div>
        <w:div w:id="841970688">
          <w:marLeft w:val="0"/>
          <w:marRight w:val="0"/>
          <w:marTop w:val="0"/>
          <w:marBottom w:val="0"/>
          <w:divBdr>
            <w:top w:val="none" w:sz="0" w:space="0" w:color="auto"/>
            <w:left w:val="none" w:sz="0" w:space="0" w:color="auto"/>
            <w:bottom w:val="none" w:sz="0" w:space="0" w:color="auto"/>
            <w:right w:val="none" w:sz="0" w:space="0" w:color="auto"/>
          </w:divBdr>
        </w:div>
        <w:div w:id="1135758899">
          <w:marLeft w:val="0"/>
          <w:marRight w:val="0"/>
          <w:marTop w:val="0"/>
          <w:marBottom w:val="0"/>
          <w:divBdr>
            <w:top w:val="none" w:sz="0" w:space="0" w:color="auto"/>
            <w:left w:val="none" w:sz="0" w:space="0" w:color="auto"/>
            <w:bottom w:val="none" w:sz="0" w:space="0" w:color="auto"/>
            <w:right w:val="none" w:sz="0" w:space="0" w:color="auto"/>
          </w:divBdr>
        </w:div>
      </w:divsChild>
    </w:div>
    <w:div w:id="249505747">
      <w:bodyDiv w:val="1"/>
      <w:marLeft w:val="0"/>
      <w:marRight w:val="0"/>
      <w:marTop w:val="0"/>
      <w:marBottom w:val="0"/>
      <w:divBdr>
        <w:top w:val="none" w:sz="0" w:space="0" w:color="auto"/>
        <w:left w:val="none" w:sz="0" w:space="0" w:color="auto"/>
        <w:bottom w:val="none" w:sz="0" w:space="0" w:color="auto"/>
        <w:right w:val="none" w:sz="0" w:space="0" w:color="auto"/>
      </w:divBdr>
    </w:div>
    <w:div w:id="272321071">
      <w:bodyDiv w:val="1"/>
      <w:marLeft w:val="0"/>
      <w:marRight w:val="0"/>
      <w:marTop w:val="0"/>
      <w:marBottom w:val="0"/>
      <w:divBdr>
        <w:top w:val="none" w:sz="0" w:space="0" w:color="auto"/>
        <w:left w:val="none" w:sz="0" w:space="0" w:color="auto"/>
        <w:bottom w:val="none" w:sz="0" w:space="0" w:color="auto"/>
        <w:right w:val="none" w:sz="0" w:space="0" w:color="auto"/>
      </w:divBdr>
    </w:div>
    <w:div w:id="286543139">
      <w:bodyDiv w:val="1"/>
      <w:marLeft w:val="0"/>
      <w:marRight w:val="0"/>
      <w:marTop w:val="0"/>
      <w:marBottom w:val="0"/>
      <w:divBdr>
        <w:top w:val="none" w:sz="0" w:space="0" w:color="auto"/>
        <w:left w:val="none" w:sz="0" w:space="0" w:color="auto"/>
        <w:bottom w:val="none" w:sz="0" w:space="0" w:color="auto"/>
        <w:right w:val="none" w:sz="0" w:space="0" w:color="auto"/>
      </w:divBdr>
      <w:divsChild>
        <w:div w:id="1727336169">
          <w:marLeft w:val="0"/>
          <w:marRight w:val="0"/>
          <w:marTop w:val="0"/>
          <w:marBottom w:val="0"/>
          <w:divBdr>
            <w:top w:val="none" w:sz="0" w:space="0" w:color="auto"/>
            <w:left w:val="none" w:sz="0" w:space="0" w:color="auto"/>
            <w:bottom w:val="none" w:sz="0" w:space="0" w:color="auto"/>
            <w:right w:val="none" w:sz="0" w:space="0" w:color="auto"/>
          </w:divBdr>
          <w:divsChild>
            <w:div w:id="2068525866">
              <w:marLeft w:val="0"/>
              <w:marRight w:val="0"/>
              <w:marTop w:val="0"/>
              <w:marBottom w:val="0"/>
              <w:divBdr>
                <w:top w:val="none" w:sz="0" w:space="0" w:color="auto"/>
                <w:left w:val="none" w:sz="0" w:space="0" w:color="auto"/>
                <w:bottom w:val="none" w:sz="0" w:space="0" w:color="auto"/>
                <w:right w:val="none" w:sz="0" w:space="0" w:color="auto"/>
              </w:divBdr>
              <w:divsChild>
                <w:div w:id="380977053">
                  <w:marLeft w:val="0"/>
                  <w:marRight w:val="0"/>
                  <w:marTop w:val="0"/>
                  <w:marBottom w:val="0"/>
                  <w:divBdr>
                    <w:top w:val="none" w:sz="0" w:space="0" w:color="auto"/>
                    <w:left w:val="none" w:sz="0" w:space="0" w:color="auto"/>
                    <w:bottom w:val="none" w:sz="0" w:space="0" w:color="auto"/>
                    <w:right w:val="none" w:sz="0" w:space="0" w:color="auto"/>
                  </w:divBdr>
                  <w:divsChild>
                    <w:div w:id="169981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3821895">
      <w:bodyDiv w:val="1"/>
      <w:marLeft w:val="0"/>
      <w:marRight w:val="0"/>
      <w:marTop w:val="0"/>
      <w:marBottom w:val="0"/>
      <w:divBdr>
        <w:top w:val="none" w:sz="0" w:space="0" w:color="auto"/>
        <w:left w:val="none" w:sz="0" w:space="0" w:color="auto"/>
        <w:bottom w:val="none" w:sz="0" w:space="0" w:color="auto"/>
        <w:right w:val="none" w:sz="0" w:space="0" w:color="auto"/>
      </w:divBdr>
      <w:divsChild>
        <w:div w:id="171267122">
          <w:marLeft w:val="0"/>
          <w:marRight w:val="0"/>
          <w:marTop w:val="0"/>
          <w:marBottom w:val="0"/>
          <w:divBdr>
            <w:top w:val="none" w:sz="0" w:space="0" w:color="auto"/>
            <w:left w:val="none" w:sz="0" w:space="0" w:color="auto"/>
            <w:bottom w:val="none" w:sz="0" w:space="0" w:color="auto"/>
            <w:right w:val="none" w:sz="0" w:space="0" w:color="auto"/>
          </w:divBdr>
          <w:divsChild>
            <w:div w:id="1753429146">
              <w:marLeft w:val="0"/>
              <w:marRight w:val="0"/>
              <w:marTop w:val="0"/>
              <w:marBottom w:val="0"/>
              <w:divBdr>
                <w:top w:val="none" w:sz="0" w:space="0" w:color="auto"/>
                <w:left w:val="none" w:sz="0" w:space="0" w:color="auto"/>
                <w:bottom w:val="none" w:sz="0" w:space="0" w:color="auto"/>
                <w:right w:val="none" w:sz="0" w:space="0" w:color="auto"/>
              </w:divBdr>
              <w:divsChild>
                <w:div w:id="1050806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8653567">
      <w:bodyDiv w:val="1"/>
      <w:marLeft w:val="0"/>
      <w:marRight w:val="0"/>
      <w:marTop w:val="0"/>
      <w:marBottom w:val="0"/>
      <w:divBdr>
        <w:top w:val="none" w:sz="0" w:space="0" w:color="auto"/>
        <w:left w:val="none" w:sz="0" w:space="0" w:color="auto"/>
        <w:bottom w:val="none" w:sz="0" w:space="0" w:color="auto"/>
        <w:right w:val="none" w:sz="0" w:space="0" w:color="auto"/>
      </w:divBdr>
    </w:div>
    <w:div w:id="407389344">
      <w:bodyDiv w:val="1"/>
      <w:marLeft w:val="0"/>
      <w:marRight w:val="0"/>
      <w:marTop w:val="0"/>
      <w:marBottom w:val="0"/>
      <w:divBdr>
        <w:top w:val="none" w:sz="0" w:space="0" w:color="auto"/>
        <w:left w:val="none" w:sz="0" w:space="0" w:color="auto"/>
        <w:bottom w:val="none" w:sz="0" w:space="0" w:color="auto"/>
        <w:right w:val="none" w:sz="0" w:space="0" w:color="auto"/>
      </w:divBdr>
      <w:divsChild>
        <w:div w:id="775296869">
          <w:marLeft w:val="0"/>
          <w:marRight w:val="0"/>
          <w:marTop w:val="0"/>
          <w:marBottom w:val="0"/>
          <w:divBdr>
            <w:top w:val="none" w:sz="0" w:space="0" w:color="auto"/>
            <w:left w:val="none" w:sz="0" w:space="0" w:color="auto"/>
            <w:bottom w:val="none" w:sz="0" w:space="0" w:color="auto"/>
            <w:right w:val="none" w:sz="0" w:space="0" w:color="auto"/>
          </w:divBdr>
          <w:divsChild>
            <w:div w:id="184247511">
              <w:marLeft w:val="0"/>
              <w:marRight w:val="0"/>
              <w:marTop w:val="0"/>
              <w:marBottom w:val="0"/>
              <w:divBdr>
                <w:top w:val="none" w:sz="0" w:space="0" w:color="auto"/>
                <w:left w:val="none" w:sz="0" w:space="0" w:color="auto"/>
                <w:bottom w:val="none" w:sz="0" w:space="0" w:color="auto"/>
                <w:right w:val="none" w:sz="0" w:space="0" w:color="auto"/>
              </w:divBdr>
              <w:divsChild>
                <w:div w:id="911044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711057">
      <w:bodyDiv w:val="1"/>
      <w:marLeft w:val="0"/>
      <w:marRight w:val="0"/>
      <w:marTop w:val="0"/>
      <w:marBottom w:val="0"/>
      <w:divBdr>
        <w:top w:val="none" w:sz="0" w:space="0" w:color="auto"/>
        <w:left w:val="none" w:sz="0" w:space="0" w:color="auto"/>
        <w:bottom w:val="none" w:sz="0" w:space="0" w:color="auto"/>
        <w:right w:val="none" w:sz="0" w:space="0" w:color="auto"/>
      </w:divBdr>
      <w:divsChild>
        <w:div w:id="1716615774">
          <w:marLeft w:val="0"/>
          <w:marRight w:val="0"/>
          <w:marTop w:val="0"/>
          <w:marBottom w:val="0"/>
          <w:divBdr>
            <w:top w:val="none" w:sz="0" w:space="0" w:color="auto"/>
            <w:left w:val="none" w:sz="0" w:space="0" w:color="auto"/>
            <w:bottom w:val="none" w:sz="0" w:space="0" w:color="auto"/>
            <w:right w:val="none" w:sz="0" w:space="0" w:color="auto"/>
          </w:divBdr>
          <w:divsChild>
            <w:div w:id="1433159601">
              <w:marLeft w:val="0"/>
              <w:marRight w:val="0"/>
              <w:marTop w:val="0"/>
              <w:marBottom w:val="0"/>
              <w:divBdr>
                <w:top w:val="none" w:sz="0" w:space="0" w:color="auto"/>
                <w:left w:val="none" w:sz="0" w:space="0" w:color="auto"/>
                <w:bottom w:val="none" w:sz="0" w:space="0" w:color="auto"/>
                <w:right w:val="none" w:sz="0" w:space="0" w:color="auto"/>
              </w:divBdr>
              <w:divsChild>
                <w:div w:id="150604342">
                  <w:marLeft w:val="0"/>
                  <w:marRight w:val="0"/>
                  <w:marTop w:val="0"/>
                  <w:marBottom w:val="0"/>
                  <w:divBdr>
                    <w:top w:val="none" w:sz="0" w:space="0" w:color="auto"/>
                    <w:left w:val="none" w:sz="0" w:space="0" w:color="auto"/>
                    <w:bottom w:val="none" w:sz="0" w:space="0" w:color="auto"/>
                    <w:right w:val="none" w:sz="0" w:space="0" w:color="auto"/>
                  </w:divBdr>
                  <w:divsChild>
                    <w:div w:id="1720204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7844148">
      <w:bodyDiv w:val="1"/>
      <w:marLeft w:val="0"/>
      <w:marRight w:val="0"/>
      <w:marTop w:val="0"/>
      <w:marBottom w:val="0"/>
      <w:divBdr>
        <w:top w:val="none" w:sz="0" w:space="0" w:color="auto"/>
        <w:left w:val="none" w:sz="0" w:space="0" w:color="auto"/>
        <w:bottom w:val="none" w:sz="0" w:space="0" w:color="auto"/>
        <w:right w:val="none" w:sz="0" w:space="0" w:color="auto"/>
      </w:divBdr>
      <w:divsChild>
        <w:div w:id="976911919">
          <w:marLeft w:val="0"/>
          <w:marRight w:val="0"/>
          <w:marTop w:val="0"/>
          <w:marBottom w:val="0"/>
          <w:divBdr>
            <w:top w:val="none" w:sz="0" w:space="6" w:color="auto"/>
            <w:left w:val="single" w:sz="6" w:space="6" w:color="CCCCCC"/>
            <w:bottom w:val="none" w:sz="0" w:space="6" w:color="auto"/>
            <w:right w:val="none" w:sz="0" w:space="9" w:color="auto"/>
          </w:divBdr>
        </w:div>
        <w:div w:id="1938437067">
          <w:marLeft w:val="270"/>
          <w:marRight w:val="270"/>
          <w:marTop w:val="0"/>
          <w:marBottom w:val="0"/>
          <w:divBdr>
            <w:top w:val="single" w:sz="6" w:space="0" w:color="CCCCCC"/>
            <w:left w:val="single" w:sz="6" w:space="0" w:color="CCCCCC"/>
            <w:bottom w:val="single" w:sz="6" w:space="0" w:color="CCCCCC"/>
            <w:right w:val="single" w:sz="6" w:space="0" w:color="CCCCCC"/>
          </w:divBdr>
        </w:div>
        <w:div w:id="867643800">
          <w:marLeft w:val="0"/>
          <w:marRight w:val="0"/>
          <w:marTop w:val="0"/>
          <w:marBottom w:val="0"/>
          <w:divBdr>
            <w:top w:val="none" w:sz="0" w:space="0" w:color="auto"/>
            <w:left w:val="none" w:sz="0" w:space="0" w:color="auto"/>
            <w:bottom w:val="none" w:sz="0" w:space="0" w:color="auto"/>
            <w:right w:val="none" w:sz="0" w:space="0" w:color="auto"/>
          </w:divBdr>
          <w:divsChild>
            <w:div w:id="213359005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505629563">
      <w:bodyDiv w:val="1"/>
      <w:marLeft w:val="0"/>
      <w:marRight w:val="0"/>
      <w:marTop w:val="0"/>
      <w:marBottom w:val="0"/>
      <w:divBdr>
        <w:top w:val="none" w:sz="0" w:space="0" w:color="auto"/>
        <w:left w:val="none" w:sz="0" w:space="0" w:color="auto"/>
        <w:bottom w:val="none" w:sz="0" w:space="0" w:color="auto"/>
        <w:right w:val="none" w:sz="0" w:space="0" w:color="auto"/>
      </w:divBdr>
    </w:div>
    <w:div w:id="572817112">
      <w:bodyDiv w:val="1"/>
      <w:marLeft w:val="0"/>
      <w:marRight w:val="0"/>
      <w:marTop w:val="0"/>
      <w:marBottom w:val="0"/>
      <w:divBdr>
        <w:top w:val="none" w:sz="0" w:space="0" w:color="auto"/>
        <w:left w:val="none" w:sz="0" w:space="0" w:color="auto"/>
        <w:bottom w:val="none" w:sz="0" w:space="0" w:color="auto"/>
        <w:right w:val="none" w:sz="0" w:space="0" w:color="auto"/>
      </w:divBdr>
    </w:div>
    <w:div w:id="632759934">
      <w:bodyDiv w:val="1"/>
      <w:marLeft w:val="0"/>
      <w:marRight w:val="0"/>
      <w:marTop w:val="0"/>
      <w:marBottom w:val="0"/>
      <w:divBdr>
        <w:top w:val="none" w:sz="0" w:space="0" w:color="auto"/>
        <w:left w:val="none" w:sz="0" w:space="0" w:color="auto"/>
        <w:bottom w:val="none" w:sz="0" w:space="0" w:color="auto"/>
        <w:right w:val="none" w:sz="0" w:space="0" w:color="auto"/>
      </w:divBdr>
    </w:div>
    <w:div w:id="673652890">
      <w:bodyDiv w:val="1"/>
      <w:marLeft w:val="0"/>
      <w:marRight w:val="0"/>
      <w:marTop w:val="0"/>
      <w:marBottom w:val="0"/>
      <w:divBdr>
        <w:top w:val="none" w:sz="0" w:space="0" w:color="auto"/>
        <w:left w:val="none" w:sz="0" w:space="0" w:color="auto"/>
        <w:bottom w:val="none" w:sz="0" w:space="0" w:color="auto"/>
        <w:right w:val="none" w:sz="0" w:space="0" w:color="auto"/>
      </w:divBdr>
    </w:div>
    <w:div w:id="752775605">
      <w:bodyDiv w:val="1"/>
      <w:marLeft w:val="0"/>
      <w:marRight w:val="0"/>
      <w:marTop w:val="0"/>
      <w:marBottom w:val="0"/>
      <w:divBdr>
        <w:top w:val="none" w:sz="0" w:space="0" w:color="auto"/>
        <w:left w:val="none" w:sz="0" w:space="0" w:color="auto"/>
        <w:bottom w:val="none" w:sz="0" w:space="0" w:color="auto"/>
        <w:right w:val="none" w:sz="0" w:space="0" w:color="auto"/>
      </w:divBdr>
    </w:div>
    <w:div w:id="761220421">
      <w:bodyDiv w:val="1"/>
      <w:marLeft w:val="0"/>
      <w:marRight w:val="0"/>
      <w:marTop w:val="0"/>
      <w:marBottom w:val="0"/>
      <w:divBdr>
        <w:top w:val="none" w:sz="0" w:space="0" w:color="auto"/>
        <w:left w:val="none" w:sz="0" w:space="0" w:color="auto"/>
        <w:bottom w:val="none" w:sz="0" w:space="0" w:color="auto"/>
        <w:right w:val="none" w:sz="0" w:space="0" w:color="auto"/>
      </w:divBdr>
    </w:div>
    <w:div w:id="793138149">
      <w:bodyDiv w:val="1"/>
      <w:marLeft w:val="0"/>
      <w:marRight w:val="0"/>
      <w:marTop w:val="0"/>
      <w:marBottom w:val="0"/>
      <w:divBdr>
        <w:top w:val="none" w:sz="0" w:space="0" w:color="auto"/>
        <w:left w:val="none" w:sz="0" w:space="0" w:color="auto"/>
        <w:bottom w:val="none" w:sz="0" w:space="0" w:color="auto"/>
        <w:right w:val="none" w:sz="0" w:space="0" w:color="auto"/>
      </w:divBdr>
    </w:div>
    <w:div w:id="828058101">
      <w:bodyDiv w:val="1"/>
      <w:marLeft w:val="0"/>
      <w:marRight w:val="0"/>
      <w:marTop w:val="0"/>
      <w:marBottom w:val="0"/>
      <w:divBdr>
        <w:top w:val="none" w:sz="0" w:space="0" w:color="auto"/>
        <w:left w:val="none" w:sz="0" w:space="0" w:color="auto"/>
        <w:bottom w:val="none" w:sz="0" w:space="0" w:color="auto"/>
        <w:right w:val="none" w:sz="0" w:space="0" w:color="auto"/>
      </w:divBdr>
      <w:divsChild>
        <w:div w:id="2136941038">
          <w:marLeft w:val="0"/>
          <w:marRight w:val="0"/>
          <w:marTop w:val="0"/>
          <w:marBottom w:val="0"/>
          <w:divBdr>
            <w:top w:val="none" w:sz="0" w:space="0" w:color="auto"/>
            <w:left w:val="none" w:sz="0" w:space="0" w:color="auto"/>
            <w:bottom w:val="none" w:sz="0" w:space="0" w:color="auto"/>
            <w:right w:val="none" w:sz="0" w:space="0" w:color="auto"/>
          </w:divBdr>
          <w:divsChild>
            <w:div w:id="245189240">
              <w:marLeft w:val="0"/>
              <w:marRight w:val="0"/>
              <w:marTop w:val="0"/>
              <w:marBottom w:val="0"/>
              <w:divBdr>
                <w:top w:val="none" w:sz="0" w:space="0" w:color="auto"/>
                <w:left w:val="none" w:sz="0" w:space="0" w:color="auto"/>
                <w:bottom w:val="none" w:sz="0" w:space="0" w:color="auto"/>
                <w:right w:val="none" w:sz="0" w:space="0" w:color="auto"/>
              </w:divBdr>
              <w:divsChild>
                <w:div w:id="29001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6188066">
      <w:bodyDiv w:val="1"/>
      <w:marLeft w:val="0"/>
      <w:marRight w:val="0"/>
      <w:marTop w:val="0"/>
      <w:marBottom w:val="0"/>
      <w:divBdr>
        <w:top w:val="none" w:sz="0" w:space="0" w:color="auto"/>
        <w:left w:val="none" w:sz="0" w:space="0" w:color="auto"/>
        <w:bottom w:val="none" w:sz="0" w:space="0" w:color="auto"/>
        <w:right w:val="none" w:sz="0" w:space="0" w:color="auto"/>
      </w:divBdr>
    </w:div>
    <w:div w:id="892694130">
      <w:bodyDiv w:val="1"/>
      <w:marLeft w:val="0"/>
      <w:marRight w:val="0"/>
      <w:marTop w:val="0"/>
      <w:marBottom w:val="0"/>
      <w:divBdr>
        <w:top w:val="none" w:sz="0" w:space="0" w:color="auto"/>
        <w:left w:val="none" w:sz="0" w:space="0" w:color="auto"/>
        <w:bottom w:val="none" w:sz="0" w:space="0" w:color="auto"/>
        <w:right w:val="none" w:sz="0" w:space="0" w:color="auto"/>
      </w:divBdr>
    </w:div>
    <w:div w:id="893084763">
      <w:bodyDiv w:val="1"/>
      <w:marLeft w:val="0"/>
      <w:marRight w:val="0"/>
      <w:marTop w:val="0"/>
      <w:marBottom w:val="0"/>
      <w:divBdr>
        <w:top w:val="none" w:sz="0" w:space="0" w:color="auto"/>
        <w:left w:val="none" w:sz="0" w:space="0" w:color="auto"/>
        <w:bottom w:val="none" w:sz="0" w:space="0" w:color="auto"/>
        <w:right w:val="none" w:sz="0" w:space="0" w:color="auto"/>
      </w:divBdr>
      <w:divsChild>
        <w:div w:id="1926644048">
          <w:marLeft w:val="0"/>
          <w:marRight w:val="0"/>
          <w:marTop w:val="0"/>
          <w:marBottom w:val="0"/>
          <w:divBdr>
            <w:top w:val="none" w:sz="0" w:space="0" w:color="auto"/>
            <w:left w:val="none" w:sz="0" w:space="0" w:color="auto"/>
            <w:bottom w:val="none" w:sz="0" w:space="0" w:color="auto"/>
            <w:right w:val="none" w:sz="0" w:space="0" w:color="auto"/>
          </w:divBdr>
          <w:divsChild>
            <w:div w:id="1732072984">
              <w:marLeft w:val="0"/>
              <w:marRight w:val="0"/>
              <w:marTop w:val="0"/>
              <w:marBottom w:val="0"/>
              <w:divBdr>
                <w:top w:val="none" w:sz="0" w:space="0" w:color="auto"/>
                <w:left w:val="none" w:sz="0" w:space="0" w:color="auto"/>
                <w:bottom w:val="none" w:sz="0" w:space="0" w:color="auto"/>
                <w:right w:val="none" w:sz="0" w:space="0" w:color="auto"/>
              </w:divBdr>
              <w:divsChild>
                <w:div w:id="529033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874183">
      <w:bodyDiv w:val="1"/>
      <w:marLeft w:val="0"/>
      <w:marRight w:val="0"/>
      <w:marTop w:val="0"/>
      <w:marBottom w:val="0"/>
      <w:divBdr>
        <w:top w:val="none" w:sz="0" w:space="0" w:color="auto"/>
        <w:left w:val="none" w:sz="0" w:space="0" w:color="auto"/>
        <w:bottom w:val="none" w:sz="0" w:space="0" w:color="auto"/>
        <w:right w:val="none" w:sz="0" w:space="0" w:color="auto"/>
      </w:divBdr>
    </w:div>
    <w:div w:id="918825183">
      <w:bodyDiv w:val="1"/>
      <w:marLeft w:val="0"/>
      <w:marRight w:val="0"/>
      <w:marTop w:val="0"/>
      <w:marBottom w:val="0"/>
      <w:divBdr>
        <w:top w:val="none" w:sz="0" w:space="0" w:color="auto"/>
        <w:left w:val="none" w:sz="0" w:space="0" w:color="auto"/>
        <w:bottom w:val="none" w:sz="0" w:space="0" w:color="auto"/>
        <w:right w:val="none" w:sz="0" w:space="0" w:color="auto"/>
      </w:divBdr>
    </w:div>
    <w:div w:id="921722588">
      <w:bodyDiv w:val="1"/>
      <w:marLeft w:val="0"/>
      <w:marRight w:val="0"/>
      <w:marTop w:val="0"/>
      <w:marBottom w:val="0"/>
      <w:divBdr>
        <w:top w:val="none" w:sz="0" w:space="0" w:color="auto"/>
        <w:left w:val="none" w:sz="0" w:space="0" w:color="auto"/>
        <w:bottom w:val="none" w:sz="0" w:space="0" w:color="auto"/>
        <w:right w:val="none" w:sz="0" w:space="0" w:color="auto"/>
      </w:divBdr>
    </w:div>
    <w:div w:id="945577094">
      <w:bodyDiv w:val="1"/>
      <w:marLeft w:val="0"/>
      <w:marRight w:val="0"/>
      <w:marTop w:val="0"/>
      <w:marBottom w:val="0"/>
      <w:divBdr>
        <w:top w:val="none" w:sz="0" w:space="0" w:color="auto"/>
        <w:left w:val="none" w:sz="0" w:space="0" w:color="auto"/>
        <w:bottom w:val="none" w:sz="0" w:space="0" w:color="auto"/>
        <w:right w:val="none" w:sz="0" w:space="0" w:color="auto"/>
      </w:divBdr>
    </w:div>
    <w:div w:id="984041337">
      <w:bodyDiv w:val="1"/>
      <w:marLeft w:val="0"/>
      <w:marRight w:val="0"/>
      <w:marTop w:val="0"/>
      <w:marBottom w:val="0"/>
      <w:divBdr>
        <w:top w:val="none" w:sz="0" w:space="0" w:color="auto"/>
        <w:left w:val="none" w:sz="0" w:space="0" w:color="auto"/>
        <w:bottom w:val="none" w:sz="0" w:space="0" w:color="auto"/>
        <w:right w:val="none" w:sz="0" w:space="0" w:color="auto"/>
      </w:divBdr>
      <w:divsChild>
        <w:div w:id="1680350424">
          <w:marLeft w:val="0"/>
          <w:marRight w:val="0"/>
          <w:marTop w:val="0"/>
          <w:marBottom w:val="0"/>
          <w:divBdr>
            <w:top w:val="none" w:sz="0" w:space="0" w:color="auto"/>
            <w:left w:val="none" w:sz="0" w:space="0" w:color="auto"/>
            <w:bottom w:val="none" w:sz="0" w:space="0" w:color="auto"/>
            <w:right w:val="none" w:sz="0" w:space="0" w:color="auto"/>
          </w:divBdr>
        </w:div>
        <w:div w:id="1999846741">
          <w:marLeft w:val="0"/>
          <w:marRight w:val="0"/>
          <w:marTop w:val="0"/>
          <w:marBottom w:val="0"/>
          <w:divBdr>
            <w:top w:val="none" w:sz="0" w:space="0" w:color="auto"/>
            <w:left w:val="none" w:sz="0" w:space="0" w:color="auto"/>
            <w:bottom w:val="none" w:sz="0" w:space="0" w:color="auto"/>
            <w:right w:val="none" w:sz="0" w:space="0" w:color="auto"/>
          </w:divBdr>
        </w:div>
      </w:divsChild>
    </w:div>
    <w:div w:id="1033730320">
      <w:bodyDiv w:val="1"/>
      <w:marLeft w:val="0"/>
      <w:marRight w:val="0"/>
      <w:marTop w:val="0"/>
      <w:marBottom w:val="0"/>
      <w:divBdr>
        <w:top w:val="none" w:sz="0" w:space="0" w:color="auto"/>
        <w:left w:val="none" w:sz="0" w:space="0" w:color="auto"/>
        <w:bottom w:val="none" w:sz="0" w:space="0" w:color="auto"/>
        <w:right w:val="none" w:sz="0" w:space="0" w:color="auto"/>
      </w:divBdr>
      <w:divsChild>
        <w:div w:id="609943769">
          <w:marLeft w:val="360"/>
          <w:marRight w:val="0"/>
          <w:marTop w:val="200"/>
          <w:marBottom w:val="0"/>
          <w:divBdr>
            <w:top w:val="none" w:sz="0" w:space="0" w:color="auto"/>
            <w:left w:val="none" w:sz="0" w:space="0" w:color="auto"/>
            <w:bottom w:val="none" w:sz="0" w:space="0" w:color="auto"/>
            <w:right w:val="none" w:sz="0" w:space="0" w:color="auto"/>
          </w:divBdr>
        </w:div>
        <w:div w:id="612900692">
          <w:marLeft w:val="1080"/>
          <w:marRight w:val="0"/>
          <w:marTop w:val="100"/>
          <w:marBottom w:val="0"/>
          <w:divBdr>
            <w:top w:val="none" w:sz="0" w:space="0" w:color="auto"/>
            <w:left w:val="none" w:sz="0" w:space="0" w:color="auto"/>
            <w:bottom w:val="none" w:sz="0" w:space="0" w:color="auto"/>
            <w:right w:val="none" w:sz="0" w:space="0" w:color="auto"/>
          </w:divBdr>
        </w:div>
        <w:div w:id="678776750">
          <w:marLeft w:val="1080"/>
          <w:marRight w:val="0"/>
          <w:marTop w:val="100"/>
          <w:marBottom w:val="0"/>
          <w:divBdr>
            <w:top w:val="none" w:sz="0" w:space="0" w:color="auto"/>
            <w:left w:val="none" w:sz="0" w:space="0" w:color="auto"/>
            <w:bottom w:val="none" w:sz="0" w:space="0" w:color="auto"/>
            <w:right w:val="none" w:sz="0" w:space="0" w:color="auto"/>
          </w:divBdr>
        </w:div>
        <w:div w:id="1601914374">
          <w:marLeft w:val="1800"/>
          <w:marRight w:val="0"/>
          <w:marTop w:val="100"/>
          <w:marBottom w:val="0"/>
          <w:divBdr>
            <w:top w:val="none" w:sz="0" w:space="0" w:color="auto"/>
            <w:left w:val="none" w:sz="0" w:space="0" w:color="auto"/>
            <w:bottom w:val="none" w:sz="0" w:space="0" w:color="auto"/>
            <w:right w:val="none" w:sz="0" w:space="0" w:color="auto"/>
          </w:divBdr>
        </w:div>
        <w:div w:id="1602255004">
          <w:marLeft w:val="360"/>
          <w:marRight w:val="0"/>
          <w:marTop w:val="200"/>
          <w:marBottom w:val="0"/>
          <w:divBdr>
            <w:top w:val="none" w:sz="0" w:space="0" w:color="auto"/>
            <w:left w:val="none" w:sz="0" w:space="0" w:color="auto"/>
            <w:bottom w:val="none" w:sz="0" w:space="0" w:color="auto"/>
            <w:right w:val="none" w:sz="0" w:space="0" w:color="auto"/>
          </w:divBdr>
        </w:div>
        <w:div w:id="1782257260">
          <w:marLeft w:val="1080"/>
          <w:marRight w:val="0"/>
          <w:marTop w:val="100"/>
          <w:marBottom w:val="0"/>
          <w:divBdr>
            <w:top w:val="none" w:sz="0" w:space="0" w:color="auto"/>
            <w:left w:val="none" w:sz="0" w:space="0" w:color="auto"/>
            <w:bottom w:val="none" w:sz="0" w:space="0" w:color="auto"/>
            <w:right w:val="none" w:sz="0" w:space="0" w:color="auto"/>
          </w:divBdr>
        </w:div>
        <w:div w:id="1368792250">
          <w:marLeft w:val="360"/>
          <w:marRight w:val="0"/>
          <w:marTop w:val="200"/>
          <w:marBottom w:val="0"/>
          <w:divBdr>
            <w:top w:val="none" w:sz="0" w:space="0" w:color="auto"/>
            <w:left w:val="none" w:sz="0" w:space="0" w:color="auto"/>
            <w:bottom w:val="none" w:sz="0" w:space="0" w:color="auto"/>
            <w:right w:val="none" w:sz="0" w:space="0" w:color="auto"/>
          </w:divBdr>
        </w:div>
        <w:div w:id="440418003">
          <w:marLeft w:val="1080"/>
          <w:marRight w:val="0"/>
          <w:marTop w:val="100"/>
          <w:marBottom w:val="0"/>
          <w:divBdr>
            <w:top w:val="none" w:sz="0" w:space="0" w:color="auto"/>
            <w:left w:val="none" w:sz="0" w:space="0" w:color="auto"/>
            <w:bottom w:val="none" w:sz="0" w:space="0" w:color="auto"/>
            <w:right w:val="none" w:sz="0" w:space="0" w:color="auto"/>
          </w:divBdr>
        </w:div>
      </w:divsChild>
    </w:div>
    <w:div w:id="1075011824">
      <w:bodyDiv w:val="1"/>
      <w:marLeft w:val="0"/>
      <w:marRight w:val="0"/>
      <w:marTop w:val="0"/>
      <w:marBottom w:val="0"/>
      <w:divBdr>
        <w:top w:val="none" w:sz="0" w:space="0" w:color="auto"/>
        <w:left w:val="none" w:sz="0" w:space="0" w:color="auto"/>
        <w:bottom w:val="none" w:sz="0" w:space="0" w:color="auto"/>
        <w:right w:val="none" w:sz="0" w:space="0" w:color="auto"/>
      </w:divBdr>
    </w:div>
    <w:div w:id="1088425099">
      <w:bodyDiv w:val="1"/>
      <w:marLeft w:val="0"/>
      <w:marRight w:val="0"/>
      <w:marTop w:val="0"/>
      <w:marBottom w:val="0"/>
      <w:divBdr>
        <w:top w:val="none" w:sz="0" w:space="0" w:color="auto"/>
        <w:left w:val="none" w:sz="0" w:space="0" w:color="auto"/>
        <w:bottom w:val="none" w:sz="0" w:space="0" w:color="auto"/>
        <w:right w:val="none" w:sz="0" w:space="0" w:color="auto"/>
      </w:divBdr>
    </w:div>
    <w:div w:id="1091514582">
      <w:bodyDiv w:val="1"/>
      <w:marLeft w:val="0"/>
      <w:marRight w:val="0"/>
      <w:marTop w:val="0"/>
      <w:marBottom w:val="0"/>
      <w:divBdr>
        <w:top w:val="none" w:sz="0" w:space="0" w:color="auto"/>
        <w:left w:val="none" w:sz="0" w:space="0" w:color="auto"/>
        <w:bottom w:val="none" w:sz="0" w:space="0" w:color="auto"/>
        <w:right w:val="none" w:sz="0" w:space="0" w:color="auto"/>
      </w:divBdr>
    </w:div>
    <w:div w:id="1106538738">
      <w:bodyDiv w:val="1"/>
      <w:marLeft w:val="0"/>
      <w:marRight w:val="0"/>
      <w:marTop w:val="0"/>
      <w:marBottom w:val="0"/>
      <w:divBdr>
        <w:top w:val="none" w:sz="0" w:space="0" w:color="auto"/>
        <w:left w:val="none" w:sz="0" w:space="0" w:color="auto"/>
        <w:bottom w:val="none" w:sz="0" w:space="0" w:color="auto"/>
        <w:right w:val="none" w:sz="0" w:space="0" w:color="auto"/>
      </w:divBdr>
    </w:div>
    <w:div w:id="1117261790">
      <w:bodyDiv w:val="1"/>
      <w:marLeft w:val="0"/>
      <w:marRight w:val="0"/>
      <w:marTop w:val="0"/>
      <w:marBottom w:val="0"/>
      <w:divBdr>
        <w:top w:val="none" w:sz="0" w:space="0" w:color="auto"/>
        <w:left w:val="none" w:sz="0" w:space="0" w:color="auto"/>
        <w:bottom w:val="none" w:sz="0" w:space="0" w:color="auto"/>
        <w:right w:val="none" w:sz="0" w:space="0" w:color="auto"/>
      </w:divBdr>
    </w:div>
    <w:div w:id="1161626917">
      <w:bodyDiv w:val="1"/>
      <w:marLeft w:val="0"/>
      <w:marRight w:val="0"/>
      <w:marTop w:val="0"/>
      <w:marBottom w:val="0"/>
      <w:divBdr>
        <w:top w:val="none" w:sz="0" w:space="0" w:color="auto"/>
        <w:left w:val="none" w:sz="0" w:space="0" w:color="auto"/>
        <w:bottom w:val="none" w:sz="0" w:space="0" w:color="auto"/>
        <w:right w:val="none" w:sz="0" w:space="0" w:color="auto"/>
      </w:divBdr>
    </w:div>
    <w:div w:id="1225989332">
      <w:bodyDiv w:val="1"/>
      <w:marLeft w:val="0"/>
      <w:marRight w:val="0"/>
      <w:marTop w:val="0"/>
      <w:marBottom w:val="0"/>
      <w:divBdr>
        <w:top w:val="none" w:sz="0" w:space="0" w:color="auto"/>
        <w:left w:val="none" w:sz="0" w:space="0" w:color="auto"/>
        <w:bottom w:val="none" w:sz="0" w:space="0" w:color="auto"/>
        <w:right w:val="none" w:sz="0" w:space="0" w:color="auto"/>
      </w:divBdr>
    </w:div>
    <w:div w:id="1234045803">
      <w:bodyDiv w:val="1"/>
      <w:marLeft w:val="0"/>
      <w:marRight w:val="0"/>
      <w:marTop w:val="0"/>
      <w:marBottom w:val="0"/>
      <w:divBdr>
        <w:top w:val="none" w:sz="0" w:space="0" w:color="auto"/>
        <w:left w:val="none" w:sz="0" w:space="0" w:color="auto"/>
        <w:bottom w:val="none" w:sz="0" w:space="0" w:color="auto"/>
        <w:right w:val="none" w:sz="0" w:space="0" w:color="auto"/>
      </w:divBdr>
    </w:div>
    <w:div w:id="1268075450">
      <w:bodyDiv w:val="1"/>
      <w:marLeft w:val="0"/>
      <w:marRight w:val="0"/>
      <w:marTop w:val="0"/>
      <w:marBottom w:val="0"/>
      <w:divBdr>
        <w:top w:val="none" w:sz="0" w:space="0" w:color="auto"/>
        <w:left w:val="none" w:sz="0" w:space="0" w:color="auto"/>
        <w:bottom w:val="none" w:sz="0" w:space="0" w:color="auto"/>
        <w:right w:val="none" w:sz="0" w:space="0" w:color="auto"/>
      </w:divBdr>
    </w:div>
    <w:div w:id="1306623597">
      <w:bodyDiv w:val="1"/>
      <w:marLeft w:val="0"/>
      <w:marRight w:val="0"/>
      <w:marTop w:val="0"/>
      <w:marBottom w:val="0"/>
      <w:divBdr>
        <w:top w:val="none" w:sz="0" w:space="0" w:color="auto"/>
        <w:left w:val="none" w:sz="0" w:space="0" w:color="auto"/>
        <w:bottom w:val="none" w:sz="0" w:space="0" w:color="auto"/>
        <w:right w:val="none" w:sz="0" w:space="0" w:color="auto"/>
      </w:divBdr>
    </w:div>
    <w:div w:id="1367557462">
      <w:bodyDiv w:val="1"/>
      <w:marLeft w:val="0"/>
      <w:marRight w:val="0"/>
      <w:marTop w:val="0"/>
      <w:marBottom w:val="0"/>
      <w:divBdr>
        <w:top w:val="none" w:sz="0" w:space="0" w:color="auto"/>
        <w:left w:val="none" w:sz="0" w:space="0" w:color="auto"/>
        <w:bottom w:val="none" w:sz="0" w:space="0" w:color="auto"/>
        <w:right w:val="none" w:sz="0" w:space="0" w:color="auto"/>
      </w:divBdr>
    </w:div>
    <w:div w:id="1389301264">
      <w:bodyDiv w:val="1"/>
      <w:marLeft w:val="0"/>
      <w:marRight w:val="0"/>
      <w:marTop w:val="0"/>
      <w:marBottom w:val="0"/>
      <w:divBdr>
        <w:top w:val="none" w:sz="0" w:space="0" w:color="auto"/>
        <w:left w:val="none" w:sz="0" w:space="0" w:color="auto"/>
        <w:bottom w:val="none" w:sz="0" w:space="0" w:color="auto"/>
        <w:right w:val="none" w:sz="0" w:space="0" w:color="auto"/>
      </w:divBdr>
      <w:divsChild>
        <w:div w:id="312414118">
          <w:marLeft w:val="0"/>
          <w:marRight w:val="0"/>
          <w:marTop w:val="0"/>
          <w:marBottom w:val="0"/>
          <w:divBdr>
            <w:top w:val="none" w:sz="0" w:space="0" w:color="auto"/>
            <w:left w:val="none" w:sz="0" w:space="0" w:color="auto"/>
            <w:bottom w:val="none" w:sz="0" w:space="0" w:color="auto"/>
            <w:right w:val="none" w:sz="0" w:space="0" w:color="auto"/>
          </w:divBdr>
          <w:divsChild>
            <w:div w:id="1121607904">
              <w:marLeft w:val="0"/>
              <w:marRight w:val="0"/>
              <w:marTop w:val="0"/>
              <w:marBottom w:val="0"/>
              <w:divBdr>
                <w:top w:val="none" w:sz="0" w:space="0" w:color="auto"/>
                <w:left w:val="none" w:sz="0" w:space="0" w:color="auto"/>
                <w:bottom w:val="none" w:sz="0" w:space="0" w:color="auto"/>
                <w:right w:val="none" w:sz="0" w:space="0" w:color="auto"/>
              </w:divBdr>
              <w:divsChild>
                <w:div w:id="1668248889">
                  <w:marLeft w:val="0"/>
                  <w:marRight w:val="0"/>
                  <w:marTop w:val="0"/>
                  <w:marBottom w:val="0"/>
                  <w:divBdr>
                    <w:top w:val="none" w:sz="0" w:space="0" w:color="auto"/>
                    <w:left w:val="none" w:sz="0" w:space="0" w:color="auto"/>
                    <w:bottom w:val="none" w:sz="0" w:space="0" w:color="auto"/>
                    <w:right w:val="none" w:sz="0" w:space="0" w:color="auto"/>
                  </w:divBdr>
                  <w:divsChild>
                    <w:div w:id="101969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6409292">
      <w:bodyDiv w:val="1"/>
      <w:marLeft w:val="0"/>
      <w:marRight w:val="0"/>
      <w:marTop w:val="0"/>
      <w:marBottom w:val="0"/>
      <w:divBdr>
        <w:top w:val="none" w:sz="0" w:space="0" w:color="auto"/>
        <w:left w:val="none" w:sz="0" w:space="0" w:color="auto"/>
        <w:bottom w:val="none" w:sz="0" w:space="0" w:color="auto"/>
        <w:right w:val="none" w:sz="0" w:space="0" w:color="auto"/>
      </w:divBdr>
    </w:div>
    <w:div w:id="1513455466">
      <w:bodyDiv w:val="1"/>
      <w:marLeft w:val="0"/>
      <w:marRight w:val="0"/>
      <w:marTop w:val="0"/>
      <w:marBottom w:val="0"/>
      <w:divBdr>
        <w:top w:val="none" w:sz="0" w:space="0" w:color="auto"/>
        <w:left w:val="none" w:sz="0" w:space="0" w:color="auto"/>
        <w:bottom w:val="none" w:sz="0" w:space="0" w:color="auto"/>
        <w:right w:val="none" w:sz="0" w:space="0" w:color="auto"/>
      </w:divBdr>
    </w:div>
    <w:div w:id="1517965675">
      <w:bodyDiv w:val="1"/>
      <w:marLeft w:val="0"/>
      <w:marRight w:val="0"/>
      <w:marTop w:val="0"/>
      <w:marBottom w:val="0"/>
      <w:divBdr>
        <w:top w:val="none" w:sz="0" w:space="0" w:color="auto"/>
        <w:left w:val="none" w:sz="0" w:space="0" w:color="auto"/>
        <w:bottom w:val="none" w:sz="0" w:space="0" w:color="auto"/>
        <w:right w:val="none" w:sz="0" w:space="0" w:color="auto"/>
      </w:divBdr>
      <w:divsChild>
        <w:div w:id="1878351207">
          <w:marLeft w:val="0"/>
          <w:marRight w:val="0"/>
          <w:marTop w:val="0"/>
          <w:marBottom w:val="0"/>
          <w:divBdr>
            <w:top w:val="none" w:sz="0" w:space="0" w:color="auto"/>
            <w:left w:val="none" w:sz="0" w:space="0" w:color="auto"/>
            <w:bottom w:val="none" w:sz="0" w:space="0" w:color="auto"/>
            <w:right w:val="none" w:sz="0" w:space="0" w:color="auto"/>
          </w:divBdr>
          <w:divsChild>
            <w:div w:id="1353416455">
              <w:marLeft w:val="0"/>
              <w:marRight w:val="0"/>
              <w:marTop w:val="0"/>
              <w:marBottom w:val="0"/>
              <w:divBdr>
                <w:top w:val="none" w:sz="0" w:space="0" w:color="auto"/>
                <w:left w:val="none" w:sz="0" w:space="0" w:color="auto"/>
                <w:bottom w:val="none" w:sz="0" w:space="0" w:color="auto"/>
                <w:right w:val="none" w:sz="0" w:space="0" w:color="auto"/>
              </w:divBdr>
              <w:divsChild>
                <w:div w:id="1012682539">
                  <w:marLeft w:val="0"/>
                  <w:marRight w:val="0"/>
                  <w:marTop w:val="0"/>
                  <w:marBottom w:val="0"/>
                  <w:divBdr>
                    <w:top w:val="none" w:sz="0" w:space="0" w:color="auto"/>
                    <w:left w:val="none" w:sz="0" w:space="0" w:color="auto"/>
                    <w:bottom w:val="none" w:sz="0" w:space="0" w:color="auto"/>
                    <w:right w:val="none" w:sz="0" w:space="0" w:color="auto"/>
                  </w:divBdr>
                  <w:divsChild>
                    <w:div w:id="739980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3416924">
      <w:bodyDiv w:val="1"/>
      <w:marLeft w:val="0"/>
      <w:marRight w:val="0"/>
      <w:marTop w:val="0"/>
      <w:marBottom w:val="0"/>
      <w:divBdr>
        <w:top w:val="none" w:sz="0" w:space="0" w:color="auto"/>
        <w:left w:val="none" w:sz="0" w:space="0" w:color="auto"/>
        <w:bottom w:val="none" w:sz="0" w:space="0" w:color="auto"/>
        <w:right w:val="none" w:sz="0" w:space="0" w:color="auto"/>
      </w:divBdr>
    </w:div>
    <w:div w:id="1590117951">
      <w:bodyDiv w:val="1"/>
      <w:marLeft w:val="0"/>
      <w:marRight w:val="0"/>
      <w:marTop w:val="0"/>
      <w:marBottom w:val="0"/>
      <w:divBdr>
        <w:top w:val="none" w:sz="0" w:space="0" w:color="auto"/>
        <w:left w:val="none" w:sz="0" w:space="0" w:color="auto"/>
        <w:bottom w:val="none" w:sz="0" w:space="0" w:color="auto"/>
        <w:right w:val="none" w:sz="0" w:space="0" w:color="auto"/>
      </w:divBdr>
      <w:divsChild>
        <w:div w:id="1363361091">
          <w:marLeft w:val="0"/>
          <w:marRight w:val="0"/>
          <w:marTop w:val="0"/>
          <w:marBottom w:val="0"/>
          <w:divBdr>
            <w:top w:val="none" w:sz="0" w:space="0" w:color="auto"/>
            <w:left w:val="none" w:sz="0" w:space="0" w:color="auto"/>
            <w:bottom w:val="none" w:sz="0" w:space="0" w:color="auto"/>
            <w:right w:val="none" w:sz="0" w:space="0" w:color="auto"/>
          </w:divBdr>
          <w:divsChild>
            <w:div w:id="967659865">
              <w:marLeft w:val="0"/>
              <w:marRight w:val="0"/>
              <w:marTop w:val="0"/>
              <w:marBottom w:val="0"/>
              <w:divBdr>
                <w:top w:val="none" w:sz="0" w:space="0" w:color="auto"/>
                <w:left w:val="none" w:sz="0" w:space="0" w:color="auto"/>
                <w:bottom w:val="none" w:sz="0" w:space="0" w:color="auto"/>
                <w:right w:val="none" w:sz="0" w:space="0" w:color="auto"/>
              </w:divBdr>
              <w:divsChild>
                <w:div w:id="584195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561330">
      <w:bodyDiv w:val="1"/>
      <w:marLeft w:val="0"/>
      <w:marRight w:val="0"/>
      <w:marTop w:val="0"/>
      <w:marBottom w:val="0"/>
      <w:divBdr>
        <w:top w:val="none" w:sz="0" w:space="0" w:color="auto"/>
        <w:left w:val="none" w:sz="0" w:space="0" w:color="auto"/>
        <w:bottom w:val="none" w:sz="0" w:space="0" w:color="auto"/>
        <w:right w:val="none" w:sz="0" w:space="0" w:color="auto"/>
      </w:divBdr>
    </w:div>
    <w:div w:id="1657958633">
      <w:bodyDiv w:val="1"/>
      <w:marLeft w:val="0"/>
      <w:marRight w:val="0"/>
      <w:marTop w:val="0"/>
      <w:marBottom w:val="0"/>
      <w:divBdr>
        <w:top w:val="none" w:sz="0" w:space="0" w:color="auto"/>
        <w:left w:val="none" w:sz="0" w:space="0" w:color="auto"/>
        <w:bottom w:val="none" w:sz="0" w:space="0" w:color="auto"/>
        <w:right w:val="none" w:sz="0" w:space="0" w:color="auto"/>
      </w:divBdr>
    </w:div>
    <w:div w:id="1658848475">
      <w:bodyDiv w:val="1"/>
      <w:marLeft w:val="0"/>
      <w:marRight w:val="0"/>
      <w:marTop w:val="0"/>
      <w:marBottom w:val="0"/>
      <w:divBdr>
        <w:top w:val="none" w:sz="0" w:space="0" w:color="auto"/>
        <w:left w:val="none" w:sz="0" w:space="0" w:color="auto"/>
        <w:bottom w:val="none" w:sz="0" w:space="0" w:color="auto"/>
        <w:right w:val="none" w:sz="0" w:space="0" w:color="auto"/>
      </w:divBdr>
    </w:div>
    <w:div w:id="1676690182">
      <w:bodyDiv w:val="1"/>
      <w:marLeft w:val="0"/>
      <w:marRight w:val="0"/>
      <w:marTop w:val="0"/>
      <w:marBottom w:val="0"/>
      <w:divBdr>
        <w:top w:val="none" w:sz="0" w:space="0" w:color="auto"/>
        <w:left w:val="none" w:sz="0" w:space="0" w:color="auto"/>
        <w:bottom w:val="none" w:sz="0" w:space="0" w:color="auto"/>
        <w:right w:val="none" w:sz="0" w:space="0" w:color="auto"/>
      </w:divBdr>
    </w:div>
    <w:div w:id="1686056700">
      <w:bodyDiv w:val="1"/>
      <w:marLeft w:val="0"/>
      <w:marRight w:val="0"/>
      <w:marTop w:val="0"/>
      <w:marBottom w:val="0"/>
      <w:divBdr>
        <w:top w:val="none" w:sz="0" w:space="0" w:color="auto"/>
        <w:left w:val="none" w:sz="0" w:space="0" w:color="auto"/>
        <w:bottom w:val="none" w:sz="0" w:space="0" w:color="auto"/>
        <w:right w:val="none" w:sz="0" w:space="0" w:color="auto"/>
      </w:divBdr>
      <w:divsChild>
        <w:div w:id="1283800323">
          <w:marLeft w:val="0"/>
          <w:marRight w:val="0"/>
          <w:marTop w:val="0"/>
          <w:marBottom w:val="0"/>
          <w:divBdr>
            <w:top w:val="none" w:sz="0" w:space="6" w:color="auto"/>
            <w:left w:val="single" w:sz="6" w:space="6" w:color="CCCCCC"/>
            <w:bottom w:val="none" w:sz="0" w:space="6" w:color="auto"/>
            <w:right w:val="none" w:sz="0" w:space="9" w:color="auto"/>
          </w:divBdr>
        </w:div>
        <w:div w:id="328948537">
          <w:marLeft w:val="270"/>
          <w:marRight w:val="270"/>
          <w:marTop w:val="0"/>
          <w:marBottom w:val="0"/>
          <w:divBdr>
            <w:top w:val="single" w:sz="6" w:space="0" w:color="CCCCCC"/>
            <w:left w:val="single" w:sz="6" w:space="0" w:color="CCCCCC"/>
            <w:bottom w:val="single" w:sz="6" w:space="0" w:color="CCCCCC"/>
            <w:right w:val="single" w:sz="6" w:space="0" w:color="CCCCCC"/>
          </w:divBdr>
        </w:div>
        <w:div w:id="713694369">
          <w:marLeft w:val="0"/>
          <w:marRight w:val="0"/>
          <w:marTop w:val="0"/>
          <w:marBottom w:val="0"/>
          <w:divBdr>
            <w:top w:val="none" w:sz="0" w:space="0" w:color="auto"/>
            <w:left w:val="none" w:sz="0" w:space="0" w:color="auto"/>
            <w:bottom w:val="none" w:sz="0" w:space="0" w:color="auto"/>
            <w:right w:val="none" w:sz="0" w:space="0" w:color="auto"/>
          </w:divBdr>
          <w:divsChild>
            <w:div w:id="1154686876">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698853162">
      <w:bodyDiv w:val="1"/>
      <w:marLeft w:val="0"/>
      <w:marRight w:val="0"/>
      <w:marTop w:val="0"/>
      <w:marBottom w:val="0"/>
      <w:divBdr>
        <w:top w:val="none" w:sz="0" w:space="0" w:color="auto"/>
        <w:left w:val="none" w:sz="0" w:space="0" w:color="auto"/>
        <w:bottom w:val="none" w:sz="0" w:space="0" w:color="auto"/>
        <w:right w:val="none" w:sz="0" w:space="0" w:color="auto"/>
      </w:divBdr>
    </w:div>
    <w:div w:id="1710227538">
      <w:bodyDiv w:val="1"/>
      <w:marLeft w:val="0"/>
      <w:marRight w:val="0"/>
      <w:marTop w:val="0"/>
      <w:marBottom w:val="0"/>
      <w:divBdr>
        <w:top w:val="none" w:sz="0" w:space="0" w:color="auto"/>
        <w:left w:val="none" w:sz="0" w:space="0" w:color="auto"/>
        <w:bottom w:val="none" w:sz="0" w:space="0" w:color="auto"/>
        <w:right w:val="none" w:sz="0" w:space="0" w:color="auto"/>
      </w:divBdr>
    </w:div>
    <w:div w:id="1740861648">
      <w:bodyDiv w:val="1"/>
      <w:marLeft w:val="0"/>
      <w:marRight w:val="0"/>
      <w:marTop w:val="0"/>
      <w:marBottom w:val="0"/>
      <w:divBdr>
        <w:top w:val="none" w:sz="0" w:space="0" w:color="auto"/>
        <w:left w:val="none" w:sz="0" w:space="0" w:color="auto"/>
        <w:bottom w:val="none" w:sz="0" w:space="0" w:color="auto"/>
        <w:right w:val="none" w:sz="0" w:space="0" w:color="auto"/>
      </w:divBdr>
      <w:divsChild>
        <w:div w:id="812410039">
          <w:marLeft w:val="0"/>
          <w:marRight w:val="0"/>
          <w:marTop w:val="0"/>
          <w:marBottom w:val="0"/>
          <w:divBdr>
            <w:top w:val="none" w:sz="0" w:space="0" w:color="auto"/>
            <w:left w:val="none" w:sz="0" w:space="0" w:color="auto"/>
            <w:bottom w:val="none" w:sz="0" w:space="0" w:color="auto"/>
            <w:right w:val="none" w:sz="0" w:space="0" w:color="auto"/>
          </w:divBdr>
          <w:divsChild>
            <w:div w:id="261647095">
              <w:marLeft w:val="0"/>
              <w:marRight w:val="0"/>
              <w:marTop w:val="0"/>
              <w:marBottom w:val="0"/>
              <w:divBdr>
                <w:top w:val="none" w:sz="0" w:space="0" w:color="auto"/>
                <w:left w:val="none" w:sz="0" w:space="0" w:color="auto"/>
                <w:bottom w:val="none" w:sz="0" w:space="0" w:color="auto"/>
                <w:right w:val="none" w:sz="0" w:space="0" w:color="auto"/>
              </w:divBdr>
              <w:divsChild>
                <w:div w:id="1709716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2681285">
      <w:bodyDiv w:val="1"/>
      <w:marLeft w:val="0"/>
      <w:marRight w:val="0"/>
      <w:marTop w:val="0"/>
      <w:marBottom w:val="0"/>
      <w:divBdr>
        <w:top w:val="none" w:sz="0" w:space="0" w:color="auto"/>
        <w:left w:val="none" w:sz="0" w:space="0" w:color="auto"/>
        <w:bottom w:val="none" w:sz="0" w:space="0" w:color="auto"/>
        <w:right w:val="none" w:sz="0" w:space="0" w:color="auto"/>
      </w:divBdr>
      <w:divsChild>
        <w:div w:id="452558699">
          <w:marLeft w:val="0"/>
          <w:marRight w:val="0"/>
          <w:marTop w:val="0"/>
          <w:marBottom w:val="0"/>
          <w:divBdr>
            <w:top w:val="none" w:sz="0" w:space="0" w:color="auto"/>
            <w:left w:val="none" w:sz="0" w:space="0" w:color="auto"/>
            <w:bottom w:val="none" w:sz="0" w:space="0" w:color="auto"/>
            <w:right w:val="none" w:sz="0" w:space="0" w:color="auto"/>
          </w:divBdr>
          <w:divsChild>
            <w:div w:id="1029994538">
              <w:marLeft w:val="0"/>
              <w:marRight w:val="0"/>
              <w:marTop w:val="0"/>
              <w:marBottom w:val="0"/>
              <w:divBdr>
                <w:top w:val="none" w:sz="0" w:space="0" w:color="auto"/>
                <w:left w:val="none" w:sz="0" w:space="0" w:color="auto"/>
                <w:bottom w:val="none" w:sz="0" w:space="0" w:color="auto"/>
                <w:right w:val="none" w:sz="0" w:space="0" w:color="auto"/>
              </w:divBdr>
              <w:divsChild>
                <w:div w:id="411780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659938">
      <w:bodyDiv w:val="1"/>
      <w:marLeft w:val="0"/>
      <w:marRight w:val="0"/>
      <w:marTop w:val="0"/>
      <w:marBottom w:val="0"/>
      <w:divBdr>
        <w:top w:val="none" w:sz="0" w:space="0" w:color="auto"/>
        <w:left w:val="none" w:sz="0" w:space="0" w:color="auto"/>
        <w:bottom w:val="none" w:sz="0" w:space="0" w:color="auto"/>
        <w:right w:val="none" w:sz="0" w:space="0" w:color="auto"/>
      </w:divBdr>
    </w:div>
    <w:div w:id="1825856215">
      <w:bodyDiv w:val="1"/>
      <w:marLeft w:val="0"/>
      <w:marRight w:val="0"/>
      <w:marTop w:val="0"/>
      <w:marBottom w:val="0"/>
      <w:divBdr>
        <w:top w:val="none" w:sz="0" w:space="0" w:color="auto"/>
        <w:left w:val="none" w:sz="0" w:space="0" w:color="auto"/>
        <w:bottom w:val="none" w:sz="0" w:space="0" w:color="auto"/>
        <w:right w:val="none" w:sz="0" w:space="0" w:color="auto"/>
      </w:divBdr>
    </w:div>
    <w:div w:id="1936477073">
      <w:bodyDiv w:val="1"/>
      <w:marLeft w:val="0"/>
      <w:marRight w:val="0"/>
      <w:marTop w:val="0"/>
      <w:marBottom w:val="0"/>
      <w:divBdr>
        <w:top w:val="none" w:sz="0" w:space="0" w:color="auto"/>
        <w:left w:val="none" w:sz="0" w:space="0" w:color="auto"/>
        <w:bottom w:val="none" w:sz="0" w:space="0" w:color="auto"/>
        <w:right w:val="none" w:sz="0" w:space="0" w:color="auto"/>
      </w:divBdr>
    </w:div>
    <w:div w:id="1986087617">
      <w:bodyDiv w:val="1"/>
      <w:marLeft w:val="0"/>
      <w:marRight w:val="0"/>
      <w:marTop w:val="0"/>
      <w:marBottom w:val="0"/>
      <w:divBdr>
        <w:top w:val="none" w:sz="0" w:space="0" w:color="auto"/>
        <w:left w:val="none" w:sz="0" w:space="0" w:color="auto"/>
        <w:bottom w:val="none" w:sz="0" w:space="0" w:color="auto"/>
        <w:right w:val="none" w:sz="0" w:space="0" w:color="auto"/>
      </w:divBdr>
    </w:div>
    <w:div w:id="2012293093">
      <w:bodyDiv w:val="1"/>
      <w:marLeft w:val="0"/>
      <w:marRight w:val="0"/>
      <w:marTop w:val="0"/>
      <w:marBottom w:val="0"/>
      <w:divBdr>
        <w:top w:val="none" w:sz="0" w:space="0" w:color="auto"/>
        <w:left w:val="none" w:sz="0" w:space="0" w:color="auto"/>
        <w:bottom w:val="none" w:sz="0" w:space="0" w:color="auto"/>
        <w:right w:val="none" w:sz="0" w:space="0" w:color="auto"/>
      </w:divBdr>
      <w:divsChild>
        <w:div w:id="652219880">
          <w:marLeft w:val="0"/>
          <w:marRight w:val="0"/>
          <w:marTop w:val="0"/>
          <w:marBottom w:val="0"/>
          <w:divBdr>
            <w:top w:val="none" w:sz="0" w:space="0" w:color="auto"/>
            <w:left w:val="none" w:sz="0" w:space="0" w:color="auto"/>
            <w:bottom w:val="none" w:sz="0" w:space="0" w:color="auto"/>
            <w:right w:val="none" w:sz="0" w:space="0" w:color="auto"/>
          </w:divBdr>
          <w:divsChild>
            <w:div w:id="1610236670">
              <w:marLeft w:val="0"/>
              <w:marRight w:val="0"/>
              <w:marTop w:val="0"/>
              <w:marBottom w:val="0"/>
              <w:divBdr>
                <w:top w:val="none" w:sz="0" w:space="0" w:color="auto"/>
                <w:left w:val="none" w:sz="0" w:space="0" w:color="auto"/>
                <w:bottom w:val="none" w:sz="0" w:space="0" w:color="auto"/>
                <w:right w:val="none" w:sz="0" w:space="0" w:color="auto"/>
              </w:divBdr>
              <w:divsChild>
                <w:div w:id="1666275180">
                  <w:marLeft w:val="0"/>
                  <w:marRight w:val="0"/>
                  <w:marTop w:val="0"/>
                  <w:marBottom w:val="0"/>
                  <w:divBdr>
                    <w:top w:val="none" w:sz="0" w:space="0" w:color="auto"/>
                    <w:left w:val="none" w:sz="0" w:space="0" w:color="auto"/>
                    <w:bottom w:val="none" w:sz="0" w:space="0" w:color="auto"/>
                    <w:right w:val="none" w:sz="0" w:space="0" w:color="auto"/>
                  </w:divBdr>
                  <w:divsChild>
                    <w:div w:id="410197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4719577">
      <w:bodyDiv w:val="1"/>
      <w:marLeft w:val="0"/>
      <w:marRight w:val="0"/>
      <w:marTop w:val="0"/>
      <w:marBottom w:val="0"/>
      <w:divBdr>
        <w:top w:val="none" w:sz="0" w:space="0" w:color="auto"/>
        <w:left w:val="none" w:sz="0" w:space="0" w:color="auto"/>
        <w:bottom w:val="none" w:sz="0" w:space="0" w:color="auto"/>
        <w:right w:val="none" w:sz="0" w:space="0" w:color="auto"/>
      </w:divBdr>
    </w:div>
    <w:div w:id="2063207422">
      <w:bodyDiv w:val="1"/>
      <w:marLeft w:val="0"/>
      <w:marRight w:val="0"/>
      <w:marTop w:val="0"/>
      <w:marBottom w:val="0"/>
      <w:divBdr>
        <w:top w:val="none" w:sz="0" w:space="0" w:color="auto"/>
        <w:left w:val="none" w:sz="0" w:space="0" w:color="auto"/>
        <w:bottom w:val="none" w:sz="0" w:space="0" w:color="auto"/>
        <w:right w:val="none" w:sz="0" w:space="0" w:color="auto"/>
      </w:divBdr>
    </w:div>
    <w:div w:id="2089233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Aspect">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97737B-4232-6540-BC04-E56380E12A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15</Pages>
  <Words>7090</Words>
  <Characters>40417</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47413</CharactersWithSpaces>
  <SharedDoc>false</SharedDoc>
  <HLinks>
    <vt:vector size="204" baseType="variant">
      <vt:variant>
        <vt:i4>1507429</vt:i4>
      </vt:variant>
      <vt:variant>
        <vt:i4>0</vt:i4>
      </vt:variant>
      <vt:variant>
        <vt:i4>0</vt:i4>
      </vt:variant>
      <vt:variant>
        <vt:i4>5</vt:i4>
      </vt:variant>
      <vt:variant>
        <vt:lpwstr>mailto:*nathanm@intven.com</vt:lpwstr>
      </vt:variant>
      <vt:variant>
        <vt:lpwstr/>
      </vt:variant>
      <vt:variant>
        <vt:i4>6160452</vt:i4>
      </vt:variant>
      <vt:variant>
        <vt:i4>96</vt:i4>
      </vt:variant>
      <vt:variant>
        <vt:i4>0</vt:i4>
      </vt:variant>
      <vt:variant>
        <vt:i4>5</vt:i4>
      </vt:variant>
      <vt:variant>
        <vt:lpwstr>https://pubs.acs.org/doi/pdf/10.1021/ci00065a010</vt:lpwstr>
      </vt:variant>
      <vt:variant>
        <vt:lpwstr/>
      </vt:variant>
      <vt:variant>
        <vt:i4>1048669</vt:i4>
      </vt:variant>
      <vt:variant>
        <vt:i4>93</vt:i4>
      </vt:variant>
      <vt:variant>
        <vt:i4>0</vt:i4>
      </vt:variant>
      <vt:variant>
        <vt:i4>5</vt:i4>
      </vt:variant>
      <vt:variant>
        <vt:lpwstr>https://arxiv.org/pdf/1808.08317.pdf</vt:lpwstr>
      </vt:variant>
      <vt:variant>
        <vt:lpwstr/>
      </vt:variant>
      <vt:variant>
        <vt:i4>458868</vt:i4>
      </vt:variant>
      <vt:variant>
        <vt:i4>90</vt:i4>
      </vt:variant>
      <vt:variant>
        <vt:i4>0</vt:i4>
      </vt:variant>
      <vt:variant>
        <vt:i4>5</vt:i4>
      </vt:variant>
      <vt:variant>
        <vt:lpwstr>https://www.google.com/books/edition/Data_Mining_and_Analysis/Gh9GAwAAQBAJ?hl=en&amp;gbpv=1&amp;dq=%22hopkins+statistic%22&amp;pg=PA461&amp;printsec=frontcover</vt:lpwstr>
      </vt:variant>
      <vt:variant>
        <vt:lpwstr/>
      </vt:variant>
      <vt:variant>
        <vt:i4>1900589</vt:i4>
      </vt:variant>
      <vt:variant>
        <vt:i4>87</vt:i4>
      </vt:variant>
      <vt:variant>
        <vt:i4>0</vt:i4>
      </vt:variant>
      <vt:variant>
        <vt:i4>5</vt:i4>
      </vt:variant>
      <vt:variant>
        <vt:lpwstr>https://www.google.com/books/edition/Data_Mining/cfNICAAAQBAJ?hl=en&amp;gbpv=1&amp;dq=%22hopkins+statistic%22&amp;pg=PA158&amp;printsec=frontcover</vt:lpwstr>
      </vt:variant>
      <vt:variant>
        <vt:lpwstr/>
      </vt:variant>
      <vt:variant>
        <vt:i4>2490483</vt:i4>
      </vt:variant>
      <vt:variant>
        <vt:i4>84</vt:i4>
      </vt:variant>
      <vt:variant>
        <vt:i4>0</vt:i4>
      </vt:variant>
      <vt:variant>
        <vt:i4>5</vt:i4>
      </vt:variant>
      <vt:variant>
        <vt:lpwstr>https://biodatamining.biomedcentral.com/articles/10.1186/s13040-021-00244-z</vt:lpwstr>
      </vt:variant>
      <vt:variant>
        <vt:lpwstr/>
      </vt:variant>
      <vt:variant>
        <vt:i4>262223</vt:i4>
      </vt:variant>
      <vt:variant>
        <vt:i4>81</vt:i4>
      </vt:variant>
      <vt:variant>
        <vt:i4>0</vt:i4>
      </vt:variant>
      <vt:variant>
        <vt:i4>5</vt:i4>
      </vt:variant>
      <vt:variant>
        <vt:lpwstr>https://biblio.ugent.be/publication/8576059/file/8576072</vt:lpwstr>
      </vt:variant>
      <vt:variant>
        <vt:lpwstr/>
      </vt:variant>
      <vt:variant>
        <vt:i4>6029330</vt:i4>
      </vt:variant>
      <vt:variant>
        <vt:i4>78</vt:i4>
      </vt:variant>
      <vt:variant>
        <vt:i4>0</vt:i4>
      </vt:variant>
      <vt:variant>
        <vt:i4>5</vt:i4>
      </vt:variant>
      <vt:variant>
        <vt:lpwstr>https://medialibrary.uantwerpen.be/oldcontent/container20052/files/Herrel_et_al_2012_ELS.pdf</vt:lpwstr>
      </vt:variant>
      <vt:variant>
        <vt:lpwstr/>
      </vt:variant>
      <vt:variant>
        <vt:i4>6225990</vt:i4>
      </vt:variant>
      <vt:variant>
        <vt:i4>75</vt:i4>
      </vt:variant>
      <vt:variant>
        <vt:i4>0</vt:i4>
      </vt:variant>
      <vt:variant>
        <vt:i4>5</vt:i4>
      </vt:variant>
      <vt:variant>
        <vt:lpwstr>https://www.jstor.org/stable/1520961</vt:lpwstr>
      </vt:variant>
      <vt:variant>
        <vt:lpwstr/>
      </vt:variant>
      <vt:variant>
        <vt:i4>2031696</vt:i4>
      </vt:variant>
      <vt:variant>
        <vt:i4>72</vt:i4>
      </vt:variant>
      <vt:variant>
        <vt:i4>0</vt:i4>
      </vt:variant>
      <vt:variant>
        <vt:i4>5</vt:i4>
      </vt:variant>
      <vt:variant>
        <vt:lpwstr>https://www.tandfonline.com/doi/abs/10.1080/00306525.1979.9634120?journalCode=tost20</vt:lpwstr>
      </vt:variant>
      <vt:variant>
        <vt:lpwstr/>
      </vt:variant>
      <vt:variant>
        <vt:i4>720990</vt:i4>
      </vt:variant>
      <vt:variant>
        <vt:i4>69</vt:i4>
      </vt:variant>
      <vt:variant>
        <vt:i4>0</vt:i4>
      </vt:variant>
      <vt:variant>
        <vt:i4>5</vt:i4>
      </vt:variant>
      <vt:variant>
        <vt:lpwstr>http://box5884.temp.domains/~jamesaku/wp-content/uploads/2020/04/1981-Resource-use-strategies-of-wading-birds.pdf</vt:lpwstr>
      </vt:variant>
      <vt:variant>
        <vt:lpwstr/>
      </vt:variant>
      <vt:variant>
        <vt:i4>720970</vt:i4>
      </vt:variant>
      <vt:variant>
        <vt:i4>66</vt:i4>
      </vt:variant>
      <vt:variant>
        <vt:i4>0</vt:i4>
      </vt:variant>
      <vt:variant>
        <vt:i4>5</vt:i4>
      </vt:variant>
      <vt:variant>
        <vt:lpwstr>https://www.proquest.com/docview/198639309?pq-origsite=gscholar&amp;fromopenview=true</vt:lpwstr>
      </vt:variant>
      <vt:variant>
        <vt:lpwstr/>
      </vt:variant>
      <vt:variant>
        <vt:i4>6029425</vt:i4>
      </vt:variant>
      <vt:variant>
        <vt:i4>63</vt:i4>
      </vt:variant>
      <vt:variant>
        <vt:i4>0</vt:i4>
      </vt:variant>
      <vt:variant>
        <vt:i4>5</vt:i4>
      </vt:variant>
      <vt:variant>
        <vt:lpwstr>https://onlinelibrary.wiley.com/doi/pdf/10.1111/j.1474-919X.2007.00706.x?casa_token=kHzbAiiS8a0AAAAA:mbFAdFuMCtIaBgbL4pCt6A2Y6Eac0aTuPFVvjZ1eEkPxj62rV2qLC7Dh7TlmCP7jDVnGXjYgguMFvA</vt:lpwstr>
      </vt:variant>
      <vt:variant>
        <vt:lpwstr/>
      </vt:variant>
      <vt:variant>
        <vt:i4>524391</vt:i4>
      </vt:variant>
      <vt:variant>
        <vt:i4>60</vt:i4>
      </vt:variant>
      <vt:variant>
        <vt:i4>0</vt:i4>
      </vt:variant>
      <vt:variant>
        <vt:i4>5</vt:i4>
      </vt:variant>
      <vt:variant>
        <vt:lpwstr>https://wildlife.onlinelibrary.wiley.com/doi/abs/10.2193/0022-541X%282005%29069%5B0609%3AFEOBEI%5D2.0.CO%3B2?casa_token=kgwxJ7X4bWMAAAAA%3A8-SyfKTFHWYcq28-_Bf9ZV6gxhWZQR9hwt3sCHojgDbGrZLpwYqTR1UI5uW6O1eiYumjwcRLp_VY3w</vt:lpwstr>
      </vt:variant>
      <vt:variant>
        <vt:lpwstr/>
      </vt:variant>
      <vt:variant>
        <vt:i4>4325455</vt:i4>
      </vt:variant>
      <vt:variant>
        <vt:i4>57</vt:i4>
      </vt:variant>
      <vt:variant>
        <vt:i4>0</vt:i4>
      </vt:variant>
      <vt:variant>
        <vt:i4>5</vt:i4>
      </vt:variant>
      <vt:variant>
        <vt:lpwstr>https://cdnsciencepub.com/doi/abs/10.1139/z98-195</vt:lpwstr>
      </vt:variant>
      <vt:variant>
        <vt:lpwstr/>
      </vt:variant>
      <vt:variant>
        <vt:i4>6488186</vt:i4>
      </vt:variant>
      <vt:variant>
        <vt:i4>54</vt:i4>
      </vt:variant>
      <vt:variant>
        <vt:i4>0</vt:i4>
      </vt:variant>
      <vt:variant>
        <vt:i4>5</vt:i4>
      </vt:variant>
      <vt:variant>
        <vt:lpwstr>https://www.researchgate.net/profile/Everton-Miranda/publication/304025359_Reptiles_as_principal_prey_Adaptations_for_durophagy_and_prey_selection_by_jaguar_Panthera_onca/links/5ace70634585154f3f453e11/Reptiles-as-principal-prey-Adaptations-for-durophagy-and-prey-selection-by-jaguar-Panthera-onca.pdf</vt:lpwstr>
      </vt:variant>
      <vt:variant>
        <vt:lpwstr/>
      </vt:variant>
      <vt:variant>
        <vt:i4>5111926</vt:i4>
      </vt:variant>
      <vt:variant>
        <vt:i4>51</vt:i4>
      </vt:variant>
      <vt:variant>
        <vt:i4>0</vt:i4>
      </vt:variant>
      <vt:variant>
        <vt:i4>5</vt:i4>
      </vt:variant>
      <vt:variant>
        <vt:lpwstr>https://zslpublications.onlinelibrary.wiley.com/doi/pdfdirect/10.1111/j.1469-7998.2011.00867.x?casa_token=rEbS3xy31AYAAAAA:3uB9v84ypfl8JInW2-U0XwrGbDOjur_iHjkX6LfGFdJ10pc_efAkTfXniGDMOYuaHGum5LJF63ri-A</vt:lpwstr>
      </vt:variant>
      <vt:variant>
        <vt:lpwstr/>
      </vt:variant>
      <vt:variant>
        <vt:i4>6422564</vt:i4>
      </vt:variant>
      <vt:variant>
        <vt:i4>48</vt:i4>
      </vt:variant>
      <vt:variant>
        <vt:i4>0</vt:i4>
      </vt:variant>
      <vt:variant>
        <vt:i4>5</vt:i4>
      </vt:variant>
      <vt:variant>
        <vt:lpwstr>https://mamiraua.org.br/documentos/4fe94662a4193291bb93809c4beb8868.pdf</vt:lpwstr>
      </vt:variant>
      <vt:variant>
        <vt:lpwstr/>
      </vt:variant>
      <vt:variant>
        <vt:i4>2752633</vt:i4>
      </vt:variant>
      <vt:variant>
        <vt:i4>45</vt:i4>
      </vt:variant>
      <vt:variant>
        <vt:i4>0</vt:i4>
      </vt:variant>
      <vt:variant>
        <vt:i4>5</vt:i4>
      </vt:variant>
      <vt:variant>
        <vt:lpwstr>https://cdnsciencepub.com/doi/pdf/10.1139/cjz-2016-0203?casa_token=RftSdwoT9WcAAAAA:m9h3NUsHZAAhav2S-3r_lVV5v4MWUHeQ9acCUWL0nNIvgQ9PegEkIQZqO-26L8opw4xF7WGjtnmM</vt:lpwstr>
      </vt:variant>
      <vt:variant>
        <vt:lpwstr/>
      </vt:variant>
      <vt:variant>
        <vt:i4>2424923</vt:i4>
      </vt:variant>
      <vt:variant>
        <vt:i4>42</vt:i4>
      </vt:variant>
      <vt:variant>
        <vt:i4>0</vt:i4>
      </vt:variant>
      <vt:variant>
        <vt:i4>5</vt:i4>
      </vt:variant>
      <vt:variant>
        <vt:lpwstr>https://cdnsciencepub.com/doi/pdf/10.1139/z02-246?casa_token=D-FgbcCrYAkAAAAA:LnYsIu3KdvXwZACXUaAU2zIPDtzSmMI2OVaBCkmkMbanFErOZih-hO2bHS3G913v-4XlL3QUb38x</vt:lpwstr>
      </vt:variant>
      <vt:variant>
        <vt:lpwstr/>
      </vt:variant>
      <vt:variant>
        <vt:i4>3080289</vt:i4>
      </vt:variant>
      <vt:variant>
        <vt:i4>39</vt:i4>
      </vt:variant>
      <vt:variant>
        <vt:i4>0</vt:i4>
      </vt:variant>
      <vt:variant>
        <vt:i4>5</vt:i4>
      </vt:variant>
      <vt:variant>
        <vt:lpwstr>https://cdnsciencepub.com/doi/abs/10.1139/z99-232?casa_token=Vyf_7sTwiYgAAAAA:CbqVkjSR4CfoivmvZynnkkDrpi8X3rrBQ1HvfcuCxTVyjyXfjgPp3XOT_x01Ek64NGD0_vAz8or-</vt:lpwstr>
      </vt:variant>
      <vt:variant>
        <vt:lpwstr/>
      </vt:variant>
      <vt:variant>
        <vt:i4>5898306</vt:i4>
      </vt:variant>
      <vt:variant>
        <vt:i4>36</vt:i4>
      </vt:variant>
      <vt:variant>
        <vt:i4>0</vt:i4>
      </vt:variant>
      <vt:variant>
        <vt:i4>5</vt:i4>
      </vt:variant>
      <vt:variant>
        <vt:lpwstr>https://www.jstor.org/stable/3799591</vt:lpwstr>
      </vt:variant>
      <vt:variant>
        <vt:lpwstr/>
      </vt:variant>
      <vt:variant>
        <vt:i4>1179654</vt:i4>
      </vt:variant>
      <vt:variant>
        <vt:i4>33</vt:i4>
      </vt:variant>
      <vt:variant>
        <vt:i4>0</vt:i4>
      </vt:variant>
      <vt:variant>
        <vt:i4>5</vt:i4>
      </vt:variant>
      <vt:variant>
        <vt:lpwstr>https://www.researchgate.net/profile/Grahame-Webb/publication/248901733_Crocodylus_johnstoni_in_the_McKinlay_River_Area_NT_I_Variation_in_the_Diet_and_a_New_Method_of_Assessing_the_Relative_Importance_of_Prey/links/5c5cd46145851582c3d59904/Crocodylus-johnstoni-in-the-McKinlay-River-Area-NT-I-Variation-in-the-Diet-and-a-New-Method-of-Assessing-the-Relative-Importance-of-Prey.pdf</vt:lpwstr>
      </vt:variant>
      <vt:variant>
        <vt:lpwstr/>
      </vt:variant>
      <vt:variant>
        <vt:i4>6225986</vt:i4>
      </vt:variant>
      <vt:variant>
        <vt:i4>30</vt:i4>
      </vt:variant>
      <vt:variant>
        <vt:i4>0</vt:i4>
      </vt:variant>
      <vt:variant>
        <vt:i4>5</vt:i4>
      </vt:variant>
      <vt:variant>
        <vt:lpwstr>https://www.jstor.org/stable/1564468</vt:lpwstr>
      </vt:variant>
      <vt:variant>
        <vt:lpwstr/>
      </vt:variant>
      <vt:variant>
        <vt:i4>589914</vt:i4>
      </vt:variant>
      <vt:variant>
        <vt:i4>27</vt:i4>
      </vt:variant>
      <vt:variant>
        <vt:i4>0</vt:i4>
      </vt:variant>
      <vt:variant>
        <vt:i4>5</vt:i4>
      </vt:variant>
      <vt:variant>
        <vt:lpwstr>https://aquila.usm.edu/goms/vol9/iss1/1/</vt:lpwstr>
      </vt:variant>
      <vt:variant>
        <vt:lpwstr/>
      </vt:variant>
      <vt:variant>
        <vt:i4>4587595</vt:i4>
      </vt:variant>
      <vt:variant>
        <vt:i4>24</vt:i4>
      </vt:variant>
      <vt:variant>
        <vt:i4>0</vt:i4>
      </vt:variant>
      <vt:variant>
        <vt:i4>5</vt:i4>
      </vt:variant>
      <vt:variant>
        <vt:lpwstr>https://www.ingentaconnect.com/contentone/bhs/thj/2006/00000016/00000003/art00007</vt:lpwstr>
      </vt:variant>
      <vt:variant>
        <vt:lpwstr/>
      </vt:variant>
      <vt:variant>
        <vt:i4>393286</vt:i4>
      </vt:variant>
      <vt:variant>
        <vt:i4>21</vt:i4>
      </vt:variant>
      <vt:variant>
        <vt:i4>0</vt:i4>
      </vt:variant>
      <vt:variant>
        <vt:i4>5</vt:i4>
      </vt:variant>
      <vt:variant>
        <vt:lpwstr>https://journals.plos.org/plosone/article?id=10.1371/journal.pone.0083953</vt:lpwstr>
      </vt:variant>
      <vt:variant>
        <vt:lpwstr/>
      </vt:variant>
      <vt:variant>
        <vt:i4>196687</vt:i4>
      </vt:variant>
      <vt:variant>
        <vt:i4>18</vt:i4>
      </vt:variant>
      <vt:variant>
        <vt:i4>0</vt:i4>
      </vt:variant>
      <vt:variant>
        <vt:i4>5</vt:i4>
      </vt:variant>
      <vt:variant>
        <vt:lpwstr>https://journals.plos.org/plosone/article?id=10.1371/journal.pone.0197159</vt:lpwstr>
      </vt:variant>
      <vt:variant>
        <vt:lpwstr/>
      </vt:variant>
      <vt:variant>
        <vt:i4>5636161</vt:i4>
      </vt:variant>
      <vt:variant>
        <vt:i4>15</vt:i4>
      </vt:variant>
      <vt:variant>
        <vt:i4>0</vt:i4>
      </vt:variant>
      <vt:variant>
        <vt:i4>5</vt:i4>
      </vt:variant>
      <vt:variant>
        <vt:lpwstr>https://www.jstor.org/stable/2402929</vt:lpwstr>
      </vt:variant>
      <vt:variant>
        <vt:lpwstr/>
      </vt:variant>
      <vt:variant>
        <vt:i4>2359372</vt:i4>
      </vt:variant>
      <vt:variant>
        <vt:i4>12</vt:i4>
      </vt:variant>
      <vt:variant>
        <vt:i4>0</vt:i4>
      </vt:variant>
      <vt:variant>
        <vt:i4>5</vt:i4>
      </vt:variant>
      <vt:variant>
        <vt:lpwstr>https://journals.co.za/doi/pdf/10.10520/AJA03794369_2887</vt:lpwstr>
      </vt:variant>
      <vt:variant>
        <vt:lpwstr/>
      </vt:variant>
      <vt:variant>
        <vt:i4>6815798</vt:i4>
      </vt:variant>
      <vt:variant>
        <vt:i4>9</vt:i4>
      </vt:variant>
      <vt:variant>
        <vt:i4>0</vt:i4>
      </vt:variant>
      <vt:variant>
        <vt:i4>5</vt:i4>
      </vt:variant>
      <vt:variant>
        <vt:lpwstr>https://onlinelibrary.wiley.com/doi/pdfdirect/10.1002/ece3.6183</vt:lpwstr>
      </vt:variant>
      <vt:variant>
        <vt:lpwstr/>
      </vt:variant>
      <vt:variant>
        <vt:i4>7209011</vt:i4>
      </vt:variant>
      <vt:variant>
        <vt:i4>6</vt:i4>
      </vt:variant>
      <vt:variant>
        <vt:i4>0</vt:i4>
      </vt:variant>
      <vt:variant>
        <vt:i4>5</vt:i4>
      </vt:variant>
      <vt:variant>
        <vt:lpwstr>https://zslpublications.onlinelibrary.wiley.com/doi/pdf/10.1111/j.1469-7998.2006.00142.x?casa_token=xnmQmDl8fkAAAAAA:eHLMS7ZDZfKH_ueq6th6I5RC6UsIyojhE8KsUODrUO2zM12oclR1mok1lyKoSM13uYcbDDW-kvsEcQ</vt:lpwstr>
      </vt:variant>
      <vt:variant>
        <vt:lpwstr/>
      </vt:variant>
      <vt:variant>
        <vt:i4>8060928</vt:i4>
      </vt:variant>
      <vt:variant>
        <vt:i4>3</vt:i4>
      </vt:variant>
      <vt:variant>
        <vt:i4>0</vt:i4>
      </vt:variant>
      <vt:variant>
        <vt:i4>5</vt:i4>
      </vt:variant>
      <vt:variant>
        <vt:lpwstr>https://onlinelibrary.wiley.com/doi/pdf/10.1111/j.1744-7429.2000.tb00480.x?casa_token=c0yj7kRkfNgAAAAA:lqCXlDf-VXcEXLKanovg7jzgs2qgE3KwG6O32MGVP9MH36r-c1aEDAByXj0S8FyXOgfjo6m1DnEAvQ</vt:lpwstr>
      </vt:variant>
      <vt:variant>
        <vt:lpwstr/>
      </vt:variant>
      <vt:variant>
        <vt:i4>524351</vt:i4>
      </vt:variant>
      <vt:variant>
        <vt:i4>0</vt:i4>
      </vt:variant>
      <vt:variant>
        <vt:i4>0</vt:i4>
      </vt:variant>
      <vt:variant>
        <vt:i4>5</vt:i4>
      </vt:variant>
      <vt:variant>
        <vt:lpwstr>https://onlinelibrary.wiley.com/doi/pdf/10.1111/aje.12888?casa_token=oU5oSGWjtksAAAAA:k5ZLDxODSkqxXf6A7qWYzWRJPulvFFI-ICSGk9swiBtI9ly6RZyATI-RUvfdN2tCq-xq-B67FU8FYg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Wayt Gibbs</dc:creator>
  <cp:keywords/>
  <dc:description/>
  <cp:lastModifiedBy>Wayt Gibbs</cp:lastModifiedBy>
  <cp:revision>5</cp:revision>
  <cp:lastPrinted>2023-03-23T21:11:00Z</cp:lastPrinted>
  <dcterms:created xsi:type="dcterms:W3CDTF">2023-11-05T02:05:00Z</dcterms:created>
  <dcterms:modified xsi:type="dcterms:W3CDTF">2023-11-05T06:04:00Z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zotero-version="6.0.30"&gt;&lt;session id="5P2OKmpi"/&gt;&lt;style id="http://www.zotero.org/styles/plos" hasBibliography="1" bibliographyStyleHasBeenSet="1"/&gt;&lt;prefs&gt;&lt;pref name="fieldType" value="Field"/&gt;&lt;pref name="automaticJournalAbbreviation</vt:lpwstr>
  </property>
  <property fmtid="{D5CDD505-2E9C-101B-9397-08002B2CF9AE}" pid="3" name="ZOTERO_PREF_2">
    <vt:lpwstr>s" value="true"/&gt;&lt;pref name="dontAskDelayCitationUpdates" value="true"/&gt;&lt;pref name="delayCitationUpdates" value="true"/&gt;&lt;/prefs&gt;&lt;/data&gt;</vt:lpwstr>
  </property>
</Properties>
</file>