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CEB18" w14:textId="77777777" w:rsidR="00B65528" w:rsidRDefault="00B65528" w:rsidP="00B40BAA">
      <w:pPr>
        <w:spacing w:after="160" w:line="259" w:lineRule="auto"/>
        <w:jc w:val="center"/>
        <w:rPr>
          <w:b/>
          <w:bCs/>
        </w:rPr>
      </w:pPr>
    </w:p>
    <w:p w14:paraId="47CBAB8B" w14:textId="4CD2B8F0" w:rsidR="00B40BAA" w:rsidRPr="00EA60F0" w:rsidRDefault="008A42AE" w:rsidP="00B40BAA">
      <w:pPr>
        <w:spacing w:after="160" w:line="259" w:lineRule="auto"/>
        <w:jc w:val="center"/>
        <w:rPr>
          <w:b/>
          <w:bCs/>
        </w:rPr>
      </w:pPr>
      <w:r>
        <w:rPr>
          <w:b/>
          <w:bCs/>
        </w:rPr>
        <w:t xml:space="preserve">S1 </w:t>
      </w:r>
      <w:r w:rsidR="00B40BAA" w:rsidRPr="00EA60F0">
        <w:rPr>
          <w:b/>
          <w:bCs/>
        </w:rPr>
        <w:t>Appendix</w:t>
      </w:r>
    </w:p>
    <w:p w14:paraId="6B80CA56" w14:textId="77777777" w:rsidR="00B40BAA" w:rsidRPr="00EA60F0" w:rsidRDefault="00B40BAA" w:rsidP="00B40BAA">
      <w:pPr>
        <w:spacing w:after="160" w:line="259" w:lineRule="auto"/>
        <w:jc w:val="center"/>
        <w:rPr>
          <w:b/>
          <w:bCs/>
        </w:rPr>
      </w:pPr>
      <w:r w:rsidRPr="00EA60F0">
        <w:rPr>
          <w:b/>
          <w:bCs/>
        </w:rPr>
        <w:t xml:space="preserve">Supplementary Information </w:t>
      </w:r>
    </w:p>
    <w:p w14:paraId="46DF3316" w14:textId="46EC1FC4" w:rsidR="00B40BAA" w:rsidRPr="00EA60F0" w:rsidRDefault="00B40BAA" w:rsidP="00B40BAA">
      <w:pPr>
        <w:spacing w:after="160" w:line="259" w:lineRule="auto"/>
        <w:jc w:val="center"/>
        <w:rPr>
          <w:b/>
          <w:bCs/>
        </w:rPr>
      </w:pPr>
      <w:r w:rsidRPr="00EA60F0">
        <w:rPr>
          <w:b/>
          <w:bCs/>
        </w:rPr>
        <w:t>Coming Up Short: Comparing Venous Blood, Dried Blood Spots &amp; Saliva Samples for Measuring Telomere Length</w:t>
      </w:r>
    </w:p>
    <w:p w14:paraId="7BB7B7EB" w14:textId="0D69240D" w:rsidR="00744C5E" w:rsidRPr="00744C5E" w:rsidRDefault="00744C5E" w:rsidP="00744C5E">
      <w:pPr>
        <w:spacing w:after="160" w:line="259" w:lineRule="auto"/>
        <w:rPr>
          <w:b/>
          <w:bCs/>
          <w:i/>
        </w:rPr>
      </w:pPr>
      <w:r w:rsidRPr="00744C5E">
        <w:rPr>
          <w:b/>
          <w:bCs/>
          <w:i/>
        </w:rPr>
        <w:t>Sample Recruitment</w:t>
      </w:r>
    </w:p>
    <w:p w14:paraId="7044B914" w14:textId="6D97DE74" w:rsidR="00F61813" w:rsidRDefault="00F61813" w:rsidP="00854B59">
      <w:pPr>
        <w:rPr>
          <w:bCs/>
        </w:rPr>
      </w:pPr>
      <w:r w:rsidRPr="00F61813">
        <w:rPr>
          <w:bCs/>
        </w:rPr>
        <w:t>We recruit</w:t>
      </w:r>
      <w:r w:rsidR="002E6045">
        <w:rPr>
          <w:bCs/>
        </w:rPr>
        <w:t>ed a total of 132 non-Hispanic Black, non-Hispanic W</w:t>
      </w:r>
      <w:r w:rsidRPr="00F61813">
        <w:rPr>
          <w:bCs/>
        </w:rPr>
        <w:t xml:space="preserve">hite, and Mexican-descent Michigan women residents from </w:t>
      </w:r>
      <w:r w:rsidR="002E6045">
        <w:rPr>
          <w:bCs/>
        </w:rPr>
        <w:t xml:space="preserve">disinvested </w:t>
      </w:r>
      <w:r w:rsidRPr="00F61813">
        <w:rPr>
          <w:bCs/>
        </w:rPr>
        <w:t>high-poverty areas of Detroit and a more affluent</w:t>
      </w:r>
      <w:r w:rsidR="002E6045">
        <w:rPr>
          <w:bCs/>
        </w:rPr>
        <w:t xml:space="preserve"> area, Ann Arbor, ages 25-49. </w:t>
      </w:r>
      <w:r w:rsidR="00566B09">
        <w:rPr>
          <w:bCs/>
        </w:rPr>
        <w:t>Telomere length (</w:t>
      </w:r>
      <w:r w:rsidRPr="00F61813">
        <w:rPr>
          <w:bCs/>
        </w:rPr>
        <w:t>TL</w:t>
      </w:r>
      <w:r w:rsidR="00566B09">
        <w:rPr>
          <w:bCs/>
        </w:rPr>
        <w:t>)</w:t>
      </w:r>
      <w:r w:rsidRPr="00F61813">
        <w:rPr>
          <w:bCs/>
        </w:rPr>
        <w:t xml:space="preserve"> wa</w:t>
      </w:r>
      <w:r w:rsidR="002E6045">
        <w:rPr>
          <w:bCs/>
        </w:rPr>
        <w:t>s measured in DNA from three</w:t>
      </w:r>
      <w:r w:rsidRPr="00F61813">
        <w:rPr>
          <w:bCs/>
        </w:rPr>
        <w:t xml:space="preserve"> distinct specimen types from each woman: fresh blood (PBMC), dried blood spot (DBS), and saliva. </w:t>
      </w:r>
    </w:p>
    <w:p w14:paraId="177D2184" w14:textId="3BE0A481" w:rsidR="00E93C3E" w:rsidRPr="00744C5E" w:rsidRDefault="00F61813" w:rsidP="00DA29E3">
      <w:pPr>
        <w:spacing w:line="259" w:lineRule="auto"/>
        <w:rPr>
          <w:bCs/>
        </w:rPr>
      </w:pPr>
      <w:r>
        <w:rPr>
          <w:bCs/>
        </w:rPr>
        <w:tab/>
      </w:r>
      <w:r w:rsidR="00E93C3E" w:rsidRPr="00744C5E">
        <w:rPr>
          <w:bCs/>
        </w:rPr>
        <w:t>By including Detroit residents of high poverty areas, we simulate a target sample that includes members of marginalized groups.   We focused on women as previous research has shown women to suffer the steepest age-gradient increase and the largest racial/ethnic differences in chronic disease and disability.</w:t>
      </w:r>
      <w:r w:rsidR="00E93C3E" w:rsidRPr="00744C5E">
        <w:rPr>
          <w:bCs/>
        </w:rPr>
        <w:fldChar w:fldCharType="begin"/>
      </w:r>
      <w:r w:rsidR="00310552">
        <w:rPr>
          <w:bCs/>
        </w:rPr>
        <w:instrText xml:space="preserve"> ADDIN ZOTERO_ITEM CSL_CITATION {"citationID":"mHoOivg0","properties":{"formattedCitation":"\\super 1,2\\nosupersub{}","plainCitation":"1,2","noteIndex":0},"citationItems":[{"id":"I6WJAfhd/tH9Zmwdz","uris":["http://zotero.org/users/local/z6s6sSds/items/YVLEAJRX"],"uri":["http://zotero.org/users/local/z6s6sSds/items/YVLEAJRX"],"itemData":{"id":"x2SLhHaM/kgIj5mBx","type":"article-journal","abstract":"We calculated population-level estimates of mortality, functional health, and active life expectancy for black and white adults living in a diverse set of 23 local areas in 1990, and nationwide. At age 16, life expectancy and active life expectancy vary across the local populations by as much as 28 and 25 years respectively. The relationship between population infirmity and longevity also varies. Rural residents outlive urban residents, but their additional years are primarily inactive. Among urban residents, those in more affluent areas outlive those in high-poverty areas. For both whites and blacks, these gains represent increases in active years. For whites alone they also reflect reductions in years spent in poor health.","archive_location":"11392910","container-title":"Demography","DOI":"10.1353/dem.2001.0015","ISSN":"0070-3370","issue":"2","language":"eng","note":"number: 2","page":"227-51","title":"Inequality in life expectancy, functional status, and active life expectancy across selected black and white populations in the United States","volume":"38","author":[{"family":"Geronimus","given":"A. T."},{"family":"Bound","given":"J."},{"family":"Waidmann","given":"T. A."},{"family":"Colen","given":"C. G."},{"family":"Steffick","given":"D."}],"issued":{"date-parts":[["2001",5]]}}},{"id":1892,"uris":["http://zotero.org/users/4251691/items/9IU2B2I6"],"uri":["http://zotero.org/users/4251691/items/9IU2B2I6"],"itemData":{"id":1892,"type":"article-journal","abstract":"Objectives. We considered whether US Blacks experience early health deterioration, as measured across biological indicators of repeated exposure and adaptation to stressors.\nMethods. Using National Health and Nutrition Examination Survey data, we examined allostatic load scores for adults aged 18–64 years. We estimated probability of a high score by age, race, gender, and poverty status and Blacks’ odds of having a high score relative to Whites’ odds.\nResults. Blacks had higher scores than did Whites and had a greater probability of a high score at all ages, particularly at 35–64 years. Racial differences were not explained by poverty. Poor and nonpoor Black women had the highest and second highest probability of high allostatic load scores, respectively, and the highest excess scores compared with their male or White counterparts.\nConclusions. We found evidence that racial inequalities in health exist across a range of biological systems among adults and are not explained by racial differences in poverty. The weathering effects of living in a race-conscious society may be greatest among those Blacks most likely to engage in high-effort coping. (Am J Public Health. 2006;96:826–833. doi:10.2105/AJPH.2004.060749)","container-title":"American Journal of Public Health","DOI":"10.2105/AJPH.2004.060749","ISSN":"0090-0036, 1541-0048","issue":"5","journalAbbreviation":"Am J Public Health","language":"en","page":"826-833","source":"DOI.org (Crossref)","title":"“Weathering” and Age Patterns of Allostatic Load Scores Among Blacks and Whites in the United States","volume":"96","author":[{"family":"Geronimus","given":"Arline T."},{"family":"Hicken","given":"Margaret"},{"family":"Keene","given":"Danya"},{"family":"Bound","given":"John"}],"issued":{"date-parts":[["2006",5]]}}}],"schema":"https://github.com/citation-style-language/schema/raw/master/csl-citation.json"} </w:instrText>
      </w:r>
      <w:r w:rsidR="00E93C3E" w:rsidRPr="00744C5E">
        <w:rPr>
          <w:bCs/>
        </w:rPr>
        <w:fldChar w:fldCharType="separate"/>
      </w:r>
      <w:r w:rsidR="00293328" w:rsidRPr="00293328">
        <w:rPr>
          <w:vertAlign w:val="superscript"/>
        </w:rPr>
        <w:t>1,2</w:t>
      </w:r>
      <w:r w:rsidR="00E93C3E" w:rsidRPr="00744C5E">
        <w:rPr>
          <w:bCs/>
        </w:rPr>
        <w:fldChar w:fldCharType="end"/>
      </w:r>
      <w:r w:rsidR="00E93C3E" w:rsidRPr="00744C5E">
        <w:rPr>
          <w:bCs/>
        </w:rPr>
        <w:t xml:space="preserve"> In addition, there is some evidence that the ways in which adverse childhood experience influences adult telomere length varies between men and women.</w:t>
      </w:r>
      <w:r w:rsidR="00E93C3E" w:rsidRPr="00744C5E">
        <w:rPr>
          <w:bCs/>
        </w:rPr>
        <w:fldChar w:fldCharType="begin"/>
      </w:r>
      <w:r w:rsidR="00293328">
        <w:rPr>
          <w:bCs/>
        </w:rPr>
        <w:instrText xml:space="preserve"> ADDIN ZOTERO_ITEM CSL_CITATION {"citationID":"ktEUDj7D","properties":{"formattedCitation":"\\super 3\\nosupersub{}","plainCitation":"3","noteIndex":0},"citationItems":[{"id":2444,"uris":["http://zotero.org/users/4251691/items/U8JD95WB"],"uri":["http://zotero.org/users/4251691/items/U8JD95WB"],"itemData":{"id":2444,"type":"article-journal","abstract":"Negative early-life exposures have been linked to a host of poor adult health outcomes, but are such early exposures associated with cellular senescence decades later? This study uses data from the Health and Retirement Study to examine the association between six childhood exposure domains (eg, socioeconomic disadvantage, risky parental behavior) and a biomarker of aging, telomere length, among 4,935 respondents. Telomere length is obtained from DNA of cells found in saliva and is measured as the telomere repeat copy number to single gene copy number ratio (T/S). Men who as children were exposed to risky parental behaviors or who reported risky adolescent behaviors have shorter telomeres (b = −0.031, p = .052; b = −0.041, p = .045, respectively); however, these relationships are attenuated after adjusting for adult risks and resources. Among women, parental substance abuse is associated with shorter telomeres even after adjusting for adult risks and resources (b = −0.041, p = .005). In addition, men and women whose mother lived at least until the age of 85 have longer telomeres than those without a long-lived mother (b = 0.021, p = .045; b = 0.032, p = .005, respectively). Taken together, the ways in which early-life exposures are associated with adult telomeres vary for men and women.","container-title":"The Journals of Gerontology: Series A","DOI":"10.1093/gerona/glaa019","ISSN":"1079-5006, 1758-535X","issue":"1","language":"en","page":"7-14","source":"DOI.org (Crossref)","title":"Are Biological Consequences of Childhood Exposures Detectable in Telomere Length Decades Later?","volume":"76","author":[{"family":"Kemp","given":"Blakelee R"},{"family":"Ferraro","given":"Kenneth F"}],"editor":[{"family":"Le Couteur","given":"David"}],"issued":{"date-parts":[["2021",1,1]]}}}],"schema":"https://github.com/citation-style-language/schema/raw/master/csl-citation.json"} </w:instrText>
      </w:r>
      <w:r w:rsidR="00E93C3E" w:rsidRPr="00744C5E">
        <w:rPr>
          <w:bCs/>
        </w:rPr>
        <w:fldChar w:fldCharType="separate"/>
      </w:r>
      <w:r w:rsidR="00293328" w:rsidRPr="00293328">
        <w:rPr>
          <w:vertAlign w:val="superscript"/>
        </w:rPr>
        <w:t>3</w:t>
      </w:r>
      <w:r w:rsidR="00E93C3E" w:rsidRPr="00744C5E">
        <w:rPr>
          <w:bCs/>
        </w:rPr>
        <w:fldChar w:fldCharType="end"/>
      </w:r>
      <w:r w:rsidR="00E93C3E" w:rsidRPr="00744C5E">
        <w:rPr>
          <w:bCs/>
        </w:rPr>
        <w:t xml:space="preserve"> We chose the age range of 25-49 to encompass ages unlikely to be either too young or too old to detect TL differences unrelated to normal biological growth, development, or aging, and ages with less potential to be affected by survival bias than older ages. </w:t>
      </w:r>
      <w:r w:rsidR="0019722D" w:rsidRPr="0019722D">
        <w:rPr>
          <w:bCs/>
        </w:rPr>
        <w:t>Previous social epidemiological studies of population differences in s</w:t>
      </w:r>
      <w:r w:rsidR="002E6045">
        <w:rPr>
          <w:bCs/>
        </w:rPr>
        <w:t>tress-mediated health and aging</w:t>
      </w:r>
      <w:r w:rsidR="0019722D" w:rsidRPr="0019722D">
        <w:rPr>
          <w:bCs/>
        </w:rPr>
        <w:t xml:space="preserve"> find these are the ages where structurally patterned population health inequities in TL diverge importantly.</w:t>
      </w:r>
      <w:r w:rsidR="0019722D" w:rsidRPr="0019722D">
        <w:rPr>
          <w:bCs/>
        </w:rPr>
        <w:fldChar w:fldCharType="begin"/>
      </w:r>
      <w:r w:rsidR="00310552">
        <w:rPr>
          <w:bCs/>
        </w:rPr>
        <w:instrText xml:space="preserve"> ADDIN ZOTERO_ITEM CSL_CITATION {"citationID":"UOfnWEqH","properties":{"formattedCitation":"\\super 2,4\\nosupersub{}","plainCitation":"2,4","noteIndex":0},"citationItems":[{"id":1892,"uris":["http://zotero.org/users/4251691/items/9IU2B2I6"],"uri":["http://zotero.org/users/4251691/items/9IU2B2I6"],"itemData":{"id":1892,"type":"article-journal","abstract":"Objectives. We considered whether US Blacks experience early health deterioration, as measured across biological indicators of repeated exposure and adaptation to stressors.\nMethods. Using National Health and Nutrition Examination Survey data, we examined allostatic load scores for adults aged 18–64 years. We estimated probability of a high score by age, race, gender, and poverty status and Blacks’ odds of having a high score relative to Whites’ odds.\nResults. Blacks had higher scores than did Whites and had a greater probability of a high score at all ages, particularly at 35–64 years. Racial differences were not explained by poverty. Poor and nonpoor Black women had the highest and second highest probability of high allostatic load scores, respectively, and the highest excess scores compared with their male or White counterparts.\nConclusions. We found evidence that racial inequalities in health exist across a range of biological systems among adults and are not explained by racial differences in poverty. The weathering effects of living in a race-conscious society may be greatest among those Blacks most likely to engage in high-effort coping. (Am J Public Health. 2006;96:826–833. doi:10.2105/AJPH.2004.060749)","container-title":"American Journal of Public Health","DOI":"10.2105/AJPH.2004.060749","ISSN":"0090-0036, 1541-0048","issue":"5","journalAbbreviation":"Am J Public Health","language":"en","page":"826-833","source":"DOI.org (Crossref)","title":"“Weathering” and Age Patterns of Allostatic Load Scores Among Blacks and Whites in the United States","volume":"96","author":[{"family":"Geronimus","given":"Arline T."},{"family":"Hicken","given":"Margaret"},{"family":"Keene","given":"Danya"},{"family":"Bound","given":"John"}],"issued":{"date-parts":[["2006",5]]}}},{"id":1553,"uris":["http://zotero.org/users/4251691/items/DDNM8LT5"],"uri":["http://zotero.org/users/4251691/items/DDNM8LT5"],"itemData":{"id":1553,"type":"article-journal","abstract":"Residents of distressed urban areas suffer early aging-related disease and excess mortality. Usin community-based participatory research approach in a collaboration between social researchers a cellular biologists, we collected a unique data set of 239 black, white, or Mexican adults from a stratified multistage probability sample of three Detroit neighborhoods. We drew venous blood and measu telomere length (TL), an indicator of stress-mediated biological aging, linking respondents' TL to the community survey responses. We regressed TL on socioeconomic, psychosocial, neighborhood, a behavioral stressors, hypothesizing and finding an interaction between poverty and racial-ethnic gro Poor whites had shorter TL than nonpoor whites; poor and nonpoor blacks had equivalent TL; and po Mexicans had longer TL than nonpoor Mexicans. Findings suggest unobserved heterogeneity bias is important threat to the validity of estimates of TL differences by race-ethnicity. They point to hea impacts of social identity as contingent, the products of structurally rooted biopsychosocial processes.","container-title":"Journal of Health and Social Behavior","DOI":"10.1177/0022146515582100","ISSN":"0022-1465, 2150-6000","issue":"2","language":"en","page":"199-224","source":"Crossref","title":"Race-Ethnicity, Poverty, Urban Stressors, and Telomere Length in a Detroit Community-based Sample","volume":"56","author":[{"family":"Geronimus","given":"Arline T."},{"family":"Pearson","given":"Jay A."},{"family":"Linnenbringer","given":"Erin"},{"family":"Schulz","given":"Amy J."},{"family":"Reyes","given":"Angela G."},{"family":"Epel","given":"Elissa S."},{"family":"Lin","given":"Jue"},{"family":"Blackburn","given":"Elizabeth H."}],"issued":{"date-parts":[["2015",6]]}}}],"schema":"https://github.com/citation-style-language/schema/raw/master/csl-citation.json"} </w:instrText>
      </w:r>
      <w:r w:rsidR="0019722D" w:rsidRPr="0019722D">
        <w:rPr>
          <w:bCs/>
        </w:rPr>
        <w:fldChar w:fldCharType="separate"/>
      </w:r>
      <w:r w:rsidR="00310552" w:rsidRPr="00310552">
        <w:rPr>
          <w:vertAlign w:val="superscript"/>
        </w:rPr>
        <w:t>2,4</w:t>
      </w:r>
      <w:r w:rsidR="0019722D" w:rsidRPr="0019722D">
        <w:rPr>
          <w:bCs/>
        </w:rPr>
        <w:fldChar w:fldCharType="end"/>
      </w:r>
      <w:r w:rsidR="0019722D" w:rsidRPr="0019722D">
        <w:rPr>
          <w:bCs/>
        </w:rPr>
        <w:t xml:space="preserve"> </w:t>
      </w:r>
      <w:r w:rsidR="00E93C3E" w:rsidRPr="00744C5E">
        <w:rPr>
          <w:bCs/>
        </w:rPr>
        <w:t>While generally the rate of telomere shortening in this age group is small relative to younger and older ages, the range is large</w:t>
      </w:r>
      <w:r w:rsidR="00E93C3E" w:rsidRPr="00744C5E">
        <w:rPr>
          <w:bCs/>
        </w:rPr>
        <w:fldChar w:fldCharType="begin"/>
      </w:r>
      <w:r w:rsidR="00310552">
        <w:rPr>
          <w:bCs/>
        </w:rPr>
        <w:instrText xml:space="preserve"> ADDIN ZOTERO_ITEM CSL_CITATION {"citationID":"dFwjAqQQ","properties":{"formattedCitation":"\\super 5,6\\nosupersub{}","plainCitation":"5,6","noteIndex":0},"citationItems":[{"id":1842,"uris":["http://zotero.org/users/4251691/items/3K4FGS86"],"uri":["http://zotero.org/users/4251691/items/3K4FGS86"],"itemData":{"id":1842,"type":"article-journal","abstract":"A gradual loss of telomeric repeat sequences with aging previously has been noted in normal adult tissues, and this process has been implicated in cell senescence. No data exist that address the rate of telomere shortening in normal human cells within families or early in life. To address these questions, we measured telomere lengths in peripheral blood leukocytes (PBLs) from 75 members of 12 families and in a group of unrelated healthy children who were 5–48 months old. Here we report the surprising observation that rates of telomere attrition vary markedly at different ages. Telomeric repeats are lost rapidly (at a rate of &gt;1 kilobase per year) from the PBLs of young children, followed by an apparent plateau between age 4 and young adulthood, and by gradual attrition later in life. These data suggest that the loss of telomeric repeats in hematopoietic cells is a dynamic process that is differentially regulated in young children and adults. Our results have implications for current models of how telomeric sequences are lost in normal somatic cells and suggest that PBLs are an excellent tissue to investigate how this process is controlled.","container-title":"Proceedings of the National Academy of Sciences","DOI":"10.1073/pnas.95.10.5607","ISSN":"0027-8424, 1091-6490","issue":"10","journalAbbreviation":"Proceedings of the National Academy of Sciences","language":"en","page":"5607-5610","source":"DOI.org (Crossref)","title":"The rate of telomere sequence loss in human leukocytes varies with age","volume":"95","author":[{"family":"Frenck","given":"R. W."},{"family":"Blackburn","given":"E. H."},{"family":"Shannon","given":"K. M."}],"issued":{"date-parts":[["1998",5,12]]}}},{"id":2448,"uris":["http://zotero.org/users/4251691/items/IXEKRGQY"],"uri":["http://zotero.org/users/4251691/items/IXEKRGQY"],"itemData":{"id":2448,"type":"article-journal","container-title":"The Journals of Gerontology Series A: Biological Sciences and Medical Sciences","DOI":"10.1093/gerona/63.9.979","ISSN":"1079-5006, 1758-535X","issue":"9","journalAbbreviation":"The Journals of Gerontology Series A: Biological Sciences and Medical Sciences","language":"en","page":"979-983","source":"DOI.org (Crossref)","title":"The Epidemiology of Human Telomeres: Faults and Promises","title-short":"The Epidemiology of Human Telomeres","volume":"63","author":[{"family":"Aviv","given":"Abraham"}],"issued":{"date-parts":[["2008",9,1]]}}}],"schema":"https://github.com/citation-style-language/schema/raw/master/csl-citation.json"} </w:instrText>
      </w:r>
      <w:r w:rsidR="00E93C3E" w:rsidRPr="00744C5E">
        <w:rPr>
          <w:bCs/>
        </w:rPr>
        <w:fldChar w:fldCharType="separate"/>
      </w:r>
      <w:r w:rsidR="00310552" w:rsidRPr="00310552">
        <w:rPr>
          <w:vertAlign w:val="superscript"/>
        </w:rPr>
        <w:t>5,6</w:t>
      </w:r>
      <w:r w:rsidR="00E93C3E" w:rsidRPr="00744C5E">
        <w:rPr>
          <w:bCs/>
        </w:rPr>
        <w:fldChar w:fldCharType="end"/>
      </w:r>
      <w:r w:rsidR="00E93C3E" w:rsidRPr="00744C5E">
        <w:rPr>
          <w:bCs/>
        </w:rPr>
        <w:t xml:space="preserve"> and might be associated with socially patterned biopsychosocial, behavioral, or environmental inputs</w:t>
      </w:r>
      <w:r w:rsidR="002E6045">
        <w:rPr>
          <w:bCs/>
        </w:rPr>
        <w:t>.</w:t>
      </w:r>
      <w:r w:rsidR="00E93C3E" w:rsidRPr="00744C5E">
        <w:rPr>
          <w:bCs/>
        </w:rPr>
        <w:t xml:space="preserve"> In addition, limiting survival bias is a critically important concern when studying population health inequity where variations in life expectancy distributions are marked and likely associated with the same fundamental social causes as any differences in TL, diluting or distorting disparities between populations.</w:t>
      </w:r>
      <w:r w:rsidR="00E93C3E" w:rsidRPr="00744C5E">
        <w:rPr>
          <w:bCs/>
        </w:rPr>
        <w:fldChar w:fldCharType="begin"/>
      </w:r>
      <w:r w:rsidR="00310552">
        <w:rPr>
          <w:bCs/>
        </w:rPr>
        <w:instrText xml:space="preserve"> ADDIN ZOTERO_ITEM CSL_CITATION {"citationID":"pFbqPQnT","properties":{"formattedCitation":"\\super 1,5,7\\nosupersub{}","plainCitation":"1,5,7","noteIndex":0},"citationItems":[{"id":1842,"uris":["http://zotero.org/users/4251691/items/3K4FGS86"],"uri":["http://zotero.org/users/4251691/items/3K4FGS86"],"itemData":{"id":1842,"type":"article-journal","abstract":"A gradual loss of telomeric repeat sequences with aging previously has been noted in normal adult tissues, and this process has been implicated in cell senescence. No data exist that address the rate of telomere shortening in normal human cells within families or early in life. To address these questions, we measured telomere lengths in peripheral blood leukocytes (PBLs) from 75 members of 12 families and in a group of unrelated healthy children who were 5–48 months old. Here we report the surprising observation that rates of telomere attrition vary markedly at different ages. Telomeric repeats are lost rapidly (at a rate of &gt;1 kilobase per year) from the PBLs of young children, followed by an apparent plateau between age 4 and young adulthood, and by gradual attrition later in life. These data suggest that the loss of telomeric repeats in hematopoietic cells is a dynamic process that is differentially regulated in young children and adults. Our results have implications for current models of how telomeric sequences are lost in normal somatic cells and suggest that PBLs are an excellent tissue to investigate how this process is controlled.","container-title":"Proceedings of the National Academy of Sciences","DOI":"10.1073/pnas.95.10.5607","ISSN":"0027-8424, 1091-6490","issue":"10","journalAbbreviation":"Proceedings of the National Academy of Sciences","language":"en","page":"5607-5610","source":"DOI.org (Crossref)","title":"The rate of telomere sequence loss in human leukocytes varies with age","volume":"95","author":[{"family":"Frenck","given":"R. W."},{"family":"Blackburn","given":"E. H."},{"family":"Shannon","given":"K. M."}],"issued":{"date-parts":[["1998",5,12]]}}},{"id":"I6WJAfhd/tH9Zmwdz","uris":["http://zotero.org/users/local/z6s6sSds/items/YVLEAJRX"],"uri":["http://zotero.org/users/local/z6s6sSds/items/YVLEAJRX"],"itemData":{"id":"x2SLhHaM/kgIj5mBx","type":"article-journal","abstract":"We calculated population-level estimates of mortality, functional health, and active life expectancy for black and white adults living in a diverse set of 23 local areas in 1990, and nationwide. At age 16, life expectancy and active life expectancy vary across the local populations by as much as 28 and 25 years respectively. The relationship between population infirmity and longevity also varies. Rural residents outlive urban residents, but their additional years are primarily inactive. Among urban residents, those in more affluent areas outlive those in high-poverty areas. For both whites and blacks, these gains represent increases in active years. For whites alone they also reflect reductions in years spent in poor health.","archive_location":"11392910","container-title":"Demography","DOI":"10.1353/dem.2001.0015","ISSN":"0070-3370","issue":"2","language":"eng","note":"number: 2","page":"227-51","title":"Inequality in life expectancy, functional status, and active life expectancy across selected black and white populations in the United States","volume":"38","author":[{"family":"Geronimus","given":"A. T."},{"family":"Bound","given":"J."},{"family":"Waidmann","given":"T. A."},{"family":"Colen","given":"C. G."},{"family":"Steffick","given":"D."}],"issued":{"date-parts":[["2001",5]]}}},{"id":2450,"uris":["http://zotero.org/users/4251691/items/Q9NYVI4T"],"uri":["http://zotero.org/users/4251691/items/Q9NYVI4T"],"itemData":{"id":2450,"type":"article-journal","abstract":"Discussion of growing inequity in U.S. life expectancy increasingly focuses on the popularized narrative that it is driven by a surge of “deaths of despair.” Does this narrative fit the empirical evidence? Using census and Vital Statistics data, we apply life-table methods to calculate cause-specific years of life lost between ages 25 and 84 by sex and educational rank for non-Hispanic blacks and whites in 1990 and 2015. Drug overdoses do contribute importantly to widening inequity for whites, especially men, but trivially for blacks. The contribution of suicide to growing inequity is unremarkable. Cardiovascular disease, non-lung cancers, and other internal causes are key to explaining growing life expectancy inequity. Results underline the speculative nature of attempts to attribute trends in life-expectancy inequity to an epidemic of despair. They call for continued investigation of the possible weathering effects of tenacious high-effort coping with chronic stressors on the health of marginalized populations.","container-title":"Journal of Health and Social Behavior","DOI":"10.1177/0022146519849932","ISSN":"0022-1465, 2150-6000","issue":"2","journalAbbreviation":"J Health Soc Behav","language":"en","page":"222-239","source":"DOI.org (Crossref)","title":"Weathering, Drugs, and Whack-a-Mole: Fundamental and Proximate Causes of Widening Educational Inequity in U.S. Life Expectancy by Sex and Race, 1990–2015","title-short":"Weathering, Drugs, and Whack-a-Mole","volume":"60","author":[{"family":"Geronimus","given":"Arline T."},{"family":"Bound","given":"John"},{"family":"Waidmann","given":"Timothy A."},{"family":"Rodriguez","given":"Javier M."},{"family":"Timpe","given":"Brenden"}],"issued":{"date-parts":[["2019",6]]}}}],"schema":"https://github.com/citation-style-language/schema/raw/master/csl-citation.json"} </w:instrText>
      </w:r>
      <w:r w:rsidR="00E93C3E" w:rsidRPr="00744C5E">
        <w:rPr>
          <w:bCs/>
        </w:rPr>
        <w:fldChar w:fldCharType="separate"/>
      </w:r>
      <w:r w:rsidR="00310552" w:rsidRPr="00310552">
        <w:rPr>
          <w:vertAlign w:val="superscript"/>
        </w:rPr>
        <w:t>1,5,7</w:t>
      </w:r>
      <w:r w:rsidR="00E93C3E" w:rsidRPr="00744C5E">
        <w:rPr>
          <w:bCs/>
        </w:rPr>
        <w:fldChar w:fldCharType="end"/>
      </w:r>
      <w:r w:rsidR="00E93C3E" w:rsidRPr="00744C5E">
        <w:rPr>
          <w:bCs/>
        </w:rPr>
        <w:t xml:space="preserve">  We note that people sampled in several previous studies detecting an impact of social stressors on TL were in their late 30s, on average.</w:t>
      </w:r>
      <w:r w:rsidR="00E93C3E" w:rsidRPr="00744C5E">
        <w:rPr>
          <w:bCs/>
        </w:rPr>
        <w:fldChar w:fldCharType="begin"/>
      </w:r>
      <w:r w:rsidR="00310552">
        <w:rPr>
          <w:bCs/>
        </w:rPr>
        <w:instrText xml:space="preserve"> ADDIN ZOTERO_ITEM CSL_CITATION {"citationID":"dRuq040U","properties":{"formattedCitation":"\\super 8\\uc0\\u8211{}10\\nosupersub{}","plainCitation":"8–10","noteIndex":0},"citationItems":[{"id":"I6WJAfhd/ULstSPno","uris":["http://zotero.org/users/local/z6s6sSds/items/8QGSKEM7"],"uri":["http://zotero.org/users/local/z6s6sSds/items/8QGSKEM7"],"itemData":{"id":"x2SLhHaM/EitVzOQ1","type":"article-journal","abstract":"Low socio-economic status (SES) is associated with a shortened life expectancy, but its effect on aging is unknown. The rate of white-blood-cell (WBC) telomere attrition may be a biological indicator of human aging. We tested the hypothesis that SES is associated with telomere attrition independent of known risk factors influencing the aging process. We studied 1552 female twins. A venous blood sample was taken from each twin and isolated WBCs used for extraction of DNA. Terminal restriction fragment length (TRFL) was measured. Questionnaire data were collected on occupation, education, income, smoking, exercise, height and weight. Standard multiple linear regression and multivariate analyses of variance tested for associations between SES and TRFL, adjusting for covariates. A discordant twin analysis was conducted on a subset to verify findings. WBC telomere length was highly variable but significantly shorter in lower SES groups. The mean difference in TRFL between nonmanual and manual SES groups was 163.2 base pairs (bp) of which 22.9 bp (approximately 14%) was accounted for by body mass index, smoking and exercise. Comparison of TRFL in the 17 most discordant SES twin pairs confirmed this difference. Low SES, in addition to the harmful effects of smoking, obesity and lack of exercise, appears to have an impact on telomere length.","archive_location":"16856882","container-title":"Aging Cell","DOI":"10.1111/j.1474-9726.2006.00222.x","ISSN":"1474-9718","issue":"5","language":"eng","note":"number: 5","page":"361-5","title":"The effects of social status on biological aging as measured by white-blood-cell telomere length","volume":"5","author":[{"family":"Cherkas","given":"L. F."},{"family":"Aviv","given":"A."},{"family":"Valdes","given":"A. M."},{"family":"Hunkin","given":"J. L."},{"family":"Gardner","given":"J. P."},{"family":"Surdulescu","given":"G. L."},{"family":"Kimura","given":"M."},{"family":"Spector","given":"T. D."}],"issued":{"date-parts":[["2006",10]]}}},{"id":"I6WJAfhd/NfzhCfbE","uris":["http://zotero.org/users/local/z6s6sSds/items/99AFUH8Q"],"uri":["http://zotero.org/users/local/z6s6sSds/items/99AFUH8Q"],"itemData":{"id":"x2SLhHaM/iuwsOzfA","type":"article-journal","abstract":"Numerous studies demonstrate links between chronic stress and indices of poor health, including risk factors for cardiovascular disease and poorer immune function. Nevertheless, the exact mechanisms of how stress gets \"under the skin\" remain elusive. We investigated the hypothesis that stress impacts health by modulating the rate of cellular aging. Here we provide evidence that psychological stress--both perceived stress and chronicity of stress--is significantly associated with higher oxidative stress, lower telomerase activity, and shorter telomere length, which are known determinants of cell senescence and longevity, in peripheral blood mononuclear cells from healthy premenopausal women. Women with the highest levels of perceived stress have telomeres shorter on average by the equivalent of at least one decade of additional aging compared to low stress women. These findings have implications for understanding how, at the cellular level, stress may promote earlier onset of age-related diseases.","archive_location":"15574496","container-title":"Proceedings of the National Academies of Sciences U S A","DOI":"10.1073/pnas.0407162101","ISSN":"0027-8424","issue":"49","journalAbbreviation":"Proc Natl Acad Sci U S A","language":"eng","note":"number: 49\nedition: 2004/12/01","page":"17312-5","title":"Accelerated telomere shortening in response to life stress","volume":"101","author":[{"family":"Epel","given":"E. S."},{"family":"Blackburn","given":"E. H."},{"family":"Lin","given":"J."},{"family":"Dhabhar","given":"F. S."},{"family":"Adler","given":"N. E."},{"family":"Morrow","given":"J. D."},{"family":"Cawthon","given":"R. M."}],"issued":{"date-parts":[["2004",12]]}}},{"id":"I6WJAfhd/7KDrlaDM","uris":["http://zotero.org/users/local/z6s6sSds/items/IN5GWR4U"],"uri":["http://zotero.org/users/local/z6s6sSds/items/IN5GWR4U"],"itemData":{"id":"x2SLhHaM/42Wv05uR","type":"article-journal","abstract":"The Kaiser Permanente Research Program on Genes, Environment, and Health (RPGEH) Genetic Epidemiology Research on Adult Health and Aging (GERA) cohort includes DNA specimens extracted from saliva samples of 110,266 individuals. Because of its relationship to aging, telomere length measurement was considered an important biomarker to develop on these subjects. To assay relative telomere length (TL) on this large cohort over a short time period, we created a novel high throughput robotic system for TL analysis and informatics. Samples were run in triplicate, along with control samples, in a randomized design. As part of quality control, we determined the within-sample variability and employed thresholds for the elimination of outlying measurements. Of 106,902 samples assayed, 105,539 (98.7%) passed all quality control (QC) measures. As expected, TL in general showed a decline with age and a sex difference. While telomeres showed a negative correlation with age up to 75 years, in those older than 75 years, age positively correlated with longer telomeres, indicative of an association of longer telomeres with more years of survival in those older than 75. Furthermore, while females in general had longer telomeres than males, this difference was significant only for those older than age 50. An additional novel finding was that the variance of TL between individuals increased with age. This study establishes reliable assay and analysis methodologies for measurement of TL in large, population-based human studies. The GERA cohort represents the largest currently available such resource, linked to comprehensive electronic health and genotype data for analysis.","container-title":"Genetics","DOI":"10.1534/genetics.115.178624","ISSN":"1943-2631","issue":"4","journalAbbreviation":"Genetics","language":"eng","note":"PMID: 26092717\nPMCID: PMC4574243","page":"1061-1072","source":"PubMed","title":"Automated assay of telomere length measurement and informatics for 100,000 subjects in the genetic epidemiology research on adult health and aging (GERA) cohort","volume":"200","author":[{"family":"Lapham","given":"Kyle"},{"family":"Kvale","given":"Mark N."},{"family":"Lin","given":"Jue"},{"family":"Connell","given":"Sheryl"},{"family":"Croen","given":"Lisa A."},{"family":"Dispensa","given":"Brad P."},{"family":"Fang","given":"Lynn"},{"family":"Hesselson","given":"Stephanie"},{"family":"Hoffmann","given":"Thomas J."},{"family":"Iribarren","given":"Carlos"},{"family":"Jorgenson","given":"Eric"},{"family":"Kushi","given":"Lawrence H."},{"family":"Ludwig","given":"Dana"},{"family":"Matsuguchi","given":"Tetsuya"},{"family":"McGuire","given":"William B."},{"family":"Miles","given":"Sunita"},{"family":"Quesenberry","given":"Charles P."},{"family":"Rowell","given":"Sarah"},{"family":"Sadler","given":"Marianne"},{"family":"Sakoda","given":"Lori C."},{"family":"Smethurst","given":"David"},{"family":"Somkin","given":"Carol P."},{"family":"Van Den Eeden","given":"Stephen K."},{"family":"Walter","given":"Lawrence"},{"family":"Whitmer","given":"Rachel A."},{"family":"Kwok","given":"Pui-Yan"},{"family":"Risch","given":"Neil"},{"family":"Schaefer","given":"Catherine"},{"family":"Blackburn","given":"Elizabeth H."}],"issued":{"date-parts":[["2015",8]]}}}],"schema":"https://github.com/citation-style-language/schema/raw/master/csl-citation.json"} </w:instrText>
      </w:r>
      <w:r w:rsidR="00E93C3E" w:rsidRPr="00744C5E">
        <w:rPr>
          <w:bCs/>
        </w:rPr>
        <w:fldChar w:fldCharType="separate"/>
      </w:r>
      <w:r w:rsidR="00293328" w:rsidRPr="00293328">
        <w:rPr>
          <w:vertAlign w:val="superscript"/>
        </w:rPr>
        <w:t>8–10</w:t>
      </w:r>
      <w:r w:rsidR="00E93C3E" w:rsidRPr="00744C5E">
        <w:rPr>
          <w:bCs/>
        </w:rPr>
        <w:fldChar w:fldCharType="end"/>
      </w:r>
    </w:p>
    <w:p w14:paraId="367B7223" w14:textId="3C630C43" w:rsidR="00E93C3E" w:rsidRPr="00744C5E" w:rsidRDefault="00E93C3E" w:rsidP="00DA29E3">
      <w:pPr>
        <w:spacing w:line="259" w:lineRule="auto"/>
        <w:rPr>
          <w:bCs/>
          <w:u w:val="single"/>
        </w:rPr>
      </w:pPr>
      <w:r w:rsidRPr="00744C5E">
        <w:rPr>
          <w:bCs/>
        </w:rPr>
        <w:tab/>
        <w:t>Detroit, MI participants were recruited through paper flyers we distributed across the city (bus stops, beauty shops, laundromats, grocery markets, apartment complexes) and at community events (swap meets, community yard sales, sports events and concerts, and summer festivals), as well as on social media (e.g., Facebook community groups and non-profit organization sites specific to Detroit). We recruited participants from the Ann Arbor, MI area using a university-administered website, UM Clinical Studies, which connects potential volunteers with researchers. Additionally, we posted flyers across campus inviting appropriately aged women who self-identify as either white, African American, or Latina to contact our study personnel for further information. The flyer, written in both English and Spanish, described the study and a telephone number for more information. Participants were also referred by word-of-mouth in both Detroit and Ann Arbor. Note</w:t>
      </w:r>
      <w:r w:rsidRPr="00991FE3">
        <w:rPr>
          <w:bCs/>
        </w:rPr>
        <w:t xml:space="preserve">: We were able to analyze a convenience sample because our primary scientific question is whether </w:t>
      </w:r>
      <w:r w:rsidRPr="00991FE3">
        <w:rPr>
          <w:bCs/>
          <w:i/>
          <w:u w:val="single"/>
        </w:rPr>
        <w:t>within-woman</w:t>
      </w:r>
      <w:r w:rsidRPr="00991FE3">
        <w:rPr>
          <w:bCs/>
        </w:rPr>
        <w:t xml:space="preserve"> TL differences found in fresh blood cells compared to DBS or to saliva are systematic or random with respect to age, race/ethnicity, </w:t>
      </w:r>
      <w:r w:rsidRPr="00991FE3">
        <w:rPr>
          <w:bCs/>
        </w:rPr>
        <w:lastRenderedPageBreak/>
        <w:t xml:space="preserve">education, or residential area − and not whether there are racial/ethnic or other differences in TL, </w:t>
      </w:r>
      <w:r w:rsidRPr="00991FE3">
        <w:rPr>
          <w:bCs/>
          <w:i/>
        </w:rPr>
        <w:t>per se.</w:t>
      </w:r>
    </w:p>
    <w:p w14:paraId="386B8302" w14:textId="77777777" w:rsidR="00ED59C9" w:rsidRDefault="00ED59C9" w:rsidP="00261726">
      <w:pPr>
        <w:spacing w:line="259" w:lineRule="auto"/>
        <w:rPr>
          <w:b/>
          <w:bCs/>
          <w:i/>
          <w:iCs/>
        </w:rPr>
      </w:pPr>
    </w:p>
    <w:p w14:paraId="15A6926E" w14:textId="7580E80F" w:rsidR="00744C5E" w:rsidRPr="00EA60F0" w:rsidRDefault="00744C5E" w:rsidP="00744C5E">
      <w:pPr>
        <w:spacing w:after="160" w:line="259" w:lineRule="auto"/>
        <w:rPr>
          <w:b/>
          <w:bCs/>
          <w:iCs/>
        </w:rPr>
      </w:pPr>
      <w:r w:rsidRPr="00EA60F0">
        <w:rPr>
          <w:b/>
          <w:bCs/>
          <w:i/>
          <w:iCs/>
        </w:rPr>
        <w:t>Details of Study Appointment</w:t>
      </w:r>
      <w:r w:rsidR="000B31D6">
        <w:rPr>
          <w:b/>
          <w:bCs/>
          <w:i/>
          <w:iCs/>
        </w:rPr>
        <w:t xml:space="preserve"> and Data Collection</w:t>
      </w:r>
    </w:p>
    <w:p w14:paraId="324C34B8" w14:textId="6D5EE3B4" w:rsidR="00744C5E" w:rsidRPr="00EA60F0" w:rsidRDefault="00744C5E" w:rsidP="00854B59">
      <w:pPr>
        <w:spacing w:line="259" w:lineRule="auto"/>
        <w:rPr>
          <w:bCs/>
          <w:iCs/>
          <w:u w:val="single"/>
        </w:rPr>
      </w:pPr>
      <w:r w:rsidRPr="00EA60F0">
        <w:rPr>
          <w:bCs/>
          <w:iCs/>
        </w:rPr>
        <w:t>When potential participants called for more information, our project staff described the study purpose and protocol, completed a standardized screener brief intake to assess participant eligibility, answered questions and then scheduled an appointment if they agreed to participate in the study. For complete survey data, blood pressure measurement, and biospecimen collection, participants were offered $100 remuneration to thank them for their time and information. Participants were also provided with their blood pressure measurements and a recommendation for follow-up with a health care provider when appropriate. The protocol was IRB approved.</w:t>
      </w:r>
    </w:p>
    <w:p w14:paraId="308F3782" w14:textId="63BB6B5C" w:rsidR="00744C5E" w:rsidRDefault="00744C5E" w:rsidP="00854B59">
      <w:pPr>
        <w:spacing w:line="259" w:lineRule="auto"/>
        <w:ind w:firstLine="720"/>
        <w:rPr>
          <w:bCs/>
          <w:iCs/>
        </w:rPr>
      </w:pPr>
      <w:r w:rsidRPr="00EA60F0">
        <w:rPr>
          <w:bCs/>
          <w:iCs/>
        </w:rPr>
        <w:t xml:space="preserve">At the start of each scheduled visit, the study purpose, protocol, and consent were described, and any additional questions were answered by the research staff in the preferred language of the participant (English or Spanish). After obtaining written informed consent, the visit continued in the preferred language of the participant and research staff measured the participants’ resting, seated systolic and diastolic blood pressures (mmHg) using a factory calibrated electronic </w:t>
      </w:r>
      <w:proofErr w:type="spellStart"/>
      <w:r w:rsidRPr="00EA60F0">
        <w:rPr>
          <w:bCs/>
          <w:iCs/>
        </w:rPr>
        <w:t>oscillometric</w:t>
      </w:r>
      <w:proofErr w:type="spellEnd"/>
      <w:r w:rsidRPr="00EA60F0">
        <w:rPr>
          <w:bCs/>
          <w:iCs/>
        </w:rPr>
        <w:t xml:space="preserve"> blood pressure monitor and appropriately sized arm cuff. Next, we administered a brief survey to elicit background information, and to identify any contraindications/preclusions to venous blood draw in particular participants (e.g., very high blood pressure or usage of certain medications). 11 participants with two failed blood draws were excluded from the final analytic sample but compensated for their participation. The appointments generally lasted 60-90 minutes. </w:t>
      </w:r>
    </w:p>
    <w:p w14:paraId="71D07B31" w14:textId="594B8A2A" w:rsidR="00991FE3" w:rsidRPr="00ED59C9" w:rsidRDefault="00991FE3">
      <w:pPr>
        <w:spacing w:line="259" w:lineRule="auto"/>
        <w:ind w:firstLine="720"/>
        <w:rPr>
          <w:b/>
          <w:bCs/>
          <w:i/>
          <w:iCs/>
        </w:rPr>
      </w:pPr>
      <w:r w:rsidRPr="00ED59C9">
        <w:rPr>
          <w:bCs/>
          <w:iCs/>
        </w:rPr>
        <w:t xml:space="preserve">Three diverse teams recruited research participants, obtained informed consent, and collected their data. Each team included a team leader, their assistant, and a phlebotomist; each team included a native Spanish speaker. The teams were led by a Mexican-descent woman, an African American Women, and an Arab-American woman, representing the three major racial/ethnic groups in Detroit. The phlebotomists were current Detroit residents, a Black male, a Black female, and a White female. Team assistants included one </w:t>
      </w:r>
      <w:r w:rsidR="002E6045">
        <w:rPr>
          <w:bCs/>
          <w:iCs/>
        </w:rPr>
        <w:t>Mexican–descent female and one W</w:t>
      </w:r>
      <w:r w:rsidRPr="00ED59C9">
        <w:rPr>
          <w:bCs/>
          <w:iCs/>
        </w:rPr>
        <w:t>hite male. Participants chose whether they preferred to have the data collection visit conducted in English or Spanish and, in Detroit, whether they preferred to have their specimens  collected through a home visit or at the University of Michigan Detroit Center</w:t>
      </w:r>
      <w:r>
        <w:rPr>
          <w:bCs/>
          <w:iCs/>
        </w:rPr>
        <w:t>,</w:t>
      </w:r>
      <w:r w:rsidRPr="00ED59C9">
        <w:rPr>
          <w:bCs/>
          <w:iCs/>
        </w:rPr>
        <w:t xml:space="preserve"> a UM building in Detroit that accommodates research projects and outreach initiatives. Data collection in Ann Arbor occurred in a private room at the University of Michigan Institute for Social Research.  After collection, all specimens were prepared for shipment in the same lab and by the same technician at the University of Michig</w:t>
      </w:r>
      <w:r w:rsidR="002E6045">
        <w:rPr>
          <w:bCs/>
          <w:iCs/>
        </w:rPr>
        <w:t xml:space="preserve">an; after shipment all were </w:t>
      </w:r>
      <w:r w:rsidRPr="00ED59C9">
        <w:rPr>
          <w:bCs/>
          <w:iCs/>
        </w:rPr>
        <w:t>analyzed in the same lab in Princeton NJ. To minimize batch effects when measuring telomere length, all samples from the same individual were included on the same</w:t>
      </w:r>
      <w:r w:rsidRPr="00991FE3">
        <w:rPr>
          <w:b/>
          <w:bCs/>
          <w:i/>
          <w:iCs/>
        </w:rPr>
        <w:t xml:space="preserve"> </w:t>
      </w:r>
      <w:r w:rsidRPr="00ED59C9">
        <w:rPr>
          <w:bCs/>
          <w:iCs/>
        </w:rPr>
        <w:t>qPCR run</w:t>
      </w:r>
      <w:r w:rsidRPr="00991FE3">
        <w:rPr>
          <w:b/>
          <w:bCs/>
          <w:i/>
          <w:iCs/>
        </w:rPr>
        <w:t>.</w:t>
      </w:r>
    </w:p>
    <w:p w14:paraId="015146B4" w14:textId="79508B8E" w:rsidR="00744C5E" w:rsidRPr="00EA60F0" w:rsidRDefault="00744C5E" w:rsidP="00744C5E">
      <w:pPr>
        <w:spacing w:after="160" w:line="259" w:lineRule="auto"/>
        <w:ind w:firstLine="720"/>
        <w:rPr>
          <w:bCs/>
          <w:iCs/>
        </w:rPr>
      </w:pPr>
      <w:r w:rsidRPr="00EA60F0">
        <w:rPr>
          <w:bCs/>
          <w:iCs/>
        </w:rPr>
        <w:t xml:space="preserve">Interviewers used an </w:t>
      </w:r>
      <w:proofErr w:type="spellStart"/>
      <w:r w:rsidRPr="00EA60F0">
        <w:rPr>
          <w:bCs/>
          <w:iCs/>
        </w:rPr>
        <w:t>Oragene</w:t>
      </w:r>
      <w:proofErr w:type="spellEnd"/>
      <w:r w:rsidRPr="00EA60F0">
        <w:rPr>
          <w:bCs/>
          <w:iCs/>
        </w:rPr>
        <w:t xml:space="preserve">® OGR -500 kit (DNA </w:t>
      </w:r>
      <w:proofErr w:type="spellStart"/>
      <w:r w:rsidRPr="00EA60F0">
        <w:rPr>
          <w:bCs/>
          <w:iCs/>
        </w:rPr>
        <w:t>Genotek</w:t>
      </w:r>
      <w:proofErr w:type="spellEnd"/>
      <w:r w:rsidRPr="00EA60F0">
        <w:rPr>
          <w:bCs/>
          <w:iCs/>
        </w:rPr>
        <w:t xml:space="preserve">, Ottawa, Ontario) for saliva sample collection, following protocols to collect approximately 2 ml of saliva from each participant. Four 10-ml tubes of peripheral venous blood were collected in sterile endotoxin-free vacutainers with anticoagulant by a single venipuncture by a professional phlebotomist using standard techniques. The phlebotomist also collected whole blood via DBS, using a routine protocol for collecting 50 </w:t>
      </w:r>
      <w:proofErr w:type="spellStart"/>
      <w:r w:rsidRPr="00EA60F0">
        <w:rPr>
          <w:bCs/>
          <w:iCs/>
        </w:rPr>
        <w:t>μL</w:t>
      </w:r>
      <w:proofErr w:type="spellEnd"/>
      <w:r w:rsidRPr="00EA60F0">
        <w:rPr>
          <w:bCs/>
          <w:iCs/>
        </w:rPr>
        <w:t xml:space="preserve"> generated by pricking the finger with a small sterile lancet, letting </w:t>
      </w:r>
      <w:r w:rsidRPr="00EA60F0">
        <w:rPr>
          <w:bCs/>
          <w:iCs/>
        </w:rPr>
        <w:lastRenderedPageBreak/>
        <w:t xml:space="preserve">blood drops fall onto and dry on filter paper and storing samples in plastic bags with a humidity indicator desiccant </w:t>
      </w:r>
      <w:r w:rsidRPr="00EA60F0">
        <w:rPr>
          <w:bCs/>
          <w:iCs/>
        </w:rPr>
        <w:fldChar w:fldCharType="begin"/>
      </w:r>
      <w:r w:rsidR="00293328">
        <w:rPr>
          <w:bCs/>
          <w:iCs/>
        </w:rPr>
        <w:instrText xml:space="preserve"> ADDIN ZOTERO_ITEM CSL_CITATION {"citationID":"FOHJuYOQ","properties":{"formattedCitation":"\\super 11\\nosupersub{}","plainCitation":"11","noteIndex":0},"citationItems":[{"id":1878,"uris":["http://zotero.org/users/4251691/items/RRTPDS3S"],"uri":["http://zotero.org/users/4251691/items/RRTPDS3S"],"itemData":{"id":1878,"type":"article-journal","container-title":"Demography","DOI":"10.1353/dem.2007.0038","ISSN":"1533-7790","issue":"4","journalAbbreviation":"Demography","language":"en","page":"899-925","source":"DOI.org (Crossref)","title":"What a Drop Can Do: Dried Blood Spots as a Minimally Invasive Method for Integrating Biomarkers Into Population-Based Research","title-short":"What a Drop Can Do","volume":"44","author":[{"family":"McDade","given":"Thomas Wesley"},{"family":"Williams","given":"Sharon A. (Sharon Ann Allanson)"},{"family":"Snodgrass","given":"J. Josh."}],"issued":{"date-parts":[["2007"]]}}}],"schema":"https://github.com/citation-style-language/schema/raw/master/csl-citation.json"} </w:instrText>
      </w:r>
      <w:r w:rsidRPr="00EA60F0">
        <w:rPr>
          <w:bCs/>
          <w:iCs/>
        </w:rPr>
        <w:fldChar w:fldCharType="separate"/>
      </w:r>
      <w:r w:rsidR="00293328" w:rsidRPr="00293328">
        <w:rPr>
          <w:vertAlign w:val="superscript"/>
        </w:rPr>
        <w:t>11</w:t>
      </w:r>
      <w:r w:rsidRPr="00EA60F0">
        <w:rPr>
          <w:bCs/>
        </w:rPr>
        <w:fldChar w:fldCharType="end"/>
      </w:r>
      <w:r w:rsidRPr="00EA60F0">
        <w:rPr>
          <w:bCs/>
          <w:iCs/>
        </w:rPr>
        <w:t xml:space="preserve">. Dried blood spots were collected on Whatman Protein Saver 903 cards (GE Healthcare, Chicago, IL) and shipped to the lab at room temperature. </w:t>
      </w:r>
    </w:p>
    <w:p w14:paraId="26121E04" w14:textId="77777777" w:rsidR="00E93C3E" w:rsidRPr="00744C5E" w:rsidRDefault="00E93C3E" w:rsidP="00744C5E">
      <w:pPr>
        <w:spacing w:after="160" w:line="259" w:lineRule="auto"/>
        <w:rPr>
          <w:bCs/>
          <w:u w:val="single"/>
        </w:rPr>
      </w:pPr>
      <w:r w:rsidRPr="00744C5E">
        <w:rPr>
          <w:bCs/>
        </w:rPr>
        <w:tab/>
        <w:t xml:space="preserve"> </w:t>
      </w:r>
    </w:p>
    <w:p w14:paraId="201642E4" w14:textId="77777777" w:rsidR="00E93C3E" w:rsidRPr="00744C5E" w:rsidRDefault="00E93C3E" w:rsidP="00744C5E">
      <w:pPr>
        <w:spacing w:after="160" w:line="259" w:lineRule="auto"/>
        <w:rPr>
          <w:b/>
          <w:bCs/>
          <w:i/>
          <w:iCs/>
        </w:rPr>
      </w:pPr>
      <w:r w:rsidRPr="00744C5E">
        <w:rPr>
          <w:b/>
          <w:bCs/>
          <w:i/>
          <w:iCs/>
        </w:rPr>
        <w:t>Specimen Collection</w:t>
      </w:r>
      <w:r w:rsidRPr="00744C5E">
        <w:rPr>
          <w:b/>
          <w:bCs/>
        </w:rPr>
        <w:t xml:space="preserve"> </w:t>
      </w:r>
      <w:r w:rsidRPr="00744C5E">
        <w:rPr>
          <w:b/>
          <w:bCs/>
          <w:i/>
        </w:rPr>
        <w:t>&amp; Genomic DNA Isolation</w:t>
      </w:r>
    </w:p>
    <w:p w14:paraId="1110F617" w14:textId="69BA011A" w:rsidR="00E93C3E" w:rsidRPr="00744C5E" w:rsidRDefault="00E93C3E" w:rsidP="00DA29E3">
      <w:pPr>
        <w:spacing w:line="259" w:lineRule="auto"/>
        <w:rPr>
          <w:bCs/>
        </w:rPr>
      </w:pPr>
      <w:r w:rsidRPr="00744C5E">
        <w:rPr>
          <w:bCs/>
        </w:rPr>
        <w:t>Within 6 hours of collection, peripheral blood mononuclear cells were isolated by the Histopaque‐1077 (Sigma-Aldrich, St. Louis) density‐gradient method from blood, aliquoted, and stored at -80C, until two aliquots were se</w:t>
      </w:r>
      <w:r w:rsidR="002E6045">
        <w:rPr>
          <w:bCs/>
        </w:rPr>
        <w:t xml:space="preserve">nt to the </w:t>
      </w:r>
      <w:r w:rsidRPr="00744C5E">
        <w:rPr>
          <w:bCs/>
        </w:rPr>
        <w:t>lab on dry ice overnight in accordance with domestic biological shipping regulations. The third aliquot of PBMCs was mai</w:t>
      </w:r>
      <w:r w:rsidR="002E6045">
        <w:rPr>
          <w:bCs/>
        </w:rPr>
        <w:t>ntained</w:t>
      </w:r>
      <w:r w:rsidRPr="00744C5E">
        <w:rPr>
          <w:bCs/>
        </w:rPr>
        <w:t xml:space="preserve"> as a reserve. All PBMC specimens were maintain</w:t>
      </w:r>
      <w:r w:rsidR="002E6045">
        <w:rPr>
          <w:bCs/>
        </w:rPr>
        <w:t xml:space="preserve">ed in the </w:t>
      </w:r>
      <w:r w:rsidRPr="00744C5E">
        <w:rPr>
          <w:bCs/>
        </w:rPr>
        <w:t>lab at -80</w:t>
      </w:r>
      <w:r w:rsidRPr="00744C5E">
        <w:rPr>
          <w:bCs/>
          <w:vertAlign w:val="superscript"/>
        </w:rPr>
        <w:t>o</w:t>
      </w:r>
      <w:r w:rsidRPr="00744C5E">
        <w:rPr>
          <w:bCs/>
        </w:rPr>
        <w:t xml:space="preserve">C until use or the end of the project. </w:t>
      </w:r>
    </w:p>
    <w:p w14:paraId="4E4763A7" w14:textId="3E519C17" w:rsidR="0062251A" w:rsidRDefault="00E93C3E" w:rsidP="00261726">
      <w:pPr>
        <w:spacing w:line="259" w:lineRule="auto"/>
        <w:ind w:firstLine="720"/>
        <w:rPr>
          <w:b/>
          <w:bCs/>
          <w:i/>
          <w:iCs/>
        </w:rPr>
      </w:pPr>
      <w:r w:rsidRPr="00744C5E">
        <w:rPr>
          <w:bCs/>
        </w:rPr>
        <w:t xml:space="preserve">Saliva specimens were kept in a secure and locked location and maintained at room temperature until mailed to the same laboratory for analysis. The lab promptly extracted DNA from the saliva specimens using the </w:t>
      </w:r>
      <w:proofErr w:type="spellStart"/>
      <w:r w:rsidRPr="00744C5E">
        <w:rPr>
          <w:bCs/>
        </w:rPr>
        <w:t>Oragene</w:t>
      </w:r>
      <w:proofErr w:type="spellEnd"/>
      <w:r w:rsidRPr="00744C5E">
        <w:rPr>
          <w:bCs/>
        </w:rPr>
        <w:t xml:space="preserve">® Laboratory Protocol Manual Purification of DNA (DNA </w:t>
      </w:r>
      <w:proofErr w:type="spellStart"/>
      <w:r w:rsidRPr="00744C5E">
        <w:rPr>
          <w:bCs/>
        </w:rPr>
        <w:t>Genotek</w:t>
      </w:r>
      <w:proofErr w:type="spellEnd"/>
      <w:r w:rsidRPr="00744C5E">
        <w:rPr>
          <w:bCs/>
        </w:rPr>
        <w:t xml:space="preserve">, Ottawa, Ontario).  DNA was extracted from PBMC cell pellets using the </w:t>
      </w:r>
      <w:proofErr w:type="spellStart"/>
      <w:r w:rsidRPr="00744C5E">
        <w:rPr>
          <w:bCs/>
        </w:rPr>
        <w:t>PureLink</w:t>
      </w:r>
      <w:proofErr w:type="spellEnd"/>
      <w:r w:rsidRPr="00744C5E">
        <w:rPr>
          <w:bCs/>
        </w:rPr>
        <w:t xml:space="preserve"> genomic DNA mini kit (Invitrogen, Carlsbad, CA), a silica-based membrane kit comparable to the Qiagen DNA blood mini kit</w:t>
      </w:r>
      <w:r w:rsidRPr="00744C5E">
        <w:rPr>
          <w:bCs/>
        </w:rPr>
        <w:fldChar w:fldCharType="begin"/>
      </w:r>
      <w:r w:rsidR="00310552">
        <w:rPr>
          <w:bCs/>
        </w:rPr>
        <w:instrText xml:space="preserve"> ADDIN ZOTERO_ITEM CSL_CITATION {"citationID":"3EREYi6T","properties":{"formattedCitation":"\\super 12\\nosupersub{}","plainCitation":"12","noteIndex":0},"citationItems":[{"id":"I6WJAfhd/RNLeSQcK","uris":["http://zotero.org/users/local/z6s6sSds/items/4CKSGBIF"],"uri":["http://zotero.org/users/local/z6s6sSds/items/4CKSGBIF"],"itemData":{"id":125,"type":"article-journal","abstract":"BACKGROUND: Telomere length is indicative of biological age. Shorter telomeres have been associated with several disease and health states. There are inconsistencies throughout the literature amongst relative telomere length measured by quantitative PCR (qPCR) and different extraction methods or kits used. We quantified whole-blood leukocyte telomere length using the telomere to single copy gene (T/S) ratio by qPCR in 20 young (18-25 yrs) men after extracting DNA using three common extraction methods: Lahiri and Nurnberger (high salt) method, PureLink Genomic DNA Mini kit (Life Technologies) and QiaAmp DNA Mini kit (Qiagen). Telomere length differences of DNA extracted from the three extraction methods was assessed by one-way analysis of variance (ANOVA).\nRESULTS: DNA purity differed between extraction methods used (P=0.01). Telomere length was impacted by the DNA extraction method used (P=0.01). Telomeres extracted using the Lahiri and Nurnberger method (mean T/S ratio: 2.43, range: 1.57-3.02) and PureLink Genomic DNA Mini Kit (mean T/S ratio: 2.57, range: 2.24-2.80) did not differ (P=0.13). Likewise, QiaAmp and Purelink-extracted telomeres were not statistically different (P=0.14). The Lahiri-extracted telomeres, however, were significantly shorter than those extracted using the QiaAmp DNA Mini Kit (mean T/S ratio: 2.71, range: 2.32-3.02; P=0.003). DNA purity was associated with telomere length.\nCONCLUSION: There are discrepancies between the length of leukocyte telomeres extracted from the same individuals according to the DNA extraction method used. DNA purity could be responsible for the discrepancy in telomere length but this will require validation studies. We recommend using the same DNA extraction kit when quantifying leukocyte telomere length by qPCR or when comparing different cohorts to avoid erroneous associations between telomere length and traits of interest.","container-title":"BMC Research Notes","DOI":"10.1186/1756-0500-7-877","ISSN":"1756-0500","journalAbbreviation":"BMC Res Notes","language":"eng","note":"PMID: 25475541\nPMCID: PMC4289347","page":"877","source":"PubMed","title":"Leukocyte telomere length variation due to DNA extraction method","volume":"7","author":[{"family":"Denham","given":"Joshua"},{"family":"Marques","given":"Francine Z."},{"family":"Charchar","given":"Fadi J."}],"issued":{"date-parts":[["2014",12,4]]}}}],"schema":"https://github.com/citation-style-language/schema/raw/master/csl-citation.json"} </w:instrText>
      </w:r>
      <w:r w:rsidRPr="00744C5E">
        <w:rPr>
          <w:bCs/>
        </w:rPr>
        <w:fldChar w:fldCharType="separate"/>
      </w:r>
      <w:r w:rsidR="00293328" w:rsidRPr="00293328">
        <w:rPr>
          <w:vertAlign w:val="superscript"/>
        </w:rPr>
        <w:t>12</w:t>
      </w:r>
      <w:r w:rsidRPr="00744C5E">
        <w:rPr>
          <w:bCs/>
        </w:rPr>
        <w:fldChar w:fldCharType="end"/>
      </w:r>
      <w:r w:rsidRPr="00744C5E">
        <w:rPr>
          <w:bCs/>
        </w:rPr>
        <w:t xml:space="preserve">, according to the manufacturer’s protocol. Three dried blood spots were used for extraction using the </w:t>
      </w:r>
      <w:proofErr w:type="spellStart"/>
      <w:r w:rsidRPr="00744C5E">
        <w:rPr>
          <w:bCs/>
        </w:rPr>
        <w:t>PureLink</w:t>
      </w:r>
      <w:proofErr w:type="spellEnd"/>
      <w:r w:rsidRPr="00744C5E">
        <w:rPr>
          <w:bCs/>
        </w:rPr>
        <w:t xml:space="preserve"> genomic DNA mini kit according to the manufacturer’s protocol. All samples purified using the </w:t>
      </w:r>
      <w:proofErr w:type="spellStart"/>
      <w:r w:rsidRPr="00744C5E">
        <w:rPr>
          <w:bCs/>
        </w:rPr>
        <w:t>PureLink</w:t>
      </w:r>
      <w:proofErr w:type="spellEnd"/>
      <w:r w:rsidRPr="00744C5E">
        <w:rPr>
          <w:bCs/>
        </w:rPr>
        <w:t xml:space="preserve"> kit were eluted with elution buffer (10 mM Tris-HCl, pH 9.0, 0.1 mM EDTA). DNA concentration was determined using the Quant-</w:t>
      </w:r>
      <w:proofErr w:type="spellStart"/>
      <w:r w:rsidRPr="00744C5E">
        <w:rPr>
          <w:bCs/>
        </w:rPr>
        <w:t>iT</w:t>
      </w:r>
      <w:proofErr w:type="spellEnd"/>
      <w:r w:rsidRPr="00744C5E">
        <w:rPr>
          <w:bCs/>
        </w:rPr>
        <w:t xml:space="preserve"> </w:t>
      </w:r>
      <w:proofErr w:type="spellStart"/>
      <w:r w:rsidRPr="00744C5E">
        <w:rPr>
          <w:bCs/>
        </w:rPr>
        <w:t>PicoGreen</w:t>
      </w:r>
      <w:proofErr w:type="spellEnd"/>
      <w:r w:rsidRPr="00744C5E">
        <w:rPr>
          <w:bCs/>
        </w:rPr>
        <w:t xml:space="preserve"> dsDNA Assay Kit (Thermo Fisher Scientific, Waltham, MA) and stored at -80 °C.  The average DNA concentrations from DBS, saliva and PBMC samples were 5.4 ng/</w:t>
      </w:r>
      <w:r w:rsidRPr="00744C5E">
        <w:rPr>
          <w:bCs/>
        </w:rPr>
        <w:sym w:font="Symbol" w:char="F06D"/>
      </w:r>
      <w:r w:rsidRPr="00744C5E">
        <w:rPr>
          <w:bCs/>
        </w:rPr>
        <w:t>L, 104.4 ng/</w:t>
      </w:r>
      <w:r w:rsidRPr="00744C5E">
        <w:rPr>
          <w:bCs/>
        </w:rPr>
        <w:sym w:font="Symbol" w:char="F06D"/>
      </w:r>
      <w:r w:rsidRPr="00744C5E">
        <w:rPr>
          <w:bCs/>
        </w:rPr>
        <w:t>L and 74.1 ng/</w:t>
      </w:r>
      <w:r w:rsidRPr="00744C5E">
        <w:rPr>
          <w:bCs/>
        </w:rPr>
        <w:sym w:font="Symbol" w:char="F06D"/>
      </w:r>
      <w:r w:rsidRPr="00744C5E">
        <w:rPr>
          <w:bCs/>
        </w:rPr>
        <w:t xml:space="preserve">L, respectively.  </w:t>
      </w:r>
    </w:p>
    <w:p w14:paraId="03034E9C" w14:textId="77777777" w:rsidR="00243438" w:rsidRDefault="00243438" w:rsidP="00744C5E">
      <w:pPr>
        <w:spacing w:after="160" w:line="259" w:lineRule="auto"/>
        <w:rPr>
          <w:b/>
          <w:bCs/>
          <w:i/>
          <w:iCs/>
        </w:rPr>
      </w:pPr>
    </w:p>
    <w:p w14:paraId="23C6EDC3" w14:textId="659E3FD2" w:rsidR="00E93C3E" w:rsidRPr="00744C5E" w:rsidRDefault="00E93C3E" w:rsidP="00744C5E">
      <w:pPr>
        <w:spacing w:after="160" w:line="259" w:lineRule="auto"/>
        <w:rPr>
          <w:b/>
          <w:bCs/>
          <w:i/>
          <w:iCs/>
        </w:rPr>
      </w:pPr>
      <w:r w:rsidRPr="00744C5E">
        <w:rPr>
          <w:b/>
          <w:bCs/>
          <w:i/>
          <w:iCs/>
        </w:rPr>
        <w:t>Telomere Length (TL) Measurement </w:t>
      </w:r>
    </w:p>
    <w:p w14:paraId="219C217E" w14:textId="7FF301A4" w:rsidR="00E93C3E" w:rsidRPr="00744C5E" w:rsidRDefault="00E93C3E" w:rsidP="00744C5E">
      <w:pPr>
        <w:spacing w:after="160" w:line="259" w:lineRule="auto"/>
        <w:rPr>
          <w:bCs/>
        </w:rPr>
      </w:pPr>
      <w:r w:rsidRPr="00744C5E">
        <w:rPr>
          <w:bCs/>
        </w:rPr>
        <w:t>The lab measured TL using a qPCR assay that incorporated an oligomer standard to permit measurement of absolute (in kilobases per telomere) rather than relative TL.</w:t>
      </w:r>
      <w:r w:rsidRPr="00744C5E">
        <w:rPr>
          <w:bCs/>
        </w:rPr>
        <w:fldChar w:fldCharType="begin"/>
      </w:r>
      <w:r w:rsidR="00310552">
        <w:rPr>
          <w:bCs/>
        </w:rPr>
        <w:instrText xml:space="preserve"> ADDIN ZOTERO_ITEM CSL_CITATION {"citationID":"F1I6VDqP","properties":{"formattedCitation":"\\super 13\\uc0\\u8211{}15\\nosupersub{}","plainCitation":"13–15","noteIndex":0},"citationItems":[{"id":1884,"uris":["http://zotero.org/users/4251691/items/X5W2U2U6"],"uri":["http://zotero.org/users/4251691/items/X5W2U2U6"],"itemData":{"id":1884,"type":"article-journal","container-title":"Proceedings of the National Academy of Sciences","DOI":"10.1073/pnas.1404293111","ISSN":"0027-8424, 1091-6490","issue":"16","journalAbbreviation":"Proceedings of the National Academy of Sciences","language":"en","page":"5944-5949","source":"DOI.org (Crossref)","title":"Social disadvantage, genetic sensitivity, and children's telomere length","volume":"111","author":[{"family":"Mitchell","given":"Colter"},{"family":"Hobcraft","given":"J."},{"family":"McLanahan","given":"S. S."},{"family":"Siegel","given":"S. R."},{"family":"Berg","given":"A."},{"family":"Brooks-Gunn","given":"J."},{"family":"Garfinkel","given":"I."},{"family":"Notterman","given":"D."}],"issued":{"date-parts":[["2014",4,22]]}}},{"id":"I6WJAfhd/3TV7MvWo","uris":["http://zotero.org/users/local/z6s6sSds/items/LRNWRWLD"],"uri":["http://zotero.org/users/local/z6s6sSds/items/LRNWRWLD"],"itemData":{"id":"x2SLhHaM/Rp4nc9dz","type":"article-journal","abstract":"BACKGROUND AND OBJECTIVES: Father loss during childhood has negative health and behavioral consequences, but the biological consequences are unknown. Our goal was to examine how father loss (because of separation and/or divorce, death, or incarceration) is associated with cellular function as estimated by telomere length.\nMETHODS: Data come from the 9-year follow-up of the Fragile Families and Child Wellbeing Study, a birth cohort study of children in 20 large American cities (N = 2420). Principal measures are as follows: salivary telomere length (sTL), mother reports of father loss, and polymorphisms in genes related to serotonergic and dopaminergic signaling.\nRESULTS: At 9 years of age, children with father loss have significantly shorter telomeres (14% reduction). Paternal death has the largest association (16%), followed by incarceration (10%), and separation and/or divorce (6%). Changes in income partially mediate these associations (95% mediation for separation and/or divorce, 30% for incarceration, and 25% for death). Effects are 40% greater for boys and 90% greater for children with the most reactive alleles of the serotonin transporter genes when compared with those with the least reactive alleles. No differences were found by age at father loss or a child's race/ethnicity.\nCONCLUSIONS: Father loss has a significant association with children's sTL, with the death of a father showing the largest effect. Income loss explains most of the association between child sTL and separation and/or divorce but much less of the association with incarceration or death. This underscores the important role of fathers in the care and development of children and supplements evidence of the strong negative effects of parental incarceration.","container-title":"Pediatrics","DOI":"10.1542/peds.2016-3245","ISSN":"1098-4275","issue":"2","journalAbbreviation":"Pediatrics","language":"eng","note":"PMID: 28716823\nPMCID: PMC5527665","source":"PubMed","title":"Father loss and child telomere length","volume":"140","author":[{"family":"Mitchell","given":"Colter"},{"family":"McLanahan","given":"Sara"},{"family":"Schneper","given":"Lisa"},{"family":"Garfinkel","given":"Irv"},{"family":"Brooks-Gunn","given":"Jeanne"},{"family":"Notterman","given":"Daniel"}],"issued":{"date-parts":[["2017",8]]}}},{"id":"I6WJAfhd/iNZU5EWS","uris":["http://zotero.org/users/local/z6s6sSds/items/4XFZ5JLC"],"uri":["http://zotero.org/users/local/z6s6sSds/items/4XFZ5JLC"],"itemData":{"id":"x2SLhHaM/02gMfPRl","type":"article-journal","abstract":"We describe a simple and reproducible method to measure absolute telomere length (aTL) using quantitative real-time polymerase chain reaction (qPCR). This method is based on the Cawthon method for relative measurement of telomere length (TL) but modified by introducing an oligomer standard to measure aTL. The method describes the oligomer standards, the generation of the standard curve and the calculations required to calculate aTL from the qPCR data. The necessary controls and performance characteristics of the assay are described in detail and compared relative to other methods for measuring TL. Typical results for this assay for a variety of human tissue samples are provided as well as a troubleshooting schedule. This method allows high throughput measurement of aTL using small amounts of DNA making it amenable for molecular epidemiological studies. Compared to the traditional relative TL qPCR assays, the aTL method described in this protocol enables a more direct comparison of results between experiments within and between laboratories.","archive_location":"21369534","container-title":"Biological Procedures Online","DOI":"10.1186/1480-9222-13-3","ISSN":"1480-9222","journalAbbreviation":"Biol Proced Online","language":"eng","note":"edition: 2011/01/31","page":"3","title":"A quantitative PCR method for measuring absolute telomere length","volume":"13","author":[{"family":"O'Callaghan","given":"N. J."},{"family":"Fenech","given":"M."}],"issued":{"date-parts":[["2011",1]]}}}],"schema":"https://github.com/citation-style-language/schema/raw/master/csl-citation.json"} </w:instrText>
      </w:r>
      <w:r w:rsidRPr="00744C5E">
        <w:rPr>
          <w:bCs/>
        </w:rPr>
        <w:fldChar w:fldCharType="separate"/>
      </w:r>
      <w:r w:rsidR="00293328" w:rsidRPr="00293328">
        <w:rPr>
          <w:vertAlign w:val="superscript"/>
        </w:rPr>
        <w:t>13–15</w:t>
      </w:r>
      <w:r w:rsidRPr="00744C5E">
        <w:rPr>
          <w:bCs/>
        </w:rPr>
        <w:fldChar w:fldCharType="end"/>
      </w:r>
      <w:r w:rsidRPr="00744C5E">
        <w:rPr>
          <w:bCs/>
        </w:rPr>
        <w:t xml:space="preserve"> Briefly, this method adapts the approach of Cawthon</w:t>
      </w:r>
      <w:r w:rsidRPr="00744C5E">
        <w:rPr>
          <w:bCs/>
        </w:rPr>
        <w:fldChar w:fldCharType="begin"/>
      </w:r>
      <w:r w:rsidR="00293328">
        <w:rPr>
          <w:bCs/>
        </w:rPr>
        <w:instrText xml:space="preserve"> ADDIN ZOTERO_ITEM CSL_CITATION {"citationID":"j42DbjNo","properties":{"formattedCitation":"\\super 16\\nosupersub{}","plainCitation":"16","noteIndex":0},"citationItems":[{"id":1904,"uris":["http://zotero.org/users/4251691/items/MBEMDTCD"],"uri":["http://zotero.org/users/4251691/items/MBEMDTCD"],"itemData":{"id":1904,"type":"article-journal","abstract":"It has long been presumed impossible to measure telomeres in vertebrate DNA by PCR amplification with oligonucleotide primers designed to hybridize to the TTAGGG and CCCTAA repeats, because only primer dimer-derived products are expected. Here we present a primer pair that eliminates this problem, allowing simple and rapid measurement of telomeres in a closed tube, fluorescence-based assay. This assay will facilitate investigations of the biology of telomeres and the roles they play in the molecular pathophysiology of diseases and aging.","container-title":"Nucleic Acids Research","DOI":"10.1093/nar/30.10.e47","ISSN":"13624962","issue":"10","language":"en","page":"47e-47","source":"DOI.org (Crossref)","title":"Telomere measurement by quantitative PCR","volume":"30","author":[{"family":"Cawthon","given":"R. M."}],"issued":{"date-parts":[["2002",5,15]]}}}],"schema":"https://github.com/citation-style-language/schema/raw/master/csl-citation.json"} </w:instrText>
      </w:r>
      <w:r w:rsidRPr="00744C5E">
        <w:rPr>
          <w:bCs/>
        </w:rPr>
        <w:fldChar w:fldCharType="separate"/>
      </w:r>
      <w:r w:rsidR="00293328" w:rsidRPr="00293328">
        <w:rPr>
          <w:vertAlign w:val="superscript"/>
        </w:rPr>
        <w:t>16</w:t>
      </w:r>
      <w:r w:rsidRPr="00744C5E">
        <w:rPr>
          <w:bCs/>
        </w:rPr>
        <w:fldChar w:fldCharType="end"/>
      </w:r>
      <w:r w:rsidRPr="00744C5E">
        <w:rPr>
          <w:bCs/>
        </w:rPr>
        <w:t xml:space="preserve"> in which relative TL is determined by qPCR by determining the ratio of telomere copy repeats to a single copy reference gene (</w:t>
      </w:r>
      <w:r w:rsidRPr="00744C5E">
        <w:rPr>
          <w:bCs/>
          <w:i/>
          <w:iCs/>
        </w:rPr>
        <w:t>36B4</w:t>
      </w:r>
      <w:r w:rsidRPr="00744C5E">
        <w:rPr>
          <w:bCs/>
        </w:rPr>
        <w:t xml:space="preserve">, which encodes acidic ribosomal phosphoprotein P0).  </w:t>
      </w:r>
      <w:r w:rsidRPr="00744C5E">
        <w:rPr>
          <w:bCs/>
          <w:iCs/>
        </w:rPr>
        <w:t>To determine absolute TL, an 84mer double stranded oligomer standard containing telomere repeats ((5’-TTAGGG-3’)</w:t>
      </w:r>
      <w:r w:rsidRPr="00744C5E">
        <w:rPr>
          <w:bCs/>
          <w:iCs/>
          <w:vertAlign w:val="subscript"/>
        </w:rPr>
        <w:t>14</w:t>
      </w:r>
      <w:r w:rsidRPr="00744C5E">
        <w:rPr>
          <w:bCs/>
          <w:iCs/>
        </w:rPr>
        <w:t xml:space="preserve"> and its complement) was used to construct a standard curve.  A separate standard curve for the single copy gene incorporates a 79mer double stranded oligonucleotide containing sequence from </w:t>
      </w:r>
      <w:r w:rsidRPr="00744C5E">
        <w:rPr>
          <w:bCs/>
          <w:i/>
          <w:iCs/>
        </w:rPr>
        <w:t>36B4</w:t>
      </w:r>
      <w:r w:rsidRPr="00744C5E">
        <w:rPr>
          <w:bCs/>
          <w:iCs/>
        </w:rPr>
        <w:t xml:space="preserve"> (5’-TTC AGC AAG TGG GAA GGT GTA ATC CGT CTC CAC AGA CAA GGC CAG GAC TCG TTT GTA CCC GTT GAT </w:t>
      </w:r>
      <w:proofErr w:type="spellStart"/>
      <w:r w:rsidRPr="00744C5E">
        <w:rPr>
          <w:bCs/>
          <w:iCs/>
        </w:rPr>
        <w:t>GAT</w:t>
      </w:r>
      <w:proofErr w:type="spellEnd"/>
      <w:r w:rsidRPr="00744C5E">
        <w:rPr>
          <w:bCs/>
          <w:iCs/>
        </w:rPr>
        <w:t xml:space="preserve"> AGA GTG GGG T-3’ and its complement). This enables calculation of total TL per diploid genome, while the 36B4 product gives the number of diploid genomes. Samples (3ng/well) were assayed separately for telomere (</w:t>
      </w:r>
      <w:proofErr w:type="spellStart"/>
      <w:r w:rsidRPr="00744C5E">
        <w:rPr>
          <w:bCs/>
          <w:iCs/>
        </w:rPr>
        <w:t>tel</w:t>
      </w:r>
      <w:proofErr w:type="spellEnd"/>
      <w:r w:rsidRPr="00744C5E">
        <w:rPr>
          <w:bCs/>
          <w:iCs/>
        </w:rPr>
        <w:t xml:space="preserve">) and 36B4 quantity in triplicate and the results averaged. If the standard deviation of the triplicate Ct was &gt; 0.34, the outlier was removed prior to data analysis.  This was also done for the standards and controls run on each plate. The </w:t>
      </w:r>
      <w:proofErr w:type="spellStart"/>
      <w:r w:rsidRPr="00744C5E">
        <w:rPr>
          <w:bCs/>
          <w:iCs/>
        </w:rPr>
        <w:t>tel</w:t>
      </w:r>
      <w:proofErr w:type="spellEnd"/>
      <w:r w:rsidRPr="00744C5E">
        <w:rPr>
          <w:bCs/>
          <w:iCs/>
        </w:rPr>
        <w:t xml:space="preserve"> qPCR reaction (1x </w:t>
      </w:r>
      <w:proofErr w:type="spellStart"/>
      <w:r w:rsidRPr="00744C5E">
        <w:rPr>
          <w:bCs/>
          <w:iCs/>
        </w:rPr>
        <w:t>QuantiTect</w:t>
      </w:r>
      <w:proofErr w:type="spellEnd"/>
      <w:r w:rsidRPr="00744C5E">
        <w:rPr>
          <w:bCs/>
          <w:iCs/>
        </w:rPr>
        <w:t xml:space="preserve"> </w:t>
      </w:r>
      <w:proofErr w:type="spellStart"/>
      <w:r w:rsidRPr="00744C5E">
        <w:rPr>
          <w:bCs/>
          <w:iCs/>
        </w:rPr>
        <w:t>SYBRGreen</w:t>
      </w:r>
      <w:proofErr w:type="spellEnd"/>
      <w:r w:rsidRPr="00744C5E">
        <w:rPr>
          <w:bCs/>
          <w:iCs/>
        </w:rPr>
        <w:t xml:space="preserve"> (Qiagen, Hilden, Germany), </w:t>
      </w:r>
      <w:proofErr w:type="spellStart"/>
      <w:r w:rsidRPr="00744C5E">
        <w:rPr>
          <w:bCs/>
          <w:iCs/>
        </w:rPr>
        <w:lastRenderedPageBreak/>
        <w:t>teloF</w:t>
      </w:r>
      <w:proofErr w:type="spellEnd"/>
      <w:r w:rsidRPr="00744C5E">
        <w:rPr>
          <w:bCs/>
          <w:iCs/>
        </w:rPr>
        <w:t xml:space="preserve"> (5’-CGG TTT GTT TGG GTT TGG GTT TGG GTT TGG GTT TGG GTT-3’) and </w:t>
      </w:r>
      <w:proofErr w:type="spellStart"/>
      <w:r w:rsidRPr="00744C5E">
        <w:rPr>
          <w:bCs/>
          <w:iCs/>
        </w:rPr>
        <w:t>teloR</w:t>
      </w:r>
      <w:proofErr w:type="spellEnd"/>
      <w:r w:rsidRPr="00744C5E">
        <w:rPr>
          <w:bCs/>
          <w:iCs/>
        </w:rPr>
        <w:t xml:space="preserve"> (5’-GGC TTG CCT TAC CCT TAC CCT TAC CCT TAC CCT TAC CCT-3’) primers (0.3 </w:t>
      </w:r>
      <w:r w:rsidRPr="00744C5E">
        <w:rPr>
          <w:bCs/>
          <w:iCs/>
        </w:rPr>
        <w:sym w:font="Symbol" w:char="F06D"/>
      </w:r>
      <w:r w:rsidRPr="00744C5E">
        <w:rPr>
          <w:bCs/>
          <w:iCs/>
        </w:rPr>
        <w:t>M each</w:t>
      </w:r>
      <w:r w:rsidRPr="00744C5E">
        <w:rPr>
          <w:bCs/>
          <w:iCs/>
        </w:rPr>
        <w:fldChar w:fldCharType="begin"/>
      </w:r>
      <w:r w:rsidR="00293328">
        <w:rPr>
          <w:bCs/>
          <w:iCs/>
        </w:rPr>
        <w:instrText xml:space="preserve"> ADDIN ZOTERO_ITEM CSL_CITATION {"citationID":"0qDKRudc","properties":{"formattedCitation":"\\super 17\\nosupersub{}","plainCitation":"17","noteIndex":0},"citationItems":[{"id":1900,"uris":["http://zotero.org/users/4251691/items/XXN64SPF"],"uri":["http://zotero.org/users/4251691/items/XXN64SPF"],"itemData":{"id":1900,"type":"article-journal","container-title":"BioTechniques","DOI":"10.2144/000112761","ISSN":"0736-6205, 1940-9818","issue":"6","journalAbbreviation":"BioTechniques","language":"en","page":"807-809","source":"DOI.org (Crossref)","title":"A quantitative real-time PCR method for absolute telomere length","volume":"44","author":[{"family":"O'Callaghan","given":"Nathan J."},{"family":"Dhillon","given":"Varinderpal S."},{"family":"Thomas","given":"Philip"},{"family":"Fenech","given":"Michael"}],"issued":{"date-parts":[["2008",5]]}}}],"schema":"https://github.com/citation-style-language/schema/raw/master/csl-citation.json"} </w:instrText>
      </w:r>
      <w:r w:rsidRPr="00744C5E">
        <w:rPr>
          <w:bCs/>
          <w:iCs/>
        </w:rPr>
        <w:fldChar w:fldCharType="separate"/>
      </w:r>
      <w:r w:rsidR="00293328" w:rsidRPr="00293328">
        <w:rPr>
          <w:vertAlign w:val="superscript"/>
        </w:rPr>
        <w:t>17</w:t>
      </w:r>
      <w:r w:rsidRPr="00744C5E">
        <w:rPr>
          <w:bCs/>
        </w:rPr>
        <w:fldChar w:fldCharType="end"/>
      </w:r>
      <w:r w:rsidRPr="00744C5E">
        <w:rPr>
          <w:bCs/>
          <w:iCs/>
        </w:rPr>
        <w:t xml:space="preserve">), Uracil N-Glycosylase (UNG; 0.2 U; Thermo Fisher Scientific, Waltham, MA)) was run using on an Applied Biosystems </w:t>
      </w:r>
      <w:proofErr w:type="spellStart"/>
      <w:r w:rsidRPr="00744C5E">
        <w:rPr>
          <w:bCs/>
          <w:iCs/>
        </w:rPr>
        <w:t>QuantStudio</w:t>
      </w:r>
      <w:proofErr w:type="spellEnd"/>
      <w:r w:rsidRPr="00744C5E">
        <w:rPr>
          <w:bCs/>
          <w:iCs/>
        </w:rPr>
        <w:t xml:space="preserve"> 6 Flex Machine using the following cycling conditions: 1 cycle: 2 minutes at 50 °C, 1 cycle: 15 minutes at 95 °C, 40 cycles: 15 seconds at 95 °C and 1 minute at 60 °C. The </w:t>
      </w:r>
      <w:r w:rsidRPr="00744C5E">
        <w:rPr>
          <w:bCs/>
          <w:i/>
          <w:iCs/>
        </w:rPr>
        <w:t>36B4</w:t>
      </w:r>
      <w:r w:rsidRPr="00744C5E">
        <w:rPr>
          <w:bCs/>
          <w:iCs/>
        </w:rPr>
        <w:t xml:space="preserve"> qPCR reaction was the same except that 0.3 </w:t>
      </w:r>
      <w:r w:rsidRPr="00744C5E">
        <w:rPr>
          <w:bCs/>
          <w:iCs/>
        </w:rPr>
        <w:sym w:font="Symbol" w:char="F06D"/>
      </w:r>
      <w:r w:rsidRPr="00744C5E">
        <w:rPr>
          <w:bCs/>
          <w:iCs/>
        </w:rPr>
        <w:t xml:space="preserve">M 36B4U (5’-CAG CAA GTG GGA AGG TGT AAT CC-3’) and 0.5 </w:t>
      </w:r>
      <w:r w:rsidRPr="00744C5E">
        <w:rPr>
          <w:bCs/>
          <w:iCs/>
        </w:rPr>
        <w:sym w:font="Symbol" w:char="F06D"/>
      </w:r>
      <w:r w:rsidRPr="00744C5E">
        <w:rPr>
          <w:bCs/>
          <w:iCs/>
        </w:rPr>
        <w:t xml:space="preserve">M 36B4D (5’-CCC ATT CTA TCA </w:t>
      </w:r>
      <w:proofErr w:type="spellStart"/>
      <w:r w:rsidRPr="00744C5E">
        <w:rPr>
          <w:bCs/>
          <w:iCs/>
        </w:rPr>
        <w:t>TCA</w:t>
      </w:r>
      <w:proofErr w:type="spellEnd"/>
      <w:r w:rsidRPr="00744C5E">
        <w:rPr>
          <w:bCs/>
          <w:iCs/>
        </w:rPr>
        <w:t xml:space="preserve"> ACG GGT ACA A-3’) primers</w:t>
      </w:r>
      <w:r w:rsidRPr="00744C5E">
        <w:rPr>
          <w:bCs/>
          <w:iCs/>
        </w:rPr>
        <w:fldChar w:fldCharType="begin"/>
      </w:r>
      <w:r w:rsidR="00293328">
        <w:rPr>
          <w:bCs/>
          <w:iCs/>
        </w:rPr>
        <w:instrText xml:space="preserve"> ADDIN ZOTERO_ITEM CSL_CITATION {"citationID":"GA0BXf5Z","properties":{"formattedCitation":"\\super 17\\nosupersub{}","plainCitation":"17","noteIndex":0},"citationItems":[{"id":1900,"uris":["http://zotero.org/users/4251691/items/XXN64SPF"],"uri":["http://zotero.org/users/4251691/items/XXN64SPF"],"itemData":{"id":1900,"type":"article-journal","container-title":"BioTechniques","DOI":"10.2144/000112761","ISSN":"0736-6205, 1940-9818","issue":"6","journalAbbreviation":"BioTechniques","language":"en","page":"807-809","source":"DOI.org (Crossref)","title":"A quantitative real-time PCR method for absolute telomere length","volume":"44","author":[{"family":"O'Callaghan","given":"Nathan J."},{"family":"Dhillon","given":"Varinderpal S."},{"family":"Thomas","given":"Philip"},{"family":"Fenech","given":"Michael"}],"issued":{"date-parts":[["2008",5]]}}}],"schema":"https://github.com/citation-style-language/schema/raw/master/csl-citation.json"} </w:instrText>
      </w:r>
      <w:r w:rsidRPr="00744C5E">
        <w:rPr>
          <w:bCs/>
          <w:iCs/>
        </w:rPr>
        <w:fldChar w:fldCharType="separate"/>
      </w:r>
      <w:r w:rsidR="00293328" w:rsidRPr="00293328">
        <w:rPr>
          <w:vertAlign w:val="superscript"/>
        </w:rPr>
        <w:t>17</w:t>
      </w:r>
      <w:r w:rsidRPr="00744C5E">
        <w:rPr>
          <w:bCs/>
        </w:rPr>
        <w:fldChar w:fldCharType="end"/>
      </w:r>
      <w:r w:rsidRPr="00744C5E">
        <w:rPr>
          <w:bCs/>
          <w:iCs/>
        </w:rPr>
        <w:t xml:space="preserve"> were used instead of </w:t>
      </w:r>
      <w:proofErr w:type="spellStart"/>
      <w:r w:rsidRPr="00744C5E">
        <w:rPr>
          <w:bCs/>
          <w:iCs/>
        </w:rPr>
        <w:t>teloF</w:t>
      </w:r>
      <w:proofErr w:type="spellEnd"/>
      <w:r w:rsidRPr="00744C5E">
        <w:rPr>
          <w:bCs/>
          <w:iCs/>
        </w:rPr>
        <w:t xml:space="preserve"> and </w:t>
      </w:r>
      <w:proofErr w:type="spellStart"/>
      <w:r w:rsidRPr="00744C5E">
        <w:rPr>
          <w:bCs/>
          <w:iCs/>
        </w:rPr>
        <w:t>teloR</w:t>
      </w:r>
      <w:proofErr w:type="spellEnd"/>
      <w:r w:rsidRPr="00744C5E">
        <w:rPr>
          <w:bCs/>
          <w:iCs/>
        </w:rPr>
        <w:t>.  All oligonucleotides were from Integrated DNA Technologies (IDT, Coralville, Iowa).</w:t>
      </w:r>
      <w:r w:rsidRPr="00744C5E">
        <w:rPr>
          <w:bCs/>
        </w:rPr>
        <w:t xml:space="preserve"> </w:t>
      </w:r>
    </w:p>
    <w:p w14:paraId="7DBD9578" w14:textId="5BFDDCDA" w:rsidR="00E93C3E" w:rsidRPr="00744C5E" w:rsidRDefault="00E93C3E" w:rsidP="00744C5E">
      <w:pPr>
        <w:spacing w:after="160" w:line="259" w:lineRule="auto"/>
        <w:rPr>
          <w:bCs/>
        </w:rPr>
      </w:pPr>
      <w:r w:rsidRPr="00744C5E">
        <w:rPr>
          <w:bCs/>
        </w:rPr>
        <w:tab/>
      </w:r>
      <w:r w:rsidRPr="00243438">
        <w:rPr>
          <w:bCs/>
        </w:rPr>
        <w:t>To minimize batch effects, all samples from the same individual were included on the same qPCR run. In addition to the appropriate standards, each 384-well plate contained two DNA samples, also in triplicate, that were repeated on each run to mitigate batch effects.</w:t>
      </w:r>
      <w:r w:rsidRPr="00744C5E">
        <w:rPr>
          <w:bCs/>
        </w:rPr>
        <w:t xml:space="preserve"> These were: reference genomic DNA from a cell line with a relatively short telomere (3C167b), reference genomic DNA from a fibroblast cell line containing a stably integrated hTERT gene (</w:t>
      </w:r>
      <w:proofErr w:type="spellStart"/>
      <w:r w:rsidRPr="00744C5E">
        <w:rPr>
          <w:bCs/>
        </w:rPr>
        <w:t>NHFpreT</w:t>
      </w:r>
      <w:proofErr w:type="spellEnd"/>
      <w:r w:rsidRPr="00744C5E">
        <w:rPr>
          <w:bCs/>
        </w:rPr>
        <w:t>)</w:t>
      </w:r>
      <w:r w:rsidRPr="00744C5E">
        <w:rPr>
          <w:bCs/>
        </w:rPr>
        <w:fldChar w:fldCharType="begin"/>
      </w:r>
      <w:r w:rsidR="00310552">
        <w:rPr>
          <w:bCs/>
        </w:rPr>
        <w:instrText xml:space="preserve"> ADDIN ZOTERO_ITEM CSL_CITATION {"citationID":"RA4fRvcb","properties":{"formattedCitation":"\\super 18,19\\nosupersub{}","plainCitation":"18,19","noteIndex":0},"citationItems":[{"id":"I6WJAfhd/CpSWeYou","uris":["http://zotero.org/users/local/z6s6sSds/items/8RT4S8ZC"],"uri":["http://zotero.org/users/local/z6s6sSds/items/8RT4S8ZC"],"itemData":{"id":5,"type":"article-journal","abstract":"The human telomerase reverse transcriptase (AN  - 27940549","container-title":"FASEB Journal","DOI":"10.1096/fj.201601111R","ISSN":"1530-6860","issue":"3","journalAbbreviation":"FASEB J","language":"eng","note":"number: 3\nedition: 2016/12/09","page":"1165-1178","title":"Repression of telomerase gene promoter requires human-specific genomic context and is mediated by multiple HDAC1-containing corepressor complexes","volume":"31","author":[{"literal":"Cheng, D."},{"family":"Zhao","given":"Y."},{"family":"Wang","given":"S."},{"family":"Zhang","given":"F."},{"family":"Russo","given":"M."},{"family":"McMahon","given":"S. B."},{"family":"Zhu","given":"J."}],"issued":{"date-parts":[["2017"]]}}},{"id":"I6WJAfhd/JTjwLnYb","uris":["http://zotero.org/users/local/z6s6sSds/items/E4KNMFY8"],"uri":["http://zotero.org/users/local/z6s6sSds/items/E4KNMFY8"],"itemData":{"id":33,"type":"article-journal","abstract":"The transcriptional activation of human telomerase reverse transcriptase (hTERT) is an important step during cellular immortalization and tumorigenesis. To study how this activation occurs during immortalization, we have established a set of genetically related pre-crisis cells and their immortal progeny. As expected, hTERT mRNA was detected in our telomerase-positive immortal cells but not in pre-crisis cells or telomerase-negative immortal cells. However, transiently transfected luciferase reporters controlled by hTERT promoter sequences exhibited similar levels of luciferase activity in both telomerase-positive and -negative cells, suggesting that the endogenous chromatin context is likely required for hTERT regulation. Analysis of chromatin susceptibility to DNase I digestion consistently identified a DNase I hypersensitivity site (DHS) near the hTERT transcription initiation site in telomerase-positive cells. In addition, the histone deacetylase inhibitor trichostatin A (TSA) induced hTERT transcription and also a general increase in chromatin sensitivity to DNase treatment in telomerase-negative cells. The TSA-induced hTERT transcription in pre-crisis cells was accompanied by the formation of a DHS at the hTERT promoter. Furthermore, the TSA-induced hTERT transcription and chromatin alterations were not blocked by cycloheximide, suggesting that this induction does not require de novo protein synthesis and that TSA induces hTERT expression through the inhibition of histone deacetylation at the hTERT promoter. Taken together, our results suggest that the endogenous chromatin environment plays a critical role in the regulation of hTERT expression during cellular immortalization.","archive_location":"12611896","container-title":"The Journal of Biological Chemistry","DOI":"10.1074/jbc.M209544200","ISSN":"0021-9258","issue":"21","journalAbbreviation":"J Biol Chem","language":"eng","note":"number: 21\nedition: 2003/02/28","page":"18842-50","title":"Evidence for a relief of repression mechanism for activation of the human telomerase reverse transcriptase promoter","volume":"278","author":[{"family":"Wang","given":"S."},{"family":"Zhu","given":"J."}],"issued":{"date-parts":[["2003",5]]}}}],"schema":"https://github.com/citation-style-language/schema/raw/master/csl-citation.json"} </w:instrText>
      </w:r>
      <w:r w:rsidRPr="00744C5E">
        <w:rPr>
          <w:bCs/>
        </w:rPr>
        <w:fldChar w:fldCharType="separate"/>
      </w:r>
      <w:r w:rsidR="00293328" w:rsidRPr="00293328">
        <w:rPr>
          <w:vertAlign w:val="superscript"/>
        </w:rPr>
        <w:t>18,19</w:t>
      </w:r>
      <w:r w:rsidRPr="00744C5E">
        <w:rPr>
          <w:bCs/>
        </w:rPr>
        <w:fldChar w:fldCharType="end"/>
      </w:r>
      <w:r w:rsidRPr="00744C5E">
        <w:rPr>
          <w:bCs/>
        </w:rPr>
        <w:t xml:space="preserve">. Reference genomic DNAs were harvested at a single time, aliquoted, and frozen. In addition, two DNA samples were purified from volunteer saliva, aliquoted and used by the lab to measure the variation between plates. Standards (with pBR322 plasmid DNA (0.5 ng/ul) added for stabilization), and primers were diluted to the appropriate concentrations and batch frozen in single use aliquots for the project. The geometric mean of the two cell lines’ (3C167b and </w:t>
      </w:r>
      <w:proofErr w:type="spellStart"/>
      <w:r w:rsidRPr="00744C5E">
        <w:rPr>
          <w:bCs/>
        </w:rPr>
        <w:t>NHFpreT</w:t>
      </w:r>
      <w:proofErr w:type="spellEnd"/>
      <w:r w:rsidRPr="00744C5E">
        <w:rPr>
          <w:bCs/>
        </w:rPr>
        <w:t xml:space="preserve">) telomere quantities from each run was divided by the geometric mean of the two cell line telomere quantities from all the runs to create a normalization factor for each run. This procedure was repeated for the 36B4 quantities. TL was calculated using Eq. 1. The coefficients of variation the two volunteer DNAs were 10%.  If using the average of the relative TL (T/S) of the two controls, the coefficient of variation was less than one percent. As elaborated </w:t>
      </w:r>
      <w:r w:rsidR="00F61813">
        <w:rPr>
          <w:bCs/>
        </w:rPr>
        <w:t>below</w:t>
      </w:r>
      <w:r w:rsidRPr="00744C5E">
        <w:rPr>
          <w:bCs/>
        </w:rPr>
        <w:t xml:space="preserve">, we measured the reliability of our measures of ln(TL). In all cases the within-person variability of ln(TL) is extremely small relative to the between person variability, implying reliability coefficients of 0.98. </w:t>
      </w:r>
    </w:p>
    <w:p w14:paraId="141C7B01" w14:textId="651D8C98" w:rsidR="00EC29C7" w:rsidRDefault="00EC29C7" w:rsidP="00EC29C7">
      <w:pPr>
        <w:spacing w:after="160" w:line="259" w:lineRule="auto"/>
        <w:rPr>
          <w:b/>
          <w:bCs/>
          <w:i/>
        </w:rPr>
      </w:pPr>
      <w:r>
        <w:rPr>
          <w:b/>
          <w:bCs/>
          <w:i/>
        </w:rPr>
        <w:t>Statistical Framework</w:t>
      </w:r>
    </w:p>
    <w:p w14:paraId="389ADB54" w14:textId="1653FE85" w:rsidR="00EC29C7" w:rsidRPr="00CE242E" w:rsidRDefault="009F7A1A" w:rsidP="00ED59C9">
      <w:pPr>
        <w:spacing w:after="160"/>
        <w:rPr>
          <w:bCs/>
        </w:rPr>
      </w:pPr>
      <w:r>
        <w:rPr>
          <w:bCs/>
        </w:rPr>
        <w:t>As discussed in the body of the paper</w:t>
      </w:r>
      <w:r w:rsidR="00EC29C7" w:rsidRPr="00CE242E">
        <w:rPr>
          <w:bCs/>
        </w:rPr>
        <w:t xml:space="preserve">, much of the interest in TL involves using measured TL as an indicator of what has been termed, “biological age.”  It will be of some value to formalize this </w:t>
      </w:r>
      <w:r>
        <w:rPr>
          <w:bCs/>
        </w:rPr>
        <w:t xml:space="preserve">notion </w:t>
      </w:r>
      <w:r w:rsidR="00EC29C7" w:rsidRPr="00CE242E">
        <w:rPr>
          <w:bCs/>
        </w:rPr>
        <w:t xml:space="preserve">in terms of a simple statistical model.  Let </w:t>
      </w:r>
      <w:proofErr w:type="spellStart"/>
      <w:r w:rsidR="00EC29C7" w:rsidRPr="00CE242E">
        <w:rPr>
          <w:bCs/>
          <w:i/>
        </w:rPr>
        <w:t>y</w:t>
      </w:r>
      <w:r w:rsidR="00EC29C7" w:rsidRPr="00CE242E">
        <w:rPr>
          <w:bCs/>
          <w:vertAlign w:val="subscript"/>
        </w:rPr>
        <w:t>ij</w:t>
      </w:r>
      <w:proofErr w:type="spellEnd"/>
      <w:r w:rsidR="00EC29C7" w:rsidRPr="00CE242E">
        <w:rPr>
          <w:bCs/>
        </w:rPr>
        <w:t xml:space="preserve"> represent measured TL for individual </w:t>
      </w:r>
      <w:proofErr w:type="spellStart"/>
      <w:r w:rsidR="00EC29C7" w:rsidRPr="00CE242E">
        <w:rPr>
          <w:bCs/>
        </w:rPr>
        <w:t>i</w:t>
      </w:r>
      <w:proofErr w:type="spellEnd"/>
      <w:r w:rsidR="00EC29C7" w:rsidRPr="00CE242E">
        <w:rPr>
          <w:bCs/>
        </w:rPr>
        <w:t xml:space="preserve"> using specimen j (</w:t>
      </w:r>
      <w:r w:rsidR="00EC29C7" w:rsidRPr="00CE242E">
        <w:rPr>
          <w:bCs/>
          <w:i/>
        </w:rPr>
        <w:t xml:space="preserve">y </w:t>
      </w:r>
      <w:r w:rsidR="00EC29C7" w:rsidRPr="00CE242E">
        <w:rPr>
          <w:bCs/>
        </w:rPr>
        <w:t xml:space="preserve">= ln(TL)) and let </w:t>
      </w:r>
      <w:r w:rsidR="00EC29C7" w:rsidRPr="00CE242E">
        <w:rPr>
          <w:bCs/>
          <w:i/>
        </w:rPr>
        <w:t>α</w:t>
      </w:r>
      <w:proofErr w:type="spellStart"/>
      <w:r w:rsidR="00EC29C7" w:rsidRPr="00CE242E">
        <w:rPr>
          <w:bCs/>
          <w:vertAlign w:val="subscript"/>
        </w:rPr>
        <w:t>i</w:t>
      </w:r>
      <w:proofErr w:type="spellEnd"/>
      <w:r w:rsidR="00EC29C7" w:rsidRPr="00CE242E">
        <w:rPr>
          <w:bCs/>
        </w:rPr>
        <w:t xml:space="preserve"> represent their biological age.  We do not observe </w:t>
      </w:r>
      <w:r w:rsidR="00EC29C7" w:rsidRPr="00CE242E">
        <w:rPr>
          <w:bCs/>
          <w:i/>
        </w:rPr>
        <w:t>α</w:t>
      </w:r>
      <w:proofErr w:type="spellStart"/>
      <w:r w:rsidR="00EC29C7" w:rsidRPr="00CE242E">
        <w:rPr>
          <w:bCs/>
          <w:vertAlign w:val="subscript"/>
        </w:rPr>
        <w:t>i</w:t>
      </w:r>
      <w:proofErr w:type="spellEnd"/>
      <w:r w:rsidR="00EC29C7" w:rsidRPr="00CE242E">
        <w:rPr>
          <w:bCs/>
          <w:vertAlign w:val="subscript"/>
        </w:rPr>
        <w:t xml:space="preserve"> </w:t>
      </w:r>
      <w:r w:rsidR="00EC29C7" w:rsidRPr="00CE242E">
        <w:rPr>
          <w:bCs/>
        </w:rPr>
        <w:t xml:space="preserve">but use </w:t>
      </w:r>
      <w:proofErr w:type="spellStart"/>
      <w:r w:rsidR="00EC29C7" w:rsidRPr="00CE242E">
        <w:rPr>
          <w:bCs/>
          <w:i/>
        </w:rPr>
        <w:t>y</w:t>
      </w:r>
      <w:r w:rsidR="00EC29C7" w:rsidRPr="00CE242E">
        <w:rPr>
          <w:bCs/>
          <w:vertAlign w:val="subscript"/>
        </w:rPr>
        <w:t>ij</w:t>
      </w:r>
      <w:proofErr w:type="spellEnd"/>
      <w:r w:rsidR="00EC29C7" w:rsidRPr="00CE242E">
        <w:rPr>
          <w:bCs/>
          <w:vertAlign w:val="subscript"/>
        </w:rPr>
        <w:t xml:space="preserve"> </w:t>
      </w:r>
      <w:r w:rsidR="00EC29C7" w:rsidRPr="00CE242E">
        <w:rPr>
          <w:bCs/>
        </w:rPr>
        <w:t>as an indicator for this quantity:</w:t>
      </w:r>
    </w:p>
    <w:p w14:paraId="27DD0833" w14:textId="77777777" w:rsidR="00EC29C7" w:rsidRPr="00CE242E" w:rsidRDefault="00EC29C7" w:rsidP="00ED59C9">
      <w:pPr>
        <w:spacing w:after="160"/>
        <w:rPr>
          <w:bCs/>
        </w:rPr>
      </w:pPr>
      <w:r w:rsidRPr="00CE242E">
        <w:rPr>
          <w:bCs/>
        </w:rPr>
        <w:t xml:space="preserve">   </w:t>
      </w:r>
      <w:r w:rsidRPr="00CE242E">
        <w:rPr>
          <w:bCs/>
        </w:rPr>
        <w:tab/>
      </w:r>
      <w:r w:rsidRPr="00CE242E">
        <w:rPr>
          <w:bCs/>
        </w:rPr>
        <w:tab/>
      </w:r>
      <w:r w:rsidRPr="00AD4DE7">
        <w:rPr>
          <w:bCs/>
        </w:rPr>
        <w:tab/>
      </w:r>
      <w:proofErr w:type="spellStart"/>
      <w:r w:rsidRPr="00AD4DE7">
        <w:rPr>
          <w:rFonts w:eastAsia="Arial Unicode MS"/>
          <w:bCs/>
          <w:i/>
        </w:rPr>
        <w:t>y</w:t>
      </w:r>
      <w:r w:rsidRPr="00AD4DE7">
        <w:rPr>
          <w:rFonts w:eastAsia="Arial Unicode MS"/>
          <w:bCs/>
          <w:vertAlign w:val="subscript"/>
        </w:rPr>
        <w:t>ij</w:t>
      </w:r>
      <w:proofErr w:type="spellEnd"/>
      <w:r w:rsidRPr="00AD4DE7">
        <w:rPr>
          <w:rFonts w:eastAsia="Arial Unicode MS"/>
          <w:bCs/>
        </w:rPr>
        <w:t xml:space="preserve"> = </w:t>
      </w:r>
      <w:r w:rsidRPr="00AD4DE7">
        <w:rPr>
          <w:rFonts w:eastAsia="Arial Unicode MS"/>
          <w:bCs/>
          <w:i/>
        </w:rPr>
        <w:t>α</w:t>
      </w:r>
      <w:proofErr w:type="spellStart"/>
      <w:r w:rsidRPr="00AD4DE7">
        <w:rPr>
          <w:rFonts w:eastAsia="Arial Unicode MS"/>
          <w:bCs/>
          <w:vertAlign w:val="subscript"/>
        </w:rPr>
        <w:t>i</w:t>
      </w:r>
      <w:proofErr w:type="spellEnd"/>
      <w:r w:rsidRPr="00AD4DE7">
        <w:rPr>
          <w:rFonts w:eastAsia="Arial Unicode MS"/>
          <w:bCs/>
          <w:vertAlign w:val="subscript"/>
        </w:rPr>
        <w:t xml:space="preserve"> </w:t>
      </w:r>
      <w:r w:rsidRPr="00AD4DE7">
        <w:rPr>
          <w:rFonts w:eastAsia="Arial Unicode MS"/>
          <w:bCs/>
        </w:rPr>
        <w:t xml:space="preserve"> + </w:t>
      </w:r>
      <w:proofErr w:type="spellStart"/>
      <w:r w:rsidRPr="00AD4DE7">
        <w:rPr>
          <w:rFonts w:eastAsia="Arial Unicode MS"/>
          <w:bCs/>
        </w:rPr>
        <w:t>ν</w:t>
      </w:r>
      <w:r w:rsidRPr="00AD4DE7">
        <w:rPr>
          <w:rFonts w:eastAsia="Arial Unicode MS"/>
          <w:bCs/>
          <w:vertAlign w:val="subscript"/>
        </w:rPr>
        <w:t>ij</w:t>
      </w:r>
      <w:proofErr w:type="spellEnd"/>
      <w:r w:rsidRPr="00AD4DE7">
        <w:rPr>
          <w:rFonts w:eastAsia="Arial Unicode MS"/>
          <w:bCs/>
          <w:vertAlign w:val="subscript"/>
        </w:rPr>
        <w:t xml:space="preserve"> </w:t>
      </w:r>
      <w:r w:rsidRPr="00AD4DE7">
        <w:rPr>
          <w:rFonts w:eastAsia="Arial Unicode MS"/>
          <w:bCs/>
        </w:rPr>
        <w:t xml:space="preserve"> + </w:t>
      </w:r>
      <w:proofErr w:type="spellStart"/>
      <w:r w:rsidRPr="00AD4DE7">
        <w:rPr>
          <w:rFonts w:eastAsia="Arial Unicode MS"/>
          <w:bCs/>
        </w:rPr>
        <w:t>ε</w:t>
      </w:r>
      <w:r w:rsidRPr="00AD4DE7">
        <w:rPr>
          <w:rFonts w:eastAsia="Arial Unicode MS"/>
          <w:bCs/>
          <w:vertAlign w:val="subscript"/>
        </w:rPr>
        <w:t>ij</w:t>
      </w:r>
      <w:proofErr w:type="spellEnd"/>
      <w:r w:rsidRPr="00AD4DE7">
        <w:rPr>
          <w:rFonts w:eastAsia="Arial Unicode MS"/>
          <w:bCs/>
        </w:rPr>
        <w:tab/>
      </w:r>
      <w:r w:rsidRPr="00CE242E">
        <w:rPr>
          <w:bCs/>
        </w:rPr>
        <w:tab/>
      </w:r>
      <w:r w:rsidRPr="00CE242E">
        <w:rPr>
          <w:bCs/>
        </w:rPr>
        <w:tab/>
      </w:r>
      <w:r w:rsidRPr="00CE242E">
        <w:rPr>
          <w:bCs/>
        </w:rPr>
        <w:tab/>
      </w:r>
      <w:r w:rsidRPr="00CE242E">
        <w:rPr>
          <w:bCs/>
        </w:rPr>
        <w:tab/>
      </w:r>
      <w:r>
        <w:rPr>
          <w:bCs/>
        </w:rPr>
        <w:tab/>
      </w:r>
      <w:r w:rsidRPr="00CE242E">
        <w:rPr>
          <w:bCs/>
        </w:rPr>
        <w:tab/>
        <w:t>(2)</w:t>
      </w:r>
    </w:p>
    <w:p w14:paraId="65904878" w14:textId="77777777" w:rsidR="00EC29C7" w:rsidRPr="00CE242E" w:rsidRDefault="00EC29C7" w:rsidP="00ED59C9">
      <w:pPr>
        <w:spacing w:after="160"/>
        <w:rPr>
          <w:bCs/>
        </w:rPr>
      </w:pPr>
      <w:proofErr w:type="spellStart"/>
      <w:r w:rsidRPr="00CE242E">
        <w:rPr>
          <w:bCs/>
        </w:rPr>
        <w:t>ε</w:t>
      </w:r>
      <w:r w:rsidRPr="00CE242E">
        <w:rPr>
          <w:bCs/>
          <w:vertAlign w:val="subscript"/>
        </w:rPr>
        <w:t>ij</w:t>
      </w:r>
      <w:proofErr w:type="spellEnd"/>
      <w:r w:rsidRPr="00CE242E">
        <w:rPr>
          <w:bCs/>
          <w:vertAlign w:val="subscript"/>
        </w:rPr>
        <w:t xml:space="preserve">  </w:t>
      </w:r>
      <w:r w:rsidRPr="00CE242E">
        <w:rPr>
          <w:bCs/>
        </w:rPr>
        <w:t xml:space="preserve">represents average test/retest error when measuring </w:t>
      </w:r>
      <w:r w:rsidRPr="00CE242E">
        <w:rPr>
          <w:bCs/>
          <w:i/>
        </w:rPr>
        <w:t>y</w:t>
      </w:r>
      <w:r w:rsidRPr="00CE242E">
        <w:rPr>
          <w:bCs/>
        </w:rPr>
        <w:t xml:space="preserve">, and can plausibly be assumed independent of </w:t>
      </w:r>
      <w:r w:rsidRPr="00CE242E">
        <w:rPr>
          <w:bCs/>
          <w:i/>
        </w:rPr>
        <w:t>α</w:t>
      </w:r>
      <w:proofErr w:type="spellStart"/>
      <w:r w:rsidRPr="00CE242E">
        <w:rPr>
          <w:bCs/>
          <w:vertAlign w:val="subscript"/>
        </w:rPr>
        <w:t>i</w:t>
      </w:r>
      <w:proofErr w:type="spellEnd"/>
      <w:r w:rsidRPr="00CE242E">
        <w:rPr>
          <w:bCs/>
          <w:vertAlign w:val="subscript"/>
        </w:rPr>
        <w:t xml:space="preserve"> </w:t>
      </w:r>
      <w:r w:rsidRPr="00CE242E">
        <w:rPr>
          <w:bCs/>
        </w:rPr>
        <w:t xml:space="preserve">.  </w:t>
      </w:r>
      <w:proofErr w:type="spellStart"/>
      <w:r w:rsidRPr="00CE242E">
        <w:rPr>
          <w:bCs/>
        </w:rPr>
        <w:t>ν</w:t>
      </w:r>
      <w:r w:rsidRPr="00CE242E">
        <w:rPr>
          <w:bCs/>
          <w:vertAlign w:val="subscript"/>
        </w:rPr>
        <w:t>ij</w:t>
      </w:r>
      <w:proofErr w:type="spellEnd"/>
      <w:r w:rsidRPr="00CE242E">
        <w:rPr>
          <w:bCs/>
          <w:vertAlign w:val="subscript"/>
        </w:rPr>
        <w:t xml:space="preserve"> </w:t>
      </w:r>
      <w:r w:rsidRPr="00CE242E">
        <w:rPr>
          <w:bCs/>
        </w:rPr>
        <w:t xml:space="preserve"> represents the gap between telomere length in the sample and the biological age of the individual.  Telomere length is an indicator of biological age, not biological age itself.  The fact that telomere length is measured in triplicate gives </w:t>
      </w:r>
      <w:r>
        <w:rPr>
          <w:bCs/>
        </w:rPr>
        <w:t>us</w:t>
      </w:r>
      <w:r w:rsidRPr="00CE242E">
        <w:rPr>
          <w:bCs/>
        </w:rPr>
        <w:t xml:space="preserve"> a way to measure var(</w:t>
      </w:r>
      <w:proofErr w:type="spellStart"/>
      <w:r w:rsidRPr="00CE242E">
        <w:rPr>
          <w:bCs/>
        </w:rPr>
        <w:t>ε</w:t>
      </w:r>
      <w:r w:rsidRPr="00CE242E">
        <w:rPr>
          <w:bCs/>
          <w:vertAlign w:val="subscript"/>
        </w:rPr>
        <w:t>ij</w:t>
      </w:r>
      <w:proofErr w:type="spellEnd"/>
      <w:r w:rsidRPr="00CE242E">
        <w:rPr>
          <w:bCs/>
        </w:rPr>
        <w:t xml:space="preserve">).  If we assume that </w:t>
      </w:r>
      <w:r w:rsidRPr="00CE242E">
        <w:rPr>
          <w:bCs/>
          <w:i/>
        </w:rPr>
        <w:t>α</w:t>
      </w:r>
      <w:proofErr w:type="spellStart"/>
      <w:r w:rsidRPr="00CE242E">
        <w:rPr>
          <w:bCs/>
          <w:vertAlign w:val="subscript"/>
        </w:rPr>
        <w:t>i</w:t>
      </w:r>
      <w:proofErr w:type="spellEnd"/>
      <w:r w:rsidRPr="00CE242E">
        <w:rPr>
          <w:bCs/>
          <w:vertAlign w:val="subscript"/>
        </w:rPr>
        <w:t xml:space="preserve"> </w:t>
      </w:r>
      <w:r w:rsidRPr="00CE242E">
        <w:rPr>
          <w:bCs/>
        </w:rPr>
        <w:t xml:space="preserve">. and </w:t>
      </w:r>
      <w:proofErr w:type="spellStart"/>
      <w:r w:rsidRPr="00CE242E">
        <w:rPr>
          <w:bCs/>
        </w:rPr>
        <w:t>ν</w:t>
      </w:r>
      <w:r w:rsidRPr="00CE242E">
        <w:rPr>
          <w:bCs/>
          <w:vertAlign w:val="subscript"/>
        </w:rPr>
        <w:t>ij</w:t>
      </w:r>
      <w:proofErr w:type="spellEnd"/>
      <w:r w:rsidRPr="00CE242E">
        <w:rPr>
          <w:bCs/>
          <w:vertAlign w:val="subscript"/>
        </w:rPr>
        <w:t xml:space="preserve"> </w:t>
      </w:r>
      <w:r w:rsidRPr="00CE242E">
        <w:rPr>
          <w:bCs/>
        </w:rPr>
        <w:t xml:space="preserve"> are independent of each other, we can use the variance covariance matrix across specimen types to identify var(</w:t>
      </w:r>
      <w:r w:rsidRPr="00CE242E">
        <w:rPr>
          <w:bCs/>
          <w:i/>
        </w:rPr>
        <w:t>α</w:t>
      </w:r>
      <w:proofErr w:type="spellStart"/>
      <w:r w:rsidRPr="00CE242E">
        <w:rPr>
          <w:bCs/>
          <w:vertAlign w:val="subscript"/>
        </w:rPr>
        <w:t>i</w:t>
      </w:r>
      <w:proofErr w:type="spellEnd"/>
      <w:r w:rsidRPr="00CE242E">
        <w:rPr>
          <w:bCs/>
          <w:vertAlign w:val="subscript"/>
        </w:rPr>
        <w:t xml:space="preserve"> </w:t>
      </w:r>
      <w:r w:rsidRPr="00CE242E">
        <w:rPr>
          <w:bCs/>
        </w:rPr>
        <w:t>) and var(</w:t>
      </w:r>
      <w:proofErr w:type="spellStart"/>
      <w:r w:rsidRPr="00CE242E">
        <w:rPr>
          <w:bCs/>
        </w:rPr>
        <w:t>ν</w:t>
      </w:r>
      <w:r w:rsidRPr="00CE242E">
        <w:rPr>
          <w:bCs/>
          <w:vertAlign w:val="subscript"/>
        </w:rPr>
        <w:t>ij</w:t>
      </w:r>
      <w:proofErr w:type="spellEnd"/>
      <w:r w:rsidRPr="00CE242E">
        <w:rPr>
          <w:bCs/>
          <w:vertAlign w:val="subscript"/>
        </w:rPr>
        <w:t xml:space="preserve"> </w:t>
      </w:r>
      <w:r w:rsidRPr="00CE242E">
        <w:rPr>
          <w:bCs/>
        </w:rPr>
        <w:t xml:space="preserve">) in our samples.  </w:t>
      </w:r>
    </w:p>
    <w:p w14:paraId="6B39096B" w14:textId="57B10EAA" w:rsidR="00EC29C7" w:rsidRPr="00CE242E" w:rsidRDefault="00EC29C7" w:rsidP="00ED59C9">
      <w:pPr>
        <w:spacing w:after="160"/>
        <w:rPr>
          <w:bCs/>
        </w:rPr>
      </w:pPr>
      <w:r w:rsidRPr="00CE242E">
        <w:rPr>
          <w:bCs/>
        </w:rPr>
        <w:lastRenderedPageBreak/>
        <w:tab/>
        <w:t xml:space="preserve">What researchers are typically interested in is the association between biological age (conditional on </w:t>
      </w:r>
      <w:r>
        <w:rPr>
          <w:bCs/>
        </w:rPr>
        <w:t>chronological</w:t>
      </w:r>
      <w:r w:rsidRPr="00CE242E">
        <w:rPr>
          <w:bCs/>
        </w:rPr>
        <w:t xml:space="preserve"> age) and various aspects of individuals’ socially structured experience.   Thus, for example, researchers have been interested in the effects of stress on telomere length</w:t>
      </w:r>
      <w:r w:rsidRPr="00ED59C9">
        <w:rPr>
          <w:bCs/>
          <w:highlight w:val="yellow"/>
        </w:rPr>
        <w:fldChar w:fldCharType="begin"/>
      </w:r>
      <w:r w:rsidR="00310552">
        <w:rPr>
          <w:bCs/>
          <w:highlight w:val="yellow"/>
        </w:rPr>
        <w:instrText xml:space="preserve"> ADDIN ZOTERO_ITEM CSL_CITATION {"citationID":"xZOjuQg6","properties":{"formattedCitation":"\\super 8,9\\nosupersub{}","plainCitation":"8,9","noteIndex":0},"citationItems":[{"id":"I6WJAfhd/ULstSPno","uris":["http://zotero.org/users/local/z6s6sSds/items/8QGSKEM7"],"uri":["http://zotero.org/users/local/z6s6sSds/items/8QGSKEM7"],"itemData":{"id":"x2SLhHaM/EitVzOQ1","type":"article-journal","abstract":"Low socio-economic status (SES) is associated with a shortened life expectancy, but its effect on aging is unknown. The rate of white-blood-cell (WBC) telomere attrition may be a biological indicator of human aging. We tested the hypothesis that SES is associated with telomere attrition independent of known risk factors influencing the aging process. We studied 1552 female twins. A venous blood sample was taken from each twin and isolated WBCs used for extraction of DNA. Terminal restriction fragment length (TRFL) was measured. Questionnaire data were collected on occupation, education, income, smoking, exercise, height and weight. Standard multiple linear regression and multivariate analyses of variance tested for associations between SES and TRFL, adjusting for covariates. A discordant twin analysis was conducted on a subset to verify findings. WBC telomere length was highly variable but significantly shorter in lower SES groups. The mean difference in TRFL between nonmanual and manual SES groups was 163.2 base pairs (bp) of which 22.9 bp (approximately 14%) was accounted for by body mass index, smoking and exercise. Comparison of TRFL in the 17 most discordant SES twin pairs confirmed this difference. Low SES, in addition to the harmful effects of smoking, obesity and lack of exercise, appears to have an impact on telomere length.","archive_location":"16856882","container-title":"Aging Cell","DOI":"10.1111/j.1474-9726.2006.00222.x","ISSN":"1474-9718","issue":"5","language":"eng","note":"number: 5","page":"361-5","title":"The effects of social status on biological aging as measured by white-blood-cell telomere length","volume":"5","author":[{"family":"Cherkas","given":"L. F."},{"family":"Aviv","given":"A."},{"family":"Valdes","given":"A. M."},{"family":"Hunkin","given":"J. L."},{"family":"Gardner","given":"J. P."},{"family":"Surdulescu","given":"G. L."},{"family":"Kimura","given":"M."},{"family":"Spector","given":"T. D."}],"issued":{"date-parts":[["2006",10]]}}},{"id":"I6WJAfhd/NfzhCfbE","uris":["http://zotero.org/users/local/z6s6sSds/items/99AFUH8Q"],"uri":["http://zotero.org/users/local/z6s6sSds/items/99AFUH8Q"],"itemData":{"id":"x2SLhHaM/iuwsOzfA","type":"article-journal","abstract":"Numerous studies demonstrate links between chronic stress and indices of poor health, including risk factors for cardiovascular disease and poorer immune function. Nevertheless, the exact mechanisms of how stress gets \"under the skin\" remain elusive. We investigated the hypothesis that stress impacts health by modulating the rate of cellular aging. Here we provide evidence that psychological stress--both perceived stress and chronicity of stress--is significantly associated with higher oxidative stress, lower telomerase activity, and shorter telomere length, which are known determinants of cell senescence and longevity, in peripheral blood mononuclear cells from healthy premenopausal women. Women with the highest levels of perceived stress have telomeres shorter on average by the equivalent of at least one decade of additional aging compared to low stress women. These findings have implications for understanding how, at the cellular level, stress may promote earlier onset of age-related diseases.","archive_location":"15574496","container-title":"Proceedings of the National Academies of Sciences U S A","DOI":"10.1073/pnas.0407162101","ISSN":"0027-8424","issue":"49","journalAbbreviation":"Proc Natl Acad Sci U S A","language":"eng","note":"number: 49\nedition: 2004/12/01","page":"17312-5","title":"Accelerated telomere shortening in response to life stress","volume":"101","author":[{"family":"Epel","given":"E. S."},{"family":"Blackburn","given":"E. H."},{"family":"Lin","given":"J."},{"family":"Dhabhar","given":"F. S."},{"family":"Adler","given":"N. E."},{"family":"Morrow","given":"J. D."},{"family":"Cawthon","given":"R. M."}],"issued":{"date-parts":[["2004",12]]}}}],"schema":"https://github.com/citation-style-language/schema/raw/master/csl-citation.json"} </w:instrText>
      </w:r>
      <w:r w:rsidRPr="00ED59C9">
        <w:rPr>
          <w:bCs/>
          <w:highlight w:val="yellow"/>
        </w:rPr>
        <w:fldChar w:fldCharType="separate"/>
      </w:r>
      <w:r w:rsidR="00310552" w:rsidRPr="00310552">
        <w:rPr>
          <w:vertAlign w:val="superscript"/>
        </w:rPr>
        <w:t>8,9</w:t>
      </w:r>
      <w:r w:rsidRPr="00ED59C9">
        <w:rPr>
          <w:bCs/>
          <w:highlight w:val="yellow"/>
        </w:rPr>
        <w:fldChar w:fldCharType="end"/>
      </w:r>
      <w:r w:rsidRPr="00CE242E">
        <w:rPr>
          <w:bCs/>
        </w:rPr>
        <w:t xml:space="preserve"> in the association between race and telomere length</w:t>
      </w:r>
      <w:r w:rsidRPr="00ED59C9">
        <w:rPr>
          <w:bCs/>
          <w:highlight w:val="yellow"/>
        </w:rPr>
        <w:fldChar w:fldCharType="begin"/>
      </w:r>
      <w:r w:rsidR="00310552">
        <w:rPr>
          <w:bCs/>
          <w:highlight w:val="yellow"/>
        </w:rPr>
        <w:instrText xml:space="preserve"> ADDIN ZOTERO_ITEM CSL_CITATION {"citationID":"iymMfFbF","properties":{"formattedCitation":"\\super 4\\nosupersub{}","plainCitation":"4","noteIndex":0},"citationItems":[{"id":1553,"uris":["http://zotero.org/users/4251691/items/DDNM8LT5"],"uri":["http://zotero.org/users/4251691/items/DDNM8LT5"],"itemData":{"id":1553,"type":"article-journal","abstract":"Residents of distressed urban areas suffer early aging-related disease and excess mortality. Usin community-based participatory research approach in a collaboration between social researchers a cellular biologists, we collected a unique data set of 239 black, white, or Mexican adults from a stratified multistage probability sample of three Detroit neighborhoods. We drew venous blood and measu telomere length (TL), an indicator of stress-mediated biological aging, linking respondents' TL to the community survey responses. We regressed TL on socioeconomic, psychosocial, neighborhood, a behavioral stressors, hypothesizing and finding an interaction between poverty and racial-ethnic gro Poor whites had shorter TL than nonpoor whites; poor and nonpoor blacks had equivalent TL; and po Mexicans had longer TL than nonpoor Mexicans. Findings suggest unobserved heterogeneity bias is important threat to the validity of estimates of TL differences by race-ethnicity. They point to hea impacts of social identity as contingent, the products of structurally rooted biopsychosocial processes.","container-title":"Journal of Health and Social Behavior","DOI":"10.1177/0022146515582100","ISSN":"0022-1465, 2150-6000","issue":"2","language":"en","page":"199-224","source":"Crossref","title":"Race-Ethnicity, Poverty, Urban Stressors, and Telomere Length in a Detroit Community-based Sample","volume":"56","author":[{"family":"Geronimus","given":"Arline T."},{"family":"Pearson","given":"Jay A."},{"family":"Linnenbringer","given":"Erin"},{"family":"Schulz","given":"Amy J."},{"family":"Reyes","given":"Angela G."},{"family":"Epel","given":"Elissa S."},{"family":"Lin","given":"Jue"},{"family":"Blackburn","given":"Elizabeth H."}],"issued":{"date-parts":[["2015",6]]}}}],"schema":"https://github.com/citation-style-language/schema/raw/master/csl-citation.json"} </w:instrText>
      </w:r>
      <w:r w:rsidRPr="00ED59C9">
        <w:rPr>
          <w:bCs/>
          <w:highlight w:val="yellow"/>
        </w:rPr>
        <w:fldChar w:fldCharType="separate"/>
      </w:r>
      <w:r w:rsidR="00310552" w:rsidRPr="00310552">
        <w:rPr>
          <w:vertAlign w:val="superscript"/>
        </w:rPr>
        <w:t>4</w:t>
      </w:r>
      <w:r w:rsidRPr="00ED59C9">
        <w:rPr>
          <w:bCs/>
          <w:highlight w:val="yellow"/>
        </w:rPr>
        <w:fldChar w:fldCharType="end"/>
      </w:r>
      <w:r w:rsidRPr="00CE242E">
        <w:rPr>
          <w:bCs/>
        </w:rPr>
        <w:t>, and in the effect of early disadvantage on telomere length</w:t>
      </w:r>
      <w:r>
        <w:rPr>
          <w:bCs/>
        </w:rPr>
        <w:t>.</w:t>
      </w:r>
      <w:r w:rsidRPr="00ED59C9">
        <w:rPr>
          <w:bCs/>
          <w:highlight w:val="yellow"/>
        </w:rPr>
        <w:fldChar w:fldCharType="begin"/>
      </w:r>
      <w:r w:rsidR="00310552">
        <w:rPr>
          <w:bCs/>
          <w:highlight w:val="yellow"/>
        </w:rPr>
        <w:instrText xml:space="preserve"> ADDIN ZOTERO_ITEM CSL_CITATION {"citationID":"P8fUk3p0","properties":{"formattedCitation":"\\super 13\\nosupersub{}","plainCitation":"13","noteIndex":0},"citationItems":[{"id":1884,"uris":["http://zotero.org/users/4251691/items/X5W2U2U6"],"uri":["http://zotero.org/users/4251691/items/X5W2U2U6"],"itemData":{"id":1884,"type":"article-journal","container-title":"Proceedings of the National Academy of Sciences","DOI":"10.1073/pnas.1404293111","ISSN":"0027-8424, 1091-6490","issue":"16","journalAbbreviation":"Proceedings of the National Academy of Sciences","language":"en","page":"5944-5949","source":"DOI.org (Crossref)","title":"Social disadvantage, genetic sensitivity, and children's telomere length","volume":"111","author":[{"family":"Mitchell","given":"Colter"},{"family":"Hobcraft","given":"J."},{"family":"McLanahan","given":"S. S."},{"family":"Siegel","given":"S. R."},{"family":"Berg","given":"A."},{"family":"Brooks-Gunn","given":"J."},{"family":"Garfinkel","given":"I."},{"family":"Notterman","given":"D."}],"issued":{"date-parts":[["2014",4,22]]}}}],"schema":"https://github.com/citation-style-language/schema/raw/master/csl-citation.json"} </w:instrText>
      </w:r>
      <w:r w:rsidRPr="00ED59C9">
        <w:rPr>
          <w:bCs/>
          <w:highlight w:val="yellow"/>
        </w:rPr>
        <w:fldChar w:fldCharType="separate"/>
      </w:r>
      <w:r w:rsidR="00310552" w:rsidRPr="00310552">
        <w:rPr>
          <w:vertAlign w:val="superscript"/>
        </w:rPr>
        <w:t>13</w:t>
      </w:r>
      <w:r w:rsidRPr="00ED59C9">
        <w:rPr>
          <w:bCs/>
          <w:highlight w:val="yellow"/>
        </w:rPr>
        <w:fldChar w:fldCharType="end"/>
      </w:r>
      <w:r w:rsidRPr="00CE242E">
        <w:rPr>
          <w:bCs/>
        </w:rPr>
        <w:t xml:space="preserve"> Thinking of TL as an indicator of biological age, the regression that these researchers would have liked to run would have been:</w:t>
      </w:r>
    </w:p>
    <w:p w14:paraId="062B484F" w14:textId="77777777" w:rsidR="00EC29C7" w:rsidRPr="00CE242E" w:rsidRDefault="00EC29C7" w:rsidP="00ED59C9">
      <w:pPr>
        <w:spacing w:after="160"/>
        <w:rPr>
          <w:bCs/>
        </w:rPr>
      </w:pPr>
      <w:r w:rsidRPr="00CE242E">
        <w:rPr>
          <w:bCs/>
        </w:rPr>
        <w:tab/>
      </w:r>
      <w:r w:rsidRPr="00CE242E">
        <w:rPr>
          <w:bCs/>
        </w:rPr>
        <w:tab/>
      </w:r>
      <w:r w:rsidRPr="00AD4DE7">
        <w:rPr>
          <w:rFonts w:eastAsia="Arial Unicode MS"/>
          <w:bCs/>
          <w:i/>
        </w:rPr>
        <w:t>α</w:t>
      </w:r>
      <w:proofErr w:type="spellStart"/>
      <w:r w:rsidRPr="00AD4DE7">
        <w:rPr>
          <w:rFonts w:eastAsia="Arial Unicode MS"/>
          <w:bCs/>
          <w:vertAlign w:val="subscript"/>
        </w:rPr>
        <w:t>i</w:t>
      </w:r>
      <w:proofErr w:type="spellEnd"/>
      <w:r w:rsidRPr="00AD4DE7">
        <w:rPr>
          <w:rFonts w:eastAsia="Arial Unicode MS"/>
          <w:bCs/>
          <w:vertAlign w:val="subscript"/>
        </w:rPr>
        <w:t xml:space="preserve"> </w:t>
      </w:r>
      <w:r w:rsidRPr="00AD4DE7">
        <w:rPr>
          <w:rFonts w:eastAsia="Arial Unicode MS"/>
          <w:bCs/>
        </w:rPr>
        <w:t xml:space="preserve"> = </w:t>
      </w:r>
      <w:r w:rsidRPr="00AD4DE7">
        <w:rPr>
          <w:rFonts w:eastAsia="Arial Unicode MS"/>
          <w:bCs/>
          <w:i/>
        </w:rPr>
        <w:t>X</w:t>
      </w:r>
      <w:r w:rsidRPr="00AD4DE7">
        <w:rPr>
          <w:rFonts w:eastAsia="Arial Unicode MS"/>
          <w:bCs/>
          <w:vertAlign w:val="subscript"/>
        </w:rPr>
        <w:t>i</w:t>
      </w:r>
      <w:r w:rsidRPr="00AD4DE7">
        <w:rPr>
          <w:rFonts w:eastAsia="Arial Unicode MS"/>
          <w:bCs/>
        </w:rPr>
        <w:t xml:space="preserve">’β + </w:t>
      </w:r>
      <w:proofErr w:type="spellStart"/>
      <w:r w:rsidRPr="00AD4DE7">
        <w:rPr>
          <w:rFonts w:eastAsia="Arial Unicode MS"/>
          <w:bCs/>
          <w:i/>
        </w:rPr>
        <w:t>μ</w:t>
      </w:r>
      <w:r w:rsidRPr="00AD4DE7">
        <w:rPr>
          <w:rFonts w:eastAsia="Arial Unicode MS"/>
          <w:bCs/>
          <w:vertAlign w:val="subscript"/>
        </w:rPr>
        <w:t>i</w:t>
      </w:r>
      <w:proofErr w:type="spellEnd"/>
      <w:r w:rsidRPr="00AD4DE7">
        <w:rPr>
          <w:rFonts w:eastAsia="Arial Unicode MS"/>
          <w:bCs/>
        </w:rPr>
        <w:t>,</w:t>
      </w:r>
      <w:r w:rsidRPr="00AD4DE7">
        <w:rPr>
          <w:rFonts w:eastAsia="Arial Unicode MS"/>
          <w:bCs/>
        </w:rPr>
        <w:tab/>
      </w:r>
      <w:r w:rsidRPr="00AD4DE7">
        <w:rPr>
          <w:rFonts w:eastAsia="Arial Unicode MS"/>
          <w:bCs/>
        </w:rPr>
        <w:tab/>
      </w:r>
      <w:r w:rsidRPr="00CE242E">
        <w:rPr>
          <w:bCs/>
        </w:rPr>
        <w:tab/>
      </w:r>
      <w:r w:rsidRPr="00CE242E">
        <w:rPr>
          <w:bCs/>
        </w:rPr>
        <w:tab/>
      </w:r>
      <w:r w:rsidRPr="00CE242E">
        <w:rPr>
          <w:bCs/>
        </w:rPr>
        <w:tab/>
      </w:r>
      <w:r w:rsidRPr="00CE242E">
        <w:rPr>
          <w:bCs/>
        </w:rPr>
        <w:tab/>
      </w:r>
      <w:r w:rsidRPr="00CE242E">
        <w:rPr>
          <w:bCs/>
        </w:rPr>
        <w:tab/>
      </w:r>
      <w:r>
        <w:rPr>
          <w:bCs/>
        </w:rPr>
        <w:tab/>
      </w:r>
      <w:r>
        <w:rPr>
          <w:bCs/>
        </w:rPr>
        <w:tab/>
      </w:r>
      <w:r w:rsidRPr="00CE242E">
        <w:rPr>
          <w:bCs/>
        </w:rPr>
        <w:t>(3)</w:t>
      </w:r>
    </w:p>
    <w:p w14:paraId="4581AAAF" w14:textId="77777777" w:rsidR="00EC29C7" w:rsidRPr="00CE242E" w:rsidRDefault="00EC29C7" w:rsidP="00ED59C9">
      <w:pPr>
        <w:spacing w:after="160"/>
        <w:rPr>
          <w:bCs/>
        </w:rPr>
      </w:pPr>
      <w:r w:rsidRPr="00CE242E">
        <w:rPr>
          <w:bCs/>
        </w:rPr>
        <w:t xml:space="preserve">where </w:t>
      </w:r>
      <w:r w:rsidRPr="00CE242E">
        <w:rPr>
          <w:bCs/>
          <w:i/>
        </w:rPr>
        <w:t xml:space="preserve">X </w:t>
      </w:r>
      <w:r w:rsidRPr="00CE242E">
        <w:rPr>
          <w:bCs/>
        </w:rPr>
        <w:t xml:space="preserve">include both variables of particular interest and controls. We will assume that </w:t>
      </w:r>
      <w:r w:rsidRPr="00CE242E">
        <w:rPr>
          <w:bCs/>
          <w:i/>
        </w:rPr>
        <w:t>μ</w:t>
      </w:r>
      <w:r>
        <w:rPr>
          <w:bCs/>
        </w:rPr>
        <w:t xml:space="preserve"> </w:t>
      </w:r>
      <w:r w:rsidRPr="00CE242E">
        <w:rPr>
          <w:bCs/>
        </w:rPr>
        <w:t xml:space="preserve">is orthogonal to </w:t>
      </w:r>
      <w:r w:rsidRPr="00CE242E">
        <w:rPr>
          <w:bCs/>
          <w:i/>
        </w:rPr>
        <w:t>X</w:t>
      </w:r>
      <w:r w:rsidRPr="00CE242E">
        <w:rPr>
          <w:bCs/>
        </w:rPr>
        <w:t xml:space="preserve">. The motivation for this assumption is strategic. We want to focus on the impact that using TL as an indicator for biological age has on our estimates.   If we could observe </w:t>
      </w:r>
      <w:r w:rsidRPr="00CE242E">
        <w:rPr>
          <w:bCs/>
          <w:i/>
        </w:rPr>
        <w:t>α</w:t>
      </w:r>
      <w:proofErr w:type="spellStart"/>
      <w:r w:rsidRPr="00CE242E">
        <w:rPr>
          <w:bCs/>
          <w:vertAlign w:val="subscript"/>
        </w:rPr>
        <w:t>i</w:t>
      </w:r>
      <w:proofErr w:type="spellEnd"/>
      <w:r w:rsidRPr="00CE242E">
        <w:rPr>
          <w:bCs/>
          <w:vertAlign w:val="subscript"/>
        </w:rPr>
        <w:t xml:space="preserve"> </w:t>
      </w:r>
      <w:r w:rsidRPr="00CE242E">
        <w:rPr>
          <w:bCs/>
          <w:i/>
        </w:rPr>
        <w:t xml:space="preserve"> </w:t>
      </w:r>
      <w:proofErr w:type="spellStart"/>
      <w:r w:rsidRPr="00CE242E">
        <w:rPr>
          <w:bCs/>
        </w:rPr>
        <w:t>ols</w:t>
      </w:r>
      <w:proofErr w:type="spellEnd"/>
      <w:r w:rsidRPr="00CE242E">
        <w:rPr>
          <w:bCs/>
        </w:rPr>
        <w:t xml:space="preserve"> estimates of (3) would yield unbiased estimates of β.   Without direct measures of α, the researchers use </w:t>
      </w:r>
      <w:r w:rsidRPr="00CE242E">
        <w:rPr>
          <w:bCs/>
          <w:i/>
        </w:rPr>
        <w:t>y</w:t>
      </w:r>
      <w:r w:rsidRPr="00CE242E">
        <w:rPr>
          <w:bCs/>
        </w:rPr>
        <w:t xml:space="preserve"> as a</w:t>
      </w:r>
      <w:r>
        <w:rPr>
          <w:bCs/>
        </w:rPr>
        <w:t>n</w:t>
      </w:r>
      <w:r w:rsidRPr="00CE242E">
        <w:rPr>
          <w:bCs/>
        </w:rPr>
        <w:t xml:space="preserve"> indicator of α, and regresses </w:t>
      </w:r>
      <w:r w:rsidRPr="00CE242E">
        <w:rPr>
          <w:bCs/>
          <w:i/>
        </w:rPr>
        <w:t>y</w:t>
      </w:r>
      <w:r w:rsidRPr="00CE242E">
        <w:rPr>
          <w:bCs/>
        </w:rPr>
        <w:t xml:space="preserve"> on </w:t>
      </w:r>
      <w:r w:rsidRPr="00CE242E">
        <w:rPr>
          <w:bCs/>
          <w:i/>
        </w:rPr>
        <w:t>X</w:t>
      </w:r>
      <w:r w:rsidRPr="00CE242E">
        <w:rPr>
          <w:bCs/>
        </w:rPr>
        <w:t xml:space="preserve">.  </w:t>
      </w:r>
    </w:p>
    <w:p w14:paraId="1A7DC6F4" w14:textId="77777777" w:rsidR="00EC29C7" w:rsidRPr="00CE242E" w:rsidRDefault="00EC29C7" w:rsidP="00ED59C9">
      <w:pPr>
        <w:spacing w:after="160"/>
        <w:rPr>
          <w:bCs/>
        </w:rPr>
      </w:pPr>
      <w:r>
        <w:rPr>
          <w:bCs/>
          <w:i/>
        </w:rPr>
        <w:tab/>
      </w:r>
      <w:r>
        <w:rPr>
          <w:bCs/>
          <w:i/>
        </w:rPr>
        <w:tab/>
      </w:r>
      <w:proofErr w:type="spellStart"/>
      <w:r w:rsidRPr="00AD4DE7">
        <w:rPr>
          <w:rFonts w:eastAsia="Arial Unicode MS"/>
          <w:bCs/>
          <w:i/>
        </w:rPr>
        <w:t>y</w:t>
      </w:r>
      <w:r w:rsidRPr="00AD4DE7">
        <w:rPr>
          <w:rFonts w:eastAsia="Arial Unicode MS"/>
          <w:bCs/>
          <w:vertAlign w:val="subscript"/>
        </w:rPr>
        <w:t>ij</w:t>
      </w:r>
      <w:proofErr w:type="spellEnd"/>
      <w:r w:rsidRPr="00AD4DE7">
        <w:rPr>
          <w:rFonts w:eastAsia="Arial Unicode MS"/>
          <w:bCs/>
        </w:rPr>
        <w:t xml:space="preserve"> = </w:t>
      </w:r>
      <w:r w:rsidRPr="00AD4DE7">
        <w:rPr>
          <w:rFonts w:eastAsia="Arial Unicode MS"/>
          <w:bCs/>
          <w:i/>
        </w:rPr>
        <w:t>X</w:t>
      </w:r>
      <w:r w:rsidRPr="00AD4DE7">
        <w:rPr>
          <w:rFonts w:eastAsia="Arial Unicode MS"/>
          <w:bCs/>
          <w:vertAlign w:val="subscript"/>
        </w:rPr>
        <w:t>i</w:t>
      </w:r>
      <w:r w:rsidRPr="00AD4DE7">
        <w:rPr>
          <w:rFonts w:eastAsia="Arial Unicode MS"/>
          <w:bCs/>
        </w:rPr>
        <w:t xml:space="preserve">’β + </w:t>
      </w:r>
      <w:proofErr w:type="spellStart"/>
      <w:r w:rsidRPr="00AD4DE7">
        <w:rPr>
          <w:rFonts w:eastAsia="Arial Unicode MS"/>
          <w:bCs/>
          <w:i/>
        </w:rPr>
        <w:t>μ</w:t>
      </w:r>
      <w:r w:rsidRPr="00AD4DE7">
        <w:rPr>
          <w:rFonts w:eastAsia="Arial Unicode MS"/>
          <w:bCs/>
          <w:vertAlign w:val="subscript"/>
        </w:rPr>
        <w:t>i</w:t>
      </w:r>
      <w:proofErr w:type="spellEnd"/>
      <w:r w:rsidRPr="00AD4DE7">
        <w:rPr>
          <w:rFonts w:eastAsia="Arial Unicode MS"/>
          <w:bCs/>
        </w:rPr>
        <w:t xml:space="preserve">, + </w:t>
      </w:r>
      <w:proofErr w:type="spellStart"/>
      <w:r w:rsidRPr="00AD4DE7">
        <w:rPr>
          <w:rFonts w:eastAsia="Arial Unicode MS"/>
          <w:bCs/>
        </w:rPr>
        <w:t>ν</w:t>
      </w:r>
      <w:r w:rsidRPr="00AD4DE7">
        <w:rPr>
          <w:rFonts w:eastAsia="Arial Unicode MS"/>
          <w:bCs/>
          <w:vertAlign w:val="subscript"/>
        </w:rPr>
        <w:t>ij</w:t>
      </w:r>
      <w:proofErr w:type="spellEnd"/>
      <w:r w:rsidRPr="00AD4DE7">
        <w:rPr>
          <w:rFonts w:eastAsia="Arial Unicode MS"/>
          <w:bCs/>
          <w:vertAlign w:val="subscript"/>
        </w:rPr>
        <w:t xml:space="preserve"> </w:t>
      </w:r>
      <w:r w:rsidRPr="00AD4DE7">
        <w:rPr>
          <w:rFonts w:eastAsia="Arial Unicode MS"/>
          <w:bCs/>
        </w:rPr>
        <w:t xml:space="preserve"> + </w:t>
      </w:r>
      <w:proofErr w:type="spellStart"/>
      <w:r w:rsidRPr="00AD4DE7">
        <w:rPr>
          <w:rFonts w:eastAsia="Arial Unicode MS"/>
          <w:bCs/>
        </w:rPr>
        <w:t>ε</w:t>
      </w:r>
      <w:r w:rsidRPr="00AD4DE7">
        <w:rPr>
          <w:rFonts w:eastAsia="Arial Unicode MS"/>
          <w:bCs/>
          <w:vertAlign w:val="subscript"/>
        </w:rPr>
        <w:t>ij</w:t>
      </w:r>
      <w:proofErr w:type="spellEnd"/>
      <w:r w:rsidRPr="00AD4DE7">
        <w:rPr>
          <w:rFonts w:eastAsia="Arial Unicode MS"/>
          <w:bCs/>
          <w:vertAlign w:val="subscript"/>
        </w:rPr>
        <w:tab/>
      </w:r>
      <w:r w:rsidRPr="00CE242E">
        <w:rPr>
          <w:bCs/>
          <w:vertAlign w:val="subscript"/>
        </w:rPr>
        <w:tab/>
      </w:r>
      <w:r w:rsidRPr="00CE242E">
        <w:rPr>
          <w:bCs/>
          <w:vertAlign w:val="subscript"/>
        </w:rPr>
        <w:tab/>
      </w:r>
      <w:r w:rsidRPr="00CE242E">
        <w:rPr>
          <w:bCs/>
          <w:vertAlign w:val="subscript"/>
        </w:rPr>
        <w:tab/>
      </w:r>
      <w:r w:rsidRPr="00CE242E">
        <w:rPr>
          <w:bCs/>
          <w:vertAlign w:val="subscript"/>
        </w:rPr>
        <w:tab/>
      </w:r>
      <w:r>
        <w:rPr>
          <w:bCs/>
          <w:vertAlign w:val="subscript"/>
        </w:rPr>
        <w:tab/>
      </w:r>
      <w:r w:rsidRPr="00CE242E">
        <w:rPr>
          <w:bCs/>
          <w:vertAlign w:val="subscript"/>
        </w:rPr>
        <w:tab/>
      </w:r>
      <w:r w:rsidRPr="00CE242E">
        <w:rPr>
          <w:bCs/>
        </w:rPr>
        <w:t>(4)</w:t>
      </w:r>
    </w:p>
    <w:p w14:paraId="66464E23" w14:textId="77777777" w:rsidR="00EC29C7" w:rsidRPr="00CE242E" w:rsidRDefault="00EC29C7" w:rsidP="00ED59C9">
      <w:pPr>
        <w:spacing w:after="160"/>
        <w:rPr>
          <w:bCs/>
        </w:rPr>
      </w:pPr>
      <w:r w:rsidRPr="00CE242E">
        <w:rPr>
          <w:bCs/>
        </w:rPr>
        <w:t xml:space="preserve">Letting </w:t>
      </w:r>
      <w:r w:rsidRPr="00CE242E">
        <w:rPr>
          <w:bCs/>
          <w:i/>
        </w:rPr>
        <w:t>b</w:t>
      </w:r>
      <w:r w:rsidRPr="00CE242E">
        <w:rPr>
          <w:bCs/>
        </w:rPr>
        <w:t xml:space="preserve"> represent the projection of </w:t>
      </w:r>
      <w:proofErr w:type="spellStart"/>
      <w:r w:rsidRPr="00CE242E">
        <w:rPr>
          <w:bCs/>
          <w:i/>
        </w:rPr>
        <w:t>y</w:t>
      </w:r>
      <w:r w:rsidRPr="00CE242E">
        <w:rPr>
          <w:bCs/>
          <w:vertAlign w:val="subscript"/>
        </w:rPr>
        <w:t>ij</w:t>
      </w:r>
      <w:proofErr w:type="spellEnd"/>
      <w:r w:rsidRPr="00CE242E">
        <w:rPr>
          <w:bCs/>
        </w:rPr>
        <w:t xml:space="preserve"> on </w:t>
      </w:r>
      <w:r w:rsidRPr="00CE242E">
        <w:rPr>
          <w:bCs/>
          <w:i/>
        </w:rPr>
        <w:t>X</w:t>
      </w:r>
      <w:r w:rsidRPr="00CE242E">
        <w:rPr>
          <w:bCs/>
          <w:vertAlign w:val="subscript"/>
        </w:rPr>
        <w:t>i</w:t>
      </w:r>
      <w:r w:rsidRPr="00CE242E">
        <w:rPr>
          <w:bCs/>
        </w:rPr>
        <w:t xml:space="preserve">, </w:t>
      </w:r>
    </w:p>
    <w:p w14:paraId="32308A34" w14:textId="77777777" w:rsidR="00EC29C7" w:rsidRPr="00CE242E" w:rsidRDefault="00EC29C7" w:rsidP="00ED59C9">
      <w:pPr>
        <w:spacing w:after="160"/>
        <w:rPr>
          <w:bCs/>
        </w:rPr>
      </w:pPr>
      <w:r w:rsidRPr="00CE242E">
        <w:rPr>
          <w:bCs/>
        </w:rPr>
        <w:tab/>
      </w:r>
      <w:r w:rsidRPr="00CE242E">
        <w:rPr>
          <w:bCs/>
        </w:rPr>
        <w:tab/>
      </w:r>
      <w:r w:rsidRPr="00AD4DE7">
        <w:rPr>
          <w:rFonts w:eastAsia="Arial Unicode MS"/>
          <w:bCs/>
          <w:i/>
        </w:rPr>
        <w:t>b</w:t>
      </w:r>
      <w:r w:rsidRPr="00AD4DE7">
        <w:rPr>
          <w:rFonts w:eastAsia="Arial Unicode MS"/>
          <w:bCs/>
        </w:rPr>
        <w:t xml:space="preserve"> = (</w:t>
      </w:r>
      <w:proofErr w:type="spellStart"/>
      <w:r w:rsidRPr="00AD4DE7">
        <w:rPr>
          <w:rFonts w:eastAsia="Arial Unicode MS"/>
          <w:bCs/>
          <w:i/>
        </w:rPr>
        <w:t>X</w:t>
      </w:r>
      <w:r w:rsidRPr="00AD4DE7">
        <w:rPr>
          <w:rFonts w:eastAsia="Arial Unicode MS"/>
          <w:bCs/>
          <w:i/>
          <w:vertAlign w:val="subscript"/>
        </w:rPr>
        <w:t>i</w:t>
      </w:r>
      <w:r w:rsidRPr="00AD4DE7">
        <w:rPr>
          <w:rFonts w:eastAsia="Arial Unicode MS"/>
          <w:bCs/>
          <w:i/>
        </w:rPr>
        <w:t>’X</w:t>
      </w:r>
      <w:r w:rsidRPr="00AD4DE7">
        <w:rPr>
          <w:rFonts w:eastAsia="Arial Unicode MS"/>
          <w:bCs/>
          <w:i/>
          <w:vertAlign w:val="subscript"/>
        </w:rPr>
        <w:t>i</w:t>
      </w:r>
      <w:proofErr w:type="spellEnd"/>
      <w:r w:rsidRPr="00AD4DE7">
        <w:rPr>
          <w:rFonts w:eastAsia="Arial Unicode MS"/>
          <w:bCs/>
        </w:rPr>
        <w:t>)</w:t>
      </w:r>
      <w:r w:rsidRPr="00AD4DE7">
        <w:rPr>
          <w:rFonts w:eastAsia="Arial Unicode MS"/>
          <w:bCs/>
          <w:vertAlign w:val="superscript"/>
        </w:rPr>
        <w:t>-1</w:t>
      </w:r>
      <w:r w:rsidRPr="00AD4DE7">
        <w:rPr>
          <w:rFonts w:eastAsia="Arial Unicode MS"/>
          <w:bCs/>
          <w:i/>
        </w:rPr>
        <w:t>X</w:t>
      </w:r>
      <w:r w:rsidRPr="00AD4DE7">
        <w:rPr>
          <w:rFonts w:eastAsia="Arial Unicode MS"/>
          <w:bCs/>
          <w:i/>
          <w:vertAlign w:val="subscript"/>
        </w:rPr>
        <w:t>i</w:t>
      </w:r>
      <w:r w:rsidRPr="00AD4DE7">
        <w:rPr>
          <w:rFonts w:eastAsia="Arial Unicode MS"/>
          <w:bCs/>
          <w:i/>
        </w:rPr>
        <w:t>’y</w:t>
      </w:r>
      <w:r w:rsidRPr="00AD4DE7">
        <w:rPr>
          <w:rFonts w:eastAsia="Arial Unicode MS"/>
          <w:bCs/>
          <w:vertAlign w:val="subscript"/>
        </w:rPr>
        <w:t>ij</w:t>
      </w:r>
      <w:r w:rsidRPr="00AD4DE7">
        <w:rPr>
          <w:rFonts w:eastAsia="Arial Unicode MS"/>
          <w:bCs/>
          <w:i/>
        </w:rPr>
        <w:t xml:space="preserve"> </w:t>
      </w:r>
      <w:r w:rsidRPr="00AD4DE7">
        <w:rPr>
          <w:rFonts w:eastAsia="Arial Unicode MS"/>
          <w:bCs/>
        </w:rPr>
        <w:t>= (</w:t>
      </w:r>
      <w:proofErr w:type="spellStart"/>
      <w:r w:rsidRPr="00AD4DE7">
        <w:rPr>
          <w:rFonts w:eastAsia="Arial Unicode MS"/>
          <w:bCs/>
          <w:i/>
        </w:rPr>
        <w:t>X</w:t>
      </w:r>
      <w:r w:rsidRPr="00AD4DE7">
        <w:rPr>
          <w:rFonts w:eastAsia="Arial Unicode MS"/>
          <w:bCs/>
          <w:vertAlign w:val="subscript"/>
        </w:rPr>
        <w:t>i</w:t>
      </w:r>
      <w:r w:rsidRPr="00AD4DE7">
        <w:rPr>
          <w:rFonts w:eastAsia="Arial Unicode MS"/>
          <w:bCs/>
          <w:i/>
        </w:rPr>
        <w:t>’X</w:t>
      </w:r>
      <w:r w:rsidRPr="00AD4DE7">
        <w:rPr>
          <w:rFonts w:eastAsia="Arial Unicode MS"/>
          <w:bCs/>
          <w:vertAlign w:val="subscript"/>
        </w:rPr>
        <w:t>i</w:t>
      </w:r>
      <w:proofErr w:type="spellEnd"/>
      <w:r w:rsidRPr="00AD4DE7">
        <w:rPr>
          <w:rFonts w:eastAsia="Arial Unicode MS"/>
          <w:bCs/>
        </w:rPr>
        <w:t>)</w:t>
      </w:r>
      <w:r w:rsidRPr="00AD4DE7">
        <w:rPr>
          <w:rFonts w:eastAsia="Arial Unicode MS"/>
          <w:bCs/>
          <w:vertAlign w:val="superscript"/>
        </w:rPr>
        <w:t>-1</w:t>
      </w:r>
      <w:r w:rsidRPr="00AD4DE7">
        <w:rPr>
          <w:rFonts w:eastAsia="Arial Unicode MS"/>
          <w:bCs/>
          <w:i/>
        </w:rPr>
        <w:t>X</w:t>
      </w:r>
      <w:r w:rsidRPr="00AD4DE7">
        <w:rPr>
          <w:rFonts w:eastAsia="Arial Unicode MS"/>
          <w:bCs/>
          <w:vertAlign w:val="subscript"/>
        </w:rPr>
        <w:t>i</w:t>
      </w:r>
      <w:r w:rsidRPr="00AD4DE7">
        <w:rPr>
          <w:rFonts w:eastAsia="Arial Unicode MS"/>
          <w:bCs/>
          <w:i/>
        </w:rPr>
        <w:t>’</w:t>
      </w:r>
      <w:r w:rsidRPr="00AD4DE7">
        <w:rPr>
          <w:rFonts w:eastAsia="Arial Unicode MS"/>
          <w:bCs/>
        </w:rPr>
        <w:t>(</w:t>
      </w:r>
      <w:r w:rsidRPr="00AD4DE7">
        <w:rPr>
          <w:rFonts w:eastAsia="Arial Unicode MS"/>
          <w:bCs/>
          <w:i/>
        </w:rPr>
        <w:t>X</w:t>
      </w:r>
      <w:r w:rsidRPr="00AD4DE7">
        <w:rPr>
          <w:rFonts w:eastAsia="Arial Unicode MS"/>
          <w:bCs/>
          <w:vertAlign w:val="subscript"/>
        </w:rPr>
        <w:t>i</w:t>
      </w:r>
      <w:r w:rsidRPr="00AD4DE7">
        <w:rPr>
          <w:rFonts w:eastAsia="Arial Unicode MS"/>
          <w:bCs/>
        </w:rPr>
        <w:t xml:space="preserve">’β + </w:t>
      </w:r>
      <w:proofErr w:type="spellStart"/>
      <w:r w:rsidRPr="00AD4DE7">
        <w:rPr>
          <w:rFonts w:eastAsia="Arial Unicode MS"/>
          <w:bCs/>
          <w:i/>
        </w:rPr>
        <w:t>μ</w:t>
      </w:r>
      <w:r w:rsidRPr="00AD4DE7">
        <w:rPr>
          <w:rFonts w:eastAsia="Arial Unicode MS"/>
          <w:bCs/>
          <w:vertAlign w:val="subscript"/>
        </w:rPr>
        <w:t>i</w:t>
      </w:r>
      <w:proofErr w:type="spellEnd"/>
      <w:r w:rsidRPr="00AD4DE7">
        <w:rPr>
          <w:rFonts w:eastAsia="Arial Unicode MS"/>
          <w:bCs/>
        </w:rPr>
        <w:t xml:space="preserve">,+ </w:t>
      </w:r>
      <w:proofErr w:type="spellStart"/>
      <w:r w:rsidRPr="00AD4DE7">
        <w:rPr>
          <w:rFonts w:eastAsia="Arial Unicode MS"/>
          <w:bCs/>
        </w:rPr>
        <w:t>ν</w:t>
      </w:r>
      <w:r w:rsidRPr="00AD4DE7">
        <w:rPr>
          <w:rFonts w:eastAsia="Arial Unicode MS"/>
          <w:bCs/>
          <w:vertAlign w:val="subscript"/>
        </w:rPr>
        <w:t>ij</w:t>
      </w:r>
      <w:proofErr w:type="spellEnd"/>
      <w:r w:rsidRPr="00AD4DE7">
        <w:rPr>
          <w:rFonts w:eastAsia="Arial Unicode MS"/>
          <w:bCs/>
          <w:vertAlign w:val="subscript"/>
        </w:rPr>
        <w:t xml:space="preserve"> </w:t>
      </w:r>
      <w:r w:rsidRPr="00AD4DE7">
        <w:rPr>
          <w:rFonts w:eastAsia="Arial Unicode MS"/>
          <w:bCs/>
        </w:rPr>
        <w:t xml:space="preserve"> + </w:t>
      </w:r>
      <w:proofErr w:type="spellStart"/>
      <w:r w:rsidRPr="00AD4DE7">
        <w:rPr>
          <w:rFonts w:eastAsia="Arial Unicode MS"/>
          <w:bCs/>
        </w:rPr>
        <w:t>ε</w:t>
      </w:r>
      <w:r w:rsidRPr="00AD4DE7">
        <w:rPr>
          <w:rFonts w:eastAsia="Arial Unicode MS"/>
          <w:bCs/>
          <w:vertAlign w:val="subscript"/>
        </w:rPr>
        <w:t>ij</w:t>
      </w:r>
      <w:proofErr w:type="spellEnd"/>
      <w:r w:rsidRPr="00AD4DE7">
        <w:rPr>
          <w:rFonts w:eastAsia="Arial Unicode MS"/>
          <w:bCs/>
        </w:rPr>
        <w:t>)</w:t>
      </w:r>
      <w:r w:rsidRPr="00AD4DE7">
        <w:rPr>
          <w:rFonts w:eastAsia="Arial Unicode MS"/>
          <w:bCs/>
        </w:rPr>
        <w:tab/>
      </w:r>
      <w:r w:rsidRPr="00AD4DE7">
        <w:rPr>
          <w:rFonts w:eastAsia="Arial Unicode MS"/>
          <w:bCs/>
        </w:rPr>
        <w:tab/>
      </w:r>
      <w:r>
        <w:rPr>
          <w:bCs/>
        </w:rPr>
        <w:tab/>
      </w:r>
      <w:r>
        <w:rPr>
          <w:bCs/>
        </w:rPr>
        <w:tab/>
      </w:r>
      <w:r w:rsidRPr="00CE242E">
        <w:rPr>
          <w:bCs/>
        </w:rPr>
        <w:t>(5)</w:t>
      </w:r>
    </w:p>
    <w:p w14:paraId="0B32BF8A" w14:textId="77777777" w:rsidR="00EC29C7" w:rsidRPr="00CE242E" w:rsidRDefault="00EC29C7" w:rsidP="00ED59C9">
      <w:pPr>
        <w:spacing w:after="160"/>
        <w:rPr>
          <w:bCs/>
        </w:rPr>
      </w:pPr>
      <w:r w:rsidRPr="00CE242E">
        <w:rPr>
          <w:bCs/>
        </w:rPr>
        <w:t xml:space="preserve">Given the assumptions we have made about μ and ε, </w:t>
      </w:r>
    </w:p>
    <w:p w14:paraId="34EAD206" w14:textId="77777777" w:rsidR="00EC29C7" w:rsidRPr="00CE242E" w:rsidRDefault="00EC29C7" w:rsidP="00ED59C9">
      <w:pPr>
        <w:spacing w:after="160"/>
        <w:rPr>
          <w:bCs/>
        </w:rPr>
      </w:pPr>
      <w:r w:rsidRPr="00CE242E">
        <w:rPr>
          <w:bCs/>
        </w:rPr>
        <w:tab/>
      </w:r>
      <w:r w:rsidRPr="00CE242E">
        <w:rPr>
          <w:bCs/>
        </w:rPr>
        <w:tab/>
      </w:r>
      <w:r w:rsidRPr="00AD4DE7">
        <w:rPr>
          <w:rFonts w:eastAsia="Arial Unicode MS"/>
          <w:bCs/>
        </w:rPr>
        <w:t>E(</w:t>
      </w:r>
      <w:r w:rsidRPr="00AD4DE7">
        <w:rPr>
          <w:rFonts w:eastAsia="Arial Unicode MS"/>
          <w:bCs/>
          <w:i/>
        </w:rPr>
        <w:t>b</w:t>
      </w:r>
      <w:r w:rsidRPr="00AD4DE7">
        <w:rPr>
          <w:rFonts w:eastAsia="Arial Unicode MS"/>
          <w:bCs/>
        </w:rPr>
        <w:t>)  = β + (</w:t>
      </w:r>
      <w:proofErr w:type="spellStart"/>
      <w:r w:rsidRPr="00AD4DE7">
        <w:rPr>
          <w:rFonts w:eastAsia="Arial Unicode MS"/>
          <w:bCs/>
          <w:i/>
        </w:rPr>
        <w:t>X</w:t>
      </w:r>
      <w:r w:rsidRPr="00AD4DE7">
        <w:rPr>
          <w:rFonts w:eastAsia="Arial Unicode MS"/>
          <w:bCs/>
          <w:vertAlign w:val="subscript"/>
        </w:rPr>
        <w:t>i</w:t>
      </w:r>
      <w:r w:rsidRPr="00AD4DE7">
        <w:rPr>
          <w:rFonts w:eastAsia="Arial Unicode MS"/>
          <w:bCs/>
          <w:i/>
        </w:rPr>
        <w:t>’X</w:t>
      </w:r>
      <w:r w:rsidRPr="00AD4DE7">
        <w:rPr>
          <w:rFonts w:eastAsia="Arial Unicode MS"/>
          <w:bCs/>
          <w:vertAlign w:val="subscript"/>
        </w:rPr>
        <w:t>i</w:t>
      </w:r>
      <w:proofErr w:type="spellEnd"/>
      <w:r w:rsidRPr="00AD4DE7">
        <w:rPr>
          <w:rFonts w:eastAsia="Arial Unicode MS"/>
          <w:bCs/>
        </w:rPr>
        <w:t>)</w:t>
      </w:r>
      <w:r w:rsidRPr="00AD4DE7">
        <w:rPr>
          <w:rFonts w:eastAsia="Arial Unicode MS"/>
          <w:bCs/>
          <w:vertAlign w:val="superscript"/>
        </w:rPr>
        <w:t>-1</w:t>
      </w:r>
      <w:r w:rsidRPr="00AD4DE7">
        <w:rPr>
          <w:rFonts w:eastAsia="Arial Unicode MS"/>
          <w:bCs/>
          <w:i/>
        </w:rPr>
        <w:t>X</w:t>
      </w:r>
      <w:r w:rsidRPr="00AD4DE7">
        <w:rPr>
          <w:rFonts w:eastAsia="Arial Unicode MS"/>
          <w:bCs/>
          <w:vertAlign w:val="subscript"/>
        </w:rPr>
        <w:t>i</w:t>
      </w:r>
      <w:r w:rsidRPr="00AD4DE7">
        <w:rPr>
          <w:rFonts w:eastAsia="Arial Unicode MS"/>
          <w:bCs/>
          <w:i/>
        </w:rPr>
        <w:t>’</w:t>
      </w:r>
      <w:r w:rsidRPr="00AD4DE7">
        <w:rPr>
          <w:rFonts w:eastAsia="Arial Unicode MS"/>
          <w:bCs/>
        </w:rPr>
        <w:t xml:space="preserve"> </w:t>
      </w:r>
      <w:proofErr w:type="spellStart"/>
      <w:r w:rsidRPr="00AD4DE7">
        <w:rPr>
          <w:rFonts w:eastAsia="Arial Unicode MS"/>
          <w:bCs/>
        </w:rPr>
        <w:t>ν</w:t>
      </w:r>
      <w:r w:rsidRPr="00AD4DE7">
        <w:rPr>
          <w:rFonts w:eastAsia="Arial Unicode MS"/>
          <w:bCs/>
          <w:vertAlign w:val="subscript"/>
        </w:rPr>
        <w:t>ij</w:t>
      </w:r>
      <w:proofErr w:type="spellEnd"/>
      <w:r w:rsidRPr="00AD4DE7">
        <w:rPr>
          <w:rFonts w:eastAsia="Arial Unicode MS"/>
          <w:bCs/>
          <w:vertAlign w:val="subscript"/>
        </w:rPr>
        <w:t xml:space="preserve"> </w:t>
      </w:r>
      <w:r w:rsidRPr="00AD4DE7">
        <w:rPr>
          <w:rFonts w:eastAsia="Arial Unicode MS"/>
          <w:bCs/>
        </w:rPr>
        <w:t>.</w:t>
      </w:r>
      <w:r w:rsidRPr="00AD4DE7">
        <w:rPr>
          <w:rFonts w:eastAsia="Arial Unicode MS"/>
          <w:bCs/>
        </w:rPr>
        <w:tab/>
      </w:r>
      <w:r w:rsidRPr="00CE242E">
        <w:rPr>
          <w:bCs/>
        </w:rPr>
        <w:tab/>
      </w:r>
      <w:r w:rsidRPr="00CE242E">
        <w:rPr>
          <w:bCs/>
        </w:rPr>
        <w:tab/>
      </w:r>
      <w:r w:rsidRPr="00CE242E">
        <w:rPr>
          <w:bCs/>
        </w:rPr>
        <w:tab/>
      </w:r>
      <w:r w:rsidRPr="00CE242E">
        <w:rPr>
          <w:bCs/>
        </w:rPr>
        <w:tab/>
      </w:r>
      <w:r w:rsidRPr="00CE242E">
        <w:rPr>
          <w:bCs/>
        </w:rPr>
        <w:tab/>
      </w:r>
      <w:r>
        <w:rPr>
          <w:bCs/>
        </w:rPr>
        <w:tab/>
      </w:r>
      <w:r w:rsidRPr="00CE242E">
        <w:rPr>
          <w:bCs/>
        </w:rPr>
        <w:t>(6)</w:t>
      </w:r>
    </w:p>
    <w:p w14:paraId="2F87EF32" w14:textId="7D5A8F57" w:rsidR="00EC29C7" w:rsidRPr="00CE242E" w:rsidRDefault="00EC29C7" w:rsidP="00ED59C9">
      <w:pPr>
        <w:spacing w:after="160"/>
        <w:rPr>
          <w:bCs/>
        </w:rPr>
      </w:pPr>
      <w:r w:rsidRPr="00CE242E">
        <w:rPr>
          <w:bCs/>
        </w:rPr>
        <w:t xml:space="preserve">If, as researchers have presumed, ν is “random noise” and independent of </w:t>
      </w:r>
      <w:r w:rsidRPr="00CE242E">
        <w:rPr>
          <w:bCs/>
          <w:i/>
        </w:rPr>
        <w:t>X</w:t>
      </w:r>
      <w:r w:rsidR="002E6045">
        <w:rPr>
          <w:bCs/>
        </w:rPr>
        <w:t>, then OLS</w:t>
      </w:r>
      <w:r w:rsidRPr="00CE242E">
        <w:rPr>
          <w:bCs/>
        </w:rPr>
        <w:t xml:space="preserve"> estimates of </w:t>
      </w:r>
      <w:r w:rsidRPr="00CE242E">
        <w:rPr>
          <w:bCs/>
          <w:i/>
        </w:rPr>
        <w:t>b</w:t>
      </w:r>
      <w:r w:rsidRPr="00CE242E">
        <w:rPr>
          <w:bCs/>
        </w:rPr>
        <w:t xml:space="preserve"> represent unbiased estimates of β.  However, if there is a systematic component to ν, with the implication that </w:t>
      </w:r>
      <w:r w:rsidRPr="00CE242E">
        <w:rPr>
          <w:bCs/>
          <w:i/>
        </w:rPr>
        <w:t>E</w:t>
      </w:r>
      <w:r w:rsidRPr="00CE242E">
        <w:rPr>
          <w:bCs/>
        </w:rPr>
        <w:t>(</w:t>
      </w:r>
      <w:proofErr w:type="spellStart"/>
      <w:r w:rsidRPr="00CE242E">
        <w:rPr>
          <w:bCs/>
        </w:rPr>
        <w:t>ν</w:t>
      </w:r>
      <w:r w:rsidRPr="00CE242E">
        <w:rPr>
          <w:bCs/>
          <w:vertAlign w:val="subscript"/>
        </w:rPr>
        <w:t>i</w:t>
      </w:r>
      <w:r w:rsidRPr="00CE242E">
        <w:rPr>
          <w:bCs/>
        </w:rPr>
        <w:t>|</w:t>
      </w:r>
      <w:r w:rsidRPr="00CE242E">
        <w:rPr>
          <w:bCs/>
          <w:i/>
        </w:rPr>
        <w:t>X</w:t>
      </w:r>
      <w:r w:rsidRPr="00CE242E">
        <w:rPr>
          <w:bCs/>
          <w:vertAlign w:val="subscript"/>
        </w:rPr>
        <w:t>i</w:t>
      </w:r>
      <w:proofErr w:type="spellEnd"/>
      <w:r w:rsidRPr="00CE242E">
        <w:rPr>
          <w:bCs/>
        </w:rPr>
        <w:t xml:space="preserve">) ≠ 0, then </w:t>
      </w:r>
      <w:r w:rsidRPr="00CE242E">
        <w:rPr>
          <w:bCs/>
          <w:i/>
        </w:rPr>
        <w:t>b</w:t>
      </w:r>
      <w:r w:rsidRPr="00CE242E">
        <w:rPr>
          <w:bCs/>
        </w:rPr>
        <w:t xml:space="preserve"> will be biased.   We cannot test </w:t>
      </w:r>
      <w:r w:rsidRPr="00CE242E">
        <w:rPr>
          <w:bCs/>
          <w:i/>
        </w:rPr>
        <w:t>E</w:t>
      </w:r>
      <w:r w:rsidRPr="00CE242E">
        <w:rPr>
          <w:bCs/>
        </w:rPr>
        <w:t>(</w:t>
      </w:r>
      <w:proofErr w:type="spellStart"/>
      <w:r w:rsidRPr="00CE242E">
        <w:rPr>
          <w:bCs/>
        </w:rPr>
        <w:t>ν</w:t>
      </w:r>
      <w:r w:rsidRPr="00CE242E">
        <w:rPr>
          <w:bCs/>
          <w:vertAlign w:val="subscript"/>
        </w:rPr>
        <w:t>i</w:t>
      </w:r>
      <w:r w:rsidRPr="00CE242E">
        <w:rPr>
          <w:bCs/>
        </w:rPr>
        <w:t>|</w:t>
      </w:r>
      <w:r w:rsidRPr="00CE242E">
        <w:rPr>
          <w:bCs/>
          <w:i/>
        </w:rPr>
        <w:t>X</w:t>
      </w:r>
      <w:r w:rsidRPr="00CE242E">
        <w:rPr>
          <w:bCs/>
          <w:vertAlign w:val="subscript"/>
        </w:rPr>
        <w:t>i</w:t>
      </w:r>
      <w:proofErr w:type="spellEnd"/>
      <w:r w:rsidRPr="00CE242E">
        <w:rPr>
          <w:bCs/>
        </w:rPr>
        <w:t xml:space="preserve">) = 0 directly.  However, we can compare estimates of </w:t>
      </w:r>
      <w:r w:rsidRPr="00CE242E">
        <w:rPr>
          <w:bCs/>
          <w:i/>
        </w:rPr>
        <w:t>b</w:t>
      </w:r>
      <w:r w:rsidRPr="00CE242E">
        <w:rPr>
          <w:bCs/>
        </w:rPr>
        <w:t xml:space="preserve"> across specimen types.   If </w:t>
      </w:r>
      <w:r w:rsidRPr="00CE242E">
        <w:rPr>
          <w:bCs/>
          <w:i/>
        </w:rPr>
        <w:t>E</w:t>
      </w:r>
      <w:r w:rsidRPr="00CE242E">
        <w:rPr>
          <w:bCs/>
        </w:rPr>
        <w:t>(</w:t>
      </w:r>
      <w:proofErr w:type="spellStart"/>
      <w:r w:rsidRPr="00CE242E">
        <w:rPr>
          <w:bCs/>
        </w:rPr>
        <w:t>ν</w:t>
      </w:r>
      <w:r w:rsidRPr="00CE242E">
        <w:rPr>
          <w:bCs/>
          <w:vertAlign w:val="subscript"/>
        </w:rPr>
        <w:t>i</w:t>
      </w:r>
      <w:r w:rsidRPr="00CE242E">
        <w:rPr>
          <w:bCs/>
        </w:rPr>
        <w:t>|</w:t>
      </w:r>
      <w:r w:rsidRPr="00CE242E">
        <w:rPr>
          <w:bCs/>
          <w:i/>
        </w:rPr>
        <w:t>X</w:t>
      </w:r>
      <w:r w:rsidRPr="00CE242E">
        <w:rPr>
          <w:bCs/>
          <w:vertAlign w:val="subscript"/>
        </w:rPr>
        <w:t>i</w:t>
      </w:r>
      <w:proofErr w:type="spellEnd"/>
      <w:r w:rsidRPr="00CE242E">
        <w:rPr>
          <w:bCs/>
        </w:rPr>
        <w:t xml:space="preserve">) = 0 for all specimen types then estimates of </w:t>
      </w:r>
      <w:r w:rsidRPr="00CE242E">
        <w:rPr>
          <w:bCs/>
          <w:i/>
        </w:rPr>
        <w:t xml:space="preserve">b </w:t>
      </w:r>
      <w:r w:rsidRPr="00CE242E">
        <w:rPr>
          <w:bCs/>
        </w:rPr>
        <w:t xml:space="preserve">should not vary </w:t>
      </w:r>
      <w:r>
        <w:rPr>
          <w:bCs/>
        </w:rPr>
        <w:t xml:space="preserve">significantly </w:t>
      </w:r>
      <w:r w:rsidRPr="00CE242E">
        <w:rPr>
          <w:bCs/>
        </w:rPr>
        <w:t xml:space="preserve">across specimen types.  If, on the other hand, estimates of </w:t>
      </w:r>
      <w:r w:rsidRPr="00CE242E">
        <w:rPr>
          <w:bCs/>
          <w:i/>
        </w:rPr>
        <w:t>b</w:t>
      </w:r>
      <w:r w:rsidRPr="00CE242E">
        <w:rPr>
          <w:bCs/>
        </w:rPr>
        <w:t xml:space="preserve"> vary</w:t>
      </w:r>
      <w:r>
        <w:rPr>
          <w:bCs/>
        </w:rPr>
        <w:t xml:space="preserve"> sign</w:t>
      </w:r>
      <w:r w:rsidR="007021CE">
        <w:rPr>
          <w:bCs/>
        </w:rPr>
        <w:t>ific</w:t>
      </w:r>
      <w:r>
        <w:rPr>
          <w:bCs/>
        </w:rPr>
        <w:t>antly</w:t>
      </w:r>
      <w:r w:rsidRPr="00CE242E">
        <w:rPr>
          <w:bCs/>
        </w:rPr>
        <w:t xml:space="preserve">, this suggest that </w:t>
      </w:r>
      <w:r w:rsidRPr="00CE242E">
        <w:rPr>
          <w:bCs/>
          <w:i/>
        </w:rPr>
        <w:t>E</w:t>
      </w:r>
      <w:r w:rsidRPr="00CE242E">
        <w:rPr>
          <w:bCs/>
        </w:rPr>
        <w:t>(</w:t>
      </w:r>
      <w:proofErr w:type="spellStart"/>
      <w:r w:rsidRPr="00CE242E">
        <w:rPr>
          <w:bCs/>
        </w:rPr>
        <w:t>ν</w:t>
      </w:r>
      <w:r w:rsidRPr="00CE242E">
        <w:rPr>
          <w:bCs/>
          <w:vertAlign w:val="subscript"/>
        </w:rPr>
        <w:t>i</w:t>
      </w:r>
      <w:r w:rsidRPr="00CE242E">
        <w:rPr>
          <w:bCs/>
        </w:rPr>
        <w:t>|</w:t>
      </w:r>
      <w:r w:rsidRPr="00CE242E">
        <w:rPr>
          <w:bCs/>
          <w:i/>
        </w:rPr>
        <w:t>X</w:t>
      </w:r>
      <w:r w:rsidRPr="00CE242E">
        <w:rPr>
          <w:bCs/>
          <w:vertAlign w:val="subscript"/>
        </w:rPr>
        <w:t>i</w:t>
      </w:r>
      <w:proofErr w:type="spellEnd"/>
      <w:r w:rsidRPr="00CE242E">
        <w:rPr>
          <w:bCs/>
        </w:rPr>
        <w:t xml:space="preserve">) ≠ 0 for at least some specimen types.  </w:t>
      </w:r>
    </w:p>
    <w:p w14:paraId="6D1C0D5C" w14:textId="58B8B410" w:rsidR="00B40BAA" w:rsidRDefault="00EC29C7" w:rsidP="00ED59C9">
      <w:pPr>
        <w:spacing w:after="160"/>
        <w:rPr>
          <w:bCs/>
        </w:rPr>
      </w:pPr>
      <w:r w:rsidRPr="00CE242E">
        <w:rPr>
          <w:bCs/>
        </w:rPr>
        <w:tab/>
        <w:t xml:space="preserve">With this framework in mind, we regressed our ln(TL) measures on the age of our respondents, dummies representing their race and ethnicity, their educational attainment and a location dummy (Ann Arbor vs Detroit).   Since our samples are convenience samples and do not follow individuals over time, one cannot interpret the coefficients as reflecting cross group differences for anything but this sample.   However, </w:t>
      </w:r>
      <w:r>
        <w:rPr>
          <w:bCs/>
        </w:rPr>
        <w:t xml:space="preserve">if TL measures based on the different tissues are all valid measures of biological age (in our model if </w:t>
      </w:r>
      <w:r w:rsidRPr="00CE242E">
        <w:rPr>
          <w:bCs/>
          <w:i/>
        </w:rPr>
        <w:t>E</w:t>
      </w:r>
      <w:r w:rsidRPr="00CE242E">
        <w:rPr>
          <w:bCs/>
        </w:rPr>
        <w:t>(</w:t>
      </w:r>
      <w:proofErr w:type="spellStart"/>
      <w:r w:rsidRPr="00CE242E">
        <w:rPr>
          <w:bCs/>
        </w:rPr>
        <w:t>ν</w:t>
      </w:r>
      <w:r w:rsidRPr="00CE242E">
        <w:rPr>
          <w:bCs/>
          <w:vertAlign w:val="subscript"/>
        </w:rPr>
        <w:t>i</w:t>
      </w:r>
      <w:r w:rsidRPr="00CE242E">
        <w:rPr>
          <w:bCs/>
        </w:rPr>
        <w:t>|</w:t>
      </w:r>
      <w:r w:rsidRPr="00CE242E">
        <w:rPr>
          <w:bCs/>
          <w:i/>
        </w:rPr>
        <w:t>X</w:t>
      </w:r>
      <w:r w:rsidRPr="00CE242E">
        <w:rPr>
          <w:bCs/>
          <w:vertAlign w:val="subscript"/>
        </w:rPr>
        <w:t>i</w:t>
      </w:r>
      <w:proofErr w:type="spellEnd"/>
      <w:r>
        <w:rPr>
          <w:bCs/>
        </w:rPr>
        <w:t>) =</w:t>
      </w:r>
      <w:r w:rsidRPr="00CE242E">
        <w:rPr>
          <w:bCs/>
        </w:rPr>
        <w:t xml:space="preserve"> 0</w:t>
      </w:r>
      <w:r>
        <w:rPr>
          <w:bCs/>
        </w:rPr>
        <w:t xml:space="preserve">) </w:t>
      </w:r>
      <w:r w:rsidRPr="00CE242E">
        <w:rPr>
          <w:bCs/>
        </w:rPr>
        <w:t>we would expect the association between age</w:t>
      </w:r>
      <w:r>
        <w:rPr>
          <w:bCs/>
        </w:rPr>
        <w:t>, race, place or education</w:t>
      </w:r>
      <w:r w:rsidRPr="00CE242E">
        <w:rPr>
          <w:bCs/>
        </w:rPr>
        <w:t xml:space="preserve"> and TL</w:t>
      </w:r>
      <w:r>
        <w:rPr>
          <w:bCs/>
        </w:rPr>
        <w:t xml:space="preserve"> </w:t>
      </w:r>
      <w:r w:rsidRPr="00CE242E">
        <w:rPr>
          <w:bCs/>
        </w:rPr>
        <w:t xml:space="preserve">to be the same across these different specimens </w:t>
      </w:r>
      <w:r w:rsidRPr="00D91A04">
        <w:rPr>
          <w:bCs/>
          <w:color w:val="000000" w:themeColor="text1"/>
        </w:rPr>
        <w:t xml:space="preserve">within the precision of the assay. </w:t>
      </w:r>
      <w:r w:rsidRPr="00CE242E">
        <w:rPr>
          <w:bCs/>
        </w:rPr>
        <w:t xml:space="preserve">  </w:t>
      </w:r>
    </w:p>
    <w:p w14:paraId="68396A7F" w14:textId="77777777" w:rsidR="00B40BAA" w:rsidRPr="003266B0" w:rsidRDefault="00B40BAA" w:rsidP="003266B0">
      <w:pPr>
        <w:spacing w:after="160" w:line="259" w:lineRule="auto"/>
        <w:rPr>
          <w:b/>
          <w:bCs/>
          <w:i/>
        </w:rPr>
      </w:pPr>
      <w:r w:rsidRPr="003266B0">
        <w:rPr>
          <w:b/>
          <w:bCs/>
          <w:i/>
        </w:rPr>
        <w:t>Reliability of Measures</w:t>
      </w:r>
    </w:p>
    <w:p w14:paraId="7DB76F83" w14:textId="06830CBA" w:rsidR="00B40BAA" w:rsidRPr="00EA60F0" w:rsidRDefault="00B40BAA" w:rsidP="00DA29E3">
      <w:pPr>
        <w:spacing w:after="160" w:line="259" w:lineRule="auto"/>
        <w:rPr>
          <w:bCs/>
        </w:rPr>
      </w:pPr>
      <w:r w:rsidRPr="00EA60F0">
        <w:rPr>
          <w:bCs/>
        </w:rPr>
        <w:t>TL was measured in DNA extracted from three the distinct specimen types: fresh blood (PBMC), dried blood spot (DBS), and saliva. Telomere and 36B4 quantities were interpolated from the standard curve generated from the reference fragments of known length. All samples were divided into three te</w:t>
      </w:r>
      <w:r w:rsidR="007021CE">
        <w:rPr>
          <w:bCs/>
        </w:rPr>
        <w:t xml:space="preserve">chnical replicates, </w:t>
      </w:r>
      <w:r w:rsidRPr="00EA60F0">
        <w:rPr>
          <w:bCs/>
        </w:rPr>
        <w:t xml:space="preserve"> which were averaged in the following formula:</w:t>
      </w:r>
    </w:p>
    <w:p w14:paraId="013DEB95" w14:textId="77777777" w:rsidR="00B40BAA" w:rsidRPr="00EA60F0" w:rsidRDefault="00B40BAA" w:rsidP="00B40BAA">
      <w:pPr>
        <w:spacing w:after="160" w:line="259" w:lineRule="auto"/>
        <w:rPr>
          <w:bCs/>
        </w:rPr>
      </w:pPr>
      <w:r w:rsidRPr="00854B59">
        <w:rPr>
          <w:rFonts w:ascii="Arial Unicode MS" w:eastAsia="Arial Unicode MS" w:hAnsi="Arial Unicode MS" w:cs="Arial Unicode MS"/>
          <w:bCs/>
        </w:rPr>
        <w:lastRenderedPageBreak/>
        <w:t>ln(TL) = [(Avg. ln(Tel qty) – ln(Tel normalization factor))] – [(Avg. ln(36B4 Qty)) – ln(36B4 normalization factor))] – ln(92)</w:t>
      </w:r>
      <w:r w:rsidRPr="00854B59">
        <w:rPr>
          <w:rFonts w:ascii="Arial Unicode MS" w:eastAsia="Arial Unicode MS" w:hAnsi="Arial Unicode MS" w:cs="Arial Unicode MS"/>
          <w:bCs/>
        </w:rPr>
        <w:tab/>
      </w:r>
      <w:r w:rsidRPr="00EA60F0">
        <w:rPr>
          <w:bCs/>
        </w:rPr>
        <w:tab/>
      </w:r>
      <w:r w:rsidRPr="00EA60F0">
        <w:rPr>
          <w:bCs/>
        </w:rPr>
        <w:tab/>
      </w:r>
      <w:r w:rsidRPr="00EA60F0">
        <w:rPr>
          <w:bCs/>
        </w:rPr>
        <w:tab/>
      </w:r>
      <w:r w:rsidRPr="00EA60F0">
        <w:rPr>
          <w:bCs/>
        </w:rPr>
        <w:tab/>
      </w:r>
      <w:r w:rsidRPr="00EA60F0">
        <w:rPr>
          <w:bCs/>
        </w:rPr>
        <w:tab/>
      </w:r>
      <w:r w:rsidRPr="00EA60F0">
        <w:rPr>
          <w:bCs/>
        </w:rPr>
        <w:tab/>
      </w:r>
      <w:r w:rsidRPr="00EA60F0">
        <w:rPr>
          <w:bCs/>
        </w:rPr>
        <w:tab/>
        <w:t>(1)</w:t>
      </w:r>
    </w:p>
    <w:p w14:paraId="3F835153" w14:textId="77777777" w:rsidR="00B40BAA" w:rsidRPr="00EA60F0" w:rsidRDefault="00B40BAA" w:rsidP="00DA29E3">
      <w:pPr>
        <w:spacing w:line="259" w:lineRule="auto"/>
        <w:rPr>
          <w:bCs/>
        </w:rPr>
      </w:pPr>
      <w:r w:rsidRPr="00EA60F0">
        <w:rPr>
          <w:bCs/>
        </w:rPr>
        <w:t xml:space="preserve">Note that (1) represents ln(TL) as linear in terms. This turns out to be useful from the point of view of our statistical analysis. The purpose of using triplicate measurement of the same sample is to reduce random measurement error. In our case, we also used these separate measurements to measure the magnitude of the “noise” when measuring TL. This “noise” could be due to either imprecise measurement or to sampling variation in TL quantity.  In particular, for each individual in each of our specimens, we have three separate measures of ln(Tel qty) and ln(36B4 Qty) roughly 75% of the time (see Table 2). For the remaining 25%, we have two separate measures. </w:t>
      </w:r>
    </w:p>
    <w:p w14:paraId="2BD3BEB6" w14:textId="5BDDF69F" w:rsidR="00B40BAA" w:rsidRPr="00EA60F0" w:rsidRDefault="00B40BAA" w:rsidP="00DA29E3">
      <w:pPr>
        <w:spacing w:line="259" w:lineRule="auto"/>
        <w:rPr>
          <w:bCs/>
        </w:rPr>
      </w:pPr>
      <w:r w:rsidRPr="00EA60F0">
        <w:rPr>
          <w:bCs/>
        </w:rPr>
        <w:tab/>
        <w:t xml:space="preserve">When measuring Avg. ln(Tel qty) and Avg. ln(36B4 Qty) we are interested in the statistical population mean of these quantities, or the average we would obtain were the lab to make these measurements for every possible cell within the biological sample.  However, what we have for each person measurements of three or, sometimes two, draws from the biological sample. We are using these sample averages as estimates for the population averages </w:t>
      </w:r>
      <w:r w:rsidR="00793905">
        <w:rPr>
          <w:bCs/>
        </w:rPr>
        <w:t xml:space="preserve">in which </w:t>
      </w:r>
      <w:r w:rsidRPr="00EA60F0">
        <w:rPr>
          <w:bCs/>
        </w:rPr>
        <w:t xml:space="preserve">we are interested.   If we assume that individual measurements are random draws from the universe of possible measurements on this sample, we can use simple statistics to derive the sampling distribution of our estimates. It should be noted that this procedure allows us to estimate the amount of test-retest error in our measures. </w:t>
      </w:r>
    </w:p>
    <w:p w14:paraId="75481E16" w14:textId="77777777" w:rsidR="00B40BAA" w:rsidRPr="00EA60F0" w:rsidRDefault="00B40BAA" w:rsidP="00DA29E3">
      <w:pPr>
        <w:spacing w:line="259" w:lineRule="auto"/>
        <w:rPr>
          <w:bCs/>
        </w:rPr>
      </w:pPr>
      <w:r w:rsidRPr="00EA60F0">
        <w:rPr>
          <w:bCs/>
        </w:rPr>
        <w:tab/>
        <w:t xml:space="preserve">If we think of the within-person sample averages of ln(Tel qty) and ln(36B4 Qty) as estimates of population averages of these quantities, we can use the within-person variation in ln(Tel qty) and ln(36B4 Qty) to gauge the within-batch reliability of our measurements of ln(Tel qty) and ln(36B4 Qty). If there are measurement effects, or there are sample effects in the sense that blood samples from an individual today might different from samples from the same person on another occasion, we will not be able to detect these.  </w:t>
      </w:r>
    </w:p>
    <w:p w14:paraId="6AB72741" w14:textId="77777777" w:rsidR="00B40BAA" w:rsidRPr="00EA60F0" w:rsidRDefault="00B40BAA" w:rsidP="00DA29E3">
      <w:pPr>
        <w:spacing w:line="259" w:lineRule="auto"/>
        <w:ind w:firstLine="720"/>
        <w:rPr>
          <w:bCs/>
        </w:rPr>
      </w:pPr>
      <w:r w:rsidRPr="00EA60F0">
        <w:rPr>
          <w:bCs/>
        </w:rPr>
        <w:t xml:space="preserve">As discussed above, we can use the fact that we typically have three measures of ln(Tel qty) and ln(36B4 Qty)) to measure the reliability of our measures of ln(TL).  Table S1 reports the average within-person variation in ln(Tel qty) and ln(36B4 Qty). We ran all samples for an individual in the same batch to reduce possible confounds related to batch effects. </w:t>
      </w:r>
    </w:p>
    <w:p w14:paraId="0F69CCCC" w14:textId="77777777" w:rsidR="00B40BAA" w:rsidRPr="00EA60F0" w:rsidRDefault="00B40BAA" w:rsidP="00DA29E3">
      <w:pPr>
        <w:spacing w:line="259" w:lineRule="auto"/>
        <w:rPr>
          <w:bCs/>
        </w:rPr>
      </w:pPr>
      <w:r w:rsidRPr="00EA60F0">
        <w:rPr>
          <w:bCs/>
        </w:rPr>
        <w:tab/>
        <w:t xml:space="preserve">Using the average within person sample variance in ln(Tel qty) and ln(36B4 Qty) as our measures of variability, we see that the average variance for ln(Tel qty) range from 0.005 to 0.007, while the average variance for ln(36B4 Qty) ranges from 0.003 to 0.004. The lower ranges of 36B4 Qty variance provide an estimate of the measurement error lower bound of this method. Further that TL Qty has only slightly higher variance implies that the majority of the within person variance is due to measurement error and not sampling variation in TL aliquots. Nevertheless, both have very low levels of measurement error.  We can use these estimates to assess the reliability of the measures reported in Table 3. Table S2 reports our estimates of the reliability of each of our measures of ln(TL).  In all cases the within-person variability of ln(TL) is extremely small relative to the between person variability, implying reliability coefficients around 0.98. </w:t>
      </w:r>
    </w:p>
    <w:p w14:paraId="68E25BF7" w14:textId="77777777" w:rsidR="00B40BAA" w:rsidRPr="00EA60F0" w:rsidRDefault="00B40BAA" w:rsidP="00DA29E3">
      <w:pPr>
        <w:spacing w:line="259" w:lineRule="auto"/>
        <w:rPr>
          <w:bCs/>
        </w:rPr>
      </w:pPr>
      <w:r w:rsidRPr="00EA60F0">
        <w:rPr>
          <w:bCs/>
        </w:rPr>
        <w:lastRenderedPageBreak/>
        <w:tab/>
        <w:t>One clear implication of the reliability coefficients being so high is that correcting for measurement error would have very little effect on our estimates of the correlation between our ln(TL) measures based on the different specimens.</w:t>
      </w:r>
    </w:p>
    <w:p w14:paraId="4EEEF2DD" w14:textId="77777777" w:rsidR="00B40BAA" w:rsidRPr="00EA60F0" w:rsidRDefault="00B40BAA" w:rsidP="00B40BAA">
      <w:pPr>
        <w:spacing w:after="160" w:line="259" w:lineRule="auto"/>
        <w:rPr>
          <w:bCs/>
        </w:rPr>
      </w:pPr>
    </w:p>
    <w:p w14:paraId="3FE7E3D9" w14:textId="77777777" w:rsidR="00B40BAA" w:rsidRPr="00EA60F0" w:rsidRDefault="00B40BAA" w:rsidP="00B40BAA">
      <w:pPr>
        <w:spacing w:after="160" w:line="259" w:lineRule="auto"/>
      </w:pPr>
      <w:r w:rsidRPr="00EA60F0">
        <w:t>Table S1. Mean within person variance by specimen type</w:t>
      </w:r>
    </w:p>
    <w:tbl>
      <w:tblPr>
        <w:tblW w:w="6260" w:type="dxa"/>
        <w:tblLook w:val="04A0" w:firstRow="1" w:lastRow="0" w:firstColumn="1" w:lastColumn="0" w:noHBand="0" w:noVBand="1"/>
      </w:tblPr>
      <w:tblGrid>
        <w:gridCol w:w="1300"/>
        <w:gridCol w:w="920"/>
        <w:gridCol w:w="2020"/>
        <w:gridCol w:w="2020"/>
      </w:tblGrid>
      <w:tr w:rsidR="00B40BAA" w:rsidRPr="00EA60F0" w14:paraId="240AAF5A" w14:textId="77777777" w:rsidTr="00991FE3">
        <w:trPr>
          <w:trHeight w:val="340"/>
        </w:trPr>
        <w:tc>
          <w:tcPr>
            <w:tcW w:w="1300" w:type="dxa"/>
            <w:tcBorders>
              <w:top w:val="single" w:sz="8" w:space="0" w:color="auto"/>
              <w:left w:val="single" w:sz="8" w:space="0" w:color="auto"/>
              <w:bottom w:val="nil"/>
              <w:right w:val="nil"/>
            </w:tcBorders>
            <w:shd w:val="clear" w:color="auto" w:fill="auto"/>
            <w:noWrap/>
            <w:vAlign w:val="bottom"/>
            <w:hideMark/>
          </w:tcPr>
          <w:p w14:paraId="3E1CD453" w14:textId="77777777" w:rsidR="00B40BAA" w:rsidRPr="00EA60F0" w:rsidRDefault="00B40BAA" w:rsidP="00991FE3">
            <w:pPr>
              <w:spacing w:after="160" w:line="259" w:lineRule="auto"/>
              <w:rPr>
                <w:bCs/>
              </w:rPr>
            </w:pPr>
            <w:r w:rsidRPr="00EA60F0">
              <w:rPr>
                <w:bCs/>
              </w:rPr>
              <w:t> </w:t>
            </w:r>
          </w:p>
        </w:tc>
        <w:tc>
          <w:tcPr>
            <w:tcW w:w="920" w:type="dxa"/>
            <w:tcBorders>
              <w:top w:val="single" w:sz="8" w:space="0" w:color="auto"/>
              <w:left w:val="single" w:sz="8" w:space="0" w:color="auto"/>
              <w:bottom w:val="nil"/>
              <w:right w:val="single" w:sz="8" w:space="0" w:color="auto"/>
            </w:tcBorders>
            <w:shd w:val="clear" w:color="auto" w:fill="auto"/>
            <w:noWrap/>
            <w:vAlign w:val="bottom"/>
            <w:hideMark/>
          </w:tcPr>
          <w:p w14:paraId="730A3B7B" w14:textId="77777777" w:rsidR="00B40BAA" w:rsidRPr="00EA60F0" w:rsidRDefault="00B40BAA" w:rsidP="00991FE3">
            <w:pPr>
              <w:spacing w:after="160" w:line="259" w:lineRule="auto"/>
              <w:rPr>
                <w:bCs/>
              </w:rPr>
            </w:pPr>
            <w:r w:rsidRPr="00EA60F0">
              <w:rPr>
                <w:bCs/>
              </w:rPr>
              <w:t> </w:t>
            </w:r>
          </w:p>
        </w:tc>
        <w:tc>
          <w:tcPr>
            <w:tcW w:w="2020" w:type="dxa"/>
            <w:tcBorders>
              <w:top w:val="single" w:sz="8" w:space="0" w:color="auto"/>
              <w:left w:val="single" w:sz="8" w:space="0" w:color="auto"/>
              <w:bottom w:val="nil"/>
              <w:right w:val="nil"/>
            </w:tcBorders>
            <w:shd w:val="clear" w:color="auto" w:fill="auto"/>
            <w:noWrap/>
            <w:vAlign w:val="center"/>
            <w:hideMark/>
          </w:tcPr>
          <w:p w14:paraId="6A98DAE3" w14:textId="77777777" w:rsidR="00B40BAA" w:rsidRPr="00EA60F0" w:rsidRDefault="00B40BAA" w:rsidP="00991FE3">
            <w:pPr>
              <w:spacing w:after="160" w:line="259" w:lineRule="auto"/>
              <w:rPr>
                <w:bCs/>
              </w:rPr>
            </w:pPr>
            <w:r w:rsidRPr="00EA60F0">
              <w:rPr>
                <w:bCs/>
              </w:rPr>
              <w:t>ln(Tel Quant)</w:t>
            </w:r>
          </w:p>
        </w:tc>
        <w:tc>
          <w:tcPr>
            <w:tcW w:w="2020" w:type="dxa"/>
            <w:tcBorders>
              <w:top w:val="single" w:sz="8" w:space="0" w:color="auto"/>
              <w:left w:val="nil"/>
              <w:bottom w:val="nil"/>
              <w:right w:val="single" w:sz="8" w:space="0" w:color="auto"/>
            </w:tcBorders>
            <w:shd w:val="clear" w:color="auto" w:fill="auto"/>
            <w:noWrap/>
            <w:vAlign w:val="center"/>
            <w:hideMark/>
          </w:tcPr>
          <w:p w14:paraId="05122463" w14:textId="77777777" w:rsidR="00B40BAA" w:rsidRPr="00EA60F0" w:rsidRDefault="00B40BAA" w:rsidP="00991FE3">
            <w:pPr>
              <w:spacing w:after="160" w:line="259" w:lineRule="auto"/>
              <w:rPr>
                <w:bCs/>
              </w:rPr>
            </w:pPr>
            <w:r w:rsidRPr="00EA60F0">
              <w:rPr>
                <w:bCs/>
              </w:rPr>
              <w:t>ln(36B4 Quant)</w:t>
            </w:r>
          </w:p>
        </w:tc>
      </w:tr>
      <w:tr w:rsidR="00B40BAA" w:rsidRPr="00EA60F0" w14:paraId="52152968" w14:textId="77777777" w:rsidTr="00991FE3">
        <w:trPr>
          <w:trHeight w:val="320"/>
        </w:trPr>
        <w:tc>
          <w:tcPr>
            <w:tcW w:w="130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48F5CAD0" w14:textId="40D7C2A3" w:rsidR="00B40BAA" w:rsidRPr="00EA60F0" w:rsidRDefault="00ED59C9" w:rsidP="00991FE3">
            <w:pPr>
              <w:spacing w:after="160" w:line="259" w:lineRule="auto"/>
              <w:rPr>
                <w:bCs/>
              </w:rPr>
            </w:pPr>
            <w:r>
              <w:rPr>
                <w:bCs/>
              </w:rPr>
              <w:t>Full Sample</w:t>
            </w:r>
          </w:p>
        </w:tc>
        <w:tc>
          <w:tcPr>
            <w:tcW w:w="920" w:type="dxa"/>
            <w:tcBorders>
              <w:top w:val="single" w:sz="8" w:space="0" w:color="auto"/>
              <w:left w:val="single" w:sz="8" w:space="0" w:color="auto"/>
              <w:bottom w:val="nil"/>
              <w:right w:val="single" w:sz="8" w:space="0" w:color="auto"/>
            </w:tcBorders>
            <w:shd w:val="clear" w:color="auto" w:fill="auto"/>
            <w:noWrap/>
            <w:vAlign w:val="bottom"/>
            <w:hideMark/>
          </w:tcPr>
          <w:p w14:paraId="18727378" w14:textId="77777777" w:rsidR="00B40BAA" w:rsidRPr="00EA60F0" w:rsidRDefault="00B40BAA" w:rsidP="00991FE3">
            <w:pPr>
              <w:spacing w:after="160" w:line="259" w:lineRule="auto"/>
              <w:rPr>
                <w:bCs/>
              </w:rPr>
            </w:pPr>
            <w:r w:rsidRPr="00EA60F0">
              <w:rPr>
                <w:bCs/>
              </w:rPr>
              <w:t>PBMC</w:t>
            </w:r>
          </w:p>
        </w:tc>
        <w:tc>
          <w:tcPr>
            <w:tcW w:w="2020" w:type="dxa"/>
            <w:tcBorders>
              <w:top w:val="single" w:sz="8" w:space="0" w:color="auto"/>
              <w:left w:val="single" w:sz="8" w:space="0" w:color="auto"/>
              <w:bottom w:val="nil"/>
              <w:right w:val="nil"/>
            </w:tcBorders>
            <w:shd w:val="clear" w:color="auto" w:fill="auto"/>
            <w:noWrap/>
            <w:vAlign w:val="center"/>
            <w:hideMark/>
          </w:tcPr>
          <w:p w14:paraId="79C47744" w14:textId="4512F928" w:rsidR="00B40BAA" w:rsidRPr="00EA60F0" w:rsidRDefault="00ED59C9" w:rsidP="00991FE3">
            <w:pPr>
              <w:spacing w:after="160" w:line="259" w:lineRule="auto"/>
              <w:rPr>
                <w:bCs/>
              </w:rPr>
            </w:pPr>
            <w:r>
              <w:rPr>
                <w:bCs/>
              </w:rPr>
              <w:t xml:space="preserve">       0</w:t>
            </w:r>
            <w:r w:rsidR="00B40BAA" w:rsidRPr="00EA60F0">
              <w:rPr>
                <w:bCs/>
              </w:rPr>
              <w:t>.0059</w:t>
            </w:r>
          </w:p>
        </w:tc>
        <w:tc>
          <w:tcPr>
            <w:tcW w:w="2020" w:type="dxa"/>
            <w:tcBorders>
              <w:top w:val="single" w:sz="8" w:space="0" w:color="auto"/>
              <w:left w:val="nil"/>
              <w:bottom w:val="nil"/>
              <w:right w:val="single" w:sz="8" w:space="0" w:color="auto"/>
            </w:tcBorders>
            <w:shd w:val="clear" w:color="auto" w:fill="auto"/>
            <w:noWrap/>
            <w:vAlign w:val="center"/>
            <w:hideMark/>
          </w:tcPr>
          <w:p w14:paraId="01206025" w14:textId="33047E2C" w:rsidR="00B40BAA" w:rsidRPr="00EA60F0" w:rsidRDefault="00ED59C9" w:rsidP="00991FE3">
            <w:pPr>
              <w:spacing w:after="160" w:line="259" w:lineRule="auto"/>
              <w:rPr>
                <w:bCs/>
              </w:rPr>
            </w:pPr>
            <w:r>
              <w:rPr>
                <w:bCs/>
              </w:rPr>
              <w:t xml:space="preserve">   0</w:t>
            </w:r>
            <w:r w:rsidR="00B40BAA" w:rsidRPr="00EA60F0">
              <w:rPr>
                <w:bCs/>
              </w:rPr>
              <w:t>.0031</w:t>
            </w:r>
          </w:p>
        </w:tc>
      </w:tr>
      <w:tr w:rsidR="00B40BAA" w:rsidRPr="00EA60F0" w14:paraId="1CE0AE7E" w14:textId="77777777" w:rsidTr="00991FE3">
        <w:trPr>
          <w:trHeight w:val="340"/>
        </w:trPr>
        <w:tc>
          <w:tcPr>
            <w:tcW w:w="1300" w:type="dxa"/>
            <w:vMerge/>
            <w:tcBorders>
              <w:top w:val="single" w:sz="8" w:space="0" w:color="auto"/>
              <w:left w:val="single" w:sz="8" w:space="0" w:color="auto"/>
              <w:bottom w:val="single" w:sz="8" w:space="0" w:color="000000"/>
              <w:right w:val="nil"/>
            </w:tcBorders>
            <w:vAlign w:val="center"/>
            <w:hideMark/>
          </w:tcPr>
          <w:p w14:paraId="10E25CF1" w14:textId="77777777" w:rsidR="00B40BAA" w:rsidRPr="00EA60F0" w:rsidRDefault="00B40BAA" w:rsidP="00991FE3">
            <w:pPr>
              <w:spacing w:after="160" w:line="259" w:lineRule="auto"/>
              <w:rPr>
                <w:bCs/>
              </w:rPr>
            </w:pPr>
          </w:p>
        </w:tc>
        <w:tc>
          <w:tcPr>
            <w:tcW w:w="920" w:type="dxa"/>
            <w:tcBorders>
              <w:top w:val="nil"/>
              <w:left w:val="single" w:sz="8" w:space="0" w:color="auto"/>
              <w:bottom w:val="single" w:sz="8" w:space="0" w:color="auto"/>
              <w:right w:val="single" w:sz="8" w:space="0" w:color="auto"/>
            </w:tcBorders>
            <w:shd w:val="clear" w:color="auto" w:fill="auto"/>
            <w:noWrap/>
            <w:vAlign w:val="bottom"/>
            <w:hideMark/>
          </w:tcPr>
          <w:p w14:paraId="5714468B" w14:textId="77777777" w:rsidR="00B40BAA" w:rsidRPr="00EA60F0" w:rsidRDefault="00B40BAA" w:rsidP="00991FE3">
            <w:pPr>
              <w:spacing w:after="160" w:line="259" w:lineRule="auto"/>
              <w:rPr>
                <w:bCs/>
              </w:rPr>
            </w:pPr>
            <w:r w:rsidRPr="00EA60F0">
              <w:rPr>
                <w:bCs/>
              </w:rPr>
              <w:t>Saliva</w:t>
            </w:r>
          </w:p>
        </w:tc>
        <w:tc>
          <w:tcPr>
            <w:tcW w:w="2020" w:type="dxa"/>
            <w:tcBorders>
              <w:top w:val="nil"/>
              <w:left w:val="single" w:sz="8" w:space="0" w:color="auto"/>
              <w:bottom w:val="single" w:sz="8" w:space="0" w:color="auto"/>
              <w:right w:val="nil"/>
            </w:tcBorders>
            <w:shd w:val="clear" w:color="auto" w:fill="auto"/>
            <w:noWrap/>
            <w:vAlign w:val="center"/>
            <w:hideMark/>
          </w:tcPr>
          <w:p w14:paraId="3FE316CA" w14:textId="76C30AF8" w:rsidR="00B40BAA" w:rsidRPr="00EA60F0" w:rsidRDefault="00ED59C9" w:rsidP="00991FE3">
            <w:pPr>
              <w:spacing w:after="160" w:line="259" w:lineRule="auto"/>
              <w:rPr>
                <w:bCs/>
              </w:rPr>
            </w:pPr>
            <w:r>
              <w:rPr>
                <w:bCs/>
              </w:rPr>
              <w:t xml:space="preserve">       0</w:t>
            </w:r>
            <w:r w:rsidR="00B40BAA" w:rsidRPr="00EA60F0">
              <w:rPr>
                <w:bCs/>
              </w:rPr>
              <w:t>.0045</w:t>
            </w:r>
          </w:p>
        </w:tc>
        <w:tc>
          <w:tcPr>
            <w:tcW w:w="2020" w:type="dxa"/>
            <w:tcBorders>
              <w:top w:val="nil"/>
              <w:left w:val="nil"/>
              <w:bottom w:val="single" w:sz="8" w:space="0" w:color="auto"/>
              <w:right w:val="single" w:sz="8" w:space="0" w:color="auto"/>
            </w:tcBorders>
            <w:shd w:val="clear" w:color="auto" w:fill="auto"/>
            <w:noWrap/>
            <w:vAlign w:val="center"/>
            <w:hideMark/>
          </w:tcPr>
          <w:p w14:paraId="05EE2A7D" w14:textId="29C4A97C" w:rsidR="00B40BAA" w:rsidRPr="00EA60F0" w:rsidRDefault="00ED59C9" w:rsidP="00991FE3">
            <w:pPr>
              <w:spacing w:after="160" w:line="259" w:lineRule="auto"/>
              <w:rPr>
                <w:bCs/>
              </w:rPr>
            </w:pPr>
            <w:r>
              <w:rPr>
                <w:bCs/>
              </w:rPr>
              <w:t xml:space="preserve">   0</w:t>
            </w:r>
            <w:r w:rsidR="00B40BAA" w:rsidRPr="00EA60F0">
              <w:rPr>
                <w:bCs/>
              </w:rPr>
              <w:t>.0034</w:t>
            </w:r>
          </w:p>
        </w:tc>
      </w:tr>
      <w:tr w:rsidR="00B40BAA" w:rsidRPr="00EA60F0" w14:paraId="5A0E780A" w14:textId="77777777" w:rsidTr="00991FE3">
        <w:trPr>
          <w:trHeight w:val="320"/>
        </w:trPr>
        <w:tc>
          <w:tcPr>
            <w:tcW w:w="1300" w:type="dxa"/>
            <w:vMerge w:val="restart"/>
            <w:tcBorders>
              <w:top w:val="nil"/>
              <w:left w:val="single" w:sz="8" w:space="0" w:color="auto"/>
              <w:bottom w:val="single" w:sz="8" w:space="0" w:color="000000"/>
              <w:right w:val="nil"/>
            </w:tcBorders>
            <w:shd w:val="clear" w:color="auto" w:fill="auto"/>
            <w:noWrap/>
            <w:vAlign w:val="center"/>
            <w:hideMark/>
          </w:tcPr>
          <w:p w14:paraId="7292CA46" w14:textId="4C65196F" w:rsidR="00B40BAA" w:rsidRPr="00EA60F0" w:rsidRDefault="00ED59C9" w:rsidP="00991FE3">
            <w:pPr>
              <w:spacing w:after="160" w:line="259" w:lineRule="auto"/>
              <w:rPr>
                <w:bCs/>
              </w:rPr>
            </w:pPr>
            <w:r>
              <w:rPr>
                <w:bCs/>
              </w:rPr>
              <w:t>DBS complete sample</w:t>
            </w:r>
          </w:p>
        </w:tc>
        <w:tc>
          <w:tcPr>
            <w:tcW w:w="920" w:type="dxa"/>
            <w:tcBorders>
              <w:top w:val="nil"/>
              <w:left w:val="single" w:sz="8" w:space="0" w:color="auto"/>
              <w:bottom w:val="nil"/>
              <w:right w:val="single" w:sz="8" w:space="0" w:color="auto"/>
            </w:tcBorders>
            <w:shd w:val="clear" w:color="auto" w:fill="auto"/>
            <w:noWrap/>
            <w:vAlign w:val="bottom"/>
            <w:hideMark/>
          </w:tcPr>
          <w:p w14:paraId="0466C99B" w14:textId="77777777" w:rsidR="00B40BAA" w:rsidRPr="00EA60F0" w:rsidRDefault="00B40BAA" w:rsidP="00991FE3">
            <w:pPr>
              <w:spacing w:after="160" w:line="259" w:lineRule="auto"/>
              <w:rPr>
                <w:bCs/>
              </w:rPr>
            </w:pPr>
            <w:r w:rsidRPr="00EA60F0">
              <w:rPr>
                <w:bCs/>
              </w:rPr>
              <w:t>PBMC</w:t>
            </w:r>
          </w:p>
        </w:tc>
        <w:tc>
          <w:tcPr>
            <w:tcW w:w="2020" w:type="dxa"/>
            <w:tcBorders>
              <w:top w:val="nil"/>
              <w:left w:val="single" w:sz="8" w:space="0" w:color="auto"/>
              <w:bottom w:val="nil"/>
              <w:right w:val="nil"/>
            </w:tcBorders>
            <w:shd w:val="clear" w:color="auto" w:fill="auto"/>
            <w:noWrap/>
            <w:vAlign w:val="center"/>
            <w:hideMark/>
          </w:tcPr>
          <w:p w14:paraId="7651019E" w14:textId="07F03307" w:rsidR="00B40BAA" w:rsidRPr="00EA60F0" w:rsidRDefault="00ED59C9" w:rsidP="00991FE3">
            <w:pPr>
              <w:spacing w:after="160" w:line="259" w:lineRule="auto"/>
              <w:rPr>
                <w:bCs/>
              </w:rPr>
            </w:pPr>
            <w:r>
              <w:rPr>
                <w:bCs/>
              </w:rPr>
              <w:t xml:space="preserve">       0</w:t>
            </w:r>
            <w:r w:rsidR="00B40BAA" w:rsidRPr="00EA60F0">
              <w:rPr>
                <w:bCs/>
              </w:rPr>
              <w:t>.0062</w:t>
            </w:r>
          </w:p>
        </w:tc>
        <w:tc>
          <w:tcPr>
            <w:tcW w:w="2020" w:type="dxa"/>
            <w:tcBorders>
              <w:top w:val="nil"/>
              <w:left w:val="nil"/>
              <w:bottom w:val="nil"/>
              <w:right w:val="single" w:sz="8" w:space="0" w:color="auto"/>
            </w:tcBorders>
            <w:shd w:val="clear" w:color="auto" w:fill="auto"/>
            <w:noWrap/>
            <w:vAlign w:val="center"/>
            <w:hideMark/>
          </w:tcPr>
          <w:p w14:paraId="1CB80116" w14:textId="7E195B4F" w:rsidR="00B40BAA" w:rsidRPr="00EA60F0" w:rsidRDefault="00ED59C9" w:rsidP="00991FE3">
            <w:pPr>
              <w:spacing w:after="160" w:line="259" w:lineRule="auto"/>
              <w:rPr>
                <w:bCs/>
              </w:rPr>
            </w:pPr>
            <w:r>
              <w:rPr>
                <w:bCs/>
              </w:rPr>
              <w:t xml:space="preserve">   0</w:t>
            </w:r>
            <w:r w:rsidR="00B40BAA" w:rsidRPr="00EA60F0">
              <w:rPr>
                <w:bCs/>
              </w:rPr>
              <w:t>.0029</w:t>
            </w:r>
          </w:p>
        </w:tc>
      </w:tr>
      <w:tr w:rsidR="00B40BAA" w:rsidRPr="00EA60F0" w14:paraId="1B6655F3" w14:textId="77777777" w:rsidTr="00991FE3">
        <w:trPr>
          <w:trHeight w:val="320"/>
        </w:trPr>
        <w:tc>
          <w:tcPr>
            <w:tcW w:w="1300" w:type="dxa"/>
            <w:vMerge/>
            <w:tcBorders>
              <w:top w:val="nil"/>
              <w:left w:val="single" w:sz="8" w:space="0" w:color="auto"/>
              <w:bottom w:val="single" w:sz="8" w:space="0" w:color="000000"/>
              <w:right w:val="nil"/>
            </w:tcBorders>
            <w:vAlign w:val="center"/>
            <w:hideMark/>
          </w:tcPr>
          <w:p w14:paraId="782009AC" w14:textId="77777777" w:rsidR="00B40BAA" w:rsidRPr="00EA60F0" w:rsidRDefault="00B40BAA" w:rsidP="00991FE3">
            <w:pPr>
              <w:spacing w:after="160" w:line="259" w:lineRule="auto"/>
              <w:rPr>
                <w:bCs/>
              </w:rPr>
            </w:pPr>
          </w:p>
        </w:tc>
        <w:tc>
          <w:tcPr>
            <w:tcW w:w="920" w:type="dxa"/>
            <w:tcBorders>
              <w:top w:val="nil"/>
              <w:left w:val="single" w:sz="8" w:space="0" w:color="auto"/>
              <w:bottom w:val="nil"/>
              <w:right w:val="single" w:sz="8" w:space="0" w:color="auto"/>
            </w:tcBorders>
            <w:shd w:val="clear" w:color="auto" w:fill="auto"/>
            <w:noWrap/>
            <w:vAlign w:val="bottom"/>
            <w:hideMark/>
          </w:tcPr>
          <w:p w14:paraId="001FF6DC" w14:textId="77777777" w:rsidR="00B40BAA" w:rsidRPr="00EA60F0" w:rsidRDefault="00B40BAA" w:rsidP="00991FE3">
            <w:pPr>
              <w:spacing w:after="160" w:line="259" w:lineRule="auto"/>
              <w:rPr>
                <w:bCs/>
              </w:rPr>
            </w:pPr>
            <w:r w:rsidRPr="00EA60F0">
              <w:rPr>
                <w:bCs/>
              </w:rPr>
              <w:t>Saliva</w:t>
            </w:r>
          </w:p>
        </w:tc>
        <w:tc>
          <w:tcPr>
            <w:tcW w:w="2020" w:type="dxa"/>
            <w:tcBorders>
              <w:top w:val="nil"/>
              <w:left w:val="single" w:sz="8" w:space="0" w:color="auto"/>
              <w:bottom w:val="nil"/>
              <w:right w:val="nil"/>
            </w:tcBorders>
            <w:shd w:val="clear" w:color="auto" w:fill="auto"/>
            <w:noWrap/>
            <w:vAlign w:val="center"/>
            <w:hideMark/>
          </w:tcPr>
          <w:p w14:paraId="654E14A3" w14:textId="61240E47" w:rsidR="00B40BAA" w:rsidRPr="00EA60F0" w:rsidRDefault="00ED59C9" w:rsidP="00991FE3">
            <w:pPr>
              <w:spacing w:after="160" w:line="259" w:lineRule="auto"/>
              <w:rPr>
                <w:bCs/>
              </w:rPr>
            </w:pPr>
            <w:r>
              <w:rPr>
                <w:bCs/>
              </w:rPr>
              <w:t xml:space="preserve">       0</w:t>
            </w:r>
            <w:r w:rsidR="00B40BAA" w:rsidRPr="00EA60F0">
              <w:rPr>
                <w:bCs/>
              </w:rPr>
              <w:t>.0051</w:t>
            </w:r>
          </w:p>
        </w:tc>
        <w:tc>
          <w:tcPr>
            <w:tcW w:w="2020" w:type="dxa"/>
            <w:tcBorders>
              <w:top w:val="nil"/>
              <w:left w:val="nil"/>
              <w:bottom w:val="nil"/>
              <w:right w:val="single" w:sz="8" w:space="0" w:color="auto"/>
            </w:tcBorders>
            <w:shd w:val="clear" w:color="auto" w:fill="auto"/>
            <w:noWrap/>
            <w:vAlign w:val="center"/>
            <w:hideMark/>
          </w:tcPr>
          <w:p w14:paraId="7F7A8C53" w14:textId="1AEAF274" w:rsidR="00B40BAA" w:rsidRPr="00EA60F0" w:rsidRDefault="00ED59C9" w:rsidP="00991FE3">
            <w:pPr>
              <w:spacing w:after="160" w:line="259" w:lineRule="auto"/>
              <w:rPr>
                <w:bCs/>
              </w:rPr>
            </w:pPr>
            <w:r>
              <w:rPr>
                <w:bCs/>
              </w:rPr>
              <w:t xml:space="preserve">   0</w:t>
            </w:r>
            <w:r w:rsidR="00B40BAA" w:rsidRPr="00EA60F0">
              <w:rPr>
                <w:bCs/>
              </w:rPr>
              <w:t>.0032</w:t>
            </w:r>
          </w:p>
        </w:tc>
      </w:tr>
      <w:tr w:rsidR="00B40BAA" w:rsidRPr="00EA60F0" w14:paraId="15BFC4A6" w14:textId="77777777" w:rsidTr="00991FE3">
        <w:trPr>
          <w:trHeight w:val="340"/>
        </w:trPr>
        <w:tc>
          <w:tcPr>
            <w:tcW w:w="1300" w:type="dxa"/>
            <w:vMerge/>
            <w:tcBorders>
              <w:top w:val="nil"/>
              <w:left w:val="single" w:sz="8" w:space="0" w:color="auto"/>
              <w:bottom w:val="single" w:sz="8" w:space="0" w:color="000000"/>
              <w:right w:val="nil"/>
            </w:tcBorders>
            <w:vAlign w:val="center"/>
            <w:hideMark/>
          </w:tcPr>
          <w:p w14:paraId="3FFC0041" w14:textId="77777777" w:rsidR="00B40BAA" w:rsidRPr="00EA60F0" w:rsidRDefault="00B40BAA" w:rsidP="00991FE3">
            <w:pPr>
              <w:spacing w:after="160" w:line="259" w:lineRule="auto"/>
              <w:rPr>
                <w:bCs/>
              </w:rPr>
            </w:pPr>
          </w:p>
        </w:tc>
        <w:tc>
          <w:tcPr>
            <w:tcW w:w="920" w:type="dxa"/>
            <w:tcBorders>
              <w:top w:val="nil"/>
              <w:left w:val="single" w:sz="8" w:space="0" w:color="auto"/>
              <w:bottom w:val="single" w:sz="8" w:space="0" w:color="auto"/>
              <w:right w:val="single" w:sz="8" w:space="0" w:color="auto"/>
            </w:tcBorders>
            <w:shd w:val="clear" w:color="auto" w:fill="auto"/>
            <w:noWrap/>
            <w:vAlign w:val="bottom"/>
            <w:hideMark/>
          </w:tcPr>
          <w:p w14:paraId="41A28133" w14:textId="77777777" w:rsidR="00B40BAA" w:rsidRPr="00EA60F0" w:rsidRDefault="00B40BAA" w:rsidP="00991FE3">
            <w:pPr>
              <w:spacing w:after="160" w:line="259" w:lineRule="auto"/>
              <w:rPr>
                <w:bCs/>
              </w:rPr>
            </w:pPr>
            <w:r w:rsidRPr="00EA60F0">
              <w:rPr>
                <w:bCs/>
              </w:rPr>
              <w:t>DBS</w:t>
            </w:r>
          </w:p>
        </w:tc>
        <w:tc>
          <w:tcPr>
            <w:tcW w:w="2020" w:type="dxa"/>
            <w:tcBorders>
              <w:top w:val="nil"/>
              <w:left w:val="single" w:sz="8" w:space="0" w:color="auto"/>
              <w:bottom w:val="single" w:sz="8" w:space="0" w:color="auto"/>
              <w:right w:val="nil"/>
            </w:tcBorders>
            <w:shd w:val="clear" w:color="auto" w:fill="auto"/>
            <w:noWrap/>
            <w:vAlign w:val="center"/>
            <w:hideMark/>
          </w:tcPr>
          <w:p w14:paraId="1243553A" w14:textId="70C16C9E" w:rsidR="00B40BAA" w:rsidRPr="00EA60F0" w:rsidRDefault="00ED59C9" w:rsidP="00991FE3">
            <w:pPr>
              <w:spacing w:after="160" w:line="259" w:lineRule="auto"/>
              <w:rPr>
                <w:bCs/>
              </w:rPr>
            </w:pPr>
            <w:r>
              <w:rPr>
                <w:bCs/>
              </w:rPr>
              <w:t xml:space="preserve">       0</w:t>
            </w:r>
            <w:r w:rsidR="00B40BAA" w:rsidRPr="00EA60F0">
              <w:rPr>
                <w:bCs/>
              </w:rPr>
              <w:t>.0067</w:t>
            </w:r>
          </w:p>
        </w:tc>
        <w:tc>
          <w:tcPr>
            <w:tcW w:w="2020" w:type="dxa"/>
            <w:tcBorders>
              <w:top w:val="nil"/>
              <w:left w:val="nil"/>
              <w:bottom w:val="single" w:sz="8" w:space="0" w:color="auto"/>
              <w:right w:val="single" w:sz="8" w:space="0" w:color="auto"/>
            </w:tcBorders>
            <w:shd w:val="clear" w:color="auto" w:fill="auto"/>
            <w:noWrap/>
            <w:vAlign w:val="center"/>
            <w:hideMark/>
          </w:tcPr>
          <w:p w14:paraId="3C29416D" w14:textId="5FA74A17" w:rsidR="00B40BAA" w:rsidRPr="00EA60F0" w:rsidRDefault="00ED59C9" w:rsidP="00991FE3">
            <w:pPr>
              <w:spacing w:after="160" w:line="259" w:lineRule="auto"/>
              <w:rPr>
                <w:bCs/>
              </w:rPr>
            </w:pPr>
            <w:r>
              <w:rPr>
                <w:bCs/>
              </w:rPr>
              <w:t xml:space="preserve">   0</w:t>
            </w:r>
            <w:r w:rsidR="00B40BAA" w:rsidRPr="00EA60F0">
              <w:rPr>
                <w:bCs/>
              </w:rPr>
              <w:t>.0041</w:t>
            </w:r>
          </w:p>
        </w:tc>
      </w:tr>
    </w:tbl>
    <w:p w14:paraId="78E7C3CE" w14:textId="77777777" w:rsidR="00B40BAA" w:rsidRPr="00EA60F0" w:rsidRDefault="00B40BAA" w:rsidP="00B40BAA">
      <w:pPr>
        <w:spacing w:after="160" w:line="259" w:lineRule="auto"/>
        <w:rPr>
          <w:bCs/>
        </w:rPr>
      </w:pPr>
    </w:p>
    <w:p w14:paraId="6E4FBC2E" w14:textId="77777777" w:rsidR="0062251A" w:rsidRDefault="0062251A" w:rsidP="00B40BAA">
      <w:pPr>
        <w:spacing w:after="160" w:line="259" w:lineRule="auto"/>
        <w:rPr>
          <w:bCs/>
        </w:rPr>
      </w:pPr>
    </w:p>
    <w:p w14:paraId="4D26D4E1" w14:textId="77777777" w:rsidR="0019722D" w:rsidRDefault="0019722D" w:rsidP="00B40BAA">
      <w:pPr>
        <w:spacing w:after="160" w:line="259" w:lineRule="auto"/>
        <w:rPr>
          <w:bCs/>
        </w:rPr>
      </w:pPr>
    </w:p>
    <w:p w14:paraId="03F324C7" w14:textId="290F5B1B" w:rsidR="00B40BAA" w:rsidRPr="00EA60F0" w:rsidRDefault="00B40BAA" w:rsidP="00B40BAA">
      <w:pPr>
        <w:spacing w:after="160" w:line="259" w:lineRule="auto"/>
        <w:rPr>
          <w:bCs/>
        </w:rPr>
      </w:pPr>
      <w:r w:rsidRPr="00EA60F0">
        <w:rPr>
          <w:bCs/>
        </w:rPr>
        <w:t>Table S2. Mean variance and reliability estimates by specimen type</w:t>
      </w:r>
    </w:p>
    <w:tbl>
      <w:tblPr>
        <w:tblW w:w="9683" w:type="dxa"/>
        <w:tblLook w:val="04A0" w:firstRow="1" w:lastRow="0" w:firstColumn="1" w:lastColumn="0" w:noHBand="0" w:noVBand="1"/>
      </w:tblPr>
      <w:tblGrid>
        <w:gridCol w:w="1096"/>
        <w:gridCol w:w="884"/>
        <w:gridCol w:w="2620"/>
        <w:gridCol w:w="3140"/>
        <w:gridCol w:w="2100"/>
      </w:tblGrid>
      <w:tr w:rsidR="00B40BAA" w:rsidRPr="00EA60F0" w14:paraId="6D2798FB" w14:textId="77777777" w:rsidTr="00991FE3">
        <w:trPr>
          <w:trHeight w:val="340"/>
        </w:trPr>
        <w:tc>
          <w:tcPr>
            <w:tcW w:w="980" w:type="dxa"/>
            <w:tcBorders>
              <w:top w:val="single" w:sz="8" w:space="0" w:color="auto"/>
              <w:left w:val="single" w:sz="8" w:space="0" w:color="auto"/>
              <w:bottom w:val="single" w:sz="8" w:space="0" w:color="auto"/>
              <w:right w:val="nil"/>
            </w:tcBorders>
            <w:shd w:val="clear" w:color="auto" w:fill="auto"/>
            <w:noWrap/>
            <w:vAlign w:val="bottom"/>
            <w:hideMark/>
          </w:tcPr>
          <w:p w14:paraId="21D6A7B5" w14:textId="77777777" w:rsidR="00B40BAA" w:rsidRPr="00EA60F0" w:rsidRDefault="00B40BAA" w:rsidP="00991FE3">
            <w:pPr>
              <w:spacing w:after="160" w:line="259" w:lineRule="auto"/>
              <w:rPr>
                <w:bCs/>
              </w:rPr>
            </w:pPr>
            <w:r w:rsidRPr="00EA60F0">
              <w:rPr>
                <w:bCs/>
              </w:rPr>
              <w:t> </w:t>
            </w:r>
          </w:p>
        </w:tc>
        <w:tc>
          <w:tcPr>
            <w:tcW w:w="843" w:type="dxa"/>
            <w:tcBorders>
              <w:top w:val="single" w:sz="8" w:space="0" w:color="auto"/>
              <w:left w:val="single" w:sz="8" w:space="0" w:color="auto"/>
              <w:bottom w:val="single" w:sz="8" w:space="0" w:color="auto"/>
              <w:right w:val="nil"/>
            </w:tcBorders>
            <w:shd w:val="clear" w:color="auto" w:fill="auto"/>
            <w:vAlign w:val="bottom"/>
            <w:hideMark/>
          </w:tcPr>
          <w:p w14:paraId="42EC942F" w14:textId="77777777" w:rsidR="00B40BAA" w:rsidRPr="00EA60F0" w:rsidRDefault="00B40BAA" w:rsidP="00991FE3">
            <w:pPr>
              <w:spacing w:after="160" w:line="259" w:lineRule="auto"/>
              <w:rPr>
                <w:bCs/>
              </w:rPr>
            </w:pPr>
            <w:r w:rsidRPr="00EA60F0">
              <w:rPr>
                <w:bCs/>
              </w:rPr>
              <w:t> </w:t>
            </w:r>
          </w:p>
        </w:tc>
        <w:tc>
          <w:tcPr>
            <w:tcW w:w="2620" w:type="dxa"/>
            <w:tcBorders>
              <w:top w:val="single" w:sz="8" w:space="0" w:color="auto"/>
              <w:left w:val="nil"/>
              <w:bottom w:val="single" w:sz="8" w:space="0" w:color="auto"/>
              <w:right w:val="nil"/>
            </w:tcBorders>
            <w:shd w:val="clear" w:color="auto" w:fill="auto"/>
            <w:noWrap/>
            <w:vAlign w:val="bottom"/>
            <w:hideMark/>
          </w:tcPr>
          <w:p w14:paraId="08FDA937" w14:textId="77777777" w:rsidR="00B40BAA" w:rsidRPr="00EA60F0" w:rsidRDefault="00B40BAA" w:rsidP="00991FE3">
            <w:pPr>
              <w:spacing w:after="160" w:line="259" w:lineRule="auto"/>
              <w:rPr>
                <w:bCs/>
              </w:rPr>
            </w:pPr>
            <w:r w:rsidRPr="00EA60F0">
              <w:rPr>
                <w:bCs/>
              </w:rPr>
              <w:t>(1/n^2 x var(ln(</w:t>
            </w:r>
            <w:proofErr w:type="spellStart"/>
            <w:r w:rsidRPr="00EA60F0">
              <w:rPr>
                <w:bCs/>
              </w:rPr>
              <w:t>tel</w:t>
            </w:r>
            <w:proofErr w:type="spellEnd"/>
            <w:r w:rsidRPr="00EA60F0">
              <w:rPr>
                <w:bCs/>
              </w:rPr>
              <w:t xml:space="preserve"> qty)))</w:t>
            </w:r>
          </w:p>
        </w:tc>
        <w:tc>
          <w:tcPr>
            <w:tcW w:w="3140" w:type="dxa"/>
            <w:tcBorders>
              <w:top w:val="single" w:sz="8" w:space="0" w:color="auto"/>
              <w:left w:val="nil"/>
              <w:bottom w:val="single" w:sz="8" w:space="0" w:color="auto"/>
              <w:right w:val="nil"/>
            </w:tcBorders>
            <w:shd w:val="clear" w:color="auto" w:fill="auto"/>
            <w:noWrap/>
            <w:vAlign w:val="bottom"/>
            <w:hideMark/>
          </w:tcPr>
          <w:p w14:paraId="06516A2B" w14:textId="77777777" w:rsidR="00B40BAA" w:rsidRPr="00EA60F0" w:rsidRDefault="00B40BAA" w:rsidP="00991FE3">
            <w:pPr>
              <w:spacing w:after="160" w:line="259" w:lineRule="auto"/>
              <w:rPr>
                <w:bCs/>
              </w:rPr>
            </w:pPr>
            <w:r w:rsidRPr="00EA60F0">
              <w:rPr>
                <w:bCs/>
              </w:rPr>
              <w:t>(1/n^2 x var(ln(36B4 Quant)))</w:t>
            </w:r>
          </w:p>
        </w:tc>
        <w:tc>
          <w:tcPr>
            <w:tcW w:w="2100" w:type="dxa"/>
            <w:tcBorders>
              <w:top w:val="single" w:sz="8" w:space="0" w:color="auto"/>
              <w:left w:val="nil"/>
              <w:bottom w:val="single" w:sz="8" w:space="0" w:color="auto"/>
              <w:right w:val="single" w:sz="8" w:space="0" w:color="auto"/>
            </w:tcBorders>
            <w:shd w:val="clear" w:color="auto" w:fill="auto"/>
            <w:noWrap/>
            <w:vAlign w:val="bottom"/>
            <w:hideMark/>
          </w:tcPr>
          <w:p w14:paraId="7C629629" w14:textId="77777777" w:rsidR="00B40BAA" w:rsidRPr="00EA60F0" w:rsidRDefault="00B40BAA" w:rsidP="00991FE3">
            <w:pPr>
              <w:spacing w:after="160" w:line="259" w:lineRule="auto"/>
              <w:rPr>
                <w:bCs/>
              </w:rPr>
            </w:pPr>
            <w:r w:rsidRPr="00EA60F0">
              <w:rPr>
                <w:bCs/>
              </w:rPr>
              <w:t>Reliability Estimate</w:t>
            </w:r>
          </w:p>
        </w:tc>
      </w:tr>
      <w:tr w:rsidR="00B40BAA" w:rsidRPr="00EA60F0" w14:paraId="4FE2C834" w14:textId="77777777" w:rsidTr="00991FE3">
        <w:trPr>
          <w:trHeight w:val="320"/>
        </w:trPr>
        <w:tc>
          <w:tcPr>
            <w:tcW w:w="9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24B937" w14:textId="1EB0A462" w:rsidR="00B40BAA" w:rsidRPr="00EA60F0" w:rsidRDefault="00ED59C9" w:rsidP="00991FE3">
            <w:pPr>
              <w:spacing w:after="160" w:line="259" w:lineRule="auto"/>
              <w:rPr>
                <w:bCs/>
              </w:rPr>
            </w:pPr>
            <w:r>
              <w:rPr>
                <w:bCs/>
              </w:rPr>
              <w:t>Full Sample</w:t>
            </w:r>
          </w:p>
        </w:tc>
        <w:tc>
          <w:tcPr>
            <w:tcW w:w="843" w:type="dxa"/>
            <w:tcBorders>
              <w:top w:val="single" w:sz="8" w:space="0" w:color="auto"/>
              <w:left w:val="single" w:sz="8" w:space="0" w:color="auto"/>
              <w:bottom w:val="nil"/>
              <w:right w:val="nil"/>
            </w:tcBorders>
            <w:shd w:val="clear" w:color="auto" w:fill="auto"/>
            <w:noWrap/>
            <w:vAlign w:val="bottom"/>
            <w:hideMark/>
          </w:tcPr>
          <w:p w14:paraId="52E23956" w14:textId="77777777" w:rsidR="00B40BAA" w:rsidRPr="00EA60F0" w:rsidRDefault="00B40BAA" w:rsidP="00991FE3">
            <w:pPr>
              <w:spacing w:after="160" w:line="259" w:lineRule="auto"/>
              <w:rPr>
                <w:bCs/>
              </w:rPr>
            </w:pPr>
            <w:r w:rsidRPr="00EA60F0">
              <w:rPr>
                <w:bCs/>
              </w:rPr>
              <w:t>PBMC</w:t>
            </w:r>
          </w:p>
        </w:tc>
        <w:tc>
          <w:tcPr>
            <w:tcW w:w="2620" w:type="dxa"/>
            <w:tcBorders>
              <w:top w:val="nil"/>
              <w:left w:val="nil"/>
              <w:bottom w:val="nil"/>
              <w:right w:val="nil"/>
            </w:tcBorders>
            <w:shd w:val="clear" w:color="auto" w:fill="auto"/>
            <w:noWrap/>
            <w:vAlign w:val="bottom"/>
            <w:hideMark/>
          </w:tcPr>
          <w:p w14:paraId="4BBE8796" w14:textId="74ADBC93" w:rsidR="00B40BAA" w:rsidRPr="00EA60F0" w:rsidRDefault="00ED59C9" w:rsidP="00991FE3">
            <w:pPr>
              <w:spacing w:after="160" w:line="259" w:lineRule="auto"/>
              <w:rPr>
                <w:bCs/>
              </w:rPr>
            </w:pPr>
            <w:r>
              <w:rPr>
                <w:bCs/>
              </w:rPr>
              <w:t xml:space="preserve">        </w:t>
            </w:r>
            <w:r w:rsidR="00B40BAA" w:rsidRPr="00EA60F0">
              <w:rPr>
                <w:bCs/>
              </w:rPr>
              <w:t>0.00077</w:t>
            </w:r>
          </w:p>
        </w:tc>
        <w:tc>
          <w:tcPr>
            <w:tcW w:w="3140" w:type="dxa"/>
            <w:tcBorders>
              <w:top w:val="nil"/>
              <w:left w:val="nil"/>
              <w:bottom w:val="nil"/>
              <w:right w:val="nil"/>
            </w:tcBorders>
            <w:shd w:val="clear" w:color="auto" w:fill="auto"/>
            <w:noWrap/>
            <w:vAlign w:val="bottom"/>
            <w:hideMark/>
          </w:tcPr>
          <w:p w14:paraId="67645C2F" w14:textId="77777777" w:rsidR="00B40BAA" w:rsidRPr="00EA60F0" w:rsidRDefault="00B40BAA" w:rsidP="00991FE3">
            <w:pPr>
              <w:spacing w:after="160" w:line="259" w:lineRule="auto"/>
              <w:rPr>
                <w:bCs/>
              </w:rPr>
            </w:pPr>
            <w:r w:rsidRPr="00EA60F0">
              <w:rPr>
                <w:bCs/>
              </w:rPr>
              <w:t>0.00038</w:t>
            </w:r>
          </w:p>
        </w:tc>
        <w:tc>
          <w:tcPr>
            <w:tcW w:w="2100" w:type="dxa"/>
            <w:tcBorders>
              <w:top w:val="single" w:sz="8" w:space="0" w:color="auto"/>
              <w:left w:val="nil"/>
              <w:bottom w:val="nil"/>
              <w:right w:val="single" w:sz="8" w:space="0" w:color="auto"/>
            </w:tcBorders>
            <w:shd w:val="clear" w:color="auto" w:fill="auto"/>
            <w:noWrap/>
            <w:vAlign w:val="bottom"/>
            <w:hideMark/>
          </w:tcPr>
          <w:p w14:paraId="103156FC" w14:textId="77777777" w:rsidR="00B40BAA" w:rsidRPr="00EA60F0" w:rsidRDefault="00B40BAA" w:rsidP="00991FE3">
            <w:pPr>
              <w:spacing w:after="160" w:line="259" w:lineRule="auto"/>
              <w:rPr>
                <w:bCs/>
              </w:rPr>
            </w:pPr>
            <w:r w:rsidRPr="00EA60F0">
              <w:rPr>
                <w:bCs/>
              </w:rPr>
              <w:t>0.98</w:t>
            </w:r>
          </w:p>
        </w:tc>
      </w:tr>
      <w:tr w:rsidR="00B40BAA" w:rsidRPr="00EA60F0" w14:paraId="14E9BD60" w14:textId="77777777" w:rsidTr="00991FE3">
        <w:trPr>
          <w:trHeight w:val="340"/>
        </w:trPr>
        <w:tc>
          <w:tcPr>
            <w:tcW w:w="980" w:type="dxa"/>
            <w:vMerge/>
            <w:tcBorders>
              <w:top w:val="nil"/>
              <w:left w:val="single" w:sz="8" w:space="0" w:color="auto"/>
              <w:bottom w:val="single" w:sz="8" w:space="0" w:color="000000"/>
              <w:right w:val="single" w:sz="8" w:space="0" w:color="auto"/>
            </w:tcBorders>
            <w:vAlign w:val="center"/>
            <w:hideMark/>
          </w:tcPr>
          <w:p w14:paraId="4A2757BE" w14:textId="77777777" w:rsidR="00B40BAA" w:rsidRPr="00EA60F0" w:rsidRDefault="00B40BAA" w:rsidP="00991FE3">
            <w:pPr>
              <w:spacing w:after="160" w:line="259" w:lineRule="auto"/>
              <w:rPr>
                <w:bCs/>
              </w:rPr>
            </w:pPr>
          </w:p>
        </w:tc>
        <w:tc>
          <w:tcPr>
            <w:tcW w:w="843" w:type="dxa"/>
            <w:tcBorders>
              <w:top w:val="nil"/>
              <w:left w:val="single" w:sz="8" w:space="0" w:color="auto"/>
              <w:bottom w:val="single" w:sz="8" w:space="0" w:color="auto"/>
              <w:right w:val="nil"/>
            </w:tcBorders>
            <w:shd w:val="clear" w:color="auto" w:fill="auto"/>
            <w:noWrap/>
            <w:vAlign w:val="bottom"/>
            <w:hideMark/>
          </w:tcPr>
          <w:p w14:paraId="625E0098" w14:textId="77777777" w:rsidR="00B40BAA" w:rsidRPr="00EA60F0" w:rsidRDefault="00B40BAA" w:rsidP="00991FE3">
            <w:pPr>
              <w:spacing w:after="160" w:line="259" w:lineRule="auto"/>
              <w:rPr>
                <w:bCs/>
              </w:rPr>
            </w:pPr>
            <w:r w:rsidRPr="00EA60F0">
              <w:rPr>
                <w:bCs/>
              </w:rPr>
              <w:t>Saliva</w:t>
            </w:r>
          </w:p>
        </w:tc>
        <w:tc>
          <w:tcPr>
            <w:tcW w:w="2620" w:type="dxa"/>
            <w:tcBorders>
              <w:top w:val="nil"/>
              <w:left w:val="nil"/>
              <w:bottom w:val="single" w:sz="8" w:space="0" w:color="auto"/>
              <w:right w:val="nil"/>
            </w:tcBorders>
            <w:shd w:val="clear" w:color="auto" w:fill="auto"/>
            <w:noWrap/>
            <w:vAlign w:val="bottom"/>
            <w:hideMark/>
          </w:tcPr>
          <w:p w14:paraId="4B49A8A0" w14:textId="7A4F3BAC" w:rsidR="00B40BAA" w:rsidRPr="00EA60F0" w:rsidRDefault="00ED59C9" w:rsidP="00991FE3">
            <w:pPr>
              <w:spacing w:after="160" w:line="259" w:lineRule="auto"/>
              <w:rPr>
                <w:bCs/>
              </w:rPr>
            </w:pPr>
            <w:r>
              <w:rPr>
                <w:bCs/>
              </w:rPr>
              <w:t xml:space="preserve">        </w:t>
            </w:r>
            <w:r w:rsidR="00B40BAA" w:rsidRPr="00EA60F0">
              <w:rPr>
                <w:bCs/>
              </w:rPr>
              <w:t>0.00059</w:t>
            </w:r>
          </w:p>
        </w:tc>
        <w:tc>
          <w:tcPr>
            <w:tcW w:w="3140" w:type="dxa"/>
            <w:tcBorders>
              <w:top w:val="nil"/>
              <w:left w:val="nil"/>
              <w:bottom w:val="single" w:sz="8" w:space="0" w:color="auto"/>
              <w:right w:val="nil"/>
            </w:tcBorders>
            <w:shd w:val="clear" w:color="auto" w:fill="auto"/>
            <w:noWrap/>
            <w:vAlign w:val="bottom"/>
            <w:hideMark/>
          </w:tcPr>
          <w:p w14:paraId="63D6E10F" w14:textId="77777777" w:rsidR="00B40BAA" w:rsidRPr="00EA60F0" w:rsidRDefault="00B40BAA" w:rsidP="00991FE3">
            <w:pPr>
              <w:spacing w:after="160" w:line="259" w:lineRule="auto"/>
              <w:rPr>
                <w:bCs/>
              </w:rPr>
            </w:pPr>
            <w:r w:rsidRPr="00EA60F0">
              <w:rPr>
                <w:bCs/>
              </w:rPr>
              <w:t>0.00039</w:t>
            </w:r>
          </w:p>
        </w:tc>
        <w:tc>
          <w:tcPr>
            <w:tcW w:w="2100" w:type="dxa"/>
            <w:tcBorders>
              <w:top w:val="nil"/>
              <w:left w:val="nil"/>
              <w:bottom w:val="single" w:sz="8" w:space="0" w:color="auto"/>
              <w:right w:val="single" w:sz="8" w:space="0" w:color="auto"/>
            </w:tcBorders>
            <w:shd w:val="clear" w:color="auto" w:fill="auto"/>
            <w:noWrap/>
            <w:vAlign w:val="bottom"/>
            <w:hideMark/>
          </w:tcPr>
          <w:p w14:paraId="4584DB9C" w14:textId="77777777" w:rsidR="00B40BAA" w:rsidRPr="00EA60F0" w:rsidRDefault="00B40BAA" w:rsidP="00991FE3">
            <w:pPr>
              <w:spacing w:after="160" w:line="259" w:lineRule="auto"/>
              <w:rPr>
                <w:bCs/>
              </w:rPr>
            </w:pPr>
            <w:r w:rsidRPr="00EA60F0">
              <w:rPr>
                <w:bCs/>
              </w:rPr>
              <w:t>0.98</w:t>
            </w:r>
          </w:p>
        </w:tc>
      </w:tr>
      <w:tr w:rsidR="00B40BAA" w:rsidRPr="00EA60F0" w14:paraId="38DC60CC" w14:textId="77777777" w:rsidTr="00991FE3">
        <w:trPr>
          <w:trHeight w:val="320"/>
        </w:trPr>
        <w:tc>
          <w:tcPr>
            <w:tcW w:w="98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6612CD36" w14:textId="6C04A7D1" w:rsidR="00B40BAA" w:rsidRPr="00EA60F0" w:rsidRDefault="00ED59C9" w:rsidP="00991FE3">
            <w:pPr>
              <w:spacing w:after="160" w:line="259" w:lineRule="auto"/>
              <w:rPr>
                <w:bCs/>
              </w:rPr>
            </w:pPr>
            <w:r>
              <w:rPr>
                <w:bCs/>
              </w:rPr>
              <w:t>DBS complete sample</w:t>
            </w:r>
          </w:p>
        </w:tc>
        <w:tc>
          <w:tcPr>
            <w:tcW w:w="843" w:type="dxa"/>
            <w:tcBorders>
              <w:top w:val="nil"/>
              <w:left w:val="single" w:sz="8" w:space="0" w:color="auto"/>
              <w:bottom w:val="nil"/>
              <w:right w:val="nil"/>
            </w:tcBorders>
            <w:shd w:val="clear" w:color="auto" w:fill="auto"/>
            <w:noWrap/>
            <w:vAlign w:val="bottom"/>
            <w:hideMark/>
          </w:tcPr>
          <w:p w14:paraId="7A577970" w14:textId="77777777" w:rsidR="00B40BAA" w:rsidRPr="00EA60F0" w:rsidRDefault="00B40BAA" w:rsidP="00991FE3">
            <w:pPr>
              <w:spacing w:after="160" w:line="259" w:lineRule="auto"/>
              <w:rPr>
                <w:bCs/>
              </w:rPr>
            </w:pPr>
            <w:r w:rsidRPr="00EA60F0">
              <w:rPr>
                <w:bCs/>
              </w:rPr>
              <w:t>PBMC</w:t>
            </w:r>
          </w:p>
        </w:tc>
        <w:tc>
          <w:tcPr>
            <w:tcW w:w="2620" w:type="dxa"/>
            <w:tcBorders>
              <w:top w:val="nil"/>
              <w:left w:val="nil"/>
              <w:bottom w:val="nil"/>
              <w:right w:val="nil"/>
            </w:tcBorders>
            <w:shd w:val="clear" w:color="auto" w:fill="auto"/>
            <w:noWrap/>
            <w:vAlign w:val="bottom"/>
            <w:hideMark/>
          </w:tcPr>
          <w:p w14:paraId="08DAC250" w14:textId="1AE14345" w:rsidR="00B40BAA" w:rsidRPr="00EA60F0" w:rsidRDefault="00ED59C9" w:rsidP="00991FE3">
            <w:pPr>
              <w:spacing w:after="160" w:line="259" w:lineRule="auto"/>
              <w:rPr>
                <w:bCs/>
              </w:rPr>
            </w:pPr>
            <w:r>
              <w:rPr>
                <w:bCs/>
              </w:rPr>
              <w:t xml:space="preserve">        </w:t>
            </w:r>
            <w:r w:rsidR="00B40BAA" w:rsidRPr="00EA60F0">
              <w:rPr>
                <w:bCs/>
              </w:rPr>
              <w:t>0.00081</w:t>
            </w:r>
          </w:p>
        </w:tc>
        <w:tc>
          <w:tcPr>
            <w:tcW w:w="3140" w:type="dxa"/>
            <w:tcBorders>
              <w:top w:val="nil"/>
              <w:left w:val="nil"/>
              <w:bottom w:val="nil"/>
              <w:right w:val="nil"/>
            </w:tcBorders>
            <w:shd w:val="clear" w:color="auto" w:fill="auto"/>
            <w:noWrap/>
            <w:vAlign w:val="bottom"/>
            <w:hideMark/>
          </w:tcPr>
          <w:p w14:paraId="4B5D3E05" w14:textId="77777777" w:rsidR="00B40BAA" w:rsidRPr="00EA60F0" w:rsidRDefault="00B40BAA" w:rsidP="00991FE3">
            <w:pPr>
              <w:spacing w:after="160" w:line="259" w:lineRule="auto"/>
              <w:rPr>
                <w:bCs/>
              </w:rPr>
            </w:pPr>
            <w:r w:rsidRPr="00EA60F0">
              <w:rPr>
                <w:bCs/>
              </w:rPr>
              <w:t>0.00034</w:t>
            </w:r>
          </w:p>
        </w:tc>
        <w:tc>
          <w:tcPr>
            <w:tcW w:w="2100" w:type="dxa"/>
            <w:tcBorders>
              <w:top w:val="single" w:sz="8" w:space="0" w:color="auto"/>
              <w:left w:val="nil"/>
              <w:bottom w:val="nil"/>
              <w:right w:val="single" w:sz="8" w:space="0" w:color="auto"/>
            </w:tcBorders>
            <w:shd w:val="clear" w:color="auto" w:fill="auto"/>
            <w:noWrap/>
            <w:vAlign w:val="bottom"/>
            <w:hideMark/>
          </w:tcPr>
          <w:p w14:paraId="5321202E" w14:textId="77777777" w:rsidR="00B40BAA" w:rsidRPr="00EA60F0" w:rsidRDefault="00B40BAA" w:rsidP="00991FE3">
            <w:pPr>
              <w:spacing w:after="160" w:line="259" w:lineRule="auto"/>
              <w:rPr>
                <w:bCs/>
              </w:rPr>
            </w:pPr>
            <w:r w:rsidRPr="00EA60F0">
              <w:rPr>
                <w:bCs/>
              </w:rPr>
              <w:t>0.98</w:t>
            </w:r>
          </w:p>
        </w:tc>
      </w:tr>
      <w:tr w:rsidR="00B40BAA" w:rsidRPr="00EA60F0" w14:paraId="3126A8DA" w14:textId="77777777" w:rsidTr="00991FE3">
        <w:trPr>
          <w:trHeight w:val="320"/>
        </w:trPr>
        <w:tc>
          <w:tcPr>
            <w:tcW w:w="980" w:type="dxa"/>
            <w:vMerge/>
            <w:tcBorders>
              <w:top w:val="single" w:sz="8" w:space="0" w:color="auto"/>
              <w:left w:val="single" w:sz="8" w:space="0" w:color="auto"/>
              <w:bottom w:val="single" w:sz="8" w:space="0" w:color="000000"/>
              <w:right w:val="nil"/>
            </w:tcBorders>
            <w:vAlign w:val="center"/>
            <w:hideMark/>
          </w:tcPr>
          <w:p w14:paraId="797A5503" w14:textId="77777777" w:rsidR="00B40BAA" w:rsidRPr="00EA60F0" w:rsidRDefault="00B40BAA" w:rsidP="00991FE3">
            <w:pPr>
              <w:spacing w:after="160" w:line="259" w:lineRule="auto"/>
              <w:rPr>
                <w:bCs/>
              </w:rPr>
            </w:pPr>
          </w:p>
        </w:tc>
        <w:tc>
          <w:tcPr>
            <w:tcW w:w="843" w:type="dxa"/>
            <w:tcBorders>
              <w:top w:val="nil"/>
              <w:left w:val="single" w:sz="8" w:space="0" w:color="auto"/>
              <w:bottom w:val="nil"/>
              <w:right w:val="nil"/>
            </w:tcBorders>
            <w:shd w:val="clear" w:color="auto" w:fill="auto"/>
            <w:noWrap/>
            <w:vAlign w:val="bottom"/>
            <w:hideMark/>
          </w:tcPr>
          <w:p w14:paraId="651C4B4C" w14:textId="77777777" w:rsidR="00B40BAA" w:rsidRPr="00EA60F0" w:rsidRDefault="00B40BAA" w:rsidP="00991FE3">
            <w:pPr>
              <w:spacing w:after="160" w:line="259" w:lineRule="auto"/>
              <w:rPr>
                <w:bCs/>
              </w:rPr>
            </w:pPr>
            <w:r w:rsidRPr="00EA60F0">
              <w:rPr>
                <w:bCs/>
              </w:rPr>
              <w:t>Saliva</w:t>
            </w:r>
          </w:p>
        </w:tc>
        <w:tc>
          <w:tcPr>
            <w:tcW w:w="2620" w:type="dxa"/>
            <w:tcBorders>
              <w:top w:val="nil"/>
              <w:left w:val="nil"/>
              <w:bottom w:val="nil"/>
              <w:right w:val="nil"/>
            </w:tcBorders>
            <w:shd w:val="clear" w:color="auto" w:fill="auto"/>
            <w:noWrap/>
            <w:vAlign w:val="bottom"/>
            <w:hideMark/>
          </w:tcPr>
          <w:p w14:paraId="0981A284" w14:textId="3ABDC995" w:rsidR="00B40BAA" w:rsidRPr="00EA60F0" w:rsidRDefault="00ED59C9" w:rsidP="00991FE3">
            <w:pPr>
              <w:spacing w:after="160" w:line="259" w:lineRule="auto"/>
              <w:rPr>
                <w:bCs/>
              </w:rPr>
            </w:pPr>
            <w:r>
              <w:rPr>
                <w:bCs/>
              </w:rPr>
              <w:t xml:space="preserve">        </w:t>
            </w:r>
            <w:r w:rsidR="00B40BAA" w:rsidRPr="00EA60F0">
              <w:rPr>
                <w:bCs/>
              </w:rPr>
              <w:t>0.00066</w:t>
            </w:r>
          </w:p>
        </w:tc>
        <w:tc>
          <w:tcPr>
            <w:tcW w:w="3140" w:type="dxa"/>
            <w:tcBorders>
              <w:top w:val="nil"/>
              <w:left w:val="nil"/>
              <w:bottom w:val="nil"/>
              <w:right w:val="nil"/>
            </w:tcBorders>
            <w:shd w:val="clear" w:color="auto" w:fill="auto"/>
            <w:noWrap/>
            <w:vAlign w:val="bottom"/>
            <w:hideMark/>
          </w:tcPr>
          <w:p w14:paraId="4D4457C0" w14:textId="77777777" w:rsidR="00B40BAA" w:rsidRPr="00EA60F0" w:rsidRDefault="00B40BAA" w:rsidP="00991FE3">
            <w:pPr>
              <w:spacing w:after="160" w:line="259" w:lineRule="auto"/>
              <w:rPr>
                <w:bCs/>
              </w:rPr>
            </w:pPr>
            <w:r w:rsidRPr="00EA60F0">
              <w:rPr>
                <w:bCs/>
              </w:rPr>
              <w:t>0.00036</w:t>
            </w:r>
          </w:p>
        </w:tc>
        <w:tc>
          <w:tcPr>
            <w:tcW w:w="2100" w:type="dxa"/>
            <w:tcBorders>
              <w:top w:val="nil"/>
              <w:left w:val="nil"/>
              <w:bottom w:val="nil"/>
              <w:right w:val="single" w:sz="8" w:space="0" w:color="auto"/>
            </w:tcBorders>
            <w:shd w:val="clear" w:color="auto" w:fill="auto"/>
            <w:noWrap/>
            <w:vAlign w:val="bottom"/>
            <w:hideMark/>
          </w:tcPr>
          <w:p w14:paraId="51E74A9F" w14:textId="77777777" w:rsidR="00B40BAA" w:rsidRPr="00EA60F0" w:rsidRDefault="00B40BAA" w:rsidP="00991FE3">
            <w:pPr>
              <w:spacing w:after="160" w:line="259" w:lineRule="auto"/>
              <w:rPr>
                <w:bCs/>
              </w:rPr>
            </w:pPr>
            <w:r w:rsidRPr="00EA60F0">
              <w:rPr>
                <w:bCs/>
              </w:rPr>
              <w:t>0.98</w:t>
            </w:r>
          </w:p>
        </w:tc>
      </w:tr>
      <w:tr w:rsidR="00B40BAA" w:rsidRPr="00EA60F0" w14:paraId="26972257" w14:textId="77777777" w:rsidTr="00991FE3">
        <w:trPr>
          <w:trHeight w:val="340"/>
        </w:trPr>
        <w:tc>
          <w:tcPr>
            <w:tcW w:w="980" w:type="dxa"/>
            <w:vMerge/>
            <w:tcBorders>
              <w:top w:val="single" w:sz="8" w:space="0" w:color="auto"/>
              <w:left w:val="single" w:sz="8" w:space="0" w:color="auto"/>
              <w:bottom w:val="single" w:sz="8" w:space="0" w:color="000000"/>
              <w:right w:val="nil"/>
            </w:tcBorders>
            <w:vAlign w:val="center"/>
            <w:hideMark/>
          </w:tcPr>
          <w:p w14:paraId="33288D09" w14:textId="77777777" w:rsidR="00B40BAA" w:rsidRPr="00EA60F0" w:rsidRDefault="00B40BAA" w:rsidP="00991FE3">
            <w:pPr>
              <w:spacing w:after="160" w:line="259" w:lineRule="auto"/>
              <w:rPr>
                <w:bCs/>
              </w:rPr>
            </w:pPr>
          </w:p>
        </w:tc>
        <w:tc>
          <w:tcPr>
            <w:tcW w:w="843" w:type="dxa"/>
            <w:tcBorders>
              <w:top w:val="nil"/>
              <w:left w:val="single" w:sz="8" w:space="0" w:color="auto"/>
              <w:bottom w:val="single" w:sz="8" w:space="0" w:color="auto"/>
              <w:right w:val="nil"/>
            </w:tcBorders>
            <w:shd w:val="clear" w:color="auto" w:fill="auto"/>
            <w:noWrap/>
            <w:vAlign w:val="bottom"/>
            <w:hideMark/>
          </w:tcPr>
          <w:p w14:paraId="35B763F1" w14:textId="77777777" w:rsidR="00B40BAA" w:rsidRPr="00EA60F0" w:rsidRDefault="00B40BAA" w:rsidP="00991FE3">
            <w:pPr>
              <w:spacing w:after="160" w:line="259" w:lineRule="auto"/>
              <w:rPr>
                <w:bCs/>
              </w:rPr>
            </w:pPr>
            <w:r w:rsidRPr="00EA60F0">
              <w:rPr>
                <w:bCs/>
              </w:rPr>
              <w:t>DBS</w:t>
            </w:r>
          </w:p>
        </w:tc>
        <w:tc>
          <w:tcPr>
            <w:tcW w:w="2620" w:type="dxa"/>
            <w:tcBorders>
              <w:top w:val="nil"/>
              <w:left w:val="nil"/>
              <w:bottom w:val="single" w:sz="8" w:space="0" w:color="auto"/>
              <w:right w:val="nil"/>
            </w:tcBorders>
            <w:shd w:val="clear" w:color="auto" w:fill="auto"/>
            <w:noWrap/>
            <w:vAlign w:val="bottom"/>
            <w:hideMark/>
          </w:tcPr>
          <w:p w14:paraId="5781EDF0" w14:textId="00FFAED2" w:rsidR="00B40BAA" w:rsidRPr="00EA60F0" w:rsidRDefault="00ED59C9" w:rsidP="00991FE3">
            <w:pPr>
              <w:spacing w:after="160" w:line="259" w:lineRule="auto"/>
              <w:rPr>
                <w:bCs/>
              </w:rPr>
            </w:pPr>
            <w:r>
              <w:rPr>
                <w:bCs/>
              </w:rPr>
              <w:t xml:space="preserve">        </w:t>
            </w:r>
            <w:r w:rsidR="00B40BAA" w:rsidRPr="00EA60F0">
              <w:rPr>
                <w:bCs/>
              </w:rPr>
              <w:t>0.00082</w:t>
            </w:r>
          </w:p>
        </w:tc>
        <w:tc>
          <w:tcPr>
            <w:tcW w:w="3140" w:type="dxa"/>
            <w:tcBorders>
              <w:top w:val="nil"/>
              <w:left w:val="nil"/>
              <w:bottom w:val="single" w:sz="8" w:space="0" w:color="auto"/>
              <w:right w:val="nil"/>
            </w:tcBorders>
            <w:shd w:val="clear" w:color="auto" w:fill="auto"/>
            <w:noWrap/>
            <w:vAlign w:val="bottom"/>
            <w:hideMark/>
          </w:tcPr>
          <w:p w14:paraId="2E9204C7" w14:textId="77777777" w:rsidR="00B40BAA" w:rsidRPr="00EA60F0" w:rsidRDefault="00B40BAA" w:rsidP="00991FE3">
            <w:pPr>
              <w:spacing w:after="160" w:line="259" w:lineRule="auto"/>
              <w:rPr>
                <w:bCs/>
              </w:rPr>
            </w:pPr>
            <w:r w:rsidRPr="00EA60F0">
              <w:rPr>
                <w:bCs/>
              </w:rPr>
              <w:t>0.00046</w:t>
            </w:r>
          </w:p>
        </w:tc>
        <w:tc>
          <w:tcPr>
            <w:tcW w:w="2100" w:type="dxa"/>
            <w:tcBorders>
              <w:top w:val="nil"/>
              <w:left w:val="nil"/>
              <w:bottom w:val="single" w:sz="8" w:space="0" w:color="auto"/>
              <w:right w:val="single" w:sz="8" w:space="0" w:color="auto"/>
            </w:tcBorders>
            <w:shd w:val="clear" w:color="auto" w:fill="auto"/>
            <w:noWrap/>
            <w:vAlign w:val="bottom"/>
            <w:hideMark/>
          </w:tcPr>
          <w:p w14:paraId="32CE120C" w14:textId="77777777" w:rsidR="00B40BAA" w:rsidRPr="00EA60F0" w:rsidRDefault="00B40BAA" w:rsidP="00991FE3">
            <w:pPr>
              <w:spacing w:after="160" w:line="259" w:lineRule="auto"/>
              <w:rPr>
                <w:bCs/>
              </w:rPr>
            </w:pPr>
            <w:r w:rsidRPr="00EA60F0">
              <w:rPr>
                <w:bCs/>
              </w:rPr>
              <w:t>0.98</w:t>
            </w:r>
          </w:p>
        </w:tc>
      </w:tr>
    </w:tbl>
    <w:p w14:paraId="0F0D1E21" w14:textId="77777777" w:rsidR="00B40BAA" w:rsidRPr="00EA60F0" w:rsidRDefault="00B40BAA" w:rsidP="00B40BAA">
      <w:pPr>
        <w:spacing w:after="160" w:line="259" w:lineRule="auto"/>
        <w:rPr>
          <w:b/>
        </w:rPr>
      </w:pPr>
    </w:p>
    <w:p w14:paraId="30E2D786" w14:textId="06346E0A" w:rsidR="00687B1F" w:rsidRDefault="00687B1F" w:rsidP="00687B1F">
      <w:pPr>
        <w:spacing w:after="160" w:line="259" w:lineRule="auto"/>
        <w:rPr>
          <w:b/>
          <w:i/>
        </w:rPr>
      </w:pPr>
      <w:r>
        <w:rPr>
          <w:b/>
          <w:i/>
        </w:rPr>
        <w:t>Robustness</w:t>
      </w:r>
    </w:p>
    <w:p w14:paraId="4C471E85" w14:textId="2A67BB1D" w:rsidR="00862DD6" w:rsidRDefault="00687B1F" w:rsidP="00687B1F">
      <w:pPr>
        <w:spacing w:after="160" w:line="259" w:lineRule="auto"/>
      </w:pPr>
      <w:r>
        <w:tab/>
        <w:t>We did an analysis of our samples to confirm that our results were robust to the exclusion of outliers.   Our primary interest in this work was to understand whether regression results were dependent the choice of tissue collected.  With this in mind, we checked the regressions that used differences in measured telomere length as measured using the different tissue typ</w:t>
      </w:r>
      <w:r w:rsidR="00862DD6">
        <w:t xml:space="preserve">es </w:t>
      </w:r>
      <w:r w:rsidR="00C94716">
        <w:t>as</w:t>
      </w:r>
      <w:r w:rsidR="00862DD6">
        <w:t xml:space="preserve"> our dependent variable</w:t>
      </w:r>
      <w:r w:rsidR="00C94716">
        <w:t>s</w:t>
      </w:r>
      <w:r w:rsidR="00862DD6">
        <w:t>. Table S3 shows the distribution of Cook’s D statistic</w:t>
      </w:r>
      <w:r w:rsidR="00310552">
        <w:fldChar w:fldCharType="begin"/>
      </w:r>
      <w:r w:rsidR="00310552">
        <w:instrText xml:space="preserve"> ADDIN ZOTERO_ITEM CSL_CITATION {"citationID":"SGR4mYpY","properties":{"formattedCitation":"\\super 20\\nosupersub{}","plainCitation":"20","noteIndex":0},"citationItems":[{"id":2623,"uris":["http://zotero.org/users/4251691/items/9NHSRYY6"],"uri":["http://zotero.org/users/4251691/items/9NHSRYY6"],"itemData":{"id":2623,"type":"article-journal","container-title":"Journal of the American Statistical Association","DOI":"10.1080/01621459.1979.10481634","ISSN":"0162-1459, 1537-274X","issue":"365","journalAbbreviation":"Journal of the American Statistical Association","language":"en","page":"169-174","source":"DOI.org (Crossref)","title":"Influential Observations in Linear Regression","volume":"74","author":[{"family":"Cook","given":"R. Dennis"}],"issued":{"date-parts":[["1979",3]]}}}],"schema":"https://github.com/citation-style-language/schema/raw/master/csl-citation.json"} </w:instrText>
      </w:r>
      <w:r w:rsidR="00310552">
        <w:fldChar w:fldCharType="separate"/>
      </w:r>
      <w:r w:rsidR="00310552" w:rsidRPr="00310552">
        <w:rPr>
          <w:vertAlign w:val="superscript"/>
        </w:rPr>
        <w:t>20</w:t>
      </w:r>
      <w:r w:rsidR="00310552">
        <w:fldChar w:fldCharType="end"/>
      </w:r>
      <w:r w:rsidR="00310552">
        <w:t xml:space="preserve"> </w:t>
      </w:r>
      <w:r w:rsidR="00862DD6">
        <w:t xml:space="preserve">for our two samples. Using critical cuts offs of 0.03 for the larger sample and 0.04 for the smaller sample, we found </w:t>
      </w:r>
      <w:r w:rsidR="00862DD6">
        <w:lastRenderedPageBreak/>
        <w:t>11 influential observations in the larger sample, and either 11 or 12 influential o</w:t>
      </w:r>
      <w:r w:rsidR="00561529">
        <w:t xml:space="preserve">bservations in the smaller sample.  </w:t>
      </w:r>
    </w:p>
    <w:p w14:paraId="1C5447B4" w14:textId="4DB5313F" w:rsidR="00561529" w:rsidRDefault="00561529" w:rsidP="00687B1F">
      <w:pPr>
        <w:spacing w:after="160" w:line="259" w:lineRule="auto"/>
      </w:pPr>
      <w:r>
        <w:t>Table S3</w:t>
      </w:r>
      <w:r w:rsidR="00A839E3">
        <w:t xml:space="preserve">. </w:t>
      </w:r>
      <w:r w:rsidR="000520A2" w:rsidRPr="00ED59C9">
        <w:rPr>
          <w:color w:val="000000"/>
        </w:rPr>
        <w:t>Distributions of Cook's D</w:t>
      </w:r>
    </w:p>
    <w:tbl>
      <w:tblPr>
        <w:tblW w:w="8367" w:type="dxa"/>
        <w:tblInd w:w="-10" w:type="dxa"/>
        <w:tblLook w:val="04A0" w:firstRow="1" w:lastRow="0" w:firstColumn="1" w:lastColumn="0" w:noHBand="0" w:noVBand="1"/>
      </w:tblPr>
      <w:tblGrid>
        <w:gridCol w:w="1231"/>
        <w:gridCol w:w="756"/>
        <w:gridCol w:w="756"/>
        <w:gridCol w:w="1156"/>
        <w:gridCol w:w="756"/>
        <w:gridCol w:w="756"/>
        <w:gridCol w:w="1156"/>
        <w:gridCol w:w="756"/>
        <w:gridCol w:w="1044"/>
      </w:tblGrid>
      <w:tr w:rsidR="000A4F6E" w:rsidRPr="000A4F6E" w14:paraId="696A5BA0" w14:textId="77777777" w:rsidTr="000B256F">
        <w:trPr>
          <w:trHeight w:val="340"/>
        </w:trPr>
        <w:tc>
          <w:tcPr>
            <w:tcW w:w="1231" w:type="dxa"/>
            <w:tcBorders>
              <w:top w:val="single" w:sz="4" w:space="0" w:color="auto"/>
              <w:left w:val="single" w:sz="8" w:space="0" w:color="auto"/>
              <w:bottom w:val="single" w:sz="8" w:space="0" w:color="auto"/>
              <w:right w:val="nil"/>
            </w:tcBorders>
            <w:shd w:val="clear" w:color="000000" w:fill="FFFFFF"/>
            <w:noWrap/>
            <w:vAlign w:val="center"/>
            <w:hideMark/>
          </w:tcPr>
          <w:p w14:paraId="05B64F09" w14:textId="3601580F" w:rsidR="000A4F6E" w:rsidRPr="000A4F6E" w:rsidRDefault="000A4F6E" w:rsidP="000A4F6E">
            <w:pPr>
              <w:rPr>
                <w:color w:val="000000"/>
              </w:rPr>
            </w:pPr>
          </w:p>
        </w:tc>
        <w:tc>
          <w:tcPr>
            <w:tcW w:w="2668"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E02CE48" w14:textId="2FCA8FE9" w:rsidR="000A4F6E" w:rsidRPr="000A4F6E" w:rsidRDefault="00ED59C9" w:rsidP="000A4F6E">
            <w:pPr>
              <w:jc w:val="center"/>
              <w:rPr>
                <w:color w:val="000000"/>
              </w:rPr>
            </w:pPr>
            <w:r>
              <w:rPr>
                <w:color w:val="000000"/>
              </w:rPr>
              <w:t>Full Sample</w:t>
            </w:r>
          </w:p>
        </w:tc>
        <w:tc>
          <w:tcPr>
            <w:tcW w:w="4468" w:type="dxa"/>
            <w:gridSpan w:val="5"/>
            <w:tcBorders>
              <w:top w:val="single" w:sz="8" w:space="0" w:color="auto"/>
              <w:left w:val="nil"/>
              <w:bottom w:val="single" w:sz="8" w:space="0" w:color="auto"/>
              <w:right w:val="single" w:sz="8" w:space="0" w:color="000000"/>
            </w:tcBorders>
            <w:shd w:val="clear" w:color="000000" w:fill="FFFFFF"/>
            <w:noWrap/>
            <w:vAlign w:val="center"/>
            <w:hideMark/>
          </w:tcPr>
          <w:p w14:paraId="0CB07AF9" w14:textId="427604D3" w:rsidR="000A4F6E" w:rsidRPr="000A4F6E" w:rsidRDefault="00ED59C9" w:rsidP="000A4F6E">
            <w:pPr>
              <w:jc w:val="center"/>
              <w:rPr>
                <w:color w:val="000000"/>
              </w:rPr>
            </w:pPr>
            <w:r>
              <w:rPr>
                <w:color w:val="000000"/>
              </w:rPr>
              <w:t>DBS Complete Sample</w:t>
            </w:r>
          </w:p>
        </w:tc>
      </w:tr>
      <w:tr w:rsidR="000A4F6E" w:rsidRPr="000A4F6E" w14:paraId="5586FD68" w14:textId="77777777" w:rsidTr="000B256F">
        <w:trPr>
          <w:trHeight w:val="340"/>
        </w:trPr>
        <w:tc>
          <w:tcPr>
            <w:tcW w:w="1231" w:type="dxa"/>
            <w:tcBorders>
              <w:top w:val="nil"/>
              <w:left w:val="single" w:sz="8" w:space="0" w:color="auto"/>
              <w:bottom w:val="single" w:sz="8" w:space="0" w:color="auto"/>
              <w:right w:val="nil"/>
            </w:tcBorders>
            <w:shd w:val="clear" w:color="000000" w:fill="FFFFFF"/>
            <w:noWrap/>
            <w:vAlign w:val="bottom"/>
            <w:hideMark/>
          </w:tcPr>
          <w:p w14:paraId="3049F9AB" w14:textId="11BE6061" w:rsidR="000A4F6E" w:rsidRPr="000A4F6E" w:rsidRDefault="000A4F6E" w:rsidP="000A4F6E">
            <w:pPr>
              <w:rPr>
                <w:color w:val="000000"/>
                <w:sz w:val="22"/>
                <w:szCs w:val="22"/>
              </w:rPr>
            </w:pPr>
            <w:r w:rsidRPr="000A4F6E">
              <w:rPr>
                <w:color w:val="000000"/>
                <w:sz w:val="22"/>
                <w:szCs w:val="22"/>
              </w:rPr>
              <w:t> </w:t>
            </w:r>
            <w:r w:rsidR="005D7C7A" w:rsidRPr="000A4F6E">
              <w:rPr>
                <w:color w:val="000000"/>
              </w:rPr>
              <w:t>Percentile</w:t>
            </w:r>
          </w:p>
        </w:tc>
        <w:tc>
          <w:tcPr>
            <w:tcW w:w="756" w:type="dxa"/>
            <w:tcBorders>
              <w:top w:val="nil"/>
              <w:left w:val="single" w:sz="8" w:space="0" w:color="auto"/>
              <w:bottom w:val="single" w:sz="8" w:space="0" w:color="auto"/>
              <w:right w:val="nil"/>
            </w:tcBorders>
            <w:shd w:val="clear" w:color="000000" w:fill="FFFFFF"/>
            <w:noWrap/>
            <w:vAlign w:val="center"/>
            <w:hideMark/>
          </w:tcPr>
          <w:p w14:paraId="20FBE838" w14:textId="77777777" w:rsidR="000A4F6E" w:rsidRPr="000A4F6E" w:rsidRDefault="000A4F6E" w:rsidP="000A4F6E">
            <w:pPr>
              <w:jc w:val="center"/>
              <w:rPr>
                <w:color w:val="000000"/>
                <w:sz w:val="17"/>
                <w:szCs w:val="17"/>
              </w:rPr>
            </w:pPr>
            <w:r w:rsidRPr="000A4F6E">
              <w:rPr>
                <w:color w:val="000000"/>
                <w:sz w:val="17"/>
                <w:szCs w:val="17"/>
              </w:rPr>
              <w:t>PBMC</w:t>
            </w:r>
          </w:p>
        </w:tc>
        <w:tc>
          <w:tcPr>
            <w:tcW w:w="756" w:type="dxa"/>
            <w:tcBorders>
              <w:top w:val="nil"/>
              <w:left w:val="nil"/>
              <w:bottom w:val="single" w:sz="8" w:space="0" w:color="auto"/>
              <w:right w:val="nil"/>
            </w:tcBorders>
            <w:shd w:val="clear" w:color="000000" w:fill="FFFFFF"/>
            <w:noWrap/>
            <w:vAlign w:val="center"/>
            <w:hideMark/>
          </w:tcPr>
          <w:p w14:paraId="7B0870AD" w14:textId="77777777" w:rsidR="000A4F6E" w:rsidRPr="000A4F6E" w:rsidRDefault="000A4F6E" w:rsidP="000A4F6E">
            <w:pPr>
              <w:jc w:val="center"/>
              <w:rPr>
                <w:color w:val="000000"/>
                <w:sz w:val="17"/>
                <w:szCs w:val="17"/>
              </w:rPr>
            </w:pPr>
            <w:r w:rsidRPr="000A4F6E">
              <w:rPr>
                <w:color w:val="000000"/>
                <w:sz w:val="17"/>
                <w:szCs w:val="17"/>
              </w:rPr>
              <w:t>Saliva</w:t>
            </w:r>
          </w:p>
        </w:tc>
        <w:tc>
          <w:tcPr>
            <w:tcW w:w="1156" w:type="dxa"/>
            <w:tcBorders>
              <w:top w:val="nil"/>
              <w:left w:val="nil"/>
              <w:bottom w:val="single" w:sz="8" w:space="0" w:color="auto"/>
              <w:right w:val="single" w:sz="8" w:space="0" w:color="auto"/>
            </w:tcBorders>
            <w:shd w:val="clear" w:color="000000" w:fill="FFFFFF"/>
            <w:noWrap/>
            <w:vAlign w:val="center"/>
            <w:hideMark/>
          </w:tcPr>
          <w:p w14:paraId="0DD78FDE" w14:textId="77777777" w:rsidR="000A4F6E" w:rsidRPr="000A4F6E" w:rsidRDefault="000A4F6E" w:rsidP="000A4F6E">
            <w:pPr>
              <w:jc w:val="center"/>
              <w:rPr>
                <w:color w:val="000000"/>
                <w:sz w:val="17"/>
                <w:szCs w:val="17"/>
              </w:rPr>
            </w:pPr>
            <w:r w:rsidRPr="000A4F6E">
              <w:rPr>
                <w:color w:val="000000"/>
                <w:sz w:val="17"/>
                <w:szCs w:val="17"/>
              </w:rPr>
              <w:t>Saliva-PBMC</w:t>
            </w:r>
          </w:p>
        </w:tc>
        <w:tc>
          <w:tcPr>
            <w:tcW w:w="756" w:type="dxa"/>
            <w:tcBorders>
              <w:top w:val="nil"/>
              <w:left w:val="nil"/>
              <w:bottom w:val="single" w:sz="8" w:space="0" w:color="auto"/>
              <w:right w:val="nil"/>
            </w:tcBorders>
            <w:shd w:val="clear" w:color="000000" w:fill="FFFFFF"/>
            <w:noWrap/>
            <w:vAlign w:val="center"/>
            <w:hideMark/>
          </w:tcPr>
          <w:p w14:paraId="21B6E43C" w14:textId="77777777" w:rsidR="000A4F6E" w:rsidRPr="000A4F6E" w:rsidRDefault="000A4F6E" w:rsidP="000A4F6E">
            <w:pPr>
              <w:jc w:val="center"/>
              <w:rPr>
                <w:color w:val="000000"/>
                <w:sz w:val="17"/>
                <w:szCs w:val="17"/>
              </w:rPr>
            </w:pPr>
            <w:r w:rsidRPr="000A4F6E">
              <w:rPr>
                <w:color w:val="000000"/>
                <w:sz w:val="17"/>
                <w:szCs w:val="17"/>
              </w:rPr>
              <w:t>PBMC</w:t>
            </w:r>
          </w:p>
        </w:tc>
        <w:tc>
          <w:tcPr>
            <w:tcW w:w="756" w:type="dxa"/>
            <w:tcBorders>
              <w:top w:val="nil"/>
              <w:left w:val="nil"/>
              <w:bottom w:val="single" w:sz="8" w:space="0" w:color="auto"/>
              <w:right w:val="nil"/>
            </w:tcBorders>
            <w:shd w:val="clear" w:color="000000" w:fill="FFFFFF"/>
            <w:noWrap/>
            <w:vAlign w:val="center"/>
            <w:hideMark/>
          </w:tcPr>
          <w:p w14:paraId="005E8833" w14:textId="77777777" w:rsidR="000A4F6E" w:rsidRPr="000A4F6E" w:rsidRDefault="000A4F6E" w:rsidP="000A4F6E">
            <w:pPr>
              <w:jc w:val="center"/>
              <w:rPr>
                <w:color w:val="000000"/>
                <w:sz w:val="17"/>
                <w:szCs w:val="17"/>
              </w:rPr>
            </w:pPr>
            <w:r w:rsidRPr="000A4F6E">
              <w:rPr>
                <w:color w:val="000000"/>
                <w:sz w:val="17"/>
                <w:szCs w:val="17"/>
              </w:rPr>
              <w:t>Saliva</w:t>
            </w:r>
          </w:p>
        </w:tc>
        <w:tc>
          <w:tcPr>
            <w:tcW w:w="1156" w:type="dxa"/>
            <w:tcBorders>
              <w:top w:val="nil"/>
              <w:left w:val="nil"/>
              <w:bottom w:val="single" w:sz="8" w:space="0" w:color="auto"/>
              <w:right w:val="single" w:sz="8" w:space="0" w:color="auto"/>
            </w:tcBorders>
            <w:shd w:val="clear" w:color="000000" w:fill="FFFFFF"/>
            <w:noWrap/>
            <w:vAlign w:val="center"/>
            <w:hideMark/>
          </w:tcPr>
          <w:p w14:paraId="459BBB0F" w14:textId="77777777" w:rsidR="000A4F6E" w:rsidRPr="000A4F6E" w:rsidRDefault="000A4F6E" w:rsidP="000A4F6E">
            <w:pPr>
              <w:jc w:val="center"/>
              <w:rPr>
                <w:color w:val="000000"/>
                <w:sz w:val="17"/>
                <w:szCs w:val="17"/>
              </w:rPr>
            </w:pPr>
            <w:r w:rsidRPr="000A4F6E">
              <w:rPr>
                <w:color w:val="000000"/>
                <w:sz w:val="17"/>
                <w:szCs w:val="17"/>
              </w:rPr>
              <w:t>Saliva-PBMC</w:t>
            </w:r>
          </w:p>
        </w:tc>
        <w:tc>
          <w:tcPr>
            <w:tcW w:w="756" w:type="dxa"/>
            <w:tcBorders>
              <w:top w:val="nil"/>
              <w:left w:val="nil"/>
              <w:bottom w:val="single" w:sz="8" w:space="0" w:color="auto"/>
              <w:right w:val="nil"/>
            </w:tcBorders>
            <w:shd w:val="clear" w:color="000000" w:fill="FFFFFF"/>
            <w:noWrap/>
            <w:vAlign w:val="center"/>
            <w:hideMark/>
          </w:tcPr>
          <w:p w14:paraId="02640094" w14:textId="77777777" w:rsidR="000A4F6E" w:rsidRPr="000A4F6E" w:rsidRDefault="000A4F6E" w:rsidP="000A4F6E">
            <w:pPr>
              <w:jc w:val="center"/>
              <w:rPr>
                <w:color w:val="000000"/>
                <w:sz w:val="17"/>
                <w:szCs w:val="17"/>
              </w:rPr>
            </w:pPr>
            <w:r w:rsidRPr="000A4F6E">
              <w:rPr>
                <w:color w:val="000000"/>
                <w:sz w:val="17"/>
                <w:szCs w:val="17"/>
              </w:rPr>
              <w:t>DBS</w:t>
            </w:r>
          </w:p>
        </w:tc>
        <w:tc>
          <w:tcPr>
            <w:tcW w:w="1044" w:type="dxa"/>
            <w:tcBorders>
              <w:top w:val="nil"/>
              <w:left w:val="nil"/>
              <w:bottom w:val="single" w:sz="8" w:space="0" w:color="auto"/>
              <w:right w:val="single" w:sz="8" w:space="0" w:color="auto"/>
            </w:tcBorders>
            <w:shd w:val="clear" w:color="000000" w:fill="FFFFFF"/>
            <w:noWrap/>
            <w:vAlign w:val="center"/>
            <w:hideMark/>
          </w:tcPr>
          <w:p w14:paraId="5176CC43" w14:textId="77777777" w:rsidR="000A4F6E" w:rsidRPr="000A4F6E" w:rsidRDefault="000A4F6E" w:rsidP="000A4F6E">
            <w:pPr>
              <w:jc w:val="center"/>
              <w:rPr>
                <w:color w:val="000000"/>
                <w:sz w:val="17"/>
                <w:szCs w:val="17"/>
              </w:rPr>
            </w:pPr>
            <w:r w:rsidRPr="000A4F6E">
              <w:rPr>
                <w:color w:val="000000"/>
                <w:sz w:val="17"/>
                <w:szCs w:val="17"/>
              </w:rPr>
              <w:t>DBS-PBMC</w:t>
            </w:r>
          </w:p>
        </w:tc>
      </w:tr>
      <w:tr w:rsidR="000A4F6E" w:rsidRPr="000A4F6E" w14:paraId="5B3B1A85" w14:textId="77777777" w:rsidTr="000B256F">
        <w:trPr>
          <w:trHeight w:val="340"/>
        </w:trPr>
        <w:tc>
          <w:tcPr>
            <w:tcW w:w="1231" w:type="dxa"/>
            <w:tcBorders>
              <w:top w:val="nil"/>
              <w:left w:val="single" w:sz="8" w:space="0" w:color="auto"/>
              <w:bottom w:val="single" w:sz="8" w:space="0" w:color="auto"/>
              <w:right w:val="nil"/>
            </w:tcBorders>
            <w:shd w:val="clear" w:color="000000" w:fill="FFFFFF"/>
            <w:noWrap/>
            <w:vAlign w:val="center"/>
            <w:hideMark/>
          </w:tcPr>
          <w:p w14:paraId="36B4722C" w14:textId="4F842508" w:rsidR="000A4F6E" w:rsidRPr="000A4F6E" w:rsidRDefault="000A4F6E" w:rsidP="000A4F6E">
            <w:pPr>
              <w:rPr>
                <w:color w:val="000000"/>
              </w:rPr>
            </w:pPr>
          </w:p>
        </w:tc>
        <w:tc>
          <w:tcPr>
            <w:tcW w:w="756" w:type="dxa"/>
            <w:tcBorders>
              <w:top w:val="nil"/>
              <w:left w:val="single" w:sz="8" w:space="0" w:color="auto"/>
              <w:bottom w:val="single" w:sz="8" w:space="0" w:color="auto"/>
              <w:right w:val="nil"/>
            </w:tcBorders>
            <w:shd w:val="clear" w:color="000000" w:fill="FFFFFF"/>
            <w:noWrap/>
            <w:vAlign w:val="center"/>
            <w:hideMark/>
          </w:tcPr>
          <w:p w14:paraId="438CD155" w14:textId="77777777" w:rsidR="000A4F6E" w:rsidRPr="000A4F6E" w:rsidRDefault="000A4F6E" w:rsidP="000A4F6E">
            <w:pPr>
              <w:jc w:val="center"/>
              <w:rPr>
                <w:color w:val="000000"/>
              </w:rPr>
            </w:pPr>
            <w:r w:rsidRPr="000A4F6E">
              <w:rPr>
                <w:color w:val="000000"/>
              </w:rPr>
              <w:t> </w:t>
            </w:r>
          </w:p>
        </w:tc>
        <w:tc>
          <w:tcPr>
            <w:tcW w:w="756" w:type="dxa"/>
            <w:tcBorders>
              <w:top w:val="nil"/>
              <w:left w:val="nil"/>
              <w:bottom w:val="single" w:sz="8" w:space="0" w:color="auto"/>
              <w:right w:val="single" w:sz="8" w:space="0" w:color="auto"/>
            </w:tcBorders>
            <w:shd w:val="clear" w:color="000000" w:fill="FFFFFF"/>
            <w:noWrap/>
            <w:vAlign w:val="center"/>
            <w:hideMark/>
          </w:tcPr>
          <w:p w14:paraId="0C47916F" w14:textId="77777777" w:rsidR="000A4F6E" w:rsidRPr="000A4F6E" w:rsidRDefault="000A4F6E" w:rsidP="000A4F6E">
            <w:pPr>
              <w:jc w:val="center"/>
              <w:rPr>
                <w:color w:val="000000"/>
              </w:rPr>
            </w:pPr>
            <w:r w:rsidRPr="000A4F6E">
              <w:rPr>
                <w:color w:val="000000"/>
              </w:rPr>
              <w:t> </w:t>
            </w:r>
          </w:p>
        </w:tc>
        <w:tc>
          <w:tcPr>
            <w:tcW w:w="1156" w:type="dxa"/>
            <w:tcBorders>
              <w:top w:val="nil"/>
              <w:left w:val="nil"/>
              <w:bottom w:val="single" w:sz="8" w:space="0" w:color="auto"/>
              <w:right w:val="single" w:sz="8" w:space="0" w:color="auto"/>
            </w:tcBorders>
            <w:shd w:val="clear" w:color="000000" w:fill="FFFFFF"/>
            <w:noWrap/>
            <w:vAlign w:val="center"/>
            <w:hideMark/>
          </w:tcPr>
          <w:p w14:paraId="30A303DA" w14:textId="77777777" w:rsidR="000A4F6E" w:rsidRPr="000A4F6E" w:rsidRDefault="000A4F6E" w:rsidP="000A4F6E">
            <w:pPr>
              <w:jc w:val="center"/>
              <w:rPr>
                <w:color w:val="000000"/>
              </w:rPr>
            </w:pPr>
            <w:r w:rsidRPr="000A4F6E">
              <w:rPr>
                <w:color w:val="000000"/>
              </w:rPr>
              <w:t> </w:t>
            </w:r>
          </w:p>
        </w:tc>
        <w:tc>
          <w:tcPr>
            <w:tcW w:w="756" w:type="dxa"/>
            <w:tcBorders>
              <w:top w:val="nil"/>
              <w:left w:val="nil"/>
              <w:bottom w:val="single" w:sz="8" w:space="0" w:color="auto"/>
              <w:right w:val="nil"/>
            </w:tcBorders>
            <w:shd w:val="clear" w:color="000000" w:fill="FFFFFF"/>
            <w:noWrap/>
            <w:vAlign w:val="center"/>
            <w:hideMark/>
          </w:tcPr>
          <w:p w14:paraId="78D78255" w14:textId="77777777" w:rsidR="000A4F6E" w:rsidRPr="000A4F6E" w:rsidRDefault="000A4F6E" w:rsidP="000A4F6E">
            <w:pPr>
              <w:jc w:val="center"/>
              <w:rPr>
                <w:color w:val="000000"/>
              </w:rPr>
            </w:pPr>
            <w:r w:rsidRPr="000A4F6E">
              <w:rPr>
                <w:color w:val="000000"/>
              </w:rPr>
              <w:t> </w:t>
            </w:r>
          </w:p>
        </w:tc>
        <w:tc>
          <w:tcPr>
            <w:tcW w:w="756" w:type="dxa"/>
            <w:tcBorders>
              <w:top w:val="nil"/>
              <w:left w:val="nil"/>
              <w:bottom w:val="single" w:sz="8" w:space="0" w:color="auto"/>
              <w:right w:val="single" w:sz="8" w:space="0" w:color="auto"/>
            </w:tcBorders>
            <w:shd w:val="clear" w:color="000000" w:fill="FFFFFF"/>
            <w:noWrap/>
            <w:vAlign w:val="center"/>
            <w:hideMark/>
          </w:tcPr>
          <w:p w14:paraId="7EAFE34C" w14:textId="77777777" w:rsidR="000A4F6E" w:rsidRPr="000A4F6E" w:rsidRDefault="000A4F6E" w:rsidP="000A4F6E">
            <w:pPr>
              <w:jc w:val="center"/>
              <w:rPr>
                <w:color w:val="000000"/>
              </w:rPr>
            </w:pPr>
            <w:r w:rsidRPr="000A4F6E">
              <w:rPr>
                <w:color w:val="000000"/>
              </w:rPr>
              <w:t> </w:t>
            </w:r>
          </w:p>
        </w:tc>
        <w:tc>
          <w:tcPr>
            <w:tcW w:w="1156" w:type="dxa"/>
            <w:tcBorders>
              <w:top w:val="nil"/>
              <w:left w:val="nil"/>
              <w:bottom w:val="single" w:sz="8" w:space="0" w:color="auto"/>
              <w:right w:val="single" w:sz="8" w:space="0" w:color="auto"/>
            </w:tcBorders>
            <w:shd w:val="clear" w:color="000000" w:fill="FFFFFF"/>
            <w:noWrap/>
            <w:vAlign w:val="center"/>
            <w:hideMark/>
          </w:tcPr>
          <w:p w14:paraId="3CAFD485" w14:textId="77777777" w:rsidR="000A4F6E" w:rsidRPr="000A4F6E" w:rsidRDefault="000A4F6E" w:rsidP="000A4F6E">
            <w:pPr>
              <w:jc w:val="center"/>
              <w:rPr>
                <w:color w:val="000000"/>
              </w:rPr>
            </w:pPr>
            <w:r w:rsidRPr="000A4F6E">
              <w:rPr>
                <w:color w:val="000000"/>
              </w:rPr>
              <w:t> </w:t>
            </w:r>
          </w:p>
        </w:tc>
        <w:tc>
          <w:tcPr>
            <w:tcW w:w="756" w:type="dxa"/>
            <w:tcBorders>
              <w:top w:val="nil"/>
              <w:left w:val="nil"/>
              <w:bottom w:val="single" w:sz="8" w:space="0" w:color="auto"/>
              <w:right w:val="single" w:sz="8" w:space="0" w:color="auto"/>
            </w:tcBorders>
            <w:shd w:val="clear" w:color="000000" w:fill="FFFFFF"/>
            <w:noWrap/>
            <w:vAlign w:val="center"/>
            <w:hideMark/>
          </w:tcPr>
          <w:p w14:paraId="4078BA2C" w14:textId="77777777" w:rsidR="000A4F6E" w:rsidRPr="000A4F6E" w:rsidRDefault="000A4F6E" w:rsidP="000A4F6E">
            <w:pPr>
              <w:jc w:val="center"/>
              <w:rPr>
                <w:color w:val="000000"/>
              </w:rPr>
            </w:pPr>
            <w:r w:rsidRPr="000A4F6E">
              <w:rPr>
                <w:color w:val="000000"/>
              </w:rPr>
              <w:t> </w:t>
            </w:r>
          </w:p>
        </w:tc>
        <w:tc>
          <w:tcPr>
            <w:tcW w:w="1044" w:type="dxa"/>
            <w:tcBorders>
              <w:top w:val="nil"/>
              <w:left w:val="nil"/>
              <w:bottom w:val="single" w:sz="8" w:space="0" w:color="auto"/>
              <w:right w:val="single" w:sz="8" w:space="0" w:color="auto"/>
            </w:tcBorders>
            <w:shd w:val="clear" w:color="000000" w:fill="FFFFFF"/>
            <w:noWrap/>
            <w:vAlign w:val="center"/>
            <w:hideMark/>
          </w:tcPr>
          <w:p w14:paraId="728B0B3D" w14:textId="77777777" w:rsidR="000A4F6E" w:rsidRPr="000A4F6E" w:rsidRDefault="000A4F6E" w:rsidP="000A4F6E">
            <w:pPr>
              <w:jc w:val="center"/>
              <w:rPr>
                <w:color w:val="000000"/>
              </w:rPr>
            </w:pPr>
            <w:r w:rsidRPr="000A4F6E">
              <w:rPr>
                <w:color w:val="000000"/>
              </w:rPr>
              <w:t> </w:t>
            </w:r>
          </w:p>
        </w:tc>
      </w:tr>
      <w:tr w:rsidR="000A4F6E" w:rsidRPr="000A4F6E" w14:paraId="71F398E2" w14:textId="77777777" w:rsidTr="000B256F">
        <w:trPr>
          <w:trHeight w:val="320"/>
        </w:trPr>
        <w:tc>
          <w:tcPr>
            <w:tcW w:w="1231" w:type="dxa"/>
            <w:tcBorders>
              <w:top w:val="nil"/>
              <w:left w:val="single" w:sz="8" w:space="0" w:color="auto"/>
              <w:bottom w:val="nil"/>
              <w:right w:val="nil"/>
            </w:tcBorders>
            <w:shd w:val="clear" w:color="000000" w:fill="FFFFFF"/>
            <w:noWrap/>
            <w:vAlign w:val="center"/>
            <w:hideMark/>
          </w:tcPr>
          <w:p w14:paraId="057547CC" w14:textId="77777777" w:rsidR="000A4F6E" w:rsidRPr="000A4F6E" w:rsidRDefault="000A4F6E" w:rsidP="000A4F6E">
            <w:pPr>
              <w:jc w:val="right"/>
              <w:rPr>
                <w:color w:val="000000"/>
              </w:rPr>
            </w:pPr>
            <w:r w:rsidRPr="000A4F6E">
              <w:rPr>
                <w:color w:val="000000"/>
              </w:rPr>
              <w:t>5%</w:t>
            </w:r>
          </w:p>
        </w:tc>
        <w:tc>
          <w:tcPr>
            <w:tcW w:w="756" w:type="dxa"/>
            <w:tcBorders>
              <w:top w:val="nil"/>
              <w:left w:val="single" w:sz="8" w:space="0" w:color="auto"/>
              <w:bottom w:val="nil"/>
              <w:right w:val="nil"/>
            </w:tcBorders>
            <w:shd w:val="clear" w:color="000000" w:fill="FFFFFF"/>
            <w:noWrap/>
            <w:vAlign w:val="center"/>
            <w:hideMark/>
          </w:tcPr>
          <w:p w14:paraId="7F500AAA" w14:textId="77777777" w:rsidR="000A4F6E" w:rsidRPr="000A4F6E" w:rsidRDefault="000A4F6E" w:rsidP="000A4F6E">
            <w:pPr>
              <w:jc w:val="center"/>
              <w:rPr>
                <w:color w:val="000000"/>
              </w:rPr>
            </w:pPr>
            <w:r w:rsidRPr="000A4F6E">
              <w:rPr>
                <w:color w:val="000000"/>
              </w:rPr>
              <w:t>0.000</w:t>
            </w:r>
          </w:p>
        </w:tc>
        <w:tc>
          <w:tcPr>
            <w:tcW w:w="756" w:type="dxa"/>
            <w:tcBorders>
              <w:top w:val="nil"/>
              <w:left w:val="nil"/>
              <w:bottom w:val="nil"/>
              <w:right w:val="single" w:sz="8" w:space="0" w:color="auto"/>
            </w:tcBorders>
            <w:shd w:val="clear" w:color="000000" w:fill="FFFFFF"/>
            <w:noWrap/>
            <w:vAlign w:val="center"/>
            <w:hideMark/>
          </w:tcPr>
          <w:p w14:paraId="3CB60662" w14:textId="77777777" w:rsidR="000A4F6E" w:rsidRPr="000A4F6E" w:rsidRDefault="000A4F6E" w:rsidP="000A4F6E">
            <w:pPr>
              <w:jc w:val="center"/>
              <w:rPr>
                <w:color w:val="000000"/>
              </w:rPr>
            </w:pPr>
            <w:r w:rsidRPr="000A4F6E">
              <w:rPr>
                <w:color w:val="000000"/>
              </w:rPr>
              <w:t>0.000</w:t>
            </w:r>
          </w:p>
        </w:tc>
        <w:tc>
          <w:tcPr>
            <w:tcW w:w="1156" w:type="dxa"/>
            <w:tcBorders>
              <w:top w:val="nil"/>
              <w:left w:val="nil"/>
              <w:bottom w:val="nil"/>
              <w:right w:val="single" w:sz="8" w:space="0" w:color="auto"/>
            </w:tcBorders>
            <w:shd w:val="clear" w:color="000000" w:fill="FFFFFF"/>
            <w:noWrap/>
            <w:vAlign w:val="center"/>
            <w:hideMark/>
          </w:tcPr>
          <w:p w14:paraId="2E1FA35C" w14:textId="77777777" w:rsidR="000A4F6E" w:rsidRPr="000A4F6E" w:rsidRDefault="000A4F6E" w:rsidP="000A4F6E">
            <w:pPr>
              <w:jc w:val="center"/>
              <w:rPr>
                <w:color w:val="000000"/>
              </w:rPr>
            </w:pPr>
            <w:r w:rsidRPr="000A4F6E">
              <w:rPr>
                <w:color w:val="000000"/>
              </w:rPr>
              <w:t>0.000</w:t>
            </w:r>
          </w:p>
        </w:tc>
        <w:tc>
          <w:tcPr>
            <w:tcW w:w="756" w:type="dxa"/>
            <w:tcBorders>
              <w:top w:val="nil"/>
              <w:left w:val="nil"/>
              <w:bottom w:val="nil"/>
              <w:right w:val="nil"/>
            </w:tcBorders>
            <w:shd w:val="clear" w:color="000000" w:fill="FFFFFF"/>
            <w:noWrap/>
            <w:vAlign w:val="center"/>
            <w:hideMark/>
          </w:tcPr>
          <w:p w14:paraId="0ECADE63" w14:textId="77777777" w:rsidR="000A4F6E" w:rsidRPr="000A4F6E" w:rsidRDefault="000A4F6E" w:rsidP="000A4F6E">
            <w:pPr>
              <w:jc w:val="center"/>
              <w:rPr>
                <w:color w:val="000000"/>
              </w:rPr>
            </w:pPr>
            <w:r w:rsidRPr="000A4F6E">
              <w:rPr>
                <w:color w:val="000000"/>
              </w:rPr>
              <w:t>0.000</w:t>
            </w:r>
          </w:p>
        </w:tc>
        <w:tc>
          <w:tcPr>
            <w:tcW w:w="756" w:type="dxa"/>
            <w:tcBorders>
              <w:top w:val="nil"/>
              <w:left w:val="nil"/>
              <w:bottom w:val="nil"/>
              <w:right w:val="single" w:sz="8" w:space="0" w:color="auto"/>
            </w:tcBorders>
            <w:shd w:val="clear" w:color="000000" w:fill="FFFFFF"/>
            <w:noWrap/>
            <w:vAlign w:val="center"/>
            <w:hideMark/>
          </w:tcPr>
          <w:p w14:paraId="17C226E7" w14:textId="77777777" w:rsidR="000A4F6E" w:rsidRPr="000A4F6E" w:rsidRDefault="000A4F6E" w:rsidP="000A4F6E">
            <w:pPr>
              <w:jc w:val="center"/>
              <w:rPr>
                <w:color w:val="000000"/>
              </w:rPr>
            </w:pPr>
            <w:r w:rsidRPr="000A4F6E">
              <w:rPr>
                <w:color w:val="000000"/>
              </w:rPr>
              <w:t>0.000</w:t>
            </w:r>
          </w:p>
        </w:tc>
        <w:tc>
          <w:tcPr>
            <w:tcW w:w="1156" w:type="dxa"/>
            <w:tcBorders>
              <w:top w:val="nil"/>
              <w:left w:val="nil"/>
              <w:bottom w:val="nil"/>
              <w:right w:val="single" w:sz="8" w:space="0" w:color="auto"/>
            </w:tcBorders>
            <w:shd w:val="clear" w:color="000000" w:fill="FFFFFF"/>
            <w:noWrap/>
            <w:vAlign w:val="center"/>
            <w:hideMark/>
          </w:tcPr>
          <w:p w14:paraId="0E5B2278" w14:textId="77777777" w:rsidR="000A4F6E" w:rsidRPr="000A4F6E" w:rsidRDefault="000A4F6E" w:rsidP="000A4F6E">
            <w:pPr>
              <w:jc w:val="center"/>
              <w:rPr>
                <w:color w:val="000000"/>
              </w:rPr>
            </w:pPr>
            <w:r w:rsidRPr="000A4F6E">
              <w:rPr>
                <w:color w:val="000000"/>
              </w:rPr>
              <w:t>0.000</w:t>
            </w:r>
          </w:p>
        </w:tc>
        <w:tc>
          <w:tcPr>
            <w:tcW w:w="756" w:type="dxa"/>
            <w:tcBorders>
              <w:top w:val="nil"/>
              <w:left w:val="nil"/>
              <w:bottom w:val="nil"/>
              <w:right w:val="single" w:sz="8" w:space="0" w:color="auto"/>
            </w:tcBorders>
            <w:shd w:val="clear" w:color="000000" w:fill="FFFFFF"/>
            <w:noWrap/>
            <w:vAlign w:val="center"/>
            <w:hideMark/>
          </w:tcPr>
          <w:p w14:paraId="5946120F" w14:textId="77777777" w:rsidR="000A4F6E" w:rsidRPr="000A4F6E" w:rsidRDefault="000A4F6E" w:rsidP="000A4F6E">
            <w:pPr>
              <w:jc w:val="center"/>
              <w:rPr>
                <w:color w:val="000000"/>
              </w:rPr>
            </w:pPr>
            <w:r w:rsidRPr="000A4F6E">
              <w:rPr>
                <w:color w:val="000000"/>
              </w:rPr>
              <w:t>0.000</w:t>
            </w:r>
          </w:p>
        </w:tc>
        <w:tc>
          <w:tcPr>
            <w:tcW w:w="1044" w:type="dxa"/>
            <w:tcBorders>
              <w:top w:val="nil"/>
              <w:left w:val="nil"/>
              <w:bottom w:val="nil"/>
              <w:right w:val="single" w:sz="8" w:space="0" w:color="auto"/>
            </w:tcBorders>
            <w:shd w:val="clear" w:color="000000" w:fill="FFFFFF"/>
            <w:noWrap/>
            <w:vAlign w:val="center"/>
            <w:hideMark/>
          </w:tcPr>
          <w:p w14:paraId="702FB9B0" w14:textId="77777777" w:rsidR="000A4F6E" w:rsidRPr="000A4F6E" w:rsidRDefault="000A4F6E" w:rsidP="000A4F6E">
            <w:pPr>
              <w:jc w:val="center"/>
              <w:rPr>
                <w:color w:val="000000"/>
              </w:rPr>
            </w:pPr>
            <w:r w:rsidRPr="000A4F6E">
              <w:rPr>
                <w:color w:val="000000"/>
              </w:rPr>
              <w:t>0.000</w:t>
            </w:r>
          </w:p>
        </w:tc>
      </w:tr>
      <w:tr w:rsidR="000A4F6E" w:rsidRPr="000A4F6E" w14:paraId="0E4AB620" w14:textId="77777777" w:rsidTr="000B256F">
        <w:trPr>
          <w:trHeight w:val="320"/>
        </w:trPr>
        <w:tc>
          <w:tcPr>
            <w:tcW w:w="1231" w:type="dxa"/>
            <w:tcBorders>
              <w:top w:val="nil"/>
              <w:left w:val="single" w:sz="8" w:space="0" w:color="auto"/>
              <w:bottom w:val="nil"/>
              <w:right w:val="nil"/>
            </w:tcBorders>
            <w:shd w:val="clear" w:color="000000" w:fill="FFFFFF"/>
            <w:noWrap/>
            <w:vAlign w:val="center"/>
            <w:hideMark/>
          </w:tcPr>
          <w:p w14:paraId="293D115C" w14:textId="77777777" w:rsidR="000A4F6E" w:rsidRPr="000A4F6E" w:rsidRDefault="000A4F6E" w:rsidP="000A4F6E">
            <w:pPr>
              <w:jc w:val="right"/>
              <w:rPr>
                <w:color w:val="000000"/>
              </w:rPr>
            </w:pPr>
            <w:r w:rsidRPr="000A4F6E">
              <w:rPr>
                <w:color w:val="000000"/>
              </w:rPr>
              <w:t>25%</w:t>
            </w:r>
          </w:p>
        </w:tc>
        <w:tc>
          <w:tcPr>
            <w:tcW w:w="756" w:type="dxa"/>
            <w:tcBorders>
              <w:top w:val="nil"/>
              <w:left w:val="single" w:sz="8" w:space="0" w:color="auto"/>
              <w:bottom w:val="nil"/>
              <w:right w:val="nil"/>
            </w:tcBorders>
            <w:shd w:val="clear" w:color="000000" w:fill="FFFFFF"/>
            <w:noWrap/>
            <w:vAlign w:val="bottom"/>
            <w:hideMark/>
          </w:tcPr>
          <w:p w14:paraId="26CFC89F" w14:textId="77777777" w:rsidR="000A4F6E" w:rsidRPr="000A4F6E" w:rsidRDefault="000A4F6E" w:rsidP="000A4F6E">
            <w:pPr>
              <w:jc w:val="center"/>
              <w:rPr>
                <w:color w:val="000000"/>
              </w:rPr>
            </w:pPr>
            <w:r w:rsidRPr="000A4F6E">
              <w:rPr>
                <w:color w:val="000000"/>
              </w:rPr>
              <w:t>0.001</w:t>
            </w:r>
          </w:p>
        </w:tc>
        <w:tc>
          <w:tcPr>
            <w:tcW w:w="756" w:type="dxa"/>
            <w:tcBorders>
              <w:top w:val="nil"/>
              <w:left w:val="nil"/>
              <w:bottom w:val="nil"/>
              <w:right w:val="single" w:sz="8" w:space="0" w:color="auto"/>
            </w:tcBorders>
            <w:shd w:val="clear" w:color="000000" w:fill="FFFFFF"/>
            <w:noWrap/>
            <w:vAlign w:val="bottom"/>
            <w:hideMark/>
          </w:tcPr>
          <w:p w14:paraId="0C503935" w14:textId="77777777" w:rsidR="000A4F6E" w:rsidRPr="000A4F6E" w:rsidRDefault="000A4F6E" w:rsidP="000A4F6E">
            <w:pPr>
              <w:jc w:val="center"/>
              <w:rPr>
                <w:color w:val="000000"/>
              </w:rPr>
            </w:pPr>
            <w:r w:rsidRPr="000A4F6E">
              <w:rPr>
                <w:color w:val="000000"/>
              </w:rPr>
              <w:t>0.001</w:t>
            </w:r>
          </w:p>
        </w:tc>
        <w:tc>
          <w:tcPr>
            <w:tcW w:w="1156" w:type="dxa"/>
            <w:tcBorders>
              <w:top w:val="nil"/>
              <w:left w:val="nil"/>
              <w:bottom w:val="nil"/>
              <w:right w:val="single" w:sz="8" w:space="0" w:color="auto"/>
            </w:tcBorders>
            <w:shd w:val="clear" w:color="000000" w:fill="FFFFFF"/>
            <w:noWrap/>
            <w:vAlign w:val="bottom"/>
            <w:hideMark/>
          </w:tcPr>
          <w:p w14:paraId="7CAF57A1" w14:textId="77777777" w:rsidR="000A4F6E" w:rsidRPr="000A4F6E" w:rsidRDefault="000A4F6E" w:rsidP="000A4F6E">
            <w:pPr>
              <w:jc w:val="center"/>
              <w:rPr>
                <w:color w:val="000000"/>
              </w:rPr>
            </w:pPr>
            <w:r w:rsidRPr="000A4F6E">
              <w:rPr>
                <w:color w:val="000000"/>
              </w:rPr>
              <w:t>0.001</w:t>
            </w:r>
          </w:p>
        </w:tc>
        <w:tc>
          <w:tcPr>
            <w:tcW w:w="756" w:type="dxa"/>
            <w:tcBorders>
              <w:top w:val="nil"/>
              <w:left w:val="nil"/>
              <w:bottom w:val="nil"/>
              <w:right w:val="nil"/>
            </w:tcBorders>
            <w:shd w:val="clear" w:color="000000" w:fill="FFFFFF"/>
            <w:noWrap/>
            <w:vAlign w:val="bottom"/>
            <w:hideMark/>
          </w:tcPr>
          <w:p w14:paraId="6DC1B039" w14:textId="77777777" w:rsidR="000A4F6E" w:rsidRPr="000A4F6E" w:rsidRDefault="000A4F6E" w:rsidP="000A4F6E">
            <w:pPr>
              <w:jc w:val="center"/>
              <w:rPr>
                <w:color w:val="000000"/>
              </w:rPr>
            </w:pPr>
            <w:r w:rsidRPr="000A4F6E">
              <w:rPr>
                <w:color w:val="000000"/>
              </w:rPr>
              <w:t>0.001</w:t>
            </w:r>
          </w:p>
        </w:tc>
        <w:tc>
          <w:tcPr>
            <w:tcW w:w="756" w:type="dxa"/>
            <w:tcBorders>
              <w:top w:val="nil"/>
              <w:left w:val="nil"/>
              <w:bottom w:val="nil"/>
              <w:right w:val="single" w:sz="8" w:space="0" w:color="auto"/>
            </w:tcBorders>
            <w:shd w:val="clear" w:color="000000" w:fill="FFFFFF"/>
            <w:noWrap/>
            <w:vAlign w:val="bottom"/>
            <w:hideMark/>
          </w:tcPr>
          <w:p w14:paraId="3A927AE9" w14:textId="77777777" w:rsidR="000A4F6E" w:rsidRPr="000A4F6E" w:rsidRDefault="000A4F6E" w:rsidP="000A4F6E">
            <w:pPr>
              <w:jc w:val="center"/>
              <w:rPr>
                <w:color w:val="000000"/>
              </w:rPr>
            </w:pPr>
            <w:r w:rsidRPr="000A4F6E">
              <w:rPr>
                <w:color w:val="000000"/>
              </w:rPr>
              <w:t>0.001</w:t>
            </w:r>
          </w:p>
        </w:tc>
        <w:tc>
          <w:tcPr>
            <w:tcW w:w="1156" w:type="dxa"/>
            <w:tcBorders>
              <w:top w:val="nil"/>
              <w:left w:val="nil"/>
              <w:bottom w:val="nil"/>
              <w:right w:val="single" w:sz="8" w:space="0" w:color="auto"/>
            </w:tcBorders>
            <w:shd w:val="clear" w:color="000000" w:fill="FFFFFF"/>
            <w:noWrap/>
            <w:vAlign w:val="bottom"/>
            <w:hideMark/>
          </w:tcPr>
          <w:p w14:paraId="20820E65" w14:textId="77777777" w:rsidR="000A4F6E" w:rsidRPr="000A4F6E" w:rsidRDefault="000A4F6E" w:rsidP="000A4F6E">
            <w:pPr>
              <w:jc w:val="center"/>
              <w:rPr>
                <w:color w:val="000000"/>
              </w:rPr>
            </w:pPr>
            <w:r w:rsidRPr="000A4F6E">
              <w:rPr>
                <w:color w:val="000000"/>
              </w:rPr>
              <w:t>0.001</w:t>
            </w:r>
          </w:p>
        </w:tc>
        <w:tc>
          <w:tcPr>
            <w:tcW w:w="756" w:type="dxa"/>
            <w:tcBorders>
              <w:top w:val="nil"/>
              <w:left w:val="nil"/>
              <w:bottom w:val="nil"/>
              <w:right w:val="single" w:sz="8" w:space="0" w:color="auto"/>
            </w:tcBorders>
            <w:shd w:val="clear" w:color="000000" w:fill="FFFFFF"/>
            <w:noWrap/>
            <w:vAlign w:val="bottom"/>
            <w:hideMark/>
          </w:tcPr>
          <w:p w14:paraId="386EF2B0" w14:textId="77777777" w:rsidR="000A4F6E" w:rsidRPr="000A4F6E" w:rsidRDefault="000A4F6E" w:rsidP="000A4F6E">
            <w:pPr>
              <w:jc w:val="center"/>
              <w:rPr>
                <w:color w:val="000000"/>
              </w:rPr>
            </w:pPr>
            <w:r w:rsidRPr="000A4F6E">
              <w:rPr>
                <w:color w:val="000000"/>
              </w:rPr>
              <w:t>0.002</w:t>
            </w:r>
          </w:p>
        </w:tc>
        <w:tc>
          <w:tcPr>
            <w:tcW w:w="1044" w:type="dxa"/>
            <w:tcBorders>
              <w:top w:val="nil"/>
              <w:left w:val="nil"/>
              <w:bottom w:val="nil"/>
              <w:right w:val="single" w:sz="8" w:space="0" w:color="auto"/>
            </w:tcBorders>
            <w:shd w:val="clear" w:color="000000" w:fill="FFFFFF"/>
            <w:noWrap/>
            <w:vAlign w:val="bottom"/>
            <w:hideMark/>
          </w:tcPr>
          <w:p w14:paraId="1361140B" w14:textId="77777777" w:rsidR="000A4F6E" w:rsidRPr="000A4F6E" w:rsidRDefault="000A4F6E" w:rsidP="000A4F6E">
            <w:pPr>
              <w:jc w:val="center"/>
              <w:rPr>
                <w:color w:val="000000"/>
              </w:rPr>
            </w:pPr>
            <w:r w:rsidRPr="000A4F6E">
              <w:rPr>
                <w:color w:val="000000"/>
              </w:rPr>
              <w:t>0.001</w:t>
            </w:r>
          </w:p>
        </w:tc>
      </w:tr>
      <w:tr w:rsidR="000A4F6E" w:rsidRPr="000A4F6E" w14:paraId="6C8D1F7C" w14:textId="77777777" w:rsidTr="000B256F">
        <w:trPr>
          <w:trHeight w:val="320"/>
        </w:trPr>
        <w:tc>
          <w:tcPr>
            <w:tcW w:w="1231" w:type="dxa"/>
            <w:tcBorders>
              <w:top w:val="nil"/>
              <w:left w:val="single" w:sz="8" w:space="0" w:color="auto"/>
              <w:bottom w:val="nil"/>
              <w:right w:val="nil"/>
            </w:tcBorders>
            <w:shd w:val="clear" w:color="000000" w:fill="FFFFFF"/>
            <w:noWrap/>
            <w:vAlign w:val="center"/>
            <w:hideMark/>
          </w:tcPr>
          <w:p w14:paraId="6339B214" w14:textId="77777777" w:rsidR="000A4F6E" w:rsidRPr="000A4F6E" w:rsidRDefault="000A4F6E" w:rsidP="000A4F6E">
            <w:pPr>
              <w:jc w:val="right"/>
              <w:rPr>
                <w:color w:val="000000"/>
              </w:rPr>
            </w:pPr>
            <w:r w:rsidRPr="000A4F6E">
              <w:rPr>
                <w:color w:val="000000"/>
              </w:rPr>
              <w:t>50%</w:t>
            </w:r>
          </w:p>
        </w:tc>
        <w:tc>
          <w:tcPr>
            <w:tcW w:w="756" w:type="dxa"/>
            <w:tcBorders>
              <w:top w:val="nil"/>
              <w:left w:val="single" w:sz="8" w:space="0" w:color="auto"/>
              <w:bottom w:val="nil"/>
              <w:right w:val="nil"/>
            </w:tcBorders>
            <w:shd w:val="clear" w:color="000000" w:fill="FFFFFF"/>
            <w:noWrap/>
            <w:vAlign w:val="bottom"/>
            <w:hideMark/>
          </w:tcPr>
          <w:p w14:paraId="37719BE8" w14:textId="77777777" w:rsidR="000A4F6E" w:rsidRPr="000A4F6E" w:rsidRDefault="000A4F6E" w:rsidP="000A4F6E">
            <w:pPr>
              <w:jc w:val="center"/>
              <w:rPr>
                <w:color w:val="000000"/>
              </w:rPr>
            </w:pPr>
            <w:r w:rsidRPr="000A4F6E">
              <w:rPr>
                <w:color w:val="000000"/>
              </w:rPr>
              <w:t>0.003</w:t>
            </w:r>
          </w:p>
        </w:tc>
        <w:tc>
          <w:tcPr>
            <w:tcW w:w="756" w:type="dxa"/>
            <w:tcBorders>
              <w:top w:val="nil"/>
              <w:left w:val="nil"/>
              <w:bottom w:val="nil"/>
              <w:right w:val="single" w:sz="8" w:space="0" w:color="auto"/>
            </w:tcBorders>
            <w:shd w:val="clear" w:color="000000" w:fill="FFFFFF"/>
            <w:noWrap/>
            <w:vAlign w:val="bottom"/>
            <w:hideMark/>
          </w:tcPr>
          <w:p w14:paraId="1C76E9AD" w14:textId="77777777" w:rsidR="000A4F6E" w:rsidRPr="000A4F6E" w:rsidRDefault="000A4F6E" w:rsidP="000A4F6E">
            <w:pPr>
              <w:jc w:val="center"/>
              <w:rPr>
                <w:color w:val="000000"/>
              </w:rPr>
            </w:pPr>
            <w:r w:rsidRPr="000A4F6E">
              <w:rPr>
                <w:color w:val="000000"/>
              </w:rPr>
              <w:t>0.003</w:t>
            </w:r>
          </w:p>
        </w:tc>
        <w:tc>
          <w:tcPr>
            <w:tcW w:w="1156" w:type="dxa"/>
            <w:tcBorders>
              <w:top w:val="nil"/>
              <w:left w:val="nil"/>
              <w:bottom w:val="nil"/>
              <w:right w:val="single" w:sz="8" w:space="0" w:color="auto"/>
            </w:tcBorders>
            <w:shd w:val="clear" w:color="000000" w:fill="FFFFFF"/>
            <w:noWrap/>
            <w:vAlign w:val="bottom"/>
            <w:hideMark/>
          </w:tcPr>
          <w:p w14:paraId="18EF55E3" w14:textId="77777777" w:rsidR="000A4F6E" w:rsidRPr="000A4F6E" w:rsidRDefault="000A4F6E" w:rsidP="000A4F6E">
            <w:pPr>
              <w:jc w:val="center"/>
              <w:rPr>
                <w:color w:val="000000"/>
              </w:rPr>
            </w:pPr>
            <w:r w:rsidRPr="000A4F6E">
              <w:rPr>
                <w:color w:val="000000"/>
              </w:rPr>
              <w:t>0.003</w:t>
            </w:r>
          </w:p>
        </w:tc>
        <w:tc>
          <w:tcPr>
            <w:tcW w:w="756" w:type="dxa"/>
            <w:tcBorders>
              <w:top w:val="nil"/>
              <w:left w:val="nil"/>
              <w:bottom w:val="nil"/>
              <w:right w:val="nil"/>
            </w:tcBorders>
            <w:shd w:val="clear" w:color="000000" w:fill="FFFFFF"/>
            <w:noWrap/>
            <w:vAlign w:val="bottom"/>
            <w:hideMark/>
          </w:tcPr>
          <w:p w14:paraId="30BE963F" w14:textId="77777777" w:rsidR="000A4F6E" w:rsidRPr="000A4F6E" w:rsidRDefault="000A4F6E" w:rsidP="000A4F6E">
            <w:pPr>
              <w:jc w:val="center"/>
              <w:rPr>
                <w:color w:val="000000"/>
              </w:rPr>
            </w:pPr>
            <w:r w:rsidRPr="000A4F6E">
              <w:rPr>
                <w:color w:val="000000"/>
              </w:rPr>
              <w:t>0.003</w:t>
            </w:r>
          </w:p>
        </w:tc>
        <w:tc>
          <w:tcPr>
            <w:tcW w:w="756" w:type="dxa"/>
            <w:tcBorders>
              <w:top w:val="nil"/>
              <w:left w:val="nil"/>
              <w:bottom w:val="nil"/>
              <w:right w:val="single" w:sz="8" w:space="0" w:color="auto"/>
            </w:tcBorders>
            <w:shd w:val="clear" w:color="000000" w:fill="FFFFFF"/>
            <w:noWrap/>
            <w:vAlign w:val="bottom"/>
            <w:hideMark/>
          </w:tcPr>
          <w:p w14:paraId="1A96ABE2" w14:textId="77777777" w:rsidR="000A4F6E" w:rsidRPr="000A4F6E" w:rsidRDefault="000A4F6E" w:rsidP="000A4F6E">
            <w:pPr>
              <w:jc w:val="center"/>
              <w:rPr>
                <w:color w:val="000000"/>
              </w:rPr>
            </w:pPr>
            <w:r w:rsidRPr="000A4F6E">
              <w:rPr>
                <w:color w:val="000000"/>
              </w:rPr>
              <w:t>0.005</w:t>
            </w:r>
          </w:p>
        </w:tc>
        <w:tc>
          <w:tcPr>
            <w:tcW w:w="1156" w:type="dxa"/>
            <w:tcBorders>
              <w:top w:val="nil"/>
              <w:left w:val="nil"/>
              <w:bottom w:val="nil"/>
              <w:right w:val="single" w:sz="8" w:space="0" w:color="auto"/>
            </w:tcBorders>
            <w:shd w:val="clear" w:color="000000" w:fill="FFFFFF"/>
            <w:noWrap/>
            <w:vAlign w:val="bottom"/>
            <w:hideMark/>
          </w:tcPr>
          <w:p w14:paraId="214CAB09" w14:textId="77777777" w:rsidR="000A4F6E" w:rsidRPr="000A4F6E" w:rsidRDefault="000A4F6E" w:rsidP="000A4F6E">
            <w:pPr>
              <w:jc w:val="center"/>
              <w:rPr>
                <w:color w:val="000000"/>
              </w:rPr>
            </w:pPr>
            <w:r w:rsidRPr="000A4F6E">
              <w:rPr>
                <w:color w:val="000000"/>
              </w:rPr>
              <w:t>0.004</w:t>
            </w:r>
          </w:p>
        </w:tc>
        <w:tc>
          <w:tcPr>
            <w:tcW w:w="756" w:type="dxa"/>
            <w:tcBorders>
              <w:top w:val="nil"/>
              <w:left w:val="nil"/>
              <w:bottom w:val="nil"/>
              <w:right w:val="single" w:sz="8" w:space="0" w:color="auto"/>
            </w:tcBorders>
            <w:shd w:val="clear" w:color="000000" w:fill="FFFFFF"/>
            <w:noWrap/>
            <w:vAlign w:val="bottom"/>
            <w:hideMark/>
          </w:tcPr>
          <w:p w14:paraId="154A3903" w14:textId="77777777" w:rsidR="000A4F6E" w:rsidRPr="000A4F6E" w:rsidRDefault="000A4F6E" w:rsidP="000A4F6E">
            <w:pPr>
              <w:jc w:val="center"/>
              <w:rPr>
                <w:color w:val="000000"/>
              </w:rPr>
            </w:pPr>
            <w:r w:rsidRPr="000A4F6E">
              <w:rPr>
                <w:color w:val="000000"/>
              </w:rPr>
              <w:t>0.004</w:t>
            </w:r>
          </w:p>
        </w:tc>
        <w:tc>
          <w:tcPr>
            <w:tcW w:w="1044" w:type="dxa"/>
            <w:tcBorders>
              <w:top w:val="nil"/>
              <w:left w:val="nil"/>
              <w:bottom w:val="nil"/>
              <w:right w:val="single" w:sz="8" w:space="0" w:color="auto"/>
            </w:tcBorders>
            <w:shd w:val="clear" w:color="000000" w:fill="FFFFFF"/>
            <w:noWrap/>
            <w:vAlign w:val="bottom"/>
            <w:hideMark/>
          </w:tcPr>
          <w:p w14:paraId="5B79D92B" w14:textId="77777777" w:rsidR="000A4F6E" w:rsidRPr="000A4F6E" w:rsidRDefault="000A4F6E" w:rsidP="000A4F6E">
            <w:pPr>
              <w:jc w:val="center"/>
              <w:rPr>
                <w:color w:val="000000"/>
              </w:rPr>
            </w:pPr>
            <w:r w:rsidRPr="000A4F6E">
              <w:rPr>
                <w:color w:val="000000"/>
              </w:rPr>
              <w:t>0.004</w:t>
            </w:r>
          </w:p>
        </w:tc>
      </w:tr>
      <w:tr w:rsidR="000A4F6E" w:rsidRPr="000A4F6E" w14:paraId="64DA621D" w14:textId="77777777" w:rsidTr="000B256F">
        <w:trPr>
          <w:trHeight w:val="320"/>
        </w:trPr>
        <w:tc>
          <w:tcPr>
            <w:tcW w:w="1231" w:type="dxa"/>
            <w:tcBorders>
              <w:top w:val="nil"/>
              <w:left w:val="single" w:sz="8" w:space="0" w:color="auto"/>
              <w:bottom w:val="nil"/>
              <w:right w:val="nil"/>
            </w:tcBorders>
            <w:shd w:val="clear" w:color="000000" w:fill="FFFFFF"/>
            <w:noWrap/>
            <w:vAlign w:val="center"/>
            <w:hideMark/>
          </w:tcPr>
          <w:p w14:paraId="7CFDC238" w14:textId="77777777" w:rsidR="000A4F6E" w:rsidRPr="000A4F6E" w:rsidRDefault="000A4F6E" w:rsidP="000A4F6E">
            <w:pPr>
              <w:jc w:val="right"/>
              <w:rPr>
                <w:color w:val="000000"/>
              </w:rPr>
            </w:pPr>
            <w:r w:rsidRPr="000A4F6E">
              <w:rPr>
                <w:color w:val="000000"/>
              </w:rPr>
              <w:t>75%</w:t>
            </w:r>
          </w:p>
        </w:tc>
        <w:tc>
          <w:tcPr>
            <w:tcW w:w="756" w:type="dxa"/>
            <w:tcBorders>
              <w:top w:val="nil"/>
              <w:left w:val="single" w:sz="8" w:space="0" w:color="auto"/>
              <w:bottom w:val="nil"/>
              <w:right w:val="nil"/>
            </w:tcBorders>
            <w:shd w:val="clear" w:color="000000" w:fill="FFFFFF"/>
            <w:noWrap/>
            <w:vAlign w:val="bottom"/>
            <w:hideMark/>
          </w:tcPr>
          <w:p w14:paraId="2E10C705" w14:textId="77777777" w:rsidR="000A4F6E" w:rsidRPr="000A4F6E" w:rsidRDefault="000A4F6E" w:rsidP="000A4F6E">
            <w:pPr>
              <w:jc w:val="center"/>
              <w:rPr>
                <w:color w:val="000000"/>
              </w:rPr>
            </w:pPr>
            <w:r w:rsidRPr="000A4F6E">
              <w:rPr>
                <w:color w:val="000000"/>
              </w:rPr>
              <w:t>0.009</w:t>
            </w:r>
          </w:p>
        </w:tc>
        <w:tc>
          <w:tcPr>
            <w:tcW w:w="756" w:type="dxa"/>
            <w:tcBorders>
              <w:top w:val="nil"/>
              <w:left w:val="nil"/>
              <w:bottom w:val="nil"/>
              <w:right w:val="single" w:sz="8" w:space="0" w:color="auto"/>
            </w:tcBorders>
            <w:shd w:val="clear" w:color="000000" w:fill="FFFFFF"/>
            <w:noWrap/>
            <w:vAlign w:val="bottom"/>
            <w:hideMark/>
          </w:tcPr>
          <w:p w14:paraId="54AFDB37" w14:textId="77777777" w:rsidR="000A4F6E" w:rsidRPr="000A4F6E" w:rsidRDefault="000A4F6E" w:rsidP="000A4F6E">
            <w:pPr>
              <w:jc w:val="center"/>
              <w:rPr>
                <w:color w:val="000000"/>
              </w:rPr>
            </w:pPr>
            <w:r w:rsidRPr="000A4F6E">
              <w:rPr>
                <w:color w:val="000000"/>
              </w:rPr>
              <w:t>0.010</w:t>
            </w:r>
          </w:p>
        </w:tc>
        <w:tc>
          <w:tcPr>
            <w:tcW w:w="1156" w:type="dxa"/>
            <w:tcBorders>
              <w:top w:val="nil"/>
              <w:left w:val="nil"/>
              <w:bottom w:val="nil"/>
              <w:right w:val="single" w:sz="8" w:space="0" w:color="auto"/>
            </w:tcBorders>
            <w:shd w:val="clear" w:color="000000" w:fill="FFFFFF"/>
            <w:noWrap/>
            <w:vAlign w:val="bottom"/>
            <w:hideMark/>
          </w:tcPr>
          <w:p w14:paraId="7979A2FF" w14:textId="77777777" w:rsidR="000A4F6E" w:rsidRPr="000A4F6E" w:rsidRDefault="000A4F6E" w:rsidP="000A4F6E">
            <w:pPr>
              <w:jc w:val="center"/>
              <w:rPr>
                <w:color w:val="000000"/>
              </w:rPr>
            </w:pPr>
            <w:r w:rsidRPr="000A4F6E">
              <w:rPr>
                <w:color w:val="000000"/>
              </w:rPr>
              <w:t>0.008</w:t>
            </w:r>
          </w:p>
        </w:tc>
        <w:tc>
          <w:tcPr>
            <w:tcW w:w="756" w:type="dxa"/>
            <w:tcBorders>
              <w:top w:val="nil"/>
              <w:left w:val="nil"/>
              <w:bottom w:val="nil"/>
              <w:right w:val="nil"/>
            </w:tcBorders>
            <w:shd w:val="clear" w:color="000000" w:fill="FFFFFF"/>
            <w:noWrap/>
            <w:vAlign w:val="bottom"/>
            <w:hideMark/>
          </w:tcPr>
          <w:p w14:paraId="4A6EFE8E" w14:textId="77777777" w:rsidR="000A4F6E" w:rsidRPr="000A4F6E" w:rsidRDefault="000A4F6E" w:rsidP="000A4F6E">
            <w:pPr>
              <w:jc w:val="center"/>
              <w:rPr>
                <w:color w:val="000000"/>
              </w:rPr>
            </w:pPr>
            <w:r w:rsidRPr="000A4F6E">
              <w:rPr>
                <w:color w:val="000000"/>
              </w:rPr>
              <w:t>0.010</w:t>
            </w:r>
          </w:p>
        </w:tc>
        <w:tc>
          <w:tcPr>
            <w:tcW w:w="756" w:type="dxa"/>
            <w:tcBorders>
              <w:top w:val="nil"/>
              <w:left w:val="nil"/>
              <w:bottom w:val="nil"/>
              <w:right w:val="single" w:sz="8" w:space="0" w:color="auto"/>
            </w:tcBorders>
            <w:shd w:val="clear" w:color="000000" w:fill="FFFFFF"/>
            <w:noWrap/>
            <w:vAlign w:val="bottom"/>
            <w:hideMark/>
          </w:tcPr>
          <w:p w14:paraId="1F287969" w14:textId="77777777" w:rsidR="000A4F6E" w:rsidRPr="000A4F6E" w:rsidRDefault="000A4F6E" w:rsidP="000A4F6E">
            <w:pPr>
              <w:jc w:val="center"/>
              <w:rPr>
                <w:color w:val="000000"/>
              </w:rPr>
            </w:pPr>
            <w:r w:rsidRPr="000A4F6E">
              <w:rPr>
                <w:color w:val="000000"/>
              </w:rPr>
              <w:t>0.013</w:t>
            </w:r>
          </w:p>
        </w:tc>
        <w:tc>
          <w:tcPr>
            <w:tcW w:w="1156" w:type="dxa"/>
            <w:tcBorders>
              <w:top w:val="nil"/>
              <w:left w:val="nil"/>
              <w:bottom w:val="nil"/>
              <w:right w:val="single" w:sz="8" w:space="0" w:color="auto"/>
            </w:tcBorders>
            <w:shd w:val="clear" w:color="000000" w:fill="FFFFFF"/>
            <w:noWrap/>
            <w:vAlign w:val="bottom"/>
            <w:hideMark/>
          </w:tcPr>
          <w:p w14:paraId="6EC6733B" w14:textId="77777777" w:rsidR="000A4F6E" w:rsidRPr="000A4F6E" w:rsidRDefault="000A4F6E" w:rsidP="000A4F6E">
            <w:pPr>
              <w:jc w:val="center"/>
              <w:rPr>
                <w:color w:val="000000"/>
              </w:rPr>
            </w:pPr>
            <w:r w:rsidRPr="000A4F6E">
              <w:rPr>
                <w:color w:val="000000"/>
              </w:rPr>
              <w:t>0.011</w:t>
            </w:r>
          </w:p>
        </w:tc>
        <w:tc>
          <w:tcPr>
            <w:tcW w:w="756" w:type="dxa"/>
            <w:tcBorders>
              <w:top w:val="nil"/>
              <w:left w:val="nil"/>
              <w:bottom w:val="nil"/>
              <w:right w:val="single" w:sz="8" w:space="0" w:color="auto"/>
            </w:tcBorders>
            <w:shd w:val="clear" w:color="000000" w:fill="FFFFFF"/>
            <w:noWrap/>
            <w:vAlign w:val="bottom"/>
            <w:hideMark/>
          </w:tcPr>
          <w:p w14:paraId="4E3F8037" w14:textId="77777777" w:rsidR="000A4F6E" w:rsidRPr="000A4F6E" w:rsidRDefault="000A4F6E" w:rsidP="000A4F6E">
            <w:pPr>
              <w:jc w:val="center"/>
              <w:rPr>
                <w:color w:val="000000"/>
              </w:rPr>
            </w:pPr>
            <w:r w:rsidRPr="000A4F6E">
              <w:rPr>
                <w:color w:val="000000"/>
              </w:rPr>
              <w:t>0.010</w:t>
            </w:r>
          </w:p>
        </w:tc>
        <w:tc>
          <w:tcPr>
            <w:tcW w:w="1044" w:type="dxa"/>
            <w:tcBorders>
              <w:top w:val="nil"/>
              <w:left w:val="nil"/>
              <w:bottom w:val="nil"/>
              <w:right w:val="single" w:sz="8" w:space="0" w:color="auto"/>
            </w:tcBorders>
            <w:shd w:val="clear" w:color="000000" w:fill="FFFFFF"/>
            <w:noWrap/>
            <w:vAlign w:val="bottom"/>
            <w:hideMark/>
          </w:tcPr>
          <w:p w14:paraId="75269977" w14:textId="77777777" w:rsidR="000A4F6E" w:rsidRPr="000A4F6E" w:rsidRDefault="000A4F6E" w:rsidP="000A4F6E">
            <w:pPr>
              <w:jc w:val="center"/>
              <w:rPr>
                <w:color w:val="000000"/>
              </w:rPr>
            </w:pPr>
            <w:r w:rsidRPr="000A4F6E">
              <w:rPr>
                <w:color w:val="000000"/>
              </w:rPr>
              <w:t>0.013</w:t>
            </w:r>
          </w:p>
        </w:tc>
      </w:tr>
      <w:tr w:rsidR="000A4F6E" w:rsidRPr="000A4F6E" w14:paraId="18E4B7AF" w14:textId="77777777" w:rsidTr="000B256F">
        <w:trPr>
          <w:trHeight w:val="340"/>
        </w:trPr>
        <w:tc>
          <w:tcPr>
            <w:tcW w:w="1231" w:type="dxa"/>
            <w:tcBorders>
              <w:top w:val="nil"/>
              <w:left w:val="single" w:sz="8" w:space="0" w:color="auto"/>
              <w:bottom w:val="single" w:sz="8" w:space="0" w:color="auto"/>
              <w:right w:val="nil"/>
            </w:tcBorders>
            <w:shd w:val="clear" w:color="000000" w:fill="FFFFFF"/>
            <w:noWrap/>
            <w:vAlign w:val="center"/>
            <w:hideMark/>
          </w:tcPr>
          <w:p w14:paraId="28F2E45A" w14:textId="77777777" w:rsidR="000A4F6E" w:rsidRPr="000A4F6E" w:rsidRDefault="000A4F6E" w:rsidP="000A4F6E">
            <w:pPr>
              <w:jc w:val="right"/>
              <w:rPr>
                <w:color w:val="000000"/>
              </w:rPr>
            </w:pPr>
            <w:r w:rsidRPr="000A4F6E">
              <w:rPr>
                <w:color w:val="000000"/>
              </w:rPr>
              <w:t>95%</w:t>
            </w:r>
          </w:p>
        </w:tc>
        <w:tc>
          <w:tcPr>
            <w:tcW w:w="756" w:type="dxa"/>
            <w:tcBorders>
              <w:top w:val="nil"/>
              <w:left w:val="single" w:sz="8" w:space="0" w:color="auto"/>
              <w:bottom w:val="single" w:sz="8" w:space="0" w:color="auto"/>
              <w:right w:val="nil"/>
            </w:tcBorders>
            <w:shd w:val="clear" w:color="000000" w:fill="FFFFFF"/>
            <w:noWrap/>
            <w:vAlign w:val="bottom"/>
            <w:hideMark/>
          </w:tcPr>
          <w:p w14:paraId="092F272B" w14:textId="77777777" w:rsidR="000A4F6E" w:rsidRPr="000A4F6E" w:rsidRDefault="000A4F6E" w:rsidP="000A4F6E">
            <w:pPr>
              <w:jc w:val="center"/>
              <w:rPr>
                <w:color w:val="000000"/>
              </w:rPr>
            </w:pPr>
            <w:r w:rsidRPr="000A4F6E">
              <w:rPr>
                <w:color w:val="000000"/>
              </w:rPr>
              <w:t>0.039</w:t>
            </w:r>
          </w:p>
        </w:tc>
        <w:tc>
          <w:tcPr>
            <w:tcW w:w="756" w:type="dxa"/>
            <w:tcBorders>
              <w:top w:val="nil"/>
              <w:left w:val="nil"/>
              <w:bottom w:val="single" w:sz="8" w:space="0" w:color="auto"/>
              <w:right w:val="single" w:sz="8" w:space="0" w:color="auto"/>
            </w:tcBorders>
            <w:shd w:val="clear" w:color="000000" w:fill="FFFFFF"/>
            <w:noWrap/>
            <w:vAlign w:val="bottom"/>
            <w:hideMark/>
          </w:tcPr>
          <w:p w14:paraId="70FE4142" w14:textId="77777777" w:rsidR="000A4F6E" w:rsidRPr="000A4F6E" w:rsidRDefault="000A4F6E" w:rsidP="000A4F6E">
            <w:pPr>
              <w:jc w:val="center"/>
              <w:rPr>
                <w:color w:val="000000"/>
              </w:rPr>
            </w:pPr>
            <w:r w:rsidRPr="000A4F6E">
              <w:rPr>
                <w:color w:val="000000"/>
              </w:rPr>
              <w:t>0.036</w:t>
            </w:r>
          </w:p>
        </w:tc>
        <w:tc>
          <w:tcPr>
            <w:tcW w:w="1156" w:type="dxa"/>
            <w:tcBorders>
              <w:top w:val="nil"/>
              <w:left w:val="nil"/>
              <w:bottom w:val="single" w:sz="8" w:space="0" w:color="auto"/>
              <w:right w:val="single" w:sz="8" w:space="0" w:color="auto"/>
            </w:tcBorders>
            <w:shd w:val="clear" w:color="000000" w:fill="FFFFFF"/>
            <w:noWrap/>
            <w:vAlign w:val="bottom"/>
            <w:hideMark/>
          </w:tcPr>
          <w:p w14:paraId="651A7A5C" w14:textId="77777777" w:rsidR="000A4F6E" w:rsidRPr="000A4F6E" w:rsidRDefault="000A4F6E" w:rsidP="000A4F6E">
            <w:pPr>
              <w:jc w:val="center"/>
              <w:rPr>
                <w:color w:val="000000"/>
              </w:rPr>
            </w:pPr>
            <w:r w:rsidRPr="000A4F6E">
              <w:rPr>
                <w:color w:val="000000"/>
              </w:rPr>
              <w:t>0.029</w:t>
            </w:r>
          </w:p>
        </w:tc>
        <w:tc>
          <w:tcPr>
            <w:tcW w:w="756" w:type="dxa"/>
            <w:tcBorders>
              <w:top w:val="nil"/>
              <w:left w:val="nil"/>
              <w:bottom w:val="single" w:sz="8" w:space="0" w:color="auto"/>
              <w:right w:val="nil"/>
            </w:tcBorders>
            <w:shd w:val="clear" w:color="000000" w:fill="FFFFFF"/>
            <w:noWrap/>
            <w:vAlign w:val="bottom"/>
            <w:hideMark/>
          </w:tcPr>
          <w:p w14:paraId="43D4FF27" w14:textId="77777777" w:rsidR="000A4F6E" w:rsidRPr="000A4F6E" w:rsidRDefault="000A4F6E" w:rsidP="000A4F6E">
            <w:pPr>
              <w:jc w:val="center"/>
              <w:rPr>
                <w:color w:val="000000"/>
              </w:rPr>
            </w:pPr>
            <w:r w:rsidRPr="000A4F6E">
              <w:rPr>
                <w:color w:val="000000"/>
              </w:rPr>
              <w:t>0.052</w:t>
            </w:r>
          </w:p>
        </w:tc>
        <w:tc>
          <w:tcPr>
            <w:tcW w:w="756" w:type="dxa"/>
            <w:tcBorders>
              <w:top w:val="nil"/>
              <w:left w:val="nil"/>
              <w:bottom w:val="single" w:sz="8" w:space="0" w:color="auto"/>
              <w:right w:val="single" w:sz="8" w:space="0" w:color="auto"/>
            </w:tcBorders>
            <w:shd w:val="clear" w:color="000000" w:fill="FFFFFF"/>
            <w:noWrap/>
            <w:vAlign w:val="bottom"/>
            <w:hideMark/>
          </w:tcPr>
          <w:p w14:paraId="5D4D4BF0" w14:textId="77777777" w:rsidR="000A4F6E" w:rsidRPr="000A4F6E" w:rsidRDefault="000A4F6E" w:rsidP="000A4F6E">
            <w:pPr>
              <w:jc w:val="center"/>
              <w:rPr>
                <w:color w:val="000000"/>
              </w:rPr>
            </w:pPr>
            <w:r w:rsidRPr="000A4F6E">
              <w:rPr>
                <w:color w:val="000000"/>
              </w:rPr>
              <w:t>0.047</w:t>
            </w:r>
          </w:p>
        </w:tc>
        <w:tc>
          <w:tcPr>
            <w:tcW w:w="1156" w:type="dxa"/>
            <w:tcBorders>
              <w:top w:val="nil"/>
              <w:left w:val="nil"/>
              <w:bottom w:val="single" w:sz="8" w:space="0" w:color="auto"/>
              <w:right w:val="single" w:sz="8" w:space="0" w:color="auto"/>
            </w:tcBorders>
            <w:shd w:val="clear" w:color="000000" w:fill="FFFFFF"/>
            <w:noWrap/>
            <w:vAlign w:val="bottom"/>
            <w:hideMark/>
          </w:tcPr>
          <w:p w14:paraId="79672F0B" w14:textId="77777777" w:rsidR="000A4F6E" w:rsidRPr="000A4F6E" w:rsidRDefault="000A4F6E" w:rsidP="000A4F6E">
            <w:pPr>
              <w:jc w:val="center"/>
              <w:rPr>
                <w:color w:val="000000"/>
              </w:rPr>
            </w:pPr>
            <w:r w:rsidRPr="000A4F6E">
              <w:rPr>
                <w:color w:val="000000"/>
              </w:rPr>
              <w:t>0.045</w:t>
            </w:r>
          </w:p>
        </w:tc>
        <w:tc>
          <w:tcPr>
            <w:tcW w:w="756" w:type="dxa"/>
            <w:tcBorders>
              <w:top w:val="nil"/>
              <w:left w:val="nil"/>
              <w:bottom w:val="single" w:sz="8" w:space="0" w:color="auto"/>
              <w:right w:val="single" w:sz="8" w:space="0" w:color="auto"/>
            </w:tcBorders>
            <w:shd w:val="clear" w:color="000000" w:fill="FFFFFF"/>
            <w:noWrap/>
            <w:vAlign w:val="bottom"/>
            <w:hideMark/>
          </w:tcPr>
          <w:p w14:paraId="0684B8AD" w14:textId="77777777" w:rsidR="000A4F6E" w:rsidRPr="000A4F6E" w:rsidRDefault="000A4F6E" w:rsidP="000A4F6E">
            <w:pPr>
              <w:jc w:val="center"/>
              <w:rPr>
                <w:color w:val="000000"/>
              </w:rPr>
            </w:pPr>
            <w:r w:rsidRPr="000A4F6E">
              <w:rPr>
                <w:color w:val="000000"/>
              </w:rPr>
              <w:t>0.039</w:t>
            </w:r>
          </w:p>
        </w:tc>
        <w:tc>
          <w:tcPr>
            <w:tcW w:w="1044" w:type="dxa"/>
            <w:tcBorders>
              <w:top w:val="nil"/>
              <w:left w:val="nil"/>
              <w:bottom w:val="single" w:sz="8" w:space="0" w:color="auto"/>
              <w:right w:val="single" w:sz="8" w:space="0" w:color="auto"/>
            </w:tcBorders>
            <w:shd w:val="clear" w:color="000000" w:fill="FFFFFF"/>
            <w:noWrap/>
            <w:vAlign w:val="bottom"/>
            <w:hideMark/>
          </w:tcPr>
          <w:p w14:paraId="2CAD8C1B" w14:textId="77777777" w:rsidR="000A4F6E" w:rsidRPr="000A4F6E" w:rsidRDefault="000A4F6E" w:rsidP="000A4F6E">
            <w:pPr>
              <w:jc w:val="center"/>
              <w:rPr>
                <w:color w:val="000000"/>
              </w:rPr>
            </w:pPr>
            <w:r w:rsidRPr="000A4F6E">
              <w:rPr>
                <w:color w:val="000000"/>
              </w:rPr>
              <w:t>0.050</w:t>
            </w:r>
          </w:p>
        </w:tc>
      </w:tr>
      <w:tr w:rsidR="000A4F6E" w:rsidRPr="000A4F6E" w14:paraId="7D2A0C1A" w14:textId="77777777" w:rsidTr="000B256F">
        <w:trPr>
          <w:trHeight w:val="320"/>
        </w:trPr>
        <w:tc>
          <w:tcPr>
            <w:tcW w:w="1231" w:type="dxa"/>
            <w:tcBorders>
              <w:top w:val="nil"/>
              <w:left w:val="nil"/>
              <w:bottom w:val="nil"/>
              <w:right w:val="nil"/>
            </w:tcBorders>
            <w:shd w:val="clear" w:color="000000" w:fill="FFFFFF"/>
            <w:noWrap/>
            <w:vAlign w:val="bottom"/>
            <w:hideMark/>
          </w:tcPr>
          <w:p w14:paraId="1967802E" w14:textId="77777777" w:rsidR="000A4F6E" w:rsidRPr="000A4F6E" w:rsidRDefault="000A4F6E" w:rsidP="000A4F6E">
            <w:pPr>
              <w:rPr>
                <w:color w:val="000000"/>
              </w:rPr>
            </w:pPr>
            <w:r w:rsidRPr="000A4F6E">
              <w:rPr>
                <w:color w:val="000000"/>
              </w:rPr>
              <w:t>cutoff</w:t>
            </w:r>
          </w:p>
        </w:tc>
        <w:tc>
          <w:tcPr>
            <w:tcW w:w="756" w:type="dxa"/>
            <w:tcBorders>
              <w:top w:val="nil"/>
              <w:left w:val="nil"/>
              <w:bottom w:val="nil"/>
              <w:right w:val="nil"/>
            </w:tcBorders>
            <w:shd w:val="clear" w:color="000000" w:fill="FFFFFF"/>
            <w:noWrap/>
            <w:vAlign w:val="bottom"/>
            <w:hideMark/>
          </w:tcPr>
          <w:p w14:paraId="32AD22C1" w14:textId="77777777" w:rsidR="000A4F6E" w:rsidRPr="000A4F6E" w:rsidRDefault="000A4F6E" w:rsidP="000A4F6E">
            <w:pPr>
              <w:jc w:val="center"/>
              <w:rPr>
                <w:color w:val="000000"/>
              </w:rPr>
            </w:pPr>
            <w:r w:rsidRPr="000A4F6E">
              <w:rPr>
                <w:color w:val="000000"/>
              </w:rPr>
              <w:t>0.03</w:t>
            </w:r>
          </w:p>
        </w:tc>
        <w:tc>
          <w:tcPr>
            <w:tcW w:w="756" w:type="dxa"/>
            <w:tcBorders>
              <w:top w:val="nil"/>
              <w:left w:val="nil"/>
              <w:bottom w:val="nil"/>
              <w:right w:val="nil"/>
            </w:tcBorders>
            <w:shd w:val="clear" w:color="000000" w:fill="FFFFFF"/>
            <w:noWrap/>
            <w:vAlign w:val="bottom"/>
            <w:hideMark/>
          </w:tcPr>
          <w:p w14:paraId="371B08E0" w14:textId="77777777" w:rsidR="000A4F6E" w:rsidRPr="000A4F6E" w:rsidRDefault="000A4F6E" w:rsidP="000A4F6E">
            <w:pPr>
              <w:jc w:val="center"/>
              <w:rPr>
                <w:color w:val="000000"/>
              </w:rPr>
            </w:pPr>
            <w:r w:rsidRPr="000A4F6E">
              <w:rPr>
                <w:color w:val="000000"/>
              </w:rPr>
              <w:t>0.03</w:t>
            </w:r>
          </w:p>
        </w:tc>
        <w:tc>
          <w:tcPr>
            <w:tcW w:w="1156" w:type="dxa"/>
            <w:tcBorders>
              <w:top w:val="nil"/>
              <w:left w:val="nil"/>
              <w:bottom w:val="nil"/>
              <w:right w:val="nil"/>
            </w:tcBorders>
            <w:shd w:val="clear" w:color="000000" w:fill="FFFFFF"/>
            <w:noWrap/>
            <w:vAlign w:val="bottom"/>
            <w:hideMark/>
          </w:tcPr>
          <w:p w14:paraId="23304D26" w14:textId="77777777" w:rsidR="000A4F6E" w:rsidRPr="000A4F6E" w:rsidRDefault="000A4F6E" w:rsidP="000A4F6E">
            <w:pPr>
              <w:jc w:val="center"/>
              <w:rPr>
                <w:color w:val="000000"/>
              </w:rPr>
            </w:pPr>
            <w:r w:rsidRPr="000A4F6E">
              <w:rPr>
                <w:color w:val="000000"/>
              </w:rPr>
              <w:t>0.03</w:t>
            </w:r>
          </w:p>
        </w:tc>
        <w:tc>
          <w:tcPr>
            <w:tcW w:w="756" w:type="dxa"/>
            <w:tcBorders>
              <w:top w:val="nil"/>
              <w:left w:val="nil"/>
              <w:bottom w:val="nil"/>
              <w:right w:val="nil"/>
            </w:tcBorders>
            <w:shd w:val="clear" w:color="000000" w:fill="FFFFFF"/>
            <w:noWrap/>
            <w:vAlign w:val="bottom"/>
            <w:hideMark/>
          </w:tcPr>
          <w:p w14:paraId="0F0C6122" w14:textId="77777777" w:rsidR="000A4F6E" w:rsidRPr="000A4F6E" w:rsidRDefault="000A4F6E" w:rsidP="000A4F6E">
            <w:pPr>
              <w:jc w:val="center"/>
              <w:rPr>
                <w:color w:val="000000"/>
              </w:rPr>
            </w:pPr>
            <w:r w:rsidRPr="000A4F6E">
              <w:rPr>
                <w:color w:val="000000"/>
              </w:rPr>
              <w:t>0.04</w:t>
            </w:r>
          </w:p>
        </w:tc>
        <w:tc>
          <w:tcPr>
            <w:tcW w:w="756" w:type="dxa"/>
            <w:tcBorders>
              <w:top w:val="nil"/>
              <w:left w:val="nil"/>
              <w:bottom w:val="nil"/>
              <w:right w:val="nil"/>
            </w:tcBorders>
            <w:shd w:val="clear" w:color="000000" w:fill="FFFFFF"/>
            <w:noWrap/>
            <w:vAlign w:val="bottom"/>
            <w:hideMark/>
          </w:tcPr>
          <w:p w14:paraId="68F6FCE9" w14:textId="77777777" w:rsidR="000A4F6E" w:rsidRPr="000A4F6E" w:rsidRDefault="000A4F6E" w:rsidP="000A4F6E">
            <w:pPr>
              <w:jc w:val="center"/>
              <w:rPr>
                <w:color w:val="000000"/>
              </w:rPr>
            </w:pPr>
            <w:r w:rsidRPr="000A4F6E">
              <w:rPr>
                <w:color w:val="000000"/>
              </w:rPr>
              <w:t>0.04</w:t>
            </w:r>
          </w:p>
        </w:tc>
        <w:tc>
          <w:tcPr>
            <w:tcW w:w="1156" w:type="dxa"/>
            <w:tcBorders>
              <w:top w:val="nil"/>
              <w:left w:val="nil"/>
              <w:bottom w:val="nil"/>
              <w:right w:val="nil"/>
            </w:tcBorders>
            <w:shd w:val="clear" w:color="000000" w:fill="FFFFFF"/>
            <w:noWrap/>
            <w:vAlign w:val="bottom"/>
            <w:hideMark/>
          </w:tcPr>
          <w:p w14:paraId="66517340" w14:textId="77777777" w:rsidR="000A4F6E" w:rsidRPr="000A4F6E" w:rsidRDefault="000A4F6E" w:rsidP="000A4F6E">
            <w:pPr>
              <w:jc w:val="center"/>
              <w:rPr>
                <w:color w:val="000000"/>
              </w:rPr>
            </w:pPr>
            <w:r w:rsidRPr="000A4F6E">
              <w:rPr>
                <w:color w:val="000000"/>
              </w:rPr>
              <w:t>0.04</w:t>
            </w:r>
          </w:p>
        </w:tc>
        <w:tc>
          <w:tcPr>
            <w:tcW w:w="756" w:type="dxa"/>
            <w:tcBorders>
              <w:top w:val="nil"/>
              <w:left w:val="nil"/>
              <w:bottom w:val="nil"/>
              <w:right w:val="nil"/>
            </w:tcBorders>
            <w:shd w:val="clear" w:color="000000" w:fill="FFFFFF"/>
            <w:noWrap/>
            <w:vAlign w:val="bottom"/>
            <w:hideMark/>
          </w:tcPr>
          <w:p w14:paraId="5DBF3AB6" w14:textId="77777777" w:rsidR="000A4F6E" w:rsidRPr="000A4F6E" w:rsidRDefault="000A4F6E" w:rsidP="000A4F6E">
            <w:pPr>
              <w:jc w:val="center"/>
              <w:rPr>
                <w:color w:val="000000"/>
              </w:rPr>
            </w:pPr>
            <w:r w:rsidRPr="000A4F6E">
              <w:rPr>
                <w:color w:val="000000"/>
              </w:rPr>
              <w:t>0.04</w:t>
            </w:r>
          </w:p>
        </w:tc>
        <w:tc>
          <w:tcPr>
            <w:tcW w:w="1044" w:type="dxa"/>
            <w:tcBorders>
              <w:top w:val="nil"/>
              <w:left w:val="nil"/>
              <w:bottom w:val="nil"/>
              <w:right w:val="nil"/>
            </w:tcBorders>
            <w:shd w:val="clear" w:color="000000" w:fill="FFFFFF"/>
            <w:noWrap/>
            <w:vAlign w:val="bottom"/>
            <w:hideMark/>
          </w:tcPr>
          <w:p w14:paraId="0C3C3781" w14:textId="77777777" w:rsidR="000A4F6E" w:rsidRPr="000A4F6E" w:rsidRDefault="000A4F6E" w:rsidP="000A4F6E">
            <w:pPr>
              <w:jc w:val="center"/>
              <w:rPr>
                <w:color w:val="000000"/>
              </w:rPr>
            </w:pPr>
            <w:r w:rsidRPr="000A4F6E">
              <w:rPr>
                <w:color w:val="000000"/>
              </w:rPr>
              <w:t>0.04</w:t>
            </w:r>
          </w:p>
        </w:tc>
      </w:tr>
    </w:tbl>
    <w:p w14:paraId="7037C647" w14:textId="77777777" w:rsidR="000B256F" w:rsidRDefault="000B256F" w:rsidP="00687B1F">
      <w:pPr>
        <w:spacing w:after="160" w:line="259" w:lineRule="auto"/>
      </w:pPr>
    </w:p>
    <w:p w14:paraId="05603AD3" w14:textId="6D4B0A8D" w:rsidR="00561529" w:rsidRDefault="00AA0975" w:rsidP="00687B1F">
      <w:pPr>
        <w:spacing w:after="160" w:line="259" w:lineRule="auto"/>
      </w:pPr>
      <w:r>
        <w:t>Table S4 shows</w:t>
      </w:r>
      <w:r w:rsidR="00561529">
        <w:t xml:space="preserve"> results from eliminating these influential observ</w:t>
      </w:r>
      <w:r w:rsidR="000C6430">
        <w:t>ations.  As the estimates show</w:t>
      </w:r>
      <w:r w:rsidR="00561529">
        <w:t xml:space="preserve">, eliminating these observations </w:t>
      </w:r>
      <w:r w:rsidR="000C6430">
        <w:t xml:space="preserve">had little effect on </w:t>
      </w:r>
      <w:r w:rsidR="00561529">
        <w:t xml:space="preserve">our conclusions that </w:t>
      </w:r>
      <w:r>
        <w:t xml:space="preserve">in these samples the specimen used </w:t>
      </w:r>
      <w:r w:rsidR="004C0327">
        <w:t>a</w:t>
      </w:r>
      <w:r>
        <w:t xml:space="preserve">ffects conclusions about the association between the variables in our analysis and measured telomere length.  </w:t>
      </w:r>
    </w:p>
    <w:p w14:paraId="58C995AF" w14:textId="724A8D73" w:rsidR="00AA0975" w:rsidRDefault="00AA0975" w:rsidP="00687B1F">
      <w:pPr>
        <w:spacing w:after="160" w:line="259" w:lineRule="auto"/>
      </w:pPr>
      <w:r>
        <w:t>Table S4</w:t>
      </w:r>
      <w:r w:rsidR="00210DDF">
        <w:t xml:space="preserve">. Comparing results after removing outliers. </w:t>
      </w:r>
    </w:p>
    <w:tbl>
      <w:tblPr>
        <w:tblW w:w="8540" w:type="dxa"/>
        <w:tblLayout w:type="fixed"/>
        <w:tblLook w:val="04A0" w:firstRow="1" w:lastRow="0" w:firstColumn="1" w:lastColumn="0" w:noHBand="0" w:noVBand="1"/>
      </w:tblPr>
      <w:tblGrid>
        <w:gridCol w:w="1880"/>
        <w:gridCol w:w="1136"/>
        <w:gridCol w:w="1110"/>
        <w:gridCol w:w="1016"/>
        <w:gridCol w:w="1110"/>
        <w:gridCol w:w="1016"/>
        <w:gridCol w:w="1272"/>
      </w:tblGrid>
      <w:tr w:rsidR="0039496A" w:rsidRPr="0039496A" w14:paraId="46D65846" w14:textId="77777777" w:rsidTr="00FD2EE2">
        <w:trPr>
          <w:trHeight w:val="320"/>
        </w:trPr>
        <w:tc>
          <w:tcPr>
            <w:tcW w:w="1880" w:type="dxa"/>
            <w:tcBorders>
              <w:top w:val="single" w:sz="8" w:space="0" w:color="auto"/>
              <w:left w:val="single" w:sz="8" w:space="0" w:color="auto"/>
              <w:bottom w:val="nil"/>
              <w:right w:val="nil"/>
            </w:tcBorders>
            <w:shd w:val="clear" w:color="000000" w:fill="FFFFFF"/>
            <w:noWrap/>
            <w:vAlign w:val="center"/>
            <w:hideMark/>
          </w:tcPr>
          <w:p w14:paraId="1196CEE3" w14:textId="6CE81ABF" w:rsidR="0039496A" w:rsidRPr="003F5EA7" w:rsidRDefault="0039496A" w:rsidP="0039496A">
            <w:pPr>
              <w:rPr>
                <w:color w:val="000000"/>
              </w:rPr>
            </w:pPr>
          </w:p>
        </w:tc>
        <w:tc>
          <w:tcPr>
            <w:tcW w:w="2246" w:type="dxa"/>
            <w:gridSpan w:val="2"/>
            <w:tcBorders>
              <w:top w:val="single" w:sz="8" w:space="0" w:color="auto"/>
              <w:left w:val="single" w:sz="8" w:space="0" w:color="auto"/>
              <w:bottom w:val="nil"/>
              <w:right w:val="single" w:sz="8" w:space="0" w:color="000000"/>
            </w:tcBorders>
            <w:shd w:val="clear" w:color="000000" w:fill="FFFFFF"/>
            <w:noWrap/>
            <w:vAlign w:val="center"/>
            <w:hideMark/>
          </w:tcPr>
          <w:p w14:paraId="618B9A27" w14:textId="719DBF1B" w:rsidR="0039496A" w:rsidRPr="00ED59C9" w:rsidRDefault="00ED59C9" w:rsidP="0039496A">
            <w:pPr>
              <w:jc w:val="center"/>
              <w:rPr>
                <w:color w:val="000000"/>
                <w:u w:val="single"/>
              </w:rPr>
            </w:pPr>
            <w:r w:rsidRPr="00ED59C9">
              <w:rPr>
                <w:color w:val="000000"/>
                <w:u w:val="single"/>
              </w:rPr>
              <w:t>Full Sample</w:t>
            </w:r>
          </w:p>
        </w:tc>
        <w:tc>
          <w:tcPr>
            <w:tcW w:w="4414" w:type="dxa"/>
            <w:gridSpan w:val="4"/>
            <w:tcBorders>
              <w:top w:val="single" w:sz="8" w:space="0" w:color="auto"/>
              <w:left w:val="nil"/>
              <w:bottom w:val="nil"/>
              <w:right w:val="single" w:sz="8" w:space="0" w:color="000000"/>
            </w:tcBorders>
            <w:shd w:val="clear" w:color="000000" w:fill="FFFFFF"/>
            <w:noWrap/>
            <w:vAlign w:val="center"/>
            <w:hideMark/>
          </w:tcPr>
          <w:p w14:paraId="43A5B325" w14:textId="361C0B3E" w:rsidR="0039496A" w:rsidRPr="00ED59C9" w:rsidRDefault="00ED59C9" w:rsidP="0039496A">
            <w:pPr>
              <w:jc w:val="center"/>
              <w:rPr>
                <w:color w:val="000000"/>
                <w:u w:val="single"/>
              </w:rPr>
            </w:pPr>
            <w:r w:rsidRPr="00ED59C9">
              <w:rPr>
                <w:color w:val="000000"/>
                <w:u w:val="single"/>
              </w:rPr>
              <w:t>DBS Complete Sample</w:t>
            </w:r>
          </w:p>
        </w:tc>
      </w:tr>
      <w:tr w:rsidR="0039496A" w:rsidRPr="0039496A" w14:paraId="64531955" w14:textId="77777777" w:rsidTr="00FD2EE2">
        <w:trPr>
          <w:trHeight w:val="320"/>
        </w:trPr>
        <w:tc>
          <w:tcPr>
            <w:tcW w:w="1880" w:type="dxa"/>
            <w:tcBorders>
              <w:top w:val="nil"/>
              <w:left w:val="single" w:sz="8" w:space="0" w:color="auto"/>
              <w:bottom w:val="nil"/>
              <w:right w:val="nil"/>
            </w:tcBorders>
            <w:shd w:val="clear" w:color="000000" w:fill="FFFFFF"/>
            <w:noWrap/>
            <w:vAlign w:val="center"/>
            <w:hideMark/>
          </w:tcPr>
          <w:p w14:paraId="28055A5C" w14:textId="77777777" w:rsidR="0039496A" w:rsidRPr="003F5EA7" w:rsidRDefault="0039496A" w:rsidP="0039496A">
            <w:pPr>
              <w:rPr>
                <w:color w:val="000000"/>
              </w:rPr>
            </w:pPr>
            <w:r w:rsidRPr="003F5EA7">
              <w:rPr>
                <w:color w:val="000000"/>
              </w:rPr>
              <w:t> </w:t>
            </w:r>
          </w:p>
        </w:tc>
        <w:tc>
          <w:tcPr>
            <w:tcW w:w="1136" w:type="dxa"/>
            <w:tcBorders>
              <w:top w:val="nil"/>
              <w:left w:val="single" w:sz="8" w:space="0" w:color="auto"/>
              <w:bottom w:val="nil"/>
              <w:right w:val="nil"/>
            </w:tcBorders>
            <w:shd w:val="clear" w:color="000000" w:fill="FFFFFF"/>
            <w:noWrap/>
            <w:vAlign w:val="center"/>
            <w:hideMark/>
          </w:tcPr>
          <w:p w14:paraId="70684898" w14:textId="77777777" w:rsidR="0039496A" w:rsidRPr="003F5EA7" w:rsidRDefault="0039496A" w:rsidP="0039496A">
            <w:pPr>
              <w:jc w:val="center"/>
              <w:rPr>
                <w:color w:val="000000"/>
              </w:rPr>
            </w:pPr>
            <w:r w:rsidRPr="003F5EA7">
              <w:rPr>
                <w:color w:val="000000"/>
              </w:rPr>
              <w:t xml:space="preserve">Original </w:t>
            </w:r>
          </w:p>
        </w:tc>
        <w:tc>
          <w:tcPr>
            <w:tcW w:w="1110" w:type="dxa"/>
            <w:tcBorders>
              <w:top w:val="nil"/>
              <w:left w:val="nil"/>
              <w:bottom w:val="nil"/>
              <w:right w:val="single" w:sz="8" w:space="0" w:color="auto"/>
            </w:tcBorders>
            <w:shd w:val="clear" w:color="000000" w:fill="FFFFFF"/>
            <w:noWrap/>
            <w:vAlign w:val="center"/>
            <w:hideMark/>
          </w:tcPr>
          <w:p w14:paraId="6BB5F2DE" w14:textId="77777777" w:rsidR="0039496A" w:rsidRPr="003F5EA7" w:rsidRDefault="0039496A" w:rsidP="0039496A">
            <w:pPr>
              <w:jc w:val="center"/>
              <w:rPr>
                <w:color w:val="000000"/>
              </w:rPr>
            </w:pPr>
            <w:r w:rsidRPr="003F5EA7">
              <w:rPr>
                <w:color w:val="000000"/>
              </w:rPr>
              <w:t>Trimmed</w:t>
            </w:r>
          </w:p>
        </w:tc>
        <w:tc>
          <w:tcPr>
            <w:tcW w:w="1016" w:type="dxa"/>
            <w:tcBorders>
              <w:top w:val="nil"/>
              <w:left w:val="nil"/>
              <w:bottom w:val="nil"/>
              <w:right w:val="nil"/>
            </w:tcBorders>
            <w:shd w:val="clear" w:color="000000" w:fill="FFFFFF"/>
            <w:noWrap/>
            <w:vAlign w:val="center"/>
            <w:hideMark/>
          </w:tcPr>
          <w:p w14:paraId="3E330E08" w14:textId="77777777" w:rsidR="0039496A" w:rsidRPr="003F5EA7" w:rsidRDefault="0039496A" w:rsidP="0039496A">
            <w:pPr>
              <w:jc w:val="center"/>
              <w:rPr>
                <w:color w:val="000000"/>
              </w:rPr>
            </w:pPr>
            <w:r w:rsidRPr="003F5EA7">
              <w:rPr>
                <w:color w:val="000000"/>
              </w:rPr>
              <w:t xml:space="preserve">Original </w:t>
            </w:r>
          </w:p>
        </w:tc>
        <w:tc>
          <w:tcPr>
            <w:tcW w:w="1110" w:type="dxa"/>
            <w:tcBorders>
              <w:top w:val="nil"/>
              <w:left w:val="nil"/>
              <w:bottom w:val="nil"/>
              <w:right w:val="nil"/>
            </w:tcBorders>
            <w:shd w:val="clear" w:color="000000" w:fill="FFFFFF"/>
            <w:noWrap/>
            <w:vAlign w:val="center"/>
            <w:hideMark/>
          </w:tcPr>
          <w:p w14:paraId="47AE2B96" w14:textId="77777777" w:rsidR="0039496A" w:rsidRPr="003F5EA7" w:rsidRDefault="0039496A" w:rsidP="0039496A">
            <w:pPr>
              <w:jc w:val="center"/>
              <w:rPr>
                <w:color w:val="000000"/>
              </w:rPr>
            </w:pPr>
            <w:r w:rsidRPr="003F5EA7">
              <w:rPr>
                <w:color w:val="000000"/>
              </w:rPr>
              <w:t>Trimmed</w:t>
            </w:r>
          </w:p>
        </w:tc>
        <w:tc>
          <w:tcPr>
            <w:tcW w:w="1016" w:type="dxa"/>
            <w:tcBorders>
              <w:top w:val="nil"/>
              <w:left w:val="nil"/>
              <w:bottom w:val="nil"/>
              <w:right w:val="nil"/>
            </w:tcBorders>
            <w:shd w:val="clear" w:color="000000" w:fill="FFFFFF"/>
            <w:noWrap/>
            <w:vAlign w:val="center"/>
            <w:hideMark/>
          </w:tcPr>
          <w:p w14:paraId="7FCAFBCB" w14:textId="77777777" w:rsidR="0039496A" w:rsidRPr="003F5EA7" w:rsidRDefault="0039496A" w:rsidP="0039496A">
            <w:pPr>
              <w:jc w:val="center"/>
              <w:rPr>
                <w:color w:val="000000"/>
              </w:rPr>
            </w:pPr>
            <w:r w:rsidRPr="003F5EA7">
              <w:rPr>
                <w:color w:val="000000"/>
              </w:rPr>
              <w:t xml:space="preserve">Original </w:t>
            </w:r>
          </w:p>
        </w:tc>
        <w:tc>
          <w:tcPr>
            <w:tcW w:w="1272" w:type="dxa"/>
            <w:tcBorders>
              <w:top w:val="nil"/>
              <w:left w:val="nil"/>
              <w:bottom w:val="nil"/>
              <w:right w:val="single" w:sz="8" w:space="0" w:color="auto"/>
            </w:tcBorders>
            <w:shd w:val="clear" w:color="000000" w:fill="FFFFFF"/>
            <w:noWrap/>
            <w:vAlign w:val="center"/>
            <w:hideMark/>
          </w:tcPr>
          <w:p w14:paraId="292AA6F0" w14:textId="77777777" w:rsidR="0039496A" w:rsidRPr="003F5EA7" w:rsidRDefault="0039496A" w:rsidP="0039496A">
            <w:pPr>
              <w:jc w:val="center"/>
              <w:rPr>
                <w:color w:val="000000"/>
              </w:rPr>
            </w:pPr>
            <w:r w:rsidRPr="003F5EA7">
              <w:rPr>
                <w:color w:val="000000"/>
              </w:rPr>
              <w:t>Trimmed</w:t>
            </w:r>
          </w:p>
        </w:tc>
      </w:tr>
      <w:tr w:rsidR="0039496A" w:rsidRPr="0039496A" w14:paraId="69CC2379" w14:textId="77777777" w:rsidTr="00FD2EE2">
        <w:trPr>
          <w:trHeight w:val="340"/>
        </w:trPr>
        <w:tc>
          <w:tcPr>
            <w:tcW w:w="1880" w:type="dxa"/>
            <w:tcBorders>
              <w:top w:val="single" w:sz="8" w:space="0" w:color="auto"/>
              <w:left w:val="single" w:sz="8" w:space="0" w:color="auto"/>
              <w:bottom w:val="single" w:sz="8" w:space="0" w:color="auto"/>
              <w:right w:val="nil"/>
            </w:tcBorders>
            <w:shd w:val="clear" w:color="000000" w:fill="FFFFFF"/>
            <w:noWrap/>
            <w:vAlign w:val="bottom"/>
            <w:hideMark/>
          </w:tcPr>
          <w:p w14:paraId="096CEEF7" w14:textId="1D41DF13" w:rsidR="0039496A" w:rsidRPr="00ED59C9" w:rsidRDefault="0039496A" w:rsidP="0039496A">
            <w:pPr>
              <w:rPr>
                <w:color w:val="000000"/>
                <w:sz w:val="22"/>
                <w:szCs w:val="22"/>
              </w:rPr>
            </w:pPr>
            <w:r w:rsidRPr="00ED59C9">
              <w:rPr>
                <w:color w:val="000000"/>
                <w:sz w:val="22"/>
                <w:szCs w:val="22"/>
              </w:rPr>
              <w:t> </w:t>
            </w:r>
            <w:r w:rsidR="005D7C7A">
              <w:rPr>
                <w:color w:val="000000"/>
                <w:sz w:val="22"/>
                <w:szCs w:val="22"/>
              </w:rPr>
              <w:t>Variable</w:t>
            </w:r>
          </w:p>
        </w:tc>
        <w:tc>
          <w:tcPr>
            <w:tcW w:w="1136" w:type="dxa"/>
            <w:tcBorders>
              <w:top w:val="single" w:sz="8" w:space="0" w:color="auto"/>
              <w:left w:val="single" w:sz="8" w:space="0" w:color="auto"/>
              <w:bottom w:val="single" w:sz="8" w:space="0" w:color="auto"/>
              <w:right w:val="nil"/>
            </w:tcBorders>
            <w:shd w:val="clear" w:color="000000" w:fill="FFFFFF"/>
            <w:noWrap/>
            <w:vAlign w:val="center"/>
            <w:hideMark/>
          </w:tcPr>
          <w:p w14:paraId="33183D3E" w14:textId="77777777" w:rsidR="0039496A" w:rsidRPr="003F5EA7" w:rsidRDefault="0039496A" w:rsidP="0039496A">
            <w:pPr>
              <w:jc w:val="center"/>
              <w:rPr>
                <w:color w:val="000000"/>
                <w:sz w:val="17"/>
                <w:szCs w:val="17"/>
              </w:rPr>
            </w:pPr>
            <w:r w:rsidRPr="003F5EA7">
              <w:rPr>
                <w:color w:val="000000"/>
                <w:sz w:val="17"/>
                <w:szCs w:val="17"/>
              </w:rPr>
              <w:t>Saliva-PBMC</w:t>
            </w:r>
          </w:p>
        </w:tc>
        <w:tc>
          <w:tcPr>
            <w:tcW w:w="1110" w:type="dxa"/>
            <w:tcBorders>
              <w:top w:val="single" w:sz="8" w:space="0" w:color="auto"/>
              <w:left w:val="nil"/>
              <w:bottom w:val="single" w:sz="8" w:space="0" w:color="auto"/>
              <w:right w:val="single" w:sz="8" w:space="0" w:color="auto"/>
            </w:tcBorders>
            <w:shd w:val="clear" w:color="000000" w:fill="FFFFFF"/>
            <w:noWrap/>
            <w:vAlign w:val="center"/>
            <w:hideMark/>
          </w:tcPr>
          <w:p w14:paraId="43F24040" w14:textId="77777777" w:rsidR="0039496A" w:rsidRPr="003F5EA7" w:rsidRDefault="0039496A" w:rsidP="0039496A">
            <w:pPr>
              <w:jc w:val="center"/>
              <w:rPr>
                <w:color w:val="000000"/>
                <w:sz w:val="17"/>
                <w:szCs w:val="17"/>
              </w:rPr>
            </w:pPr>
            <w:r w:rsidRPr="003F5EA7">
              <w:rPr>
                <w:color w:val="000000"/>
                <w:sz w:val="17"/>
                <w:szCs w:val="17"/>
              </w:rPr>
              <w:t>Saliva-PBMC</w:t>
            </w:r>
          </w:p>
        </w:tc>
        <w:tc>
          <w:tcPr>
            <w:tcW w:w="1016" w:type="dxa"/>
            <w:tcBorders>
              <w:top w:val="single" w:sz="8" w:space="0" w:color="auto"/>
              <w:left w:val="nil"/>
              <w:bottom w:val="single" w:sz="8" w:space="0" w:color="auto"/>
              <w:right w:val="nil"/>
            </w:tcBorders>
            <w:shd w:val="clear" w:color="000000" w:fill="FFFFFF"/>
            <w:noWrap/>
            <w:vAlign w:val="center"/>
            <w:hideMark/>
          </w:tcPr>
          <w:p w14:paraId="3F97B117" w14:textId="77777777" w:rsidR="0039496A" w:rsidRPr="003F5EA7" w:rsidRDefault="0039496A" w:rsidP="0039496A">
            <w:pPr>
              <w:jc w:val="center"/>
              <w:rPr>
                <w:color w:val="000000"/>
                <w:sz w:val="17"/>
                <w:szCs w:val="17"/>
              </w:rPr>
            </w:pPr>
            <w:r w:rsidRPr="003F5EA7">
              <w:rPr>
                <w:color w:val="000000"/>
                <w:sz w:val="17"/>
                <w:szCs w:val="17"/>
              </w:rPr>
              <w:t>Saliva-PBMC</w:t>
            </w:r>
          </w:p>
        </w:tc>
        <w:tc>
          <w:tcPr>
            <w:tcW w:w="1110" w:type="dxa"/>
            <w:tcBorders>
              <w:top w:val="single" w:sz="8" w:space="0" w:color="auto"/>
              <w:left w:val="nil"/>
              <w:bottom w:val="single" w:sz="8" w:space="0" w:color="auto"/>
              <w:right w:val="nil"/>
            </w:tcBorders>
            <w:shd w:val="clear" w:color="000000" w:fill="FFFFFF"/>
            <w:noWrap/>
            <w:vAlign w:val="center"/>
            <w:hideMark/>
          </w:tcPr>
          <w:p w14:paraId="39719107" w14:textId="77777777" w:rsidR="0039496A" w:rsidRPr="003F5EA7" w:rsidRDefault="0039496A" w:rsidP="0039496A">
            <w:pPr>
              <w:jc w:val="center"/>
              <w:rPr>
                <w:color w:val="000000"/>
                <w:sz w:val="17"/>
                <w:szCs w:val="17"/>
              </w:rPr>
            </w:pPr>
            <w:r w:rsidRPr="003F5EA7">
              <w:rPr>
                <w:color w:val="000000"/>
                <w:sz w:val="17"/>
                <w:szCs w:val="17"/>
              </w:rPr>
              <w:t>Saliva-PBMC</w:t>
            </w:r>
          </w:p>
        </w:tc>
        <w:tc>
          <w:tcPr>
            <w:tcW w:w="1016" w:type="dxa"/>
            <w:tcBorders>
              <w:top w:val="single" w:sz="8" w:space="0" w:color="auto"/>
              <w:left w:val="nil"/>
              <w:bottom w:val="single" w:sz="8" w:space="0" w:color="auto"/>
              <w:right w:val="nil"/>
            </w:tcBorders>
            <w:shd w:val="clear" w:color="000000" w:fill="FFFFFF"/>
            <w:noWrap/>
            <w:vAlign w:val="center"/>
            <w:hideMark/>
          </w:tcPr>
          <w:p w14:paraId="54D592EE" w14:textId="77777777" w:rsidR="0039496A" w:rsidRPr="003F5EA7" w:rsidRDefault="0039496A" w:rsidP="0039496A">
            <w:pPr>
              <w:jc w:val="center"/>
              <w:rPr>
                <w:color w:val="000000"/>
                <w:sz w:val="17"/>
                <w:szCs w:val="17"/>
              </w:rPr>
            </w:pPr>
            <w:r w:rsidRPr="003F5EA7">
              <w:rPr>
                <w:color w:val="000000"/>
                <w:sz w:val="17"/>
                <w:szCs w:val="17"/>
              </w:rPr>
              <w:t>DBS-PBMC</w:t>
            </w:r>
          </w:p>
        </w:tc>
        <w:tc>
          <w:tcPr>
            <w:tcW w:w="1272" w:type="dxa"/>
            <w:tcBorders>
              <w:top w:val="single" w:sz="8" w:space="0" w:color="auto"/>
              <w:left w:val="nil"/>
              <w:bottom w:val="single" w:sz="8" w:space="0" w:color="auto"/>
              <w:right w:val="single" w:sz="8" w:space="0" w:color="auto"/>
            </w:tcBorders>
            <w:shd w:val="clear" w:color="000000" w:fill="FFFFFF"/>
            <w:noWrap/>
            <w:vAlign w:val="center"/>
            <w:hideMark/>
          </w:tcPr>
          <w:p w14:paraId="2072A90D" w14:textId="77777777" w:rsidR="0039496A" w:rsidRPr="003F5EA7" w:rsidRDefault="0039496A" w:rsidP="0039496A">
            <w:pPr>
              <w:jc w:val="center"/>
              <w:rPr>
                <w:color w:val="000000"/>
                <w:sz w:val="17"/>
                <w:szCs w:val="17"/>
              </w:rPr>
            </w:pPr>
            <w:r w:rsidRPr="003F5EA7">
              <w:rPr>
                <w:color w:val="000000"/>
                <w:sz w:val="17"/>
                <w:szCs w:val="17"/>
              </w:rPr>
              <w:t>DBS-PBMC</w:t>
            </w:r>
          </w:p>
        </w:tc>
      </w:tr>
      <w:tr w:rsidR="0039496A" w:rsidRPr="0039496A" w14:paraId="3C9AE86F" w14:textId="77777777" w:rsidTr="00FD2EE2">
        <w:trPr>
          <w:trHeight w:val="320"/>
        </w:trPr>
        <w:tc>
          <w:tcPr>
            <w:tcW w:w="1880" w:type="dxa"/>
            <w:tcBorders>
              <w:top w:val="nil"/>
              <w:left w:val="single" w:sz="8" w:space="0" w:color="auto"/>
              <w:bottom w:val="nil"/>
              <w:right w:val="nil"/>
            </w:tcBorders>
            <w:shd w:val="clear" w:color="000000" w:fill="FFFFFF"/>
            <w:noWrap/>
            <w:vAlign w:val="center"/>
            <w:hideMark/>
          </w:tcPr>
          <w:p w14:paraId="1C05DE9D" w14:textId="77777777" w:rsidR="0039496A" w:rsidRPr="003F5EA7" w:rsidRDefault="0039496A" w:rsidP="0039496A">
            <w:pPr>
              <w:rPr>
                <w:color w:val="000000"/>
              </w:rPr>
            </w:pPr>
            <w:r w:rsidRPr="003F5EA7">
              <w:rPr>
                <w:color w:val="000000"/>
              </w:rPr>
              <w:t xml:space="preserve">Age/10 </w:t>
            </w:r>
          </w:p>
        </w:tc>
        <w:tc>
          <w:tcPr>
            <w:tcW w:w="1136" w:type="dxa"/>
            <w:tcBorders>
              <w:top w:val="nil"/>
              <w:left w:val="single" w:sz="8" w:space="0" w:color="auto"/>
              <w:bottom w:val="nil"/>
              <w:right w:val="nil"/>
            </w:tcBorders>
            <w:shd w:val="clear" w:color="000000" w:fill="FFFFFF"/>
            <w:noWrap/>
            <w:vAlign w:val="center"/>
            <w:hideMark/>
          </w:tcPr>
          <w:p w14:paraId="2839F1BF" w14:textId="77777777" w:rsidR="0039496A" w:rsidRPr="003F5EA7" w:rsidRDefault="0039496A" w:rsidP="0039496A">
            <w:pPr>
              <w:jc w:val="center"/>
              <w:rPr>
                <w:color w:val="000000"/>
              </w:rPr>
            </w:pPr>
            <w:r w:rsidRPr="003F5EA7">
              <w:rPr>
                <w:color w:val="000000"/>
              </w:rPr>
              <w:t>0.067</w:t>
            </w:r>
          </w:p>
        </w:tc>
        <w:tc>
          <w:tcPr>
            <w:tcW w:w="1110" w:type="dxa"/>
            <w:tcBorders>
              <w:top w:val="nil"/>
              <w:left w:val="nil"/>
              <w:bottom w:val="nil"/>
              <w:right w:val="single" w:sz="8" w:space="0" w:color="auto"/>
            </w:tcBorders>
            <w:shd w:val="clear" w:color="000000" w:fill="FFFFFF"/>
            <w:noWrap/>
            <w:vAlign w:val="center"/>
            <w:hideMark/>
          </w:tcPr>
          <w:p w14:paraId="51FBF584" w14:textId="77777777" w:rsidR="0039496A" w:rsidRPr="003F5EA7" w:rsidRDefault="0039496A" w:rsidP="0039496A">
            <w:pPr>
              <w:jc w:val="center"/>
              <w:rPr>
                <w:color w:val="000000"/>
              </w:rPr>
            </w:pPr>
            <w:r w:rsidRPr="003F5EA7">
              <w:rPr>
                <w:color w:val="000000"/>
              </w:rPr>
              <w:t>0.093</w:t>
            </w:r>
          </w:p>
        </w:tc>
        <w:tc>
          <w:tcPr>
            <w:tcW w:w="1016" w:type="dxa"/>
            <w:tcBorders>
              <w:top w:val="nil"/>
              <w:left w:val="nil"/>
              <w:bottom w:val="nil"/>
              <w:right w:val="nil"/>
            </w:tcBorders>
            <w:shd w:val="clear" w:color="000000" w:fill="FFFFFF"/>
            <w:noWrap/>
            <w:vAlign w:val="center"/>
            <w:hideMark/>
          </w:tcPr>
          <w:p w14:paraId="4A06AD95" w14:textId="77777777" w:rsidR="0039496A" w:rsidRPr="003F5EA7" w:rsidRDefault="0039496A" w:rsidP="0039496A">
            <w:pPr>
              <w:jc w:val="center"/>
              <w:rPr>
                <w:color w:val="000000"/>
              </w:rPr>
            </w:pPr>
            <w:r w:rsidRPr="003F5EA7">
              <w:rPr>
                <w:color w:val="000000"/>
              </w:rPr>
              <w:t>0.038</w:t>
            </w:r>
          </w:p>
        </w:tc>
        <w:tc>
          <w:tcPr>
            <w:tcW w:w="1110" w:type="dxa"/>
            <w:tcBorders>
              <w:top w:val="nil"/>
              <w:left w:val="nil"/>
              <w:bottom w:val="nil"/>
              <w:right w:val="nil"/>
            </w:tcBorders>
            <w:shd w:val="clear" w:color="000000" w:fill="FFFFFF"/>
            <w:noWrap/>
            <w:vAlign w:val="center"/>
            <w:hideMark/>
          </w:tcPr>
          <w:p w14:paraId="7D3E04CB" w14:textId="77777777" w:rsidR="0039496A" w:rsidRPr="003F5EA7" w:rsidRDefault="0039496A" w:rsidP="0039496A">
            <w:pPr>
              <w:jc w:val="center"/>
              <w:rPr>
                <w:color w:val="000000"/>
              </w:rPr>
            </w:pPr>
            <w:r w:rsidRPr="003F5EA7">
              <w:rPr>
                <w:color w:val="000000"/>
              </w:rPr>
              <w:t>0.039</w:t>
            </w:r>
          </w:p>
        </w:tc>
        <w:tc>
          <w:tcPr>
            <w:tcW w:w="1016" w:type="dxa"/>
            <w:tcBorders>
              <w:top w:val="nil"/>
              <w:left w:val="nil"/>
              <w:bottom w:val="nil"/>
              <w:right w:val="nil"/>
            </w:tcBorders>
            <w:shd w:val="clear" w:color="000000" w:fill="FFFFFF"/>
            <w:noWrap/>
            <w:vAlign w:val="center"/>
            <w:hideMark/>
          </w:tcPr>
          <w:p w14:paraId="4F4ACD84" w14:textId="77777777" w:rsidR="0039496A" w:rsidRPr="003F5EA7" w:rsidRDefault="0039496A" w:rsidP="0039496A">
            <w:pPr>
              <w:jc w:val="center"/>
              <w:rPr>
                <w:color w:val="000000"/>
              </w:rPr>
            </w:pPr>
            <w:r w:rsidRPr="003F5EA7">
              <w:rPr>
                <w:color w:val="000000"/>
              </w:rPr>
              <w:t>0.023</w:t>
            </w:r>
          </w:p>
        </w:tc>
        <w:tc>
          <w:tcPr>
            <w:tcW w:w="1272" w:type="dxa"/>
            <w:tcBorders>
              <w:top w:val="nil"/>
              <w:left w:val="nil"/>
              <w:bottom w:val="nil"/>
              <w:right w:val="single" w:sz="8" w:space="0" w:color="auto"/>
            </w:tcBorders>
            <w:shd w:val="clear" w:color="000000" w:fill="FFFFFF"/>
            <w:noWrap/>
            <w:vAlign w:val="bottom"/>
            <w:hideMark/>
          </w:tcPr>
          <w:p w14:paraId="03BB1ED8" w14:textId="77777777" w:rsidR="0039496A" w:rsidRPr="00ED59C9" w:rsidRDefault="0039496A" w:rsidP="0039496A">
            <w:pPr>
              <w:jc w:val="center"/>
              <w:rPr>
                <w:color w:val="000000"/>
              </w:rPr>
            </w:pPr>
            <w:r w:rsidRPr="00ED59C9">
              <w:rPr>
                <w:color w:val="000000"/>
              </w:rPr>
              <w:t>0.021</w:t>
            </w:r>
          </w:p>
        </w:tc>
      </w:tr>
      <w:tr w:rsidR="0039496A" w:rsidRPr="0039496A" w14:paraId="1AB91379" w14:textId="77777777" w:rsidTr="00FD2EE2">
        <w:trPr>
          <w:trHeight w:val="320"/>
        </w:trPr>
        <w:tc>
          <w:tcPr>
            <w:tcW w:w="1880" w:type="dxa"/>
            <w:tcBorders>
              <w:top w:val="nil"/>
              <w:left w:val="single" w:sz="8" w:space="0" w:color="auto"/>
              <w:bottom w:val="nil"/>
              <w:right w:val="nil"/>
            </w:tcBorders>
            <w:shd w:val="clear" w:color="000000" w:fill="FFFFFF"/>
            <w:noWrap/>
            <w:vAlign w:val="center"/>
            <w:hideMark/>
          </w:tcPr>
          <w:p w14:paraId="1DD3CB5C" w14:textId="77777777" w:rsidR="0039496A" w:rsidRPr="003F5EA7" w:rsidRDefault="0039496A" w:rsidP="0039496A">
            <w:pPr>
              <w:jc w:val="right"/>
              <w:rPr>
                <w:color w:val="000000"/>
              </w:rPr>
            </w:pPr>
            <w:r w:rsidRPr="003F5EA7">
              <w:rPr>
                <w:color w:val="000000"/>
              </w:rPr>
              <w:t> </w:t>
            </w:r>
          </w:p>
        </w:tc>
        <w:tc>
          <w:tcPr>
            <w:tcW w:w="1136" w:type="dxa"/>
            <w:tcBorders>
              <w:top w:val="nil"/>
              <w:left w:val="single" w:sz="8" w:space="0" w:color="auto"/>
              <w:bottom w:val="nil"/>
              <w:right w:val="nil"/>
            </w:tcBorders>
            <w:shd w:val="clear" w:color="000000" w:fill="FFFFFF"/>
            <w:noWrap/>
            <w:vAlign w:val="center"/>
            <w:hideMark/>
          </w:tcPr>
          <w:p w14:paraId="612D4483" w14:textId="77777777" w:rsidR="0039496A" w:rsidRPr="003F5EA7" w:rsidRDefault="0039496A" w:rsidP="0039496A">
            <w:pPr>
              <w:jc w:val="center"/>
              <w:rPr>
                <w:color w:val="000000"/>
              </w:rPr>
            </w:pPr>
            <w:r w:rsidRPr="003F5EA7">
              <w:rPr>
                <w:color w:val="000000"/>
              </w:rPr>
              <w:t>(0.022)</w:t>
            </w:r>
          </w:p>
        </w:tc>
        <w:tc>
          <w:tcPr>
            <w:tcW w:w="1110" w:type="dxa"/>
            <w:tcBorders>
              <w:top w:val="nil"/>
              <w:left w:val="nil"/>
              <w:bottom w:val="nil"/>
              <w:right w:val="single" w:sz="8" w:space="0" w:color="auto"/>
            </w:tcBorders>
            <w:shd w:val="clear" w:color="000000" w:fill="FFFFFF"/>
            <w:noWrap/>
            <w:vAlign w:val="center"/>
            <w:hideMark/>
          </w:tcPr>
          <w:p w14:paraId="20AA495B" w14:textId="77777777" w:rsidR="0039496A" w:rsidRPr="003F5EA7" w:rsidRDefault="0039496A" w:rsidP="0039496A">
            <w:pPr>
              <w:jc w:val="center"/>
              <w:rPr>
                <w:color w:val="000000"/>
              </w:rPr>
            </w:pPr>
            <w:r w:rsidRPr="003F5EA7">
              <w:rPr>
                <w:color w:val="000000"/>
              </w:rPr>
              <w:t>(0.018)</w:t>
            </w:r>
          </w:p>
        </w:tc>
        <w:tc>
          <w:tcPr>
            <w:tcW w:w="1016" w:type="dxa"/>
            <w:tcBorders>
              <w:top w:val="nil"/>
              <w:left w:val="nil"/>
              <w:bottom w:val="nil"/>
              <w:right w:val="nil"/>
            </w:tcBorders>
            <w:shd w:val="clear" w:color="000000" w:fill="FFFFFF"/>
            <w:noWrap/>
            <w:vAlign w:val="center"/>
            <w:hideMark/>
          </w:tcPr>
          <w:p w14:paraId="3FCCF3E3" w14:textId="77777777" w:rsidR="0039496A" w:rsidRPr="003F5EA7" w:rsidRDefault="0039496A" w:rsidP="0039496A">
            <w:pPr>
              <w:jc w:val="center"/>
              <w:rPr>
                <w:color w:val="000000"/>
              </w:rPr>
            </w:pPr>
            <w:r w:rsidRPr="003F5EA7">
              <w:rPr>
                <w:color w:val="000000"/>
              </w:rPr>
              <w:t>(0.028)</w:t>
            </w:r>
          </w:p>
        </w:tc>
        <w:tc>
          <w:tcPr>
            <w:tcW w:w="1110" w:type="dxa"/>
            <w:tcBorders>
              <w:top w:val="nil"/>
              <w:left w:val="nil"/>
              <w:bottom w:val="nil"/>
              <w:right w:val="nil"/>
            </w:tcBorders>
            <w:shd w:val="clear" w:color="000000" w:fill="FFFFFF"/>
            <w:noWrap/>
            <w:vAlign w:val="center"/>
            <w:hideMark/>
          </w:tcPr>
          <w:p w14:paraId="34B51E69" w14:textId="77777777" w:rsidR="0039496A" w:rsidRPr="003F5EA7" w:rsidRDefault="0039496A" w:rsidP="0039496A">
            <w:pPr>
              <w:jc w:val="center"/>
              <w:rPr>
                <w:color w:val="000000"/>
              </w:rPr>
            </w:pPr>
            <w:r w:rsidRPr="003F5EA7">
              <w:rPr>
                <w:color w:val="000000"/>
              </w:rPr>
              <w:t>(0.019)</w:t>
            </w:r>
          </w:p>
        </w:tc>
        <w:tc>
          <w:tcPr>
            <w:tcW w:w="1016" w:type="dxa"/>
            <w:tcBorders>
              <w:top w:val="nil"/>
              <w:left w:val="nil"/>
              <w:bottom w:val="nil"/>
              <w:right w:val="nil"/>
            </w:tcBorders>
            <w:shd w:val="clear" w:color="000000" w:fill="FFFFFF"/>
            <w:noWrap/>
            <w:vAlign w:val="center"/>
            <w:hideMark/>
          </w:tcPr>
          <w:p w14:paraId="235C7EE8" w14:textId="77777777" w:rsidR="0039496A" w:rsidRPr="003F5EA7" w:rsidRDefault="0039496A" w:rsidP="0039496A">
            <w:pPr>
              <w:jc w:val="center"/>
              <w:rPr>
                <w:color w:val="000000"/>
              </w:rPr>
            </w:pPr>
            <w:r w:rsidRPr="003F5EA7">
              <w:rPr>
                <w:color w:val="000000"/>
              </w:rPr>
              <w:t>(0.036)</w:t>
            </w:r>
          </w:p>
        </w:tc>
        <w:tc>
          <w:tcPr>
            <w:tcW w:w="1272" w:type="dxa"/>
            <w:tcBorders>
              <w:top w:val="nil"/>
              <w:left w:val="nil"/>
              <w:bottom w:val="nil"/>
              <w:right w:val="single" w:sz="8" w:space="0" w:color="auto"/>
            </w:tcBorders>
            <w:shd w:val="clear" w:color="000000" w:fill="FFFFFF"/>
            <w:noWrap/>
            <w:vAlign w:val="center"/>
            <w:hideMark/>
          </w:tcPr>
          <w:p w14:paraId="2E7D5F2D" w14:textId="77777777" w:rsidR="0039496A" w:rsidRPr="003F5EA7" w:rsidRDefault="0039496A" w:rsidP="0039496A">
            <w:pPr>
              <w:jc w:val="center"/>
              <w:rPr>
                <w:color w:val="000000"/>
              </w:rPr>
            </w:pPr>
            <w:r w:rsidRPr="003F5EA7">
              <w:rPr>
                <w:color w:val="000000"/>
              </w:rPr>
              <w:t>(0.024)</w:t>
            </w:r>
          </w:p>
        </w:tc>
      </w:tr>
      <w:tr w:rsidR="000B256F" w:rsidRPr="0039496A" w14:paraId="61B4E86F" w14:textId="77777777" w:rsidTr="00FD2EE2">
        <w:trPr>
          <w:trHeight w:val="320"/>
        </w:trPr>
        <w:tc>
          <w:tcPr>
            <w:tcW w:w="1880" w:type="dxa"/>
            <w:tcBorders>
              <w:top w:val="nil"/>
              <w:left w:val="single" w:sz="8" w:space="0" w:color="auto"/>
              <w:bottom w:val="nil"/>
              <w:right w:val="nil"/>
            </w:tcBorders>
            <w:shd w:val="clear" w:color="000000" w:fill="FFFFFF"/>
            <w:noWrap/>
            <w:vAlign w:val="center"/>
            <w:hideMark/>
          </w:tcPr>
          <w:p w14:paraId="492CBF6E" w14:textId="1C2D875F" w:rsidR="000B256F" w:rsidRPr="003F5EA7" w:rsidRDefault="000B256F" w:rsidP="0039496A">
            <w:pPr>
              <w:rPr>
                <w:color w:val="000000"/>
              </w:rPr>
            </w:pPr>
            <w:r w:rsidRPr="003F5EA7">
              <w:rPr>
                <w:color w:val="000000"/>
              </w:rPr>
              <w:t xml:space="preserve">Detroit </w:t>
            </w:r>
          </w:p>
        </w:tc>
        <w:tc>
          <w:tcPr>
            <w:tcW w:w="1136" w:type="dxa"/>
            <w:tcBorders>
              <w:top w:val="nil"/>
              <w:left w:val="single" w:sz="8" w:space="0" w:color="auto"/>
              <w:bottom w:val="nil"/>
              <w:right w:val="nil"/>
            </w:tcBorders>
            <w:shd w:val="clear" w:color="000000" w:fill="FFFFFF"/>
            <w:noWrap/>
            <w:vAlign w:val="center"/>
            <w:hideMark/>
          </w:tcPr>
          <w:p w14:paraId="54B8BAD2" w14:textId="694CC8AA" w:rsidR="000B256F" w:rsidRPr="003F5EA7" w:rsidRDefault="000B256F" w:rsidP="0039496A">
            <w:pPr>
              <w:jc w:val="center"/>
              <w:rPr>
                <w:color w:val="000000"/>
              </w:rPr>
            </w:pPr>
            <w:r w:rsidRPr="003F5EA7">
              <w:rPr>
                <w:color w:val="000000"/>
              </w:rPr>
              <w:t>0.036</w:t>
            </w:r>
          </w:p>
        </w:tc>
        <w:tc>
          <w:tcPr>
            <w:tcW w:w="1110" w:type="dxa"/>
            <w:tcBorders>
              <w:top w:val="nil"/>
              <w:left w:val="nil"/>
              <w:bottom w:val="nil"/>
              <w:right w:val="single" w:sz="8" w:space="0" w:color="auto"/>
            </w:tcBorders>
            <w:shd w:val="clear" w:color="000000" w:fill="FFFFFF"/>
            <w:noWrap/>
            <w:vAlign w:val="center"/>
            <w:hideMark/>
          </w:tcPr>
          <w:p w14:paraId="4DE3FEA7" w14:textId="4288B23F" w:rsidR="000B256F" w:rsidRPr="003F5EA7" w:rsidRDefault="000B256F" w:rsidP="0039496A">
            <w:pPr>
              <w:jc w:val="center"/>
              <w:rPr>
                <w:color w:val="000000"/>
              </w:rPr>
            </w:pPr>
            <w:r w:rsidRPr="003F5EA7">
              <w:rPr>
                <w:color w:val="000000"/>
              </w:rPr>
              <w:t>-0.019</w:t>
            </w:r>
          </w:p>
        </w:tc>
        <w:tc>
          <w:tcPr>
            <w:tcW w:w="1016" w:type="dxa"/>
            <w:tcBorders>
              <w:top w:val="nil"/>
              <w:left w:val="nil"/>
              <w:bottom w:val="nil"/>
              <w:right w:val="nil"/>
            </w:tcBorders>
            <w:shd w:val="clear" w:color="000000" w:fill="FFFFFF"/>
            <w:noWrap/>
            <w:vAlign w:val="center"/>
            <w:hideMark/>
          </w:tcPr>
          <w:p w14:paraId="3EAD29E1" w14:textId="38D00BAC" w:rsidR="000B256F" w:rsidRPr="003F5EA7" w:rsidRDefault="000B256F" w:rsidP="0039496A">
            <w:pPr>
              <w:jc w:val="center"/>
              <w:rPr>
                <w:color w:val="000000"/>
              </w:rPr>
            </w:pPr>
            <w:r w:rsidRPr="003F5EA7">
              <w:rPr>
                <w:color w:val="000000"/>
              </w:rPr>
              <w:t>0.060</w:t>
            </w:r>
          </w:p>
        </w:tc>
        <w:tc>
          <w:tcPr>
            <w:tcW w:w="1110" w:type="dxa"/>
            <w:tcBorders>
              <w:top w:val="nil"/>
              <w:left w:val="nil"/>
              <w:bottom w:val="nil"/>
              <w:right w:val="nil"/>
            </w:tcBorders>
            <w:shd w:val="clear" w:color="000000" w:fill="FFFFFF"/>
            <w:noWrap/>
            <w:vAlign w:val="center"/>
            <w:hideMark/>
          </w:tcPr>
          <w:p w14:paraId="142C7515" w14:textId="1C92823D" w:rsidR="000B256F" w:rsidRPr="003F5EA7" w:rsidRDefault="000B256F" w:rsidP="0039496A">
            <w:pPr>
              <w:jc w:val="center"/>
              <w:rPr>
                <w:color w:val="000000"/>
              </w:rPr>
            </w:pPr>
            <w:r w:rsidRPr="003F5EA7">
              <w:rPr>
                <w:color w:val="000000"/>
              </w:rPr>
              <w:t>0.012</w:t>
            </w:r>
          </w:p>
        </w:tc>
        <w:tc>
          <w:tcPr>
            <w:tcW w:w="1016" w:type="dxa"/>
            <w:tcBorders>
              <w:top w:val="nil"/>
              <w:left w:val="nil"/>
              <w:bottom w:val="nil"/>
              <w:right w:val="nil"/>
            </w:tcBorders>
            <w:shd w:val="clear" w:color="000000" w:fill="FFFFFF"/>
            <w:noWrap/>
            <w:vAlign w:val="center"/>
            <w:hideMark/>
          </w:tcPr>
          <w:p w14:paraId="08946007" w14:textId="4BD47447" w:rsidR="000B256F" w:rsidRPr="003F5EA7" w:rsidRDefault="000B256F" w:rsidP="0039496A">
            <w:pPr>
              <w:jc w:val="center"/>
              <w:rPr>
                <w:color w:val="000000"/>
              </w:rPr>
            </w:pPr>
            <w:r w:rsidRPr="003F5EA7">
              <w:rPr>
                <w:color w:val="000000"/>
              </w:rPr>
              <w:t>-0.020</w:t>
            </w:r>
          </w:p>
        </w:tc>
        <w:tc>
          <w:tcPr>
            <w:tcW w:w="1272" w:type="dxa"/>
            <w:tcBorders>
              <w:top w:val="nil"/>
              <w:left w:val="nil"/>
              <w:bottom w:val="nil"/>
              <w:right w:val="single" w:sz="8" w:space="0" w:color="auto"/>
            </w:tcBorders>
            <w:shd w:val="clear" w:color="000000" w:fill="FFFFFF"/>
            <w:noWrap/>
            <w:vAlign w:val="bottom"/>
            <w:hideMark/>
          </w:tcPr>
          <w:p w14:paraId="3F34A544" w14:textId="5D83A2F9" w:rsidR="000B256F" w:rsidRPr="00ED59C9" w:rsidRDefault="000B256F" w:rsidP="0039496A">
            <w:pPr>
              <w:jc w:val="center"/>
              <w:rPr>
                <w:color w:val="000000"/>
              </w:rPr>
            </w:pPr>
            <w:r w:rsidRPr="00ED59C9">
              <w:rPr>
                <w:color w:val="000000"/>
              </w:rPr>
              <w:t>-0.087</w:t>
            </w:r>
          </w:p>
        </w:tc>
      </w:tr>
      <w:tr w:rsidR="000B256F" w:rsidRPr="0039496A" w14:paraId="29B0DE36" w14:textId="77777777" w:rsidTr="00FD2EE2">
        <w:trPr>
          <w:trHeight w:val="320"/>
        </w:trPr>
        <w:tc>
          <w:tcPr>
            <w:tcW w:w="1880" w:type="dxa"/>
            <w:tcBorders>
              <w:top w:val="nil"/>
              <w:left w:val="single" w:sz="8" w:space="0" w:color="auto"/>
              <w:bottom w:val="nil"/>
              <w:right w:val="nil"/>
            </w:tcBorders>
            <w:shd w:val="clear" w:color="000000" w:fill="FFFFFF"/>
            <w:noWrap/>
            <w:vAlign w:val="center"/>
            <w:hideMark/>
          </w:tcPr>
          <w:p w14:paraId="7445D625" w14:textId="1E100A71" w:rsidR="000B256F" w:rsidRPr="003F5EA7" w:rsidRDefault="000B256F" w:rsidP="0039496A">
            <w:pPr>
              <w:rPr>
                <w:color w:val="000000"/>
              </w:rPr>
            </w:pPr>
          </w:p>
        </w:tc>
        <w:tc>
          <w:tcPr>
            <w:tcW w:w="1136" w:type="dxa"/>
            <w:tcBorders>
              <w:top w:val="nil"/>
              <w:left w:val="single" w:sz="8" w:space="0" w:color="auto"/>
              <w:bottom w:val="nil"/>
              <w:right w:val="nil"/>
            </w:tcBorders>
            <w:shd w:val="clear" w:color="000000" w:fill="FFFFFF"/>
            <w:noWrap/>
            <w:vAlign w:val="center"/>
            <w:hideMark/>
          </w:tcPr>
          <w:p w14:paraId="363531E4" w14:textId="46D5F394" w:rsidR="000B256F" w:rsidRPr="003F5EA7" w:rsidRDefault="000B256F" w:rsidP="0039496A">
            <w:pPr>
              <w:jc w:val="center"/>
              <w:rPr>
                <w:color w:val="000000"/>
              </w:rPr>
            </w:pPr>
            <w:r w:rsidRPr="003F5EA7">
              <w:rPr>
                <w:color w:val="000000"/>
              </w:rPr>
              <w:t>(0.042)</w:t>
            </w:r>
          </w:p>
        </w:tc>
        <w:tc>
          <w:tcPr>
            <w:tcW w:w="1110" w:type="dxa"/>
            <w:tcBorders>
              <w:top w:val="nil"/>
              <w:left w:val="nil"/>
              <w:bottom w:val="nil"/>
              <w:right w:val="single" w:sz="8" w:space="0" w:color="auto"/>
            </w:tcBorders>
            <w:shd w:val="clear" w:color="000000" w:fill="FFFFFF"/>
            <w:noWrap/>
            <w:vAlign w:val="center"/>
            <w:hideMark/>
          </w:tcPr>
          <w:p w14:paraId="31C7D9C3" w14:textId="0C276101" w:rsidR="000B256F" w:rsidRPr="003F5EA7" w:rsidRDefault="000B256F" w:rsidP="0039496A">
            <w:pPr>
              <w:jc w:val="center"/>
              <w:rPr>
                <w:color w:val="000000"/>
              </w:rPr>
            </w:pPr>
            <w:r w:rsidRPr="003F5EA7">
              <w:rPr>
                <w:color w:val="000000"/>
              </w:rPr>
              <w:t>(0.028)</w:t>
            </w:r>
          </w:p>
        </w:tc>
        <w:tc>
          <w:tcPr>
            <w:tcW w:w="1016" w:type="dxa"/>
            <w:tcBorders>
              <w:top w:val="nil"/>
              <w:left w:val="nil"/>
              <w:bottom w:val="nil"/>
              <w:right w:val="nil"/>
            </w:tcBorders>
            <w:shd w:val="clear" w:color="000000" w:fill="FFFFFF"/>
            <w:noWrap/>
            <w:vAlign w:val="center"/>
            <w:hideMark/>
          </w:tcPr>
          <w:p w14:paraId="5AF9D0D3" w14:textId="5702C055" w:rsidR="000B256F" w:rsidRPr="003F5EA7" w:rsidRDefault="000B256F" w:rsidP="0039496A">
            <w:pPr>
              <w:jc w:val="center"/>
              <w:rPr>
                <w:color w:val="000000"/>
              </w:rPr>
            </w:pPr>
            <w:r w:rsidRPr="003F5EA7">
              <w:rPr>
                <w:color w:val="000000"/>
              </w:rPr>
              <w:t>(0.048)</w:t>
            </w:r>
          </w:p>
        </w:tc>
        <w:tc>
          <w:tcPr>
            <w:tcW w:w="1110" w:type="dxa"/>
            <w:tcBorders>
              <w:top w:val="nil"/>
              <w:left w:val="nil"/>
              <w:bottom w:val="nil"/>
              <w:right w:val="nil"/>
            </w:tcBorders>
            <w:shd w:val="clear" w:color="000000" w:fill="FFFFFF"/>
            <w:noWrap/>
            <w:vAlign w:val="center"/>
            <w:hideMark/>
          </w:tcPr>
          <w:p w14:paraId="3CCD1754" w14:textId="59EB33A4" w:rsidR="000B256F" w:rsidRPr="003F5EA7" w:rsidRDefault="000B256F" w:rsidP="0039496A">
            <w:pPr>
              <w:jc w:val="center"/>
              <w:rPr>
                <w:color w:val="000000"/>
              </w:rPr>
            </w:pPr>
            <w:r w:rsidRPr="003F5EA7">
              <w:rPr>
                <w:color w:val="000000"/>
              </w:rPr>
              <w:t>(0.029)</w:t>
            </w:r>
          </w:p>
        </w:tc>
        <w:tc>
          <w:tcPr>
            <w:tcW w:w="1016" w:type="dxa"/>
            <w:tcBorders>
              <w:top w:val="nil"/>
              <w:left w:val="nil"/>
              <w:bottom w:val="nil"/>
              <w:right w:val="nil"/>
            </w:tcBorders>
            <w:shd w:val="clear" w:color="000000" w:fill="FFFFFF"/>
            <w:noWrap/>
            <w:vAlign w:val="center"/>
            <w:hideMark/>
          </w:tcPr>
          <w:p w14:paraId="2304C1D7" w14:textId="54DBB483" w:rsidR="000B256F" w:rsidRPr="003F5EA7" w:rsidRDefault="000B256F" w:rsidP="0039496A">
            <w:pPr>
              <w:jc w:val="center"/>
              <w:rPr>
                <w:color w:val="000000"/>
              </w:rPr>
            </w:pPr>
            <w:r w:rsidRPr="003F5EA7">
              <w:rPr>
                <w:color w:val="000000"/>
              </w:rPr>
              <w:t>(0.061)</w:t>
            </w:r>
          </w:p>
        </w:tc>
        <w:tc>
          <w:tcPr>
            <w:tcW w:w="1272" w:type="dxa"/>
            <w:tcBorders>
              <w:top w:val="nil"/>
              <w:left w:val="nil"/>
              <w:bottom w:val="nil"/>
              <w:right w:val="single" w:sz="8" w:space="0" w:color="auto"/>
            </w:tcBorders>
            <w:shd w:val="clear" w:color="000000" w:fill="FFFFFF"/>
            <w:noWrap/>
            <w:vAlign w:val="center"/>
            <w:hideMark/>
          </w:tcPr>
          <w:p w14:paraId="088D2429" w14:textId="69006B96" w:rsidR="000B256F" w:rsidRPr="00ED59C9" w:rsidRDefault="000B256F" w:rsidP="0039496A">
            <w:pPr>
              <w:jc w:val="center"/>
              <w:rPr>
                <w:color w:val="000000"/>
              </w:rPr>
            </w:pPr>
            <w:r w:rsidRPr="003F5EA7">
              <w:rPr>
                <w:color w:val="000000"/>
              </w:rPr>
              <w:t>(0.040)</w:t>
            </w:r>
          </w:p>
        </w:tc>
      </w:tr>
      <w:tr w:rsidR="000B256F" w:rsidRPr="0039496A" w14:paraId="22935294" w14:textId="77777777" w:rsidTr="00FD2EE2">
        <w:trPr>
          <w:trHeight w:val="320"/>
        </w:trPr>
        <w:tc>
          <w:tcPr>
            <w:tcW w:w="1880" w:type="dxa"/>
            <w:tcBorders>
              <w:top w:val="nil"/>
              <w:left w:val="single" w:sz="8" w:space="0" w:color="auto"/>
              <w:bottom w:val="nil"/>
              <w:right w:val="nil"/>
            </w:tcBorders>
            <w:shd w:val="clear" w:color="000000" w:fill="FFFFFF"/>
            <w:noWrap/>
            <w:vAlign w:val="center"/>
            <w:hideMark/>
          </w:tcPr>
          <w:p w14:paraId="014982A1" w14:textId="522A6B52" w:rsidR="000B256F" w:rsidRPr="003F5EA7" w:rsidRDefault="000B256F" w:rsidP="000B256F">
            <w:pPr>
              <w:rPr>
                <w:color w:val="000000"/>
              </w:rPr>
            </w:pPr>
            <w:r w:rsidRPr="003F5EA7">
              <w:rPr>
                <w:color w:val="000000"/>
              </w:rPr>
              <w:t>Black</w:t>
            </w:r>
          </w:p>
        </w:tc>
        <w:tc>
          <w:tcPr>
            <w:tcW w:w="1136" w:type="dxa"/>
            <w:tcBorders>
              <w:top w:val="nil"/>
              <w:left w:val="single" w:sz="8" w:space="0" w:color="auto"/>
              <w:bottom w:val="nil"/>
              <w:right w:val="nil"/>
            </w:tcBorders>
            <w:shd w:val="clear" w:color="000000" w:fill="FFFFFF"/>
            <w:noWrap/>
            <w:vAlign w:val="center"/>
            <w:hideMark/>
          </w:tcPr>
          <w:p w14:paraId="7C251920" w14:textId="577DCF64" w:rsidR="000B256F" w:rsidRPr="003F5EA7" w:rsidRDefault="000B256F" w:rsidP="0039496A">
            <w:pPr>
              <w:jc w:val="center"/>
              <w:rPr>
                <w:color w:val="000000"/>
              </w:rPr>
            </w:pPr>
            <w:r w:rsidRPr="003F5EA7">
              <w:rPr>
                <w:color w:val="000000"/>
              </w:rPr>
              <w:t>0.102</w:t>
            </w:r>
          </w:p>
        </w:tc>
        <w:tc>
          <w:tcPr>
            <w:tcW w:w="1110" w:type="dxa"/>
            <w:tcBorders>
              <w:top w:val="nil"/>
              <w:left w:val="nil"/>
              <w:bottom w:val="nil"/>
              <w:right w:val="single" w:sz="8" w:space="0" w:color="auto"/>
            </w:tcBorders>
            <w:shd w:val="clear" w:color="000000" w:fill="FFFFFF"/>
            <w:noWrap/>
            <w:vAlign w:val="center"/>
            <w:hideMark/>
          </w:tcPr>
          <w:p w14:paraId="3641DB23" w14:textId="1E6E3BAE" w:rsidR="000B256F" w:rsidRPr="003F5EA7" w:rsidRDefault="000B256F" w:rsidP="0039496A">
            <w:pPr>
              <w:jc w:val="center"/>
              <w:rPr>
                <w:color w:val="000000"/>
              </w:rPr>
            </w:pPr>
            <w:r w:rsidRPr="003F5EA7">
              <w:rPr>
                <w:color w:val="000000"/>
              </w:rPr>
              <w:t>0.023</w:t>
            </w:r>
          </w:p>
        </w:tc>
        <w:tc>
          <w:tcPr>
            <w:tcW w:w="1016" w:type="dxa"/>
            <w:tcBorders>
              <w:top w:val="nil"/>
              <w:left w:val="nil"/>
              <w:bottom w:val="nil"/>
              <w:right w:val="nil"/>
            </w:tcBorders>
            <w:shd w:val="clear" w:color="000000" w:fill="FFFFFF"/>
            <w:noWrap/>
            <w:vAlign w:val="center"/>
            <w:hideMark/>
          </w:tcPr>
          <w:p w14:paraId="17808C22" w14:textId="04521766" w:rsidR="000B256F" w:rsidRPr="003F5EA7" w:rsidRDefault="000B256F" w:rsidP="0039496A">
            <w:pPr>
              <w:jc w:val="center"/>
              <w:rPr>
                <w:color w:val="000000"/>
              </w:rPr>
            </w:pPr>
            <w:r w:rsidRPr="003F5EA7">
              <w:rPr>
                <w:color w:val="000000"/>
              </w:rPr>
              <w:t>0.104</w:t>
            </w:r>
          </w:p>
        </w:tc>
        <w:tc>
          <w:tcPr>
            <w:tcW w:w="1110" w:type="dxa"/>
            <w:tcBorders>
              <w:top w:val="nil"/>
              <w:left w:val="nil"/>
              <w:bottom w:val="nil"/>
              <w:right w:val="nil"/>
            </w:tcBorders>
            <w:shd w:val="clear" w:color="000000" w:fill="FFFFFF"/>
            <w:noWrap/>
            <w:vAlign w:val="center"/>
            <w:hideMark/>
          </w:tcPr>
          <w:p w14:paraId="398CB397" w14:textId="43EC3089" w:rsidR="000B256F" w:rsidRPr="003F5EA7" w:rsidRDefault="000B256F" w:rsidP="0039496A">
            <w:pPr>
              <w:jc w:val="center"/>
              <w:rPr>
                <w:color w:val="000000"/>
              </w:rPr>
            </w:pPr>
            <w:r w:rsidRPr="003F5EA7">
              <w:rPr>
                <w:color w:val="000000"/>
              </w:rPr>
              <w:t>0.051</w:t>
            </w:r>
          </w:p>
        </w:tc>
        <w:tc>
          <w:tcPr>
            <w:tcW w:w="1016" w:type="dxa"/>
            <w:tcBorders>
              <w:top w:val="nil"/>
              <w:left w:val="nil"/>
              <w:bottom w:val="nil"/>
              <w:right w:val="nil"/>
            </w:tcBorders>
            <w:shd w:val="clear" w:color="000000" w:fill="FFFFFF"/>
            <w:noWrap/>
            <w:vAlign w:val="center"/>
            <w:hideMark/>
          </w:tcPr>
          <w:p w14:paraId="65D28D62" w14:textId="6EB73D67" w:rsidR="000B256F" w:rsidRPr="003F5EA7" w:rsidRDefault="000B256F" w:rsidP="0039496A">
            <w:pPr>
              <w:jc w:val="center"/>
              <w:rPr>
                <w:color w:val="000000"/>
              </w:rPr>
            </w:pPr>
            <w:r w:rsidRPr="003F5EA7">
              <w:rPr>
                <w:color w:val="000000"/>
              </w:rPr>
              <w:t>0.092</w:t>
            </w:r>
          </w:p>
        </w:tc>
        <w:tc>
          <w:tcPr>
            <w:tcW w:w="1272" w:type="dxa"/>
            <w:tcBorders>
              <w:top w:val="nil"/>
              <w:left w:val="nil"/>
              <w:bottom w:val="nil"/>
              <w:right w:val="single" w:sz="8" w:space="0" w:color="auto"/>
            </w:tcBorders>
            <w:shd w:val="clear" w:color="000000" w:fill="FFFFFF"/>
            <w:noWrap/>
            <w:vAlign w:val="bottom"/>
            <w:hideMark/>
          </w:tcPr>
          <w:p w14:paraId="5986C729" w14:textId="6245E6B0" w:rsidR="000B256F" w:rsidRPr="003F5EA7" w:rsidRDefault="000B256F" w:rsidP="0039496A">
            <w:pPr>
              <w:jc w:val="center"/>
              <w:rPr>
                <w:color w:val="000000"/>
              </w:rPr>
            </w:pPr>
            <w:r w:rsidRPr="00ED59C9">
              <w:rPr>
                <w:color w:val="000000"/>
              </w:rPr>
              <w:t>-0.021</w:t>
            </w:r>
          </w:p>
        </w:tc>
      </w:tr>
      <w:tr w:rsidR="000B256F" w:rsidRPr="0039496A" w14:paraId="1410AFCE" w14:textId="77777777" w:rsidTr="00FD2EE2">
        <w:trPr>
          <w:trHeight w:val="320"/>
        </w:trPr>
        <w:tc>
          <w:tcPr>
            <w:tcW w:w="1880" w:type="dxa"/>
            <w:tcBorders>
              <w:top w:val="nil"/>
              <w:left w:val="single" w:sz="8" w:space="0" w:color="auto"/>
              <w:bottom w:val="nil"/>
              <w:right w:val="nil"/>
            </w:tcBorders>
            <w:shd w:val="clear" w:color="000000" w:fill="FFFFFF"/>
            <w:noWrap/>
            <w:vAlign w:val="center"/>
            <w:hideMark/>
          </w:tcPr>
          <w:p w14:paraId="08D3B3B6" w14:textId="2EAFD198" w:rsidR="000B256F" w:rsidRPr="003F5EA7" w:rsidRDefault="000B256F" w:rsidP="0039496A">
            <w:pPr>
              <w:jc w:val="right"/>
              <w:rPr>
                <w:color w:val="000000"/>
              </w:rPr>
            </w:pPr>
          </w:p>
        </w:tc>
        <w:tc>
          <w:tcPr>
            <w:tcW w:w="1136" w:type="dxa"/>
            <w:tcBorders>
              <w:top w:val="nil"/>
              <w:left w:val="single" w:sz="8" w:space="0" w:color="auto"/>
              <w:bottom w:val="nil"/>
              <w:right w:val="nil"/>
            </w:tcBorders>
            <w:shd w:val="clear" w:color="000000" w:fill="FFFFFF"/>
            <w:noWrap/>
            <w:vAlign w:val="center"/>
            <w:hideMark/>
          </w:tcPr>
          <w:p w14:paraId="3CA20C95" w14:textId="22D782CD" w:rsidR="000B256F" w:rsidRPr="003F5EA7" w:rsidRDefault="000B256F" w:rsidP="0039496A">
            <w:pPr>
              <w:jc w:val="center"/>
              <w:rPr>
                <w:color w:val="000000"/>
              </w:rPr>
            </w:pPr>
            <w:r w:rsidRPr="003F5EA7">
              <w:rPr>
                <w:color w:val="000000"/>
              </w:rPr>
              <w:t>(0.040)</w:t>
            </w:r>
          </w:p>
        </w:tc>
        <w:tc>
          <w:tcPr>
            <w:tcW w:w="1110" w:type="dxa"/>
            <w:tcBorders>
              <w:top w:val="nil"/>
              <w:left w:val="nil"/>
              <w:bottom w:val="nil"/>
              <w:right w:val="single" w:sz="8" w:space="0" w:color="auto"/>
            </w:tcBorders>
            <w:shd w:val="clear" w:color="000000" w:fill="FFFFFF"/>
            <w:noWrap/>
            <w:vAlign w:val="center"/>
            <w:hideMark/>
          </w:tcPr>
          <w:p w14:paraId="2FC98433" w14:textId="5FE5AE80" w:rsidR="000B256F" w:rsidRPr="003F5EA7" w:rsidRDefault="000B256F" w:rsidP="0039496A">
            <w:pPr>
              <w:jc w:val="center"/>
              <w:rPr>
                <w:color w:val="000000"/>
              </w:rPr>
            </w:pPr>
            <w:r w:rsidRPr="003F5EA7">
              <w:rPr>
                <w:color w:val="000000"/>
              </w:rPr>
              <w:t>(0.031)</w:t>
            </w:r>
          </w:p>
        </w:tc>
        <w:tc>
          <w:tcPr>
            <w:tcW w:w="1016" w:type="dxa"/>
            <w:tcBorders>
              <w:top w:val="nil"/>
              <w:left w:val="nil"/>
              <w:bottom w:val="nil"/>
              <w:right w:val="nil"/>
            </w:tcBorders>
            <w:shd w:val="clear" w:color="000000" w:fill="FFFFFF"/>
            <w:noWrap/>
            <w:vAlign w:val="center"/>
            <w:hideMark/>
          </w:tcPr>
          <w:p w14:paraId="60E16AB9" w14:textId="67508EE9" w:rsidR="000B256F" w:rsidRPr="003F5EA7" w:rsidRDefault="000B256F" w:rsidP="0039496A">
            <w:pPr>
              <w:jc w:val="center"/>
              <w:rPr>
                <w:color w:val="000000"/>
              </w:rPr>
            </w:pPr>
            <w:r w:rsidRPr="003F5EA7">
              <w:rPr>
                <w:color w:val="000000"/>
              </w:rPr>
              <w:t>(0.047)</w:t>
            </w:r>
          </w:p>
        </w:tc>
        <w:tc>
          <w:tcPr>
            <w:tcW w:w="1110" w:type="dxa"/>
            <w:tcBorders>
              <w:top w:val="nil"/>
              <w:left w:val="nil"/>
              <w:bottom w:val="nil"/>
              <w:right w:val="nil"/>
            </w:tcBorders>
            <w:shd w:val="clear" w:color="000000" w:fill="FFFFFF"/>
            <w:noWrap/>
            <w:vAlign w:val="center"/>
            <w:hideMark/>
          </w:tcPr>
          <w:p w14:paraId="42C81F03" w14:textId="1FDFE818" w:rsidR="000B256F" w:rsidRPr="003F5EA7" w:rsidRDefault="000B256F" w:rsidP="0039496A">
            <w:pPr>
              <w:jc w:val="center"/>
              <w:rPr>
                <w:color w:val="000000"/>
              </w:rPr>
            </w:pPr>
            <w:r w:rsidRPr="003F5EA7">
              <w:rPr>
                <w:color w:val="000000"/>
              </w:rPr>
              <w:t>(0.036)</w:t>
            </w:r>
          </w:p>
        </w:tc>
        <w:tc>
          <w:tcPr>
            <w:tcW w:w="1016" w:type="dxa"/>
            <w:tcBorders>
              <w:top w:val="nil"/>
              <w:left w:val="nil"/>
              <w:bottom w:val="nil"/>
              <w:right w:val="nil"/>
            </w:tcBorders>
            <w:shd w:val="clear" w:color="000000" w:fill="FFFFFF"/>
            <w:noWrap/>
            <w:vAlign w:val="center"/>
            <w:hideMark/>
          </w:tcPr>
          <w:p w14:paraId="125A8DD6" w14:textId="4BCCAC43" w:rsidR="000B256F" w:rsidRPr="003F5EA7" w:rsidRDefault="000B256F" w:rsidP="0039496A">
            <w:pPr>
              <w:jc w:val="center"/>
              <w:rPr>
                <w:color w:val="000000"/>
              </w:rPr>
            </w:pPr>
            <w:r w:rsidRPr="003F5EA7">
              <w:rPr>
                <w:color w:val="000000"/>
              </w:rPr>
              <w:t>(0.056)</w:t>
            </w:r>
          </w:p>
        </w:tc>
        <w:tc>
          <w:tcPr>
            <w:tcW w:w="1272" w:type="dxa"/>
            <w:tcBorders>
              <w:top w:val="nil"/>
              <w:left w:val="nil"/>
              <w:bottom w:val="nil"/>
              <w:right w:val="single" w:sz="8" w:space="0" w:color="auto"/>
            </w:tcBorders>
            <w:shd w:val="clear" w:color="000000" w:fill="FFFFFF"/>
            <w:noWrap/>
            <w:vAlign w:val="center"/>
            <w:hideMark/>
          </w:tcPr>
          <w:p w14:paraId="36FFF2C1" w14:textId="4B980E9F" w:rsidR="000B256F" w:rsidRPr="00ED59C9" w:rsidRDefault="000B256F" w:rsidP="0039496A">
            <w:pPr>
              <w:jc w:val="center"/>
              <w:rPr>
                <w:color w:val="000000"/>
              </w:rPr>
            </w:pPr>
            <w:r w:rsidRPr="003F5EA7">
              <w:rPr>
                <w:color w:val="000000"/>
              </w:rPr>
              <w:t>(0.042)</w:t>
            </w:r>
          </w:p>
        </w:tc>
      </w:tr>
      <w:tr w:rsidR="000B256F" w:rsidRPr="0039496A" w14:paraId="28198149" w14:textId="77777777" w:rsidTr="00FD2EE2">
        <w:trPr>
          <w:trHeight w:val="320"/>
        </w:trPr>
        <w:tc>
          <w:tcPr>
            <w:tcW w:w="1880" w:type="dxa"/>
            <w:tcBorders>
              <w:top w:val="nil"/>
              <w:left w:val="single" w:sz="8" w:space="0" w:color="auto"/>
              <w:bottom w:val="nil"/>
              <w:right w:val="nil"/>
            </w:tcBorders>
            <w:shd w:val="clear" w:color="000000" w:fill="FFFFFF"/>
            <w:noWrap/>
            <w:vAlign w:val="center"/>
            <w:hideMark/>
          </w:tcPr>
          <w:p w14:paraId="5F353592" w14:textId="1CD6F8F7" w:rsidR="000B256F" w:rsidRPr="003F5EA7" w:rsidRDefault="000B256F" w:rsidP="0039496A">
            <w:pPr>
              <w:rPr>
                <w:color w:val="000000"/>
              </w:rPr>
            </w:pPr>
            <w:r w:rsidRPr="003F5EA7">
              <w:rPr>
                <w:color w:val="000000"/>
              </w:rPr>
              <w:t>Hispanic</w:t>
            </w:r>
          </w:p>
        </w:tc>
        <w:tc>
          <w:tcPr>
            <w:tcW w:w="1136" w:type="dxa"/>
            <w:tcBorders>
              <w:top w:val="nil"/>
              <w:left w:val="single" w:sz="8" w:space="0" w:color="auto"/>
              <w:bottom w:val="nil"/>
              <w:right w:val="nil"/>
            </w:tcBorders>
            <w:shd w:val="clear" w:color="000000" w:fill="FFFFFF"/>
            <w:noWrap/>
            <w:vAlign w:val="center"/>
            <w:hideMark/>
          </w:tcPr>
          <w:p w14:paraId="175503AC" w14:textId="439E62D8" w:rsidR="000B256F" w:rsidRPr="003F5EA7" w:rsidRDefault="000B256F" w:rsidP="0039496A">
            <w:pPr>
              <w:jc w:val="center"/>
              <w:rPr>
                <w:color w:val="000000"/>
              </w:rPr>
            </w:pPr>
            <w:r w:rsidRPr="003F5EA7">
              <w:rPr>
                <w:color w:val="000000"/>
              </w:rPr>
              <w:t>0.020</w:t>
            </w:r>
          </w:p>
        </w:tc>
        <w:tc>
          <w:tcPr>
            <w:tcW w:w="1110" w:type="dxa"/>
            <w:tcBorders>
              <w:top w:val="nil"/>
              <w:left w:val="nil"/>
              <w:bottom w:val="nil"/>
              <w:right w:val="single" w:sz="8" w:space="0" w:color="auto"/>
            </w:tcBorders>
            <w:shd w:val="clear" w:color="000000" w:fill="FFFFFF"/>
            <w:noWrap/>
            <w:vAlign w:val="center"/>
            <w:hideMark/>
          </w:tcPr>
          <w:p w14:paraId="337AAAF6" w14:textId="52014F99" w:rsidR="000B256F" w:rsidRPr="003F5EA7" w:rsidRDefault="000B256F" w:rsidP="0039496A">
            <w:pPr>
              <w:jc w:val="center"/>
              <w:rPr>
                <w:color w:val="000000"/>
              </w:rPr>
            </w:pPr>
            <w:r w:rsidRPr="003F5EA7">
              <w:rPr>
                <w:color w:val="000000"/>
              </w:rPr>
              <w:t>0.016</w:t>
            </w:r>
          </w:p>
        </w:tc>
        <w:tc>
          <w:tcPr>
            <w:tcW w:w="1016" w:type="dxa"/>
            <w:tcBorders>
              <w:top w:val="nil"/>
              <w:left w:val="nil"/>
              <w:bottom w:val="nil"/>
              <w:right w:val="nil"/>
            </w:tcBorders>
            <w:shd w:val="clear" w:color="000000" w:fill="FFFFFF"/>
            <w:noWrap/>
            <w:vAlign w:val="center"/>
            <w:hideMark/>
          </w:tcPr>
          <w:p w14:paraId="03FD722B" w14:textId="13874152" w:rsidR="000B256F" w:rsidRPr="003F5EA7" w:rsidRDefault="000B256F" w:rsidP="0039496A">
            <w:pPr>
              <w:jc w:val="center"/>
              <w:rPr>
                <w:color w:val="000000"/>
              </w:rPr>
            </w:pPr>
            <w:r w:rsidRPr="003F5EA7">
              <w:rPr>
                <w:color w:val="000000"/>
              </w:rPr>
              <w:t>0.001</w:t>
            </w:r>
          </w:p>
        </w:tc>
        <w:tc>
          <w:tcPr>
            <w:tcW w:w="1110" w:type="dxa"/>
            <w:tcBorders>
              <w:top w:val="nil"/>
              <w:left w:val="nil"/>
              <w:bottom w:val="nil"/>
              <w:right w:val="nil"/>
            </w:tcBorders>
            <w:shd w:val="clear" w:color="000000" w:fill="FFFFFF"/>
            <w:noWrap/>
            <w:vAlign w:val="center"/>
            <w:hideMark/>
          </w:tcPr>
          <w:p w14:paraId="2D118415" w14:textId="5A159B49" w:rsidR="000B256F" w:rsidRPr="003F5EA7" w:rsidRDefault="000B256F" w:rsidP="0039496A">
            <w:pPr>
              <w:jc w:val="center"/>
              <w:rPr>
                <w:color w:val="000000"/>
              </w:rPr>
            </w:pPr>
            <w:r w:rsidRPr="003F5EA7">
              <w:rPr>
                <w:color w:val="000000"/>
              </w:rPr>
              <w:t>0.001</w:t>
            </w:r>
          </w:p>
        </w:tc>
        <w:tc>
          <w:tcPr>
            <w:tcW w:w="1016" w:type="dxa"/>
            <w:tcBorders>
              <w:top w:val="nil"/>
              <w:left w:val="nil"/>
              <w:bottom w:val="nil"/>
              <w:right w:val="nil"/>
            </w:tcBorders>
            <w:shd w:val="clear" w:color="000000" w:fill="FFFFFF"/>
            <w:noWrap/>
            <w:vAlign w:val="center"/>
            <w:hideMark/>
          </w:tcPr>
          <w:p w14:paraId="1404F6C5" w14:textId="4EFB2644" w:rsidR="000B256F" w:rsidRPr="003F5EA7" w:rsidRDefault="000B256F" w:rsidP="0039496A">
            <w:pPr>
              <w:jc w:val="center"/>
              <w:rPr>
                <w:color w:val="000000"/>
              </w:rPr>
            </w:pPr>
            <w:r w:rsidRPr="003F5EA7">
              <w:rPr>
                <w:color w:val="000000"/>
              </w:rPr>
              <w:t>0.019</w:t>
            </w:r>
          </w:p>
        </w:tc>
        <w:tc>
          <w:tcPr>
            <w:tcW w:w="1272" w:type="dxa"/>
            <w:tcBorders>
              <w:top w:val="nil"/>
              <w:left w:val="nil"/>
              <w:bottom w:val="nil"/>
              <w:right w:val="single" w:sz="8" w:space="0" w:color="auto"/>
            </w:tcBorders>
            <w:shd w:val="clear" w:color="000000" w:fill="FFFFFF"/>
            <w:noWrap/>
            <w:vAlign w:val="bottom"/>
            <w:hideMark/>
          </w:tcPr>
          <w:p w14:paraId="1D7B8E94" w14:textId="253869CF" w:rsidR="000B256F" w:rsidRPr="00ED59C9" w:rsidRDefault="000B256F" w:rsidP="0039496A">
            <w:pPr>
              <w:jc w:val="center"/>
              <w:rPr>
                <w:color w:val="000000"/>
              </w:rPr>
            </w:pPr>
            <w:r w:rsidRPr="00ED59C9">
              <w:rPr>
                <w:color w:val="000000"/>
              </w:rPr>
              <w:t>-0.036</w:t>
            </w:r>
          </w:p>
        </w:tc>
      </w:tr>
      <w:tr w:rsidR="000B256F" w:rsidRPr="0039496A" w14:paraId="171EA888" w14:textId="77777777" w:rsidTr="00FD2EE2">
        <w:trPr>
          <w:trHeight w:val="320"/>
        </w:trPr>
        <w:tc>
          <w:tcPr>
            <w:tcW w:w="1880" w:type="dxa"/>
            <w:tcBorders>
              <w:top w:val="nil"/>
              <w:left w:val="single" w:sz="8" w:space="0" w:color="auto"/>
              <w:bottom w:val="nil"/>
              <w:right w:val="nil"/>
            </w:tcBorders>
            <w:shd w:val="clear" w:color="000000" w:fill="FFFFFF"/>
            <w:noWrap/>
            <w:vAlign w:val="center"/>
            <w:hideMark/>
          </w:tcPr>
          <w:p w14:paraId="758185DD" w14:textId="003FF6DB" w:rsidR="000B256F" w:rsidRPr="003F5EA7" w:rsidRDefault="000B256F" w:rsidP="0039496A">
            <w:pPr>
              <w:jc w:val="right"/>
              <w:rPr>
                <w:color w:val="000000"/>
              </w:rPr>
            </w:pPr>
          </w:p>
        </w:tc>
        <w:tc>
          <w:tcPr>
            <w:tcW w:w="1136" w:type="dxa"/>
            <w:tcBorders>
              <w:top w:val="nil"/>
              <w:left w:val="single" w:sz="8" w:space="0" w:color="auto"/>
              <w:bottom w:val="nil"/>
              <w:right w:val="nil"/>
            </w:tcBorders>
            <w:shd w:val="clear" w:color="000000" w:fill="FFFFFF"/>
            <w:noWrap/>
            <w:vAlign w:val="center"/>
            <w:hideMark/>
          </w:tcPr>
          <w:p w14:paraId="04F95FE8" w14:textId="30204DF9" w:rsidR="000B256F" w:rsidRPr="003F5EA7" w:rsidRDefault="000B256F" w:rsidP="0039496A">
            <w:pPr>
              <w:jc w:val="center"/>
              <w:rPr>
                <w:color w:val="000000"/>
              </w:rPr>
            </w:pPr>
            <w:r w:rsidRPr="003F5EA7">
              <w:rPr>
                <w:color w:val="000000"/>
              </w:rPr>
              <w:t>(0.039)</w:t>
            </w:r>
          </w:p>
        </w:tc>
        <w:tc>
          <w:tcPr>
            <w:tcW w:w="1110" w:type="dxa"/>
            <w:tcBorders>
              <w:top w:val="nil"/>
              <w:left w:val="nil"/>
              <w:bottom w:val="nil"/>
              <w:right w:val="single" w:sz="8" w:space="0" w:color="auto"/>
            </w:tcBorders>
            <w:shd w:val="clear" w:color="000000" w:fill="FFFFFF"/>
            <w:noWrap/>
            <w:vAlign w:val="center"/>
            <w:hideMark/>
          </w:tcPr>
          <w:p w14:paraId="6DE0FB0E" w14:textId="000B7718" w:rsidR="000B256F" w:rsidRPr="003F5EA7" w:rsidRDefault="000B256F" w:rsidP="0039496A">
            <w:pPr>
              <w:jc w:val="center"/>
              <w:rPr>
                <w:color w:val="000000"/>
              </w:rPr>
            </w:pPr>
            <w:r w:rsidRPr="003F5EA7">
              <w:rPr>
                <w:color w:val="000000"/>
              </w:rPr>
              <w:t>0.032</w:t>
            </w:r>
          </w:p>
        </w:tc>
        <w:tc>
          <w:tcPr>
            <w:tcW w:w="1016" w:type="dxa"/>
            <w:tcBorders>
              <w:top w:val="nil"/>
              <w:left w:val="nil"/>
              <w:bottom w:val="nil"/>
              <w:right w:val="nil"/>
            </w:tcBorders>
            <w:shd w:val="clear" w:color="000000" w:fill="FFFFFF"/>
            <w:noWrap/>
            <w:vAlign w:val="center"/>
            <w:hideMark/>
          </w:tcPr>
          <w:p w14:paraId="6B0C35A1" w14:textId="218598F9" w:rsidR="000B256F" w:rsidRPr="003F5EA7" w:rsidRDefault="000B256F" w:rsidP="0039496A">
            <w:pPr>
              <w:jc w:val="center"/>
              <w:rPr>
                <w:color w:val="000000"/>
              </w:rPr>
            </w:pPr>
            <w:r w:rsidRPr="003F5EA7">
              <w:rPr>
                <w:color w:val="000000"/>
              </w:rPr>
              <w:t>(0.045)</w:t>
            </w:r>
          </w:p>
        </w:tc>
        <w:tc>
          <w:tcPr>
            <w:tcW w:w="1110" w:type="dxa"/>
            <w:tcBorders>
              <w:top w:val="nil"/>
              <w:left w:val="nil"/>
              <w:bottom w:val="nil"/>
              <w:right w:val="nil"/>
            </w:tcBorders>
            <w:shd w:val="clear" w:color="000000" w:fill="FFFFFF"/>
            <w:noWrap/>
            <w:vAlign w:val="center"/>
            <w:hideMark/>
          </w:tcPr>
          <w:p w14:paraId="4E7250E8" w14:textId="460F18CB" w:rsidR="000B256F" w:rsidRPr="003F5EA7" w:rsidRDefault="000B256F" w:rsidP="0039496A">
            <w:pPr>
              <w:jc w:val="center"/>
              <w:rPr>
                <w:color w:val="000000"/>
              </w:rPr>
            </w:pPr>
            <w:r w:rsidRPr="003F5EA7">
              <w:rPr>
                <w:color w:val="000000"/>
              </w:rPr>
              <w:t>(0.035)</w:t>
            </w:r>
          </w:p>
        </w:tc>
        <w:tc>
          <w:tcPr>
            <w:tcW w:w="1016" w:type="dxa"/>
            <w:tcBorders>
              <w:top w:val="nil"/>
              <w:left w:val="nil"/>
              <w:bottom w:val="nil"/>
              <w:right w:val="nil"/>
            </w:tcBorders>
            <w:shd w:val="clear" w:color="000000" w:fill="FFFFFF"/>
            <w:noWrap/>
            <w:vAlign w:val="center"/>
            <w:hideMark/>
          </w:tcPr>
          <w:p w14:paraId="1296B205" w14:textId="775FF5FE" w:rsidR="000B256F" w:rsidRPr="003F5EA7" w:rsidRDefault="000B256F" w:rsidP="0039496A">
            <w:pPr>
              <w:jc w:val="center"/>
              <w:rPr>
                <w:color w:val="000000"/>
              </w:rPr>
            </w:pPr>
            <w:r w:rsidRPr="003F5EA7">
              <w:rPr>
                <w:color w:val="000000"/>
              </w:rPr>
              <w:t>(0.056)</w:t>
            </w:r>
          </w:p>
        </w:tc>
        <w:tc>
          <w:tcPr>
            <w:tcW w:w="1272" w:type="dxa"/>
            <w:tcBorders>
              <w:top w:val="nil"/>
              <w:left w:val="nil"/>
              <w:bottom w:val="nil"/>
              <w:right w:val="single" w:sz="8" w:space="0" w:color="auto"/>
            </w:tcBorders>
            <w:shd w:val="clear" w:color="000000" w:fill="FFFFFF"/>
            <w:noWrap/>
            <w:vAlign w:val="center"/>
            <w:hideMark/>
          </w:tcPr>
          <w:p w14:paraId="3A382636" w14:textId="6ED6E08B" w:rsidR="000B256F" w:rsidRPr="003F5EA7" w:rsidRDefault="000B256F" w:rsidP="0039496A">
            <w:pPr>
              <w:jc w:val="center"/>
              <w:rPr>
                <w:color w:val="000000"/>
              </w:rPr>
            </w:pPr>
            <w:r w:rsidRPr="003F5EA7">
              <w:rPr>
                <w:color w:val="000000"/>
              </w:rPr>
              <w:t>(0.039)</w:t>
            </w:r>
          </w:p>
        </w:tc>
      </w:tr>
      <w:tr w:rsidR="000B256F" w:rsidRPr="0039496A" w14:paraId="0AA2FD62" w14:textId="77777777" w:rsidTr="00FD2EE2">
        <w:trPr>
          <w:trHeight w:val="320"/>
        </w:trPr>
        <w:tc>
          <w:tcPr>
            <w:tcW w:w="1880" w:type="dxa"/>
            <w:tcBorders>
              <w:top w:val="nil"/>
              <w:left w:val="single" w:sz="8" w:space="0" w:color="auto"/>
              <w:bottom w:val="nil"/>
              <w:right w:val="nil"/>
            </w:tcBorders>
            <w:shd w:val="clear" w:color="000000" w:fill="FFFFFF"/>
            <w:noWrap/>
            <w:vAlign w:val="center"/>
            <w:hideMark/>
          </w:tcPr>
          <w:p w14:paraId="354D1020" w14:textId="50FF118B" w:rsidR="000B256F" w:rsidRPr="003F5EA7" w:rsidRDefault="000B256F" w:rsidP="0039496A">
            <w:pPr>
              <w:rPr>
                <w:color w:val="000000"/>
              </w:rPr>
            </w:pPr>
            <w:r w:rsidRPr="003F5EA7">
              <w:rPr>
                <w:color w:val="000000"/>
              </w:rPr>
              <w:t>High School</w:t>
            </w:r>
          </w:p>
        </w:tc>
        <w:tc>
          <w:tcPr>
            <w:tcW w:w="1136" w:type="dxa"/>
            <w:tcBorders>
              <w:top w:val="nil"/>
              <w:left w:val="single" w:sz="8" w:space="0" w:color="auto"/>
              <w:bottom w:val="nil"/>
              <w:right w:val="nil"/>
            </w:tcBorders>
            <w:shd w:val="clear" w:color="000000" w:fill="FFFFFF"/>
            <w:noWrap/>
            <w:vAlign w:val="center"/>
            <w:hideMark/>
          </w:tcPr>
          <w:p w14:paraId="68707B88" w14:textId="0EB31021" w:rsidR="000B256F" w:rsidRPr="003F5EA7" w:rsidRDefault="000B256F" w:rsidP="0039496A">
            <w:pPr>
              <w:jc w:val="center"/>
              <w:rPr>
                <w:color w:val="000000"/>
              </w:rPr>
            </w:pPr>
            <w:r w:rsidRPr="003F5EA7">
              <w:rPr>
                <w:color w:val="000000"/>
              </w:rPr>
              <w:t>-0.001</w:t>
            </w:r>
          </w:p>
        </w:tc>
        <w:tc>
          <w:tcPr>
            <w:tcW w:w="1110" w:type="dxa"/>
            <w:tcBorders>
              <w:top w:val="nil"/>
              <w:left w:val="nil"/>
              <w:bottom w:val="nil"/>
              <w:right w:val="single" w:sz="8" w:space="0" w:color="auto"/>
            </w:tcBorders>
            <w:shd w:val="clear" w:color="000000" w:fill="FFFFFF"/>
            <w:noWrap/>
            <w:vAlign w:val="center"/>
            <w:hideMark/>
          </w:tcPr>
          <w:p w14:paraId="3E3FFD6D" w14:textId="3F9AA34E" w:rsidR="000B256F" w:rsidRPr="003F5EA7" w:rsidRDefault="000B256F" w:rsidP="0039496A">
            <w:pPr>
              <w:jc w:val="center"/>
              <w:rPr>
                <w:color w:val="000000"/>
              </w:rPr>
            </w:pPr>
            <w:r w:rsidRPr="003F5EA7">
              <w:rPr>
                <w:color w:val="000000"/>
              </w:rPr>
              <w:t>0.112</w:t>
            </w:r>
          </w:p>
        </w:tc>
        <w:tc>
          <w:tcPr>
            <w:tcW w:w="1016" w:type="dxa"/>
            <w:tcBorders>
              <w:top w:val="nil"/>
              <w:left w:val="nil"/>
              <w:bottom w:val="nil"/>
              <w:right w:val="nil"/>
            </w:tcBorders>
            <w:shd w:val="clear" w:color="000000" w:fill="FFFFFF"/>
            <w:noWrap/>
            <w:vAlign w:val="center"/>
            <w:hideMark/>
          </w:tcPr>
          <w:p w14:paraId="37EA2374" w14:textId="4CDC284F" w:rsidR="000B256F" w:rsidRPr="003F5EA7" w:rsidRDefault="000B256F" w:rsidP="0039496A">
            <w:pPr>
              <w:jc w:val="center"/>
              <w:rPr>
                <w:color w:val="000000"/>
              </w:rPr>
            </w:pPr>
            <w:r w:rsidRPr="003F5EA7">
              <w:rPr>
                <w:color w:val="000000"/>
              </w:rPr>
              <w:t>-0.006</w:t>
            </w:r>
          </w:p>
        </w:tc>
        <w:tc>
          <w:tcPr>
            <w:tcW w:w="1110" w:type="dxa"/>
            <w:tcBorders>
              <w:top w:val="nil"/>
              <w:left w:val="nil"/>
              <w:bottom w:val="nil"/>
              <w:right w:val="nil"/>
            </w:tcBorders>
            <w:shd w:val="clear" w:color="000000" w:fill="FFFFFF"/>
            <w:noWrap/>
            <w:vAlign w:val="center"/>
            <w:hideMark/>
          </w:tcPr>
          <w:p w14:paraId="2C5EDF5A" w14:textId="55A00EB2" w:rsidR="000B256F" w:rsidRPr="003F5EA7" w:rsidRDefault="000B256F" w:rsidP="0039496A">
            <w:pPr>
              <w:jc w:val="center"/>
              <w:rPr>
                <w:color w:val="000000"/>
              </w:rPr>
            </w:pPr>
            <w:r w:rsidRPr="003F5EA7">
              <w:rPr>
                <w:color w:val="000000"/>
              </w:rPr>
              <w:t>0.062</w:t>
            </w:r>
          </w:p>
        </w:tc>
        <w:tc>
          <w:tcPr>
            <w:tcW w:w="1016" w:type="dxa"/>
            <w:tcBorders>
              <w:top w:val="nil"/>
              <w:left w:val="nil"/>
              <w:bottom w:val="nil"/>
              <w:right w:val="nil"/>
            </w:tcBorders>
            <w:shd w:val="clear" w:color="000000" w:fill="FFFFFF"/>
            <w:noWrap/>
            <w:vAlign w:val="center"/>
            <w:hideMark/>
          </w:tcPr>
          <w:p w14:paraId="4EAB3ABD" w14:textId="2D63B268" w:rsidR="000B256F" w:rsidRPr="003F5EA7" w:rsidRDefault="000B256F" w:rsidP="0039496A">
            <w:pPr>
              <w:jc w:val="center"/>
              <w:rPr>
                <w:color w:val="000000"/>
              </w:rPr>
            </w:pPr>
            <w:r w:rsidRPr="003F5EA7">
              <w:rPr>
                <w:color w:val="000000"/>
              </w:rPr>
              <w:t>-0.203</w:t>
            </w:r>
          </w:p>
        </w:tc>
        <w:tc>
          <w:tcPr>
            <w:tcW w:w="1272" w:type="dxa"/>
            <w:tcBorders>
              <w:top w:val="nil"/>
              <w:left w:val="nil"/>
              <w:bottom w:val="nil"/>
              <w:right w:val="single" w:sz="8" w:space="0" w:color="auto"/>
            </w:tcBorders>
            <w:shd w:val="clear" w:color="000000" w:fill="FFFFFF"/>
            <w:noWrap/>
            <w:vAlign w:val="bottom"/>
            <w:hideMark/>
          </w:tcPr>
          <w:p w14:paraId="19F94399" w14:textId="37F74232" w:rsidR="000B256F" w:rsidRPr="00ED59C9" w:rsidRDefault="000B256F" w:rsidP="0039496A">
            <w:pPr>
              <w:jc w:val="center"/>
              <w:rPr>
                <w:color w:val="000000"/>
              </w:rPr>
            </w:pPr>
            <w:r w:rsidRPr="00ED59C9">
              <w:rPr>
                <w:color w:val="000000"/>
              </w:rPr>
              <w:t>-0.144</w:t>
            </w:r>
          </w:p>
        </w:tc>
      </w:tr>
      <w:tr w:rsidR="000B256F" w:rsidRPr="0039496A" w14:paraId="79BD5113" w14:textId="77777777" w:rsidTr="00FD2EE2">
        <w:trPr>
          <w:trHeight w:val="320"/>
        </w:trPr>
        <w:tc>
          <w:tcPr>
            <w:tcW w:w="1880" w:type="dxa"/>
            <w:tcBorders>
              <w:top w:val="nil"/>
              <w:left w:val="single" w:sz="8" w:space="0" w:color="auto"/>
              <w:bottom w:val="nil"/>
              <w:right w:val="nil"/>
            </w:tcBorders>
            <w:shd w:val="clear" w:color="000000" w:fill="FFFFFF"/>
            <w:noWrap/>
            <w:vAlign w:val="center"/>
            <w:hideMark/>
          </w:tcPr>
          <w:p w14:paraId="29DF3FF1" w14:textId="23B33C47" w:rsidR="000B256F" w:rsidRPr="003F5EA7" w:rsidRDefault="000B256F" w:rsidP="0039496A">
            <w:pPr>
              <w:jc w:val="right"/>
              <w:rPr>
                <w:color w:val="000000"/>
              </w:rPr>
            </w:pPr>
          </w:p>
        </w:tc>
        <w:tc>
          <w:tcPr>
            <w:tcW w:w="1136" w:type="dxa"/>
            <w:tcBorders>
              <w:top w:val="nil"/>
              <w:left w:val="single" w:sz="8" w:space="0" w:color="auto"/>
              <w:bottom w:val="nil"/>
              <w:right w:val="nil"/>
            </w:tcBorders>
            <w:shd w:val="clear" w:color="000000" w:fill="FFFFFF"/>
            <w:noWrap/>
            <w:vAlign w:val="center"/>
            <w:hideMark/>
          </w:tcPr>
          <w:p w14:paraId="74A4C1E3" w14:textId="0925B85F" w:rsidR="000B256F" w:rsidRPr="003F5EA7" w:rsidRDefault="000B256F" w:rsidP="0039496A">
            <w:pPr>
              <w:jc w:val="center"/>
              <w:rPr>
                <w:color w:val="000000"/>
              </w:rPr>
            </w:pPr>
            <w:r w:rsidRPr="003F5EA7">
              <w:rPr>
                <w:color w:val="000000"/>
              </w:rPr>
              <w:t>(0.049)</w:t>
            </w:r>
          </w:p>
        </w:tc>
        <w:tc>
          <w:tcPr>
            <w:tcW w:w="1110" w:type="dxa"/>
            <w:tcBorders>
              <w:top w:val="nil"/>
              <w:left w:val="nil"/>
              <w:bottom w:val="nil"/>
              <w:right w:val="single" w:sz="8" w:space="0" w:color="auto"/>
            </w:tcBorders>
            <w:shd w:val="clear" w:color="000000" w:fill="FFFFFF"/>
            <w:noWrap/>
            <w:vAlign w:val="center"/>
            <w:hideMark/>
          </w:tcPr>
          <w:p w14:paraId="6FAF0A49" w14:textId="4224AF81" w:rsidR="000B256F" w:rsidRPr="003F5EA7" w:rsidRDefault="000B256F" w:rsidP="0039496A">
            <w:pPr>
              <w:jc w:val="center"/>
              <w:rPr>
                <w:color w:val="000000"/>
              </w:rPr>
            </w:pPr>
            <w:r w:rsidRPr="003F5EA7">
              <w:rPr>
                <w:color w:val="000000"/>
              </w:rPr>
              <w:t>(0.039)</w:t>
            </w:r>
          </w:p>
        </w:tc>
        <w:tc>
          <w:tcPr>
            <w:tcW w:w="1016" w:type="dxa"/>
            <w:tcBorders>
              <w:top w:val="nil"/>
              <w:left w:val="nil"/>
              <w:bottom w:val="nil"/>
              <w:right w:val="nil"/>
            </w:tcBorders>
            <w:shd w:val="clear" w:color="000000" w:fill="FFFFFF"/>
            <w:noWrap/>
            <w:vAlign w:val="center"/>
            <w:hideMark/>
          </w:tcPr>
          <w:p w14:paraId="292A9738" w14:textId="53FA2D8D" w:rsidR="000B256F" w:rsidRPr="003F5EA7" w:rsidRDefault="000B256F" w:rsidP="0039496A">
            <w:pPr>
              <w:jc w:val="center"/>
              <w:rPr>
                <w:color w:val="000000"/>
              </w:rPr>
            </w:pPr>
            <w:r w:rsidRPr="003F5EA7">
              <w:rPr>
                <w:color w:val="000000"/>
              </w:rPr>
              <w:t>(0.053)</w:t>
            </w:r>
          </w:p>
        </w:tc>
        <w:tc>
          <w:tcPr>
            <w:tcW w:w="1110" w:type="dxa"/>
            <w:tcBorders>
              <w:top w:val="nil"/>
              <w:left w:val="nil"/>
              <w:bottom w:val="nil"/>
              <w:right w:val="nil"/>
            </w:tcBorders>
            <w:shd w:val="clear" w:color="000000" w:fill="FFFFFF"/>
            <w:noWrap/>
            <w:vAlign w:val="center"/>
            <w:hideMark/>
          </w:tcPr>
          <w:p w14:paraId="61F80D31" w14:textId="371EDDAF" w:rsidR="000B256F" w:rsidRPr="003F5EA7" w:rsidRDefault="000B256F" w:rsidP="0039496A">
            <w:pPr>
              <w:jc w:val="center"/>
              <w:rPr>
                <w:color w:val="000000"/>
              </w:rPr>
            </w:pPr>
            <w:r w:rsidRPr="003F5EA7">
              <w:rPr>
                <w:color w:val="000000"/>
              </w:rPr>
              <w:t>(0.043)</w:t>
            </w:r>
          </w:p>
        </w:tc>
        <w:tc>
          <w:tcPr>
            <w:tcW w:w="1016" w:type="dxa"/>
            <w:tcBorders>
              <w:top w:val="nil"/>
              <w:left w:val="nil"/>
              <w:bottom w:val="nil"/>
              <w:right w:val="nil"/>
            </w:tcBorders>
            <w:shd w:val="clear" w:color="000000" w:fill="FFFFFF"/>
            <w:noWrap/>
            <w:vAlign w:val="center"/>
            <w:hideMark/>
          </w:tcPr>
          <w:p w14:paraId="041F0671" w14:textId="37740C77" w:rsidR="000B256F" w:rsidRPr="003F5EA7" w:rsidRDefault="000B256F" w:rsidP="0039496A">
            <w:pPr>
              <w:jc w:val="center"/>
              <w:rPr>
                <w:color w:val="000000"/>
              </w:rPr>
            </w:pPr>
            <w:r w:rsidRPr="003F5EA7">
              <w:rPr>
                <w:color w:val="000000"/>
              </w:rPr>
              <w:t>(0.059)</w:t>
            </w:r>
          </w:p>
        </w:tc>
        <w:tc>
          <w:tcPr>
            <w:tcW w:w="1272" w:type="dxa"/>
            <w:tcBorders>
              <w:top w:val="nil"/>
              <w:left w:val="nil"/>
              <w:bottom w:val="nil"/>
              <w:right w:val="single" w:sz="8" w:space="0" w:color="auto"/>
            </w:tcBorders>
            <w:shd w:val="clear" w:color="000000" w:fill="FFFFFF"/>
            <w:noWrap/>
            <w:vAlign w:val="center"/>
            <w:hideMark/>
          </w:tcPr>
          <w:p w14:paraId="3546D745" w14:textId="2F451669" w:rsidR="000B256F" w:rsidRPr="003F5EA7" w:rsidRDefault="000B256F" w:rsidP="0039496A">
            <w:pPr>
              <w:jc w:val="center"/>
              <w:rPr>
                <w:color w:val="000000"/>
              </w:rPr>
            </w:pPr>
            <w:r w:rsidRPr="003F5EA7">
              <w:rPr>
                <w:color w:val="000000"/>
              </w:rPr>
              <w:t>(0.049)</w:t>
            </w:r>
          </w:p>
        </w:tc>
      </w:tr>
      <w:tr w:rsidR="0083474B" w:rsidRPr="0039496A" w14:paraId="4C036ABE" w14:textId="77777777" w:rsidTr="00455281">
        <w:trPr>
          <w:trHeight w:val="320"/>
        </w:trPr>
        <w:tc>
          <w:tcPr>
            <w:tcW w:w="1880" w:type="dxa"/>
            <w:vMerge w:val="restart"/>
            <w:tcBorders>
              <w:top w:val="nil"/>
              <w:left w:val="single" w:sz="8" w:space="0" w:color="auto"/>
              <w:right w:val="nil"/>
            </w:tcBorders>
            <w:shd w:val="clear" w:color="000000" w:fill="FFFFFF"/>
            <w:noWrap/>
            <w:vAlign w:val="center"/>
            <w:hideMark/>
          </w:tcPr>
          <w:p w14:paraId="5B3A5D93" w14:textId="68FB5A15" w:rsidR="0083474B" w:rsidRPr="003F5EA7" w:rsidRDefault="0083474B" w:rsidP="0039496A">
            <w:pPr>
              <w:rPr>
                <w:color w:val="000000"/>
              </w:rPr>
            </w:pPr>
            <w:r w:rsidRPr="003F5EA7">
              <w:rPr>
                <w:color w:val="000000"/>
              </w:rPr>
              <w:t>College and Above</w:t>
            </w:r>
          </w:p>
        </w:tc>
        <w:tc>
          <w:tcPr>
            <w:tcW w:w="1136" w:type="dxa"/>
            <w:tcBorders>
              <w:top w:val="nil"/>
              <w:left w:val="single" w:sz="8" w:space="0" w:color="auto"/>
              <w:bottom w:val="nil"/>
              <w:right w:val="nil"/>
            </w:tcBorders>
            <w:shd w:val="clear" w:color="000000" w:fill="FFFFFF"/>
            <w:noWrap/>
            <w:vAlign w:val="bottom"/>
            <w:hideMark/>
          </w:tcPr>
          <w:p w14:paraId="6924BAF3" w14:textId="774E9AD6" w:rsidR="0083474B" w:rsidRPr="003F5EA7" w:rsidRDefault="0083474B" w:rsidP="000848BB">
            <w:pPr>
              <w:jc w:val="center"/>
              <w:rPr>
                <w:color w:val="000000"/>
              </w:rPr>
            </w:pPr>
            <w:r w:rsidRPr="003F5EA7">
              <w:rPr>
                <w:color w:val="000000"/>
              </w:rPr>
              <w:t>-0.011</w:t>
            </w:r>
          </w:p>
        </w:tc>
        <w:tc>
          <w:tcPr>
            <w:tcW w:w="1110" w:type="dxa"/>
            <w:tcBorders>
              <w:top w:val="nil"/>
              <w:left w:val="nil"/>
              <w:bottom w:val="nil"/>
              <w:right w:val="single" w:sz="8" w:space="0" w:color="auto"/>
            </w:tcBorders>
            <w:shd w:val="clear" w:color="000000" w:fill="FFFFFF"/>
            <w:noWrap/>
            <w:vAlign w:val="bottom"/>
            <w:hideMark/>
          </w:tcPr>
          <w:p w14:paraId="4124E15B" w14:textId="44D59437" w:rsidR="0083474B" w:rsidRPr="003F5EA7" w:rsidRDefault="0083474B" w:rsidP="000848BB">
            <w:pPr>
              <w:jc w:val="center"/>
              <w:rPr>
                <w:color w:val="000000"/>
              </w:rPr>
            </w:pPr>
            <w:r w:rsidRPr="003F5EA7">
              <w:rPr>
                <w:color w:val="000000"/>
              </w:rPr>
              <w:t>0.105</w:t>
            </w:r>
          </w:p>
        </w:tc>
        <w:tc>
          <w:tcPr>
            <w:tcW w:w="1016" w:type="dxa"/>
            <w:tcBorders>
              <w:top w:val="nil"/>
              <w:left w:val="nil"/>
              <w:bottom w:val="nil"/>
              <w:right w:val="nil"/>
            </w:tcBorders>
            <w:shd w:val="clear" w:color="000000" w:fill="FFFFFF"/>
            <w:noWrap/>
            <w:vAlign w:val="bottom"/>
            <w:hideMark/>
          </w:tcPr>
          <w:p w14:paraId="3EE63B2C" w14:textId="3B14E35D" w:rsidR="0083474B" w:rsidRPr="003F5EA7" w:rsidRDefault="0083474B" w:rsidP="000848BB">
            <w:pPr>
              <w:jc w:val="center"/>
              <w:rPr>
                <w:color w:val="000000"/>
              </w:rPr>
            </w:pPr>
            <w:r w:rsidRPr="003F5EA7">
              <w:rPr>
                <w:color w:val="000000"/>
              </w:rPr>
              <w:t>-0.042</w:t>
            </w:r>
          </w:p>
        </w:tc>
        <w:tc>
          <w:tcPr>
            <w:tcW w:w="1110" w:type="dxa"/>
            <w:tcBorders>
              <w:top w:val="nil"/>
              <w:left w:val="nil"/>
              <w:bottom w:val="nil"/>
              <w:right w:val="nil"/>
            </w:tcBorders>
            <w:shd w:val="clear" w:color="000000" w:fill="FFFFFF"/>
            <w:noWrap/>
            <w:vAlign w:val="bottom"/>
            <w:hideMark/>
          </w:tcPr>
          <w:p w14:paraId="2178DC08" w14:textId="19FAE891" w:rsidR="0083474B" w:rsidRPr="003F5EA7" w:rsidRDefault="0083474B" w:rsidP="000848BB">
            <w:pPr>
              <w:jc w:val="center"/>
              <w:rPr>
                <w:color w:val="000000"/>
              </w:rPr>
            </w:pPr>
            <w:r w:rsidRPr="003F5EA7">
              <w:rPr>
                <w:color w:val="000000"/>
              </w:rPr>
              <w:t>0.038</w:t>
            </w:r>
          </w:p>
        </w:tc>
        <w:tc>
          <w:tcPr>
            <w:tcW w:w="1016" w:type="dxa"/>
            <w:tcBorders>
              <w:top w:val="nil"/>
              <w:left w:val="nil"/>
              <w:bottom w:val="nil"/>
              <w:right w:val="nil"/>
            </w:tcBorders>
            <w:shd w:val="clear" w:color="000000" w:fill="FFFFFF"/>
            <w:noWrap/>
            <w:vAlign w:val="bottom"/>
            <w:hideMark/>
          </w:tcPr>
          <w:p w14:paraId="349DD89A" w14:textId="4FEE53CB" w:rsidR="0083474B" w:rsidRPr="003F5EA7" w:rsidRDefault="0083474B" w:rsidP="000848BB">
            <w:pPr>
              <w:jc w:val="center"/>
              <w:rPr>
                <w:color w:val="000000"/>
              </w:rPr>
            </w:pPr>
            <w:r w:rsidRPr="003F5EA7">
              <w:rPr>
                <w:color w:val="000000"/>
              </w:rPr>
              <w:t>-0.134</w:t>
            </w:r>
          </w:p>
        </w:tc>
        <w:tc>
          <w:tcPr>
            <w:tcW w:w="1272" w:type="dxa"/>
            <w:tcBorders>
              <w:top w:val="nil"/>
              <w:left w:val="nil"/>
              <w:bottom w:val="nil"/>
              <w:right w:val="single" w:sz="8" w:space="0" w:color="auto"/>
            </w:tcBorders>
            <w:shd w:val="clear" w:color="000000" w:fill="FFFFFF"/>
            <w:noWrap/>
            <w:vAlign w:val="bottom"/>
            <w:hideMark/>
          </w:tcPr>
          <w:p w14:paraId="268B608B" w14:textId="0A70D1CB" w:rsidR="0083474B" w:rsidRPr="00ED59C9" w:rsidRDefault="0083474B" w:rsidP="000848BB">
            <w:pPr>
              <w:jc w:val="center"/>
              <w:rPr>
                <w:color w:val="000000"/>
              </w:rPr>
            </w:pPr>
            <w:r w:rsidRPr="00ED59C9">
              <w:rPr>
                <w:color w:val="000000"/>
              </w:rPr>
              <w:t>-0.080</w:t>
            </w:r>
          </w:p>
        </w:tc>
      </w:tr>
      <w:tr w:rsidR="0083474B" w:rsidRPr="0039496A" w14:paraId="6DE7768A" w14:textId="77777777" w:rsidTr="00455281">
        <w:trPr>
          <w:trHeight w:val="171"/>
        </w:trPr>
        <w:tc>
          <w:tcPr>
            <w:tcW w:w="1880" w:type="dxa"/>
            <w:vMerge/>
            <w:tcBorders>
              <w:left w:val="single" w:sz="8" w:space="0" w:color="auto"/>
              <w:bottom w:val="single" w:sz="8" w:space="0" w:color="auto"/>
              <w:right w:val="nil"/>
            </w:tcBorders>
            <w:shd w:val="clear" w:color="000000" w:fill="FFFFFF"/>
            <w:noWrap/>
            <w:vAlign w:val="center"/>
            <w:hideMark/>
          </w:tcPr>
          <w:p w14:paraId="3A22E858" w14:textId="252D1BBC" w:rsidR="0083474B" w:rsidRPr="003F5EA7" w:rsidRDefault="0083474B" w:rsidP="0039496A">
            <w:pPr>
              <w:jc w:val="right"/>
              <w:rPr>
                <w:color w:val="000000"/>
              </w:rPr>
            </w:pPr>
          </w:p>
        </w:tc>
        <w:tc>
          <w:tcPr>
            <w:tcW w:w="1136" w:type="dxa"/>
            <w:tcBorders>
              <w:top w:val="nil"/>
              <w:left w:val="single" w:sz="8" w:space="0" w:color="auto"/>
              <w:bottom w:val="single" w:sz="8" w:space="0" w:color="auto"/>
              <w:right w:val="nil"/>
            </w:tcBorders>
            <w:shd w:val="clear" w:color="000000" w:fill="FFFFFF"/>
            <w:noWrap/>
            <w:vAlign w:val="center"/>
            <w:hideMark/>
          </w:tcPr>
          <w:p w14:paraId="68385255" w14:textId="2EAFD9FF" w:rsidR="0083474B" w:rsidRPr="003F5EA7" w:rsidRDefault="0083474B" w:rsidP="0039496A">
            <w:pPr>
              <w:jc w:val="center"/>
              <w:rPr>
                <w:color w:val="000000"/>
              </w:rPr>
            </w:pPr>
            <w:r w:rsidRPr="003F5EA7">
              <w:rPr>
                <w:color w:val="000000"/>
              </w:rPr>
              <w:t>(0.053)</w:t>
            </w:r>
          </w:p>
        </w:tc>
        <w:tc>
          <w:tcPr>
            <w:tcW w:w="1110" w:type="dxa"/>
            <w:tcBorders>
              <w:top w:val="nil"/>
              <w:left w:val="nil"/>
              <w:bottom w:val="single" w:sz="8" w:space="0" w:color="auto"/>
              <w:right w:val="single" w:sz="8" w:space="0" w:color="auto"/>
            </w:tcBorders>
            <w:shd w:val="clear" w:color="000000" w:fill="FFFFFF"/>
            <w:noWrap/>
            <w:vAlign w:val="center"/>
            <w:hideMark/>
          </w:tcPr>
          <w:p w14:paraId="53BB62F7" w14:textId="71B45D9D" w:rsidR="0083474B" w:rsidRPr="003F5EA7" w:rsidRDefault="0083474B" w:rsidP="0039496A">
            <w:pPr>
              <w:jc w:val="center"/>
              <w:rPr>
                <w:color w:val="000000"/>
              </w:rPr>
            </w:pPr>
            <w:r w:rsidRPr="003F5EA7">
              <w:rPr>
                <w:color w:val="000000"/>
              </w:rPr>
              <w:t>(0.042)</w:t>
            </w:r>
          </w:p>
        </w:tc>
        <w:tc>
          <w:tcPr>
            <w:tcW w:w="1016" w:type="dxa"/>
            <w:tcBorders>
              <w:top w:val="nil"/>
              <w:left w:val="nil"/>
              <w:bottom w:val="single" w:sz="8" w:space="0" w:color="auto"/>
              <w:right w:val="nil"/>
            </w:tcBorders>
            <w:shd w:val="clear" w:color="000000" w:fill="FFFFFF"/>
            <w:noWrap/>
            <w:vAlign w:val="center"/>
            <w:hideMark/>
          </w:tcPr>
          <w:p w14:paraId="56D080A2" w14:textId="328BE9DC" w:rsidR="0083474B" w:rsidRPr="003F5EA7" w:rsidRDefault="0083474B" w:rsidP="0039496A">
            <w:pPr>
              <w:jc w:val="center"/>
              <w:rPr>
                <w:color w:val="000000"/>
              </w:rPr>
            </w:pPr>
            <w:r w:rsidRPr="003F5EA7">
              <w:rPr>
                <w:color w:val="000000"/>
              </w:rPr>
              <w:t>(0.056)</w:t>
            </w:r>
          </w:p>
        </w:tc>
        <w:tc>
          <w:tcPr>
            <w:tcW w:w="1110" w:type="dxa"/>
            <w:tcBorders>
              <w:top w:val="nil"/>
              <w:left w:val="nil"/>
              <w:bottom w:val="single" w:sz="8" w:space="0" w:color="auto"/>
              <w:right w:val="nil"/>
            </w:tcBorders>
            <w:shd w:val="clear" w:color="000000" w:fill="FFFFFF"/>
            <w:noWrap/>
            <w:vAlign w:val="center"/>
            <w:hideMark/>
          </w:tcPr>
          <w:p w14:paraId="17E3BE11" w14:textId="19E4C651" w:rsidR="0083474B" w:rsidRPr="003F5EA7" w:rsidRDefault="0083474B" w:rsidP="0039496A">
            <w:pPr>
              <w:jc w:val="center"/>
              <w:rPr>
                <w:color w:val="000000"/>
              </w:rPr>
            </w:pPr>
            <w:r w:rsidRPr="003F5EA7">
              <w:rPr>
                <w:color w:val="000000"/>
              </w:rPr>
              <w:t>(0.044)</w:t>
            </w:r>
          </w:p>
        </w:tc>
        <w:tc>
          <w:tcPr>
            <w:tcW w:w="1016" w:type="dxa"/>
            <w:tcBorders>
              <w:top w:val="nil"/>
              <w:left w:val="nil"/>
              <w:bottom w:val="single" w:sz="8" w:space="0" w:color="auto"/>
              <w:right w:val="nil"/>
            </w:tcBorders>
            <w:shd w:val="clear" w:color="000000" w:fill="FFFFFF"/>
            <w:noWrap/>
            <w:vAlign w:val="center"/>
            <w:hideMark/>
          </w:tcPr>
          <w:p w14:paraId="16FF4548" w14:textId="18B538DC" w:rsidR="0083474B" w:rsidRPr="003F5EA7" w:rsidRDefault="0083474B" w:rsidP="0039496A">
            <w:pPr>
              <w:jc w:val="center"/>
              <w:rPr>
                <w:color w:val="000000"/>
              </w:rPr>
            </w:pPr>
            <w:r w:rsidRPr="003F5EA7">
              <w:rPr>
                <w:color w:val="000000"/>
              </w:rPr>
              <w:t>(0.064)</w:t>
            </w:r>
          </w:p>
        </w:tc>
        <w:tc>
          <w:tcPr>
            <w:tcW w:w="1272" w:type="dxa"/>
            <w:tcBorders>
              <w:top w:val="nil"/>
              <w:left w:val="nil"/>
              <w:bottom w:val="single" w:sz="8" w:space="0" w:color="auto"/>
              <w:right w:val="single" w:sz="8" w:space="0" w:color="auto"/>
            </w:tcBorders>
            <w:shd w:val="clear" w:color="000000" w:fill="FFFFFF"/>
            <w:noWrap/>
            <w:vAlign w:val="center"/>
            <w:hideMark/>
          </w:tcPr>
          <w:p w14:paraId="5A1189FC" w14:textId="3B236CD0" w:rsidR="0083474B" w:rsidRPr="003F5EA7" w:rsidRDefault="0083474B" w:rsidP="0039496A">
            <w:pPr>
              <w:jc w:val="center"/>
              <w:rPr>
                <w:color w:val="000000"/>
              </w:rPr>
            </w:pPr>
            <w:r w:rsidRPr="003F5EA7">
              <w:rPr>
                <w:color w:val="000000"/>
              </w:rPr>
              <w:t>(0.049)</w:t>
            </w:r>
          </w:p>
        </w:tc>
      </w:tr>
      <w:tr w:rsidR="000B256F" w:rsidRPr="0039496A" w14:paraId="10FCB4AA" w14:textId="77777777" w:rsidTr="00FD2EE2">
        <w:trPr>
          <w:trHeight w:val="320"/>
        </w:trPr>
        <w:tc>
          <w:tcPr>
            <w:tcW w:w="188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3BB7ED9" w14:textId="59123DCE" w:rsidR="000B256F" w:rsidRPr="003F5EA7" w:rsidRDefault="000B256F" w:rsidP="0039496A">
            <w:pPr>
              <w:jc w:val="right"/>
              <w:rPr>
                <w:color w:val="000000"/>
              </w:rPr>
            </w:pPr>
            <w:r w:rsidRPr="003F5EA7">
              <w:rPr>
                <w:color w:val="000000"/>
              </w:rPr>
              <w:t>Joint Test</w:t>
            </w:r>
          </w:p>
        </w:tc>
        <w:tc>
          <w:tcPr>
            <w:tcW w:w="1136" w:type="dxa"/>
            <w:tcBorders>
              <w:top w:val="single" w:sz="8" w:space="0" w:color="auto"/>
              <w:left w:val="single" w:sz="4" w:space="0" w:color="auto"/>
              <w:bottom w:val="single" w:sz="4" w:space="0" w:color="auto"/>
              <w:right w:val="nil"/>
            </w:tcBorders>
            <w:shd w:val="clear" w:color="000000" w:fill="FFFFFF"/>
            <w:noWrap/>
            <w:vAlign w:val="center"/>
            <w:hideMark/>
          </w:tcPr>
          <w:p w14:paraId="2AFE2845" w14:textId="611816FE" w:rsidR="000B256F" w:rsidRPr="003F5EA7" w:rsidRDefault="000B256F" w:rsidP="0039496A">
            <w:pPr>
              <w:jc w:val="center"/>
              <w:rPr>
                <w:color w:val="000000"/>
              </w:rPr>
            </w:pPr>
            <w:r w:rsidRPr="003F5EA7">
              <w:rPr>
                <w:color w:val="000000"/>
              </w:rPr>
              <w:t>0.004</w:t>
            </w:r>
          </w:p>
        </w:tc>
        <w:tc>
          <w:tcPr>
            <w:tcW w:w="1110" w:type="dxa"/>
            <w:tcBorders>
              <w:top w:val="single" w:sz="8" w:space="0" w:color="auto"/>
              <w:left w:val="nil"/>
              <w:bottom w:val="single" w:sz="4" w:space="0" w:color="auto"/>
              <w:right w:val="nil"/>
            </w:tcBorders>
            <w:shd w:val="clear" w:color="000000" w:fill="FFFFFF"/>
            <w:noWrap/>
            <w:vAlign w:val="center"/>
            <w:hideMark/>
          </w:tcPr>
          <w:p w14:paraId="735BA5F2" w14:textId="7AC3C313" w:rsidR="000B256F" w:rsidRPr="003F5EA7" w:rsidRDefault="000B256F" w:rsidP="0039496A">
            <w:pPr>
              <w:jc w:val="center"/>
              <w:rPr>
                <w:color w:val="000000"/>
              </w:rPr>
            </w:pPr>
            <w:r w:rsidRPr="003F5EA7">
              <w:rPr>
                <w:color w:val="000000"/>
              </w:rPr>
              <w:t>0.0001</w:t>
            </w:r>
          </w:p>
        </w:tc>
        <w:tc>
          <w:tcPr>
            <w:tcW w:w="1016" w:type="dxa"/>
            <w:tcBorders>
              <w:top w:val="single" w:sz="8" w:space="0" w:color="auto"/>
              <w:left w:val="nil"/>
              <w:bottom w:val="single" w:sz="4" w:space="0" w:color="auto"/>
              <w:right w:val="nil"/>
            </w:tcBorders>
            <w:shd w:val="clear" w:color="000000" w:fill="FFFFFF"/>
            <w:noWrap/>
            <w:vAlign w:val="bottom"/>
            <w:hideMark/>
          </w:tcPr>
          <w:p w14:paraId="1DFA2EAD" w14:textId="2E60F3D6" w:rsidR="000B256F" w:rsidRPr="003F5EA7" w:rsidRDefault="000B256F" w:rsidP="0039496A">
            <w:pPr>
              <w:jc w:val="center"/>
              <w:rPr>
                <w:color w:val="000000"/>
              </w:rPr>
            </w:pPr>
            <w:r w:rsidRPr="003F5EA7">
              <w:rPr>
                <w:color w:val="000000"/>
              </w:rPr>
              <w:t>0.086</w:t>
            </w:r>
          </w:p>
        </w:tc>
        <w:tc>
          <w:tcPr>
            <w:tcW w:w="1110" w:type="dxa"/>
            <w:tcBorders>
              <w:top w:val="single" w:sz="8" w:space="0" w:color="auto"/>
              <w:left w:val="nil"/>
              <w:bottom w:val="single" w:sz="4" w:space="0" w:color="auto"/>
              <w:right w:val="nil"/>
            </w:tcBorders>
            <w:shd w:val="clear" w:color="000000" w:fill="FFFFFF"/>
            <w:noWrap/>
            <w:vAlign w:val="bottom"/>
            <w:hideMark/>
          </w:tcPr>
          <w:p w14:paraId="21DD5CC5" w14:textId="6FAB71FF" w:rsidR="000B256F" w:rsidRPr="003F5EA7" w:rsidRDefault="000B256F" w:rsidP="0039496A">
            <w:pPr>
              <w:jc w:val="center"/>
              <w:rPr>
                <w:color w:val="000000"/>
              </w:rPr>
            </w:pPr>
            <w:r w:rsidRPr="003F5EA7">
              <w:rPr>
                <w:color w:val="000000"/>
              </w:rPr>
              <w:t>0.055</w:t>
            </w:r>
          </w:p>
        </w:tc>
        <w:tc>
          <w:tcPr>
            <w:tcW w:w="1016" w:type="dxa"/>
            <w:tcBorders>
              <w:top w:val="single" w:sz="8" w:space="0" w:color="auto"/>
              <w:left w:val="nil"/>
              <w:bottom w:val="single" w:sz="4" w:space="0" w:color="auto"/>
              <w:right w:val="nil"/>
            </w:tcBorders>
            <w:shd w:val="clear" w:color="000000" w:fill="FFFFFF"/>
            <w:noWrap/>
            <w:vAlign w:val="center"/>
            <w:hideMark/>
          </w:tcPr>
          <w:p w14:paraId="443CB4B4" w14:textId="24C34D11" w:rsidR="000B256F" w:rsidRPr="003F5EA7" w:rsidRDefault="000B256F" w:rsidP="0039496A">
            <w:pPr>
              <w:jc w:val="center"/>
              <w:rPr>
                <w:color w:val="000000"/>
              </w:rPr>
            </w:pPr>
            <w:r w:rsidRPr="003F5EA7">
              <w:rPr>
                <w:color w:val="000000"/>
              </w:rPr>
              <w:t>0.012</w:t>
            </w:r>
          </w:p>
        </w:tc>
        <w:tc>
          <w:tcPr>
            <w:tcW w:w="1272" w:type="dxa"/>
            <w:tcBorders>
              <w:top w:val="single" w:sz="8" w:space="0" w:color="auto"/>
              <w:left w:val="nil"/>
              <w:bottom w:val="single" w:sz="4" w:space="0" w:color="auto"/>
              <w:right w:val="single" w:sz="4" w:space="0" w:color="auto"/>
            </w:tcBorders>
            <w:shd w:val="clear" w:color="000000" w:fill="FFFFFF"/>
            <w:noWrap/>
            <w:vAlign w:val="bottom"/>
            <w:hideMark/>
          </w:tcPr>
          <w:p w14:paraId="67ED2DA3" w14:textId="3456C38A" w:rsidR="000B256F" w:rsidRPr="00ED59C9" w:rsidRDefault="000B256F" w:rsidP="0039496A">
            <w:pPr>
              <w:jc w:val="center"/>
              <w:rPr>
                <w:color w:val="000000"/>
              </w:rPr>
            </w:pPr>
            <w:r w:rsidRPr="00ED59C9">
              <w:rPr>
                <w:color w:val="000000"/>
              </w:rPr>
              <w:t>0.0085</w:t>
            </w:r>
          </w:p>
        </w:tc>
      </w:tr>
      <w:tr w:rsidR="000B256F" w:rsidRPr="0039496A" w14:paraId="46A017A2" w14:textId="77777777" w:rsidTr="00FD2EE2">
        <w:trPr>
          <w:trHeight w:val="320"/>
        </w:trPr>
        <w:tc>
          <w:tcPr>
            <w:tcW w:w="188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9AB8731" w14:textId="0FCBB2CF" w:rsidR="000B256F" w:rsidRPr="003F5EA7" w:rsidRDefault="000B256F" w:rsidP="0039496A">
            <w:pPr>
              <w:rPr>
                <w:color w:val="000000"/>
              </w:rPr>
            </w:pPr>
            <w:r w:rsidRPr="003F5EA7">
              <w:rPr>
                <w:color w:val="000000"/>
              </w:rPr>
              <w:t>n</w:t>
            </w:r>
          </w:p>
        </w:tc>
        <w:tc>
          <w:tcPr>
            <w:tcW w:w="1136" w:type="dxa"/>
            <w:tcBorders>
              <w:top w:val="single" w:sz="4" w:space="0" w:color="auto"/>
              <w:left w:val="single" w:sz="4" w:space="0" w:color="auto"/>
              <w:bottom w:val="single" w:sz="4" w:space="0" w:color="auto"/>
              <w:right w:val="nil"/>
            </w:tcBorders>
            <w:shd w:val="clear" w:color="000000" w:fill="FFFFFF"/>
            <w:noWrap/>
            <w:vAlign w:val="center"/>
            <w:hideMark/>
          </w:tcPr>
          <w:p w14:paraId="546E4DCC" w14:textId="11353B8E" w:rsidR="000B256F" w:rsidRPr="003F5EA7" w:rsidRDefault="000B256F" w:rsidP="0039496A">
            <w:pPr>
              <w:jc w:val="center"/>
              <w:rPr>
                <w:color w:val="000000"/>
              </w:rPr>
            </w:pPr>
            <w:r w:rsidRPr="003F5EA7">
              <w:rPr>
                <w:color w:val="000000"/>
              </w:rPr>
              <w:t>132</w:t>
            </w:r>
          </w:p>
        </w:tc>
        <w:tc>
          <w:tcPr>
            <w:tcW w:w="1110" w:type="dxa"/>
            <w:tcBorders>
              <w:top w:val="single" w:sz="4" w:space="0" w:color="auto"/>
              <w:left w:val="nil"/>
              <w:bottom w:val="single" w:sz="4" w:space="0" w:color="auto"/>
              <w:right w:val="nil"/>
            </w:tcBorders>
            <w:shd w:val="clear" w:color="000000" w:fill="FFFFFF"/>
            <w:noWrap/>
            <w:vAlign w:val="center"/>
            <w:hideMark/>
          </w:tcPr>
          <w:p w14:paraId="26AB73A3" w14:textId="55967E66" w:rsidR="000B256F" w:rsidRPr="003F5EA7" w:rsidRDefault="000B256F" w:rsidP="0039496A">
            <w:pPr>
              <w:jc w:val="center"/>
              <w:rPr>
                <w:color w:val="000000"/>
              </w:rPr>
            </w:pPr>
            <w:r w:rsidRPr="003F5EA7">
              <w:rPr>
                <w:color w:val="000000"/>
              </w:rPr>
              <w:t>121</w:t>
            </w:r>
          </w:p>
        </w:tc>
        <w:tc>
          <w:tcPr>
            <w:tcW w:w="1016" w:type="dxa"/>
            <w:tcBorders>
              <w:top w:val="single" w:sz="4" w:space="0" w:color="auto"/>
              <w:left w:val="nil"/>
              <w:bottom w:val="single" w:sz="4" w:space="0" w:color="auto"/>
              <w:right w:val="nil"/>
            </w:tcBorders>
            <w:shd w:val="clear" w:color="000000" w:fill="FFFFFF"/>
            <w:noWrap/>
            <w:vAlign w:val="center"/>
            <w:hideMark/>
          </w:tcPr>
          <w:p w14:paraId="1A7FF69B" w14:textId="7209E634" w:rsidR="000B256F" w:rsidRPr="003F5EA7" w:rsidRDefault="000B256F" w:rsidP="0039496A">
            <w:pPr>
              <w:jc w:val="center"/>
              <w:rPr>
                <w:color w:val="000000"/>
              </w:rPr>
            </w:pPr>
            <w:r w:rsidRPr="003F5EA7">
              <w:rPr>
                <w:color w:val="000000"/>
              </w:rPr>
              <w:t>99</w:t>
            </w:r>
          </w:p>
        </w:tc>
        <w:tc>
          <w:tcPr>
            <w:tcW w:w="1110" w:type="dxa"/>
            <w:tcBorders>
              <w:top w:val="single" w:sz="4" w:space="0" w:color="auto"/>
              <w:left w:val="nil"/>
              <w:bottom w:val="single" w:sz="4" w:space="0" w:color="auto"/>
              <w:right w:val="nil"/>
            </w:tcBorders>
            <w:shd w:val="clear" w:color="000000" w:fill="FFFFFF"/>
            <w:noWrap/>
            <w:vAlign w:val="center"/>
            <w:hideMark/>
          </w:tcPr>
          <w:p w14:paraId="3A24493D" w14:textId="7B05F772" w:rsidR="000B256F" w:rsidRPr="003F5EA7" w:rsidRDefault="000B256F" w:rsidP="0039496A">
            <w:pPr>
              <w:jc w:val="center"/>
              <w:rPr>
                <w:color w:val="000000"/>
              </w:rPr>
            </w:pPr>
            <w:r w:rsidRPr="003F5EA7">
              <w:rPr>
                <w:color w:val="000000"/>
              </w:rPr>
              <w:t>87</w:t>
            </w:r>
          </w:p>
        </w:tc>
        <w:tc>
          <w:tcPr>
            <w:tcW w:w="1016" w:type="dxa"/>
            <w:tcBorders>
              <w:top w:val="single" w:sz="4" w:space="0" w:color="auto"/>
              <w:left w:val="nil"/>
              <w:bottom w:val="single" w:sz="4" w:space="0" w:color="auto"/>
              <w:right w:val="nil"/>
            </w:tcBorders>
            <w:shd w:val="clear" w:color="000000" w:fill="FFFFFF"/>
            <w:noWrap/>
            <w:vAlign w:val="center"/>
            <w:hideMark/>
          </w:tcPr>
          <w:p w14:paraId="1D1A7417" w14:textId="31689B12" w:rsidR="000B256F" w:rsidRPr="003F5EA7" w:rsidRDefault="000B256F" w:rsidP="0039496A">
            <w:pPr>
              <w:jc w:val="center"/>
              <w:rPr>
                <w:color w:val="000000"/>
              </w:rPr>
            </w:pPr>
            <w:r w:rsidRPr="003F5EA7">
              <w:rPr>
                <w:color w:val="000000"/>
              </w:rPr>
              <w:t>99</w:t>
            </w:r>
          </w:p>
        </w:tc>
        <w:tc>
          <w:tcPr>
            <w:tcW w:w="1272" w:type="dxa"/>
            <w:tcBorders>
              <w:top w:val="single" w:sz="4" w:space="0" w:color="auto"/>
              <w:left w:val="nil"/>
              <w:bottom w:val="single" w:sz="4" w:space="0" w:color="auto"/>
              <w:right w:val="single" w:sz="4" w:space="0" w:color="auto"/>
            </w:tcBorders>
            <w:shd w:val="clear" w:color="000000" w:fill="FFFFFF"/>
            <w:noWrap/>
            <w:vAlign w:val="center"/>
            <w:hideMark/>
          </w:tcPr>
          <w:p w14:paraId="1AE46269" w14:textId="68A9CEF4" w:rsidR="000B256F" w:rsidRPr="00ED59C9" w:rsidRDefault="000B256F" w:rsidP="008B20B6">
            <w:pPr>
              <w:jc w:val="center"/>
              <w:rPr>
                <w:color w:val="000000"/>
              </w:rPr>
            </w:pPr>
            <w:r w:rsidRPr="003F5EA7">
              <w:rPr>
                <w:color w:val="000000"/>
              </w:rPr>
              <w:t>88</w:t>
            </w:r>
          </w:p>
        </w:tc>
      </w:tr>
    </w:tbl>
    <w:p w14:paraId="7DDF9350" w14:textId="0ED663CC" w:rsidR="00687B1F" w:rsidRDefault="000B256F" w:rsidP="003266B0">
      <w:pPr>
        <w:spacing w:after="160" w:line="259" w:lineRule="auto"/>
        <w:rPr>
          <w:b/>
          <w:i/>
        </w:rPr>
      </w:pPr>
      <w:r>
        <w:rPr>
          <w:color w:val="000000"/>
        </w:rPr>
        <w:t xml:space="preserve">*Robust standard errors in parenthesis </w:t>
      </w:r>
      <w:r>
        <w:rPr>
          <w:color w:val="000000"/>
        </w:rPr>
        <w:fldChar w:fldCharType="begin"/>
      </w:r>
      <w:r>
        <w:rPr>
          <w:color w:val="000000"/>
        </w:rPr>
        <w:instrText xml:space="preserve"> ADDIN ZOTERO_ITEM CSL_CITATION {"citationID":"fpw5sUIu","properties":{"formattedCitation":"\\super 21\\nosupersub{}","plainCitation":"21","noteIndex":0},"citationItems":[{"id":2625,"uris":["http://zotero.org/users/4251691/items/VDDVVUUU"],"uri":["http://zotero.org/users/4251691/items/VDDVVUUU"],"itemData":{"id":2625,"type":"article-journal","container-title":"Econometrica","DOI":"10.2307/1912934","ISSN":"00129682","issue":"4","journalAbbreviation":"Econometrica","language":"en","page":"817","source":"DOI.org (Crossref)","title":"A Heteroskedasticity-Consistent Covariance Matrix Estimator and a Direct Test for Heteroskedasticity","volume":"48","author":[{"family":"White","given":"Halbert"}],"issued":{"date-parts":[["1980",5]]}}}],"schema":"https://github.com/citation-style-language/schema/raw/master/csl-citation.json"} </w:instrText>
      </w:r>
      <w:r>
        <w:rPr>
          <w:color w:val="000000"/>
        </w:rPr>
        <w:fldChar w:fldCharType="separate"/>
      </w:r>
      <w:r w:rsidRPr="00076D09">
        <w:rPr>
          <w:color w:val="000000"/>
          <w:vertAlign w:val="superscript"/>
        </w:rPr>
        <w:t>21</w:t>
      </w:r>
      <w:r>
        <w:rPr>
          <w:color w:val="000000"/>
        </w:rPr>
        <w:fldChar w:fldCharType="end"/>
      </w:r>
    </w:p>
    <w:p w14:paraId="4ADAAEF4" w14:textId="77777777" w:rsidR="00484F9E" w:rsidRDefault="00484F9E" w:rsidP="003266B0">
      <w:pPr>
        <w:spacing w:after="160" w:line="259" w:lineRule="auto"/>
        <w:rPr>
          <w:b/>
          <w:i/>
        </w:rPr>
      </w:pPr>
    </w:p>
    <w:p w14:paraId="70AC0F15" w14:textId="2D69B1E7" w:rsidR="00B40BAA" w:rsidRPr="003266B0" w:rsidRDefault="00B40BAA" w:rsidP="003266B0">
      <w:pPr>
        <w:spacing w:after="160" w:line="259" w:lineRule="auto"/>
        <w:rPr>
          <w:b/>
          <w:i/>
        </w:rPr>
      </w:pPr>
      <w:r w:rsidRPr="003266B0">
        <w:rPr>
          <w:b/>
          <w:i/>
        </w:rPr>
        <w:lastRenderedPageBreak/>
        <w:t>Heparinase Treatment of Samples</w:t>
      </w:r>
    </w:p>
    <w:p w14:paraId="13CB8A13" w14:textId="5D5521B0" w:rsidR="00B40BAA" w:rsidRPr="00EA60F0" w:rsidRDefault="00B40BAA" w:rsidP="00B40BAA">
      <w:pPr>
        <w:ind w:firstLine="720"/>
      </w:pPr>
      <w:r w:rsidRPr="00EA60F0">
        <w:t>Heparin is a known inhibitor of DNA polymerases including Taq DNA polymerase, which is used in the qPCR measurement of telomere length.</w:t>
      </w:r>
      <w:r w:rsidRPr="00EA60F0">
        <w:fldChar w:fldCharType="begin"/>
      </w:r>
      <w:r w:rsidR="00076D09">
        <w:instrText xml:space="preserve"> ADDIN ZOTERO_ITEM CSL_CITATION {"citationID":"hhCXDWsy","properties":{"formattedCitation":"\\super 22\\uc0\\u8211{}24\\nosupersub{}","plainCitation":"22–24","noteIndex":0},"citationItems":[{"id":"I6WJAfhd/iuNZPaAc","uris":["http://zotero.org/users/local/z6s6sSds/items/QTN9CMWY"],"uri":["http://zotero.org/users/local/z6s6sSds/items/QTN9CMWY"],"itemData":{"id":303,"type":"article-journal","abstract":"Gene amplification of virus-specific sequences is widely used as a method to detect or confirm human immunodeficiency virus (HIV) infection. In this study we used an enzyme-linked affinity assay to quantify polymerase chain reaction products from whole blood, plasma, and separated mononuclear cells collected in the presence of four common anticoagulants: acid citrate dextrose, sodium EDTA, potassium oxalate, and sodium heparin. Attenuation of the product signal was observed after amplification of nucleic acid extraction from whole blood, washed mononuclear cells, and plasma from specimens collected in sodium heparin. These inhibitory effects on gene amplification could be reversed with heparinase. The addition of as little as 0.05 U of heparin completely inhibited amplification of an HLA-DQa sequence from placental DNA. We conclude that heparin can cause attenuation or inhibition of gene amplification. Acid citrate dextrose and EDTA, which lack inhibitory activity, are the most appropriate anticoagulants for clinical blood samples when polymerase chain reaction amplification is anticipated.","container-title":"Journal of Clinical Microbiology","DOI":"10.1128/JCM.29.4.676-679.1991","ISSN":"0095-1137","issue":"4","journalAbbreviation":"J Clin Microbiol","language":"eng","note":"PMID: 1909709\nPMCID: PMC269852","page":"676-679","source":"PubMed","title":"Inhibition of human immunodeficiency virus gene amplification by heparin","volume":"29","author":[{"family":"Holodniy","given":"M."},{"family":"Kim","given":"S."},{"family":"Katzenstein","given":"D."},{"family":"Konrad","given":"M."},{"family":"Groves","given":"E."},{"family":"Merigan","given":"T. C."}],"issued":{"date-parts":[["1991",4]]}}},{"id":"I6WJAfhd/uf1kv6DT","uris":["http://zotero.org/users/local/z6s6sSds/items/Z8ZGM9C3"],"uri":["http://zotero.org/users/local/z6s6sSds/items/Z8ZGM9C3"],"itemData":{"id":306,"type":"article-journal","container-title":"Nucleic Acids Research","DOI":"10.1093/nar/19.21.6051","ISSN":"0305-1048","issue":"21","journalAbbreviation":"Nucleic Acids Res","language":"eng","note":"PMID: 1719488\nPMCID: PMC329069","page":"6051","source":"PubMed","title":"Detection of gene expression by PCR amplification of RNA derived from frozen heparinized whole blood","volume":"19","author":[{"family":"Izraeli","given":"S."},{"family":"Pfleiderer","given":"C."},{"family":"Lion","given":"T."}],"issued":{"date-parts":[["1991",11,11]]}}},{"id":"I6WJAfhd/hm1NpMxt","uris":["http://zotero.org/users/local/z6s6sSds/items/SN33K67E"],"uri":["http://zotero.org/users/local/z6s6sSds/items/SN33K67E"],"itemData":{"id":309,"type":"article-journal","abstract":"Polymerase chain reaction (PCR) has been used with increasing frequency to diagnose infectious and genetic diseases. In this study, the effects of heparin on PCR were investigated, because heparinized blood may sometimes be used in PCR studies. HLA-DQA1 gene amplification was used as a model. PCR was clearly interfered with when heparinized blood was used as a source of template DNA, and the degree of interference was affected by the following three factors; (1) type of Taq DNA polymerase; (2) leukocyte count in blood; and (3) concentration of heparin contained. When additional tests were conducted with additions of definite heparin concentrations to a PCR reaction mixture, specimens with large amounts of DNA tended to exhibit less interference by heparin. The addition of &gt; or = 0.1 to 0.0016 U of heparin per reaction mixture (50 microl) suppressed DNA amplification in a dose-dependent fashion. We therefore concluded that much care should be taken when heparinized blood is used as a PCR material.","container-title":"Journal of Clinical Laboratory Analysis","DOI":"10.1002/(sici)1098-2825(1999)13:3&lt;133::aid-jcla8&gt;3.0.co;2-0","ISSN":"0887-8013","issue":"3","journalAbbreviation":"J Clin Lab Anal","language":"eng","note":"PMID: 10323479\nPMCID: PMC6807949","page":"133-140","source":"PubMed","title":"Effects of heparin on polymerase chain reaction for blood white cells","volume":"13","author":[{"family":"Yokota","given":"M."},{"family":"Tatsumi","given":"N."},{"family":"Nathalang","given":"O."},{"family":"Yamada","given":"T."},{"family":"Tsuda","given":"I."}],"issued":{"date-parts":[["1999"]]}}}],"schema":"https://github.com/citation-style-language/schema/raw/master/csl-citation.json"} </w:instrText>
      </w:r>
      <w:r w:rsidRPr="00EA60F0">
        <w:fldChar w:fldCharType="separate"/>
      </w:r>
      <w:r w:rsidR="00076D09" w:rsidRPr="00076D09">
        <w:rPr>
          <w:vertAlign w:val="superscript"/>
        </w:rPr>
        <w:t>22–24</w:t>
      </w:r>
      <w:r w:rsidRPr="00EA60F0">
        <w:fldChar w:fldCharType="end"/>
      </w:r>
      <w:r w:rsidRPr="00EA60F0">
        <w:t xml:space="preserve"> </w:t>
      </w:r>
      <w:r w:rsidRPr="00EA60F0">
        <w:rPr>
          <w:u w:val="single"/>
        </w:rPr>
        <w:t>Heparinase</w:t>
      </w:r>
      <w:r w:rsidRPr="00EA60F0">
        <w:t xml:space="preserve"> can reverse this inhibition.</w:t>
      </w:r>
      <w:r w:rsidRPr="00EA60F0">
        <w:fldChar w:fldCharType="begin"/>
      </w:r>
      <w:r w:rsidR="00076D09">
        <w:instrText xml:space="preserve"> ADDIN ZOTERO_ITEM CSL_CITATION {"citationID":"35Qducw8","properties":{"formattedCitation":"\\super 23,25\\uc0\\u8211{}27\\nosupersub{}","plainCitation":"23,25–27","noteIndex":0},"citationItems":[{"id":"I6WJAfhd/uf1kv6DT","uris":["http://zotero.org/users/local/z6s6sSds/items/Z8ZGM9C3"],"uri":["http://zotero.org/users/local/z6s6sSds/items/Z8ZGM9C3"],"itemData":{"id":"dTd01RyT/7YXP3Ude","type":"article-journal","container-title":"Nucleic Acids Research","DOI":"10.1093/nar/19.21.6051","ISSN":"0305-1048","issue":"21","journalAbbreviation":"Nucleic Acids Res","language":"eng","note":"PMID: 1719488\nPMCID: PMC329069","page":"6051","source":"PubMed","title":"Detection of gene expression by PCR amplification of RNA derived from frozen heparinized whole blood","volume":"19","author":[{"family":"Izraeli","given":"S."},{"family":"Pfleiderer","given":"C."},{"family":"Lion","given":"T."}],"issued":{"date-parts":[["1991",11,11]]}}},{"id":2413,"uris":["http://zotero.org/users/4251691/items/ZVMPUH34"],"uri":["http://zotero.org/users/4251691/items/ZVMPUH34"],"itemData":{"id":2413,"type":"article-journal","container-title":"BioTechniques","DOI":"10.2144/03356bm03","ISSN":"0736-6205","issue":"6","journalAbbreviation":"Biotechniques","language":"eng","page":"1140-1142, 1144","source":"PubMed","title":"Heparinase treatment of RNA before quantitative real-time RT-PCR","volume":"35","author":[{"family":"Johnson","given":"Mary Lynn"},{"family":"Navanukraw","given":"Chainarong"},{"family":"Grazul-Bilska","given":"Anna T."},{"family":"Reynolds","given":"Lawrence P."},{"family":"Redmer","given":"Dale A."}],"issued":{"date-parts":[["2003",12]]}}},{"id":2416,"uris":["http://zotero.org/users/4251691/items/YK5NUYWJ"],"uri":["http://zotero.org/users/4251691/items/YK5NUYWJ"],"itemData":{"id":2416,"type":"article-journal","abstract":"BACKGROUND: microRNAs have recently been identified as powerful biomarkers of human disease. Reliable polymerase chain reaction (PCR)-based quantification of nucleic acids in clinical samples contaminated with polymerase inhibitor heparin requires deheparinization. However, the effects of deheparinization procedure on quantification of nucleic acids remain largely unknown. The aim of this study was to determine whether the deheparinization procedure completely eliminates the inhibition of amplification, while maintaining RNA integrity and technical variability of the measured microRNA levels.\nMETHODS: Heparinized plasma from 9 patients undergoing coronary artery bypass grafting (CABG) and the heparin-free plasma from 58 rats were spiked with a synthetic RNA oligonucleotide and total RNA was extracted. The RNA solutions were then treated with heparinase I to remove contaminating heparin prior to reverse transcription. Levels of synthetic spike-in RNA oligonucleotide, as well as endogenous hsa-miR-1-3p and hsa-miR-208a-3p, were measured using quantitative reverse transcription PCR (RT-qPCR). The amplification efficiency and presence of inhibitors in individual samples were directly determined using calibration curves.\nRESULTS: In contrast to RNA samples from rat plasma, RNA samples derived from the CABG patient plasma contained inhibitors, which were completely eliminated by treatment with heparinase. The procedure caused a decrease in the amount of detected RNA; however, the technical variability of the measured targets did not change, allowing for the quantification of circulating endogenous hsa-miR-1-3p and hsa-miR-208a-3p in the plasma of CABG patients.\nCONCLUSIONS: The heparinase treatment procedure enables utilization of RT-qPCR for reliable microRNA quantification in heparinized plasma.","container-title":"Biomolecular Detection and Quantification","DOI":"10.1016/j.bdq.2016.03.001","ISSN":"2214-7535","journalAbbreviation":"Biomol Detect Quantif","language":"eng","page":"9-14","source":"PubMed","title":"Heparinase treatment of heparin-contaminated plasma from coronary artery bypass grafting patients enables reliable quantification of microRNAs","volume":"8","author":[{"family":"Kondratov","given":"Kirill"},{"family":"Kurapeev","given":"Dmitry"},{"family":"Popov","given":"Maxim"},{"family":"Sidorova","given":"Marina"},{"family":"Minasian","given":"Sarkis"},{"family":"Galagudza","given":"Michael"},{"family":"Kostareva","given":"Anna"},{"family":"Fedorov","given":"Anton"}],"issued":{"date-parts":[["2016",6]]}}},{"id":2419,"uris":["http://zotero.org/users/4251691/items/UT9CK38L"],"uri":["http://zotero.org/users/4251691/items/UT9CK38L"],"itemData":{"id":2419,"type":"article-journal","abstract":"miRNAs have emerged as promising biomarkers because of their association with cell stress and diseases and their easy detection and stability in many body fluids. Because of the sensitivity, the method of choice to detect miRNAs is quantitative RT-PCR (RT-qPCR). Therapeutics, in particular circulating anticoagulants, are notorious for their inhibitory effect on RT-qPCR-based measurements. The effect of heparin contamination on inhibition of RT-qPCR from miRNAs isolated from urine has, however, never been investigated. We obtained urine samples from healthy controls and from heparinized patients undergoing major surgery (live kidney donation or liver transplantation) (n = 27). Samples were spiked with synthetic miRNAs to monitor RNA loss during workup, and levels of endogenous and spiked-in miRNAs were quantified by RT-qPCR. Endogenous miRNAs in urine were protected from degradation, but levels differed substantially within surgery groups. Variability in detection levels of spiked-in miRNAs was low in nonhospitalized controls, but was high in both surgery groups, and the difference in miRNA levels correlated well with the heparin concentration in urinary samples. Treatment of urinary RNA with heparinase I during RT-qPCR strongly reduced this variation in a dose-dependent manner. Heparinase I should therefore be considered as standard step for detection of miRNA in urine from hospitalized individuals.","container-title":"The Journal of molecular diagnostics: JMD","DOI":"10.1016/j.jmoldx.2016.06.006","ISSN":"1943-7811","issue":"6","journalAbbreviation":"J Mol Diagn","language":"eng","page":"825-833","source":"PubMed","title":"Improving Accuracy of Urinary miRNA Quantification in Heparinized Patients Using Heparinase I Digestion","volume":"18","author":[{"family":"Roest","given":"Henk P."},{"family":"Verhoeven","given":"Cornelia J."},{"family":"Haan","given":"Jubi E.","non-dropping-particle":"de"},{"family":"Jonge","given":"Jeroen","non-dropping-particle":"de"},{"family":"IJzermans","given":"Jan N. M."},{"family":"Laan","given":"Luc J. W.","non-dropping-particle":"van der"}],"issued":{"date-parts":[["2016"]]}}}],"schema":"https://github.com/citation-style-language/schema/raw/master/csl-citation.json"} </w:instrText>
      </w:r>
      <w:r w:rsidRPr="00EA60F0">
        <w:fldChar w:fldCharType="separate"/>
      </w:r>
      <w:r w:rsidR="00076D09" w:rsidRPr="00076D09">
        <w:rPr>
          <w:vertAlign w:val="superscript"/>
        </w:rPr>
        <w:t>23,25–27</w:t>
      </w:r>
      <w:r w:rsidRPr="00EA60F0">
        <w:fldChar w:fldCharType="end"/>
      </w:r>
      <w:r w:rsidRPr="00EA60F0">
        <w:t xml:space="preserve"> Since blood was collected in sodium heparin vacutainer tubes, it was possible that residual heparin in the sample affected the TL measurement by qPCR. Also, the degree of the effect of heparin can vary, depending upon the source of Taq.</w:t>
      </w:r>
      <w:r w:rsidRPr="00EA60F0">
        <w:fldChar w:fldCharType="begin"/>
      </w:r>
      <w:r w:rsidR="00076D09">
        <w:instrText xml:space="preserve"> ADDIN ZOTERO_ITEM CSL_CITATION {"citationID":"66egT4cc","properties":{"formattedCitation":"\\super 24\\nosupersub{}","plainCitation":"24","noteIndex":0},"citationItems":[{"id":"I6WJAfhd/hm1NpMxt","uris":["http://zotero.org/users/local/z6s6sSds/items/SN33K67E"],"uri":["http://zotero.org/users/local/z6s6sSds/items/SN33K67E"],"itemData":{"id":"dTd01RyT/0IaeBcsf","type":"article-journal","abstract":"Polymerase chain reaction (PCR) has been used with increasing frequency to diagnose infectious and genetic diseases. In this study, the effects of heparin on PCR were investigated, because heparinized blood may sometimes be used in PCR studies. HLA-DQA1 gene amplification was used as a model. PCR was clearly interfered with when heparinized blood was used as a source of template DNA, and the degree of interference was affected by the following three factors; (1) type of Taq DNA polymerase; (2) leukocyte count in blood; and (3) concentration of heparin contained. When additional tests were conducted with additions of definite heparin concentrations to a PCR reaction mixture, specimens with large amounts of DNA tended to exhibit less interference by heparin. The addition of &gt; or = 0.1 to 0.0016 U of heparin per reaction mixture (50 microl) suppressed DNA amplification in a dose-dependent fashion. We therefore concluded that much care should be taken when heparinized blood is used as a PCR material.","container-title":"Journal of Clinical Laboratory Analysis","DOI":"10.1002/(sici)1098-2825(1999)13:3&lt;133::aid-jcla8&gt;3.0.co;2-0","ISSN":"0887-8013","issue":"3","journalAbbreviation":"J Clin Lab Anal","language":"eng","note":"PMID: 10323479\nPMCID: PMC6807949","page":"133-140","source":"PubMed","title":"Effects of heparin on polymerase chain reaction for blood white cells","volume":"13","author":[{"family":"Yokota","given":"M."},{"family":"Tatsumi","given":"N."},{"family":"Nathalang","given":"O."},{"family":"Yamada","given":"T."},{"family":"Tsuda","given":"I."}],"issued":{"date-parts":[["1999"]]}}}],"schema":"https://github.com/citation-style-language/schema/raw/master/csl-citation.json"} </w:instrText>
      </w:r>
      <w:r w:rsidRPr="00EA60F0">
        <w:fldChar w:fldCharType="separate"/>
      </w:r>
      <w:r w:rsidR="00076D09" w:rsidRPr="00076D09">
        <w:rPr>
          <w:vertAlign w:val="superscript"/>
        </w:rPr>
        <w:t>24</w:t>
      </w:r>
      <w:r w:rsidRPr="00EA60F0">
        <w:fldChar w:fldCharType="end"/>
      </w:r>
      <w:r w:rsidRPr="00EA60F0">
        <w:t xml:space="preserve"> </w:t>
      </w:r>
    </w:p>
    <w:p w14:paraId="027CAEAF" w14:textId="13F5F8FE" w:rsidR="00B40BAA" w:rsidRPr="00EA60F0" w:rsidRDefault="00B40BAA" w:rsidP="00B40BAA">
      <w:pPr>
        <w:ind w:firstLine="720"/>
        <w:rPr>
          <w:bCs/>
        </w:rPr>
      </w:pPr>
      <w:r w:rsidRPr="00EA60F0">
        <w:rPr>
          <w:bCs/>
        </w:rPr>
        <w:t>The effect of the use of heparin as an anticoagulant on TL qPCR measurement has not been extensively characterized.  Stout et al.</w:t>
      </w:r>
      <w:r w:rsidRPr="00EA60F0">
        <w:rPr>
          <w:bCs/>
        </w:rPr>
        <w:fldChar w:fldCharType="begin"/>
      </w:r>
      <w:r w:rsidR="00076D09">
        <w:rPr>
          <w:bCs/>
        </w:rPr>
        <w:instrText xml:space="preserve"> ADDIN ZOTERO_ITEM CSL_CITATION {"citationID":"keQZ1hrf","properties":{"formattedCitation":"\\super 28\\nosupersub{}","plainCitation":"28","noteIndex":0},"citationItems":[{"id":"I6WJAfhd/JWO0K7ek","uris":["http://zotero.org/users/local/z6s6sSds/items/I9BHK5WP"],"uri":["http://zotero.org/users/local/z6s6sSds/items/I9BHK5WP"],"itemData":{"id":"KWYV1Ul1/8QxZT7bH","type":"article-journal","archive_location":"29270121","container-title":"Frontiers in Aging Neuroscience","DOI":"10.3389/fnagi.2017.00397","ISSN":"1663-4365","journalAbbreviation":"Front Aging Neurosci","language":"eng","note":"edition: 2017/12/06","page":"397","title":"Validation of minimally-invasive sample collection methods for measurement of telomere length","volume":"9","author":[{"family":"Stout","given":"S. A."},{"family":"Lin","given":"J."},{"family":"Hernandez","given":"N."},{"family":"Davis","given":"E. P."},{"family":"Blackburn","given":"E."},{"family":"Carroll","given":"J. E."},{"family":"Glynn","given":"L. M."}],"issued":{"date-parts":[["2017"]]}}}],"schema":"https://github.com/citation-style-language/schema/raw/master/csl-citation.json"} </w:instrText>
      </w:r>
      <w:r w:rsidRPr="00EA60F0">
        <w:rPr>
          <w:bCs/>
        </w:rPr>
        <w:fldChar w:fldCharType="separate"/>
      </w:r>
      <w:r w:rsidR="00076D09" w:rsidRPr="00076D09">
        <w:rPr>
          <w:vertAlign w:val="superscript"/>
        </w:rPr>
        <w:t>28</w:t>
      </w:r>
      <w:r w:rsidRPr="00EA60F0">
        <w:rPr>
          <w:bCs/>
        </w:rPr>
        <w:fldChar w:fldCharType="end"/>
      </w:r>
      <w:r w:rsidRPr="00EA60F0">
        <w:rPr>
          <w:bCs/>
        </w:rPr>
        <w:t xml:space="preserve"> used venous blood collected in heparin vacutainer tubes and found a high correlation (</w:t>
      </w:r>
      <w:r w:rsidRPr="00EA60F0">
        <w:rPr>
          <w:bCs/>
          <w:i/>
          <w:iCs/>
        </w:rPr>
        <w:t>r</w:t>
      </w:r>
      <w:r w:rsidRPr="00EA60F0">
        <w:rPr>
          <w:bCs/>
        </w:rPr>
        <w:t xml:space="preserve"> = 0.84, p&lt;0.001) between relative TL in DBS and whole blood and reasonable correlation between relative TL in saliva and whole blood (r = 0.56, p = 0.005).  At least one study found no significant difference in TL from blood collected in EDTA, acid citrate dextrose or heparin vacutainer tubes.</w:t>
      </w:r>
      <w:r w:rsidRPr="00EA60F0">
        <w:rPr>
          <w:bCs/>
        </w:rPr>
        <w:fldChar w:fldCharType="begin"/>
      </w:r>
      <w:r w:rsidR="00076D09">
        <w:rPr>
          <w:bCs/>
        </w:rPr>
        <w:instrText xml:space="preserve"> ADDIN ZOTERO_ITEM CSL_CITATION {"citationID":"MuFsF3TN","properties":{"formattedCitation":"\\super 29\\nosupersub{}","plainCitation":"29","noteIndex":0},"citationItems":[{"id":"I6WJAfhd/rTeGBXMf","uris":["http://zotero.org/users/local/z6s6sSds/items/L6HT7QRD"],"uri":["http://zotero.org/users/local/z6s6sSds/items/L6HT7QRD"],"itemData":{"id":60,"type":"article-journal","abstract":"Measurement of telomere length is crucial for the study of telomere maintenance and its role in molecular pathophysiology of diseases and in aging. Several methods are used to measure telomere length, the choice of which usually depends on the type and size of sample to be assayed, as well as cost and throughput considerations. The goal of this study was to investigate the factors that may influence the reliability of qPCR-based relative telomere length measurements in whole blood. Day to day intra-individual variability, types of blood anticoagulant, sample storage conditions, processing and site of blood draw were investigated. Two qPCR-based methods to measure telomere length (monoplex vs. multiplex) were also investigated and showed a strong correlation between them. Freezing and thawing of the blood and storage of the blood at 4°C for up to 4 days did not affect telomere length values. Telomere lengths in dried blood spots were significantly higher than both whole blood and peripheral mononuclear blood cells, and were highly correlated with both. We found that telomere length measurements were significantly higher in dried blood spots collected directly from fingertip prick compared to dried blood spots prepared with anticoagulated whole blood collected from the finger, and non-blotted whole blood taken from both finger and arm venipuncture. This suggests that DNA from cells blotted on paper is not equivalent to that collected from venipuncture whole blood, and caution should be taken when comparing between blood sample types.","container-title":"PloS One","DOI":"10.1371/journal.pone.0057787","ISSN":"1932-6203","issue":"2","journalAbbreviation":"PLoS One","language":"eng","note":"number: 2\nPMID: 23451268\nPMCID: PMC3581490","page":"e57787","source":"PubMed","title":"Blood and dried blood spot telomere length measurement by qPCR: assay considerations","title-short":"Blood and dried blood spot telomere length measurement by qPCR","volume":"8","author":[{"family":"Zanet","given":"DeAnna L."},{"family":"Saberi","given":"Sara"},{"family":"Oliveira","given":"Laura"},{"family":"Sattha","given":"Beheroze"},{"family":"Gadawski","given":"Izabella"},{"family":"Côté","given":"Hélène C. F."}],"issued":{"date-parts":[["2013"]]}}}],"schema":"https://github.com/citation-style-language/schema/raw/master/csl-citation.json"} </w:instrText>
      </w:r>
      <w:r w:rsidRPr="00EA60F0">
        <w:rPr>
          <w:bCs/>
        </w:rPr>
        <w:fldChar w:fldCharType="separate"/>
      </w:r>
      <w:r w:rsidR="00076D09" w:rsidRPr="00076D09">
        <w:rPr>
          <w:vertAlign w:val="superscript"/>
        </w:rPr>
        <w:t>29</w:t>
      </w:r>
      <w:r w:rsidRPr="00EA60F0">
        <w:rPr>
          <w:bCs/>
        </w:rPr>
        <w:fldChar w:fldCharType="end"/>
      </w:r>
      <w:r w:rsidRPr="00EA60F0">
        <w:rPr>
          <w:bCs/>
        </w:rPr>
        <w:t xml:space="preserve"> </w:t>
      </w:r>
    </w:p>
    <w:p w14:paraId="04461066" w14:textId="77777777" w:rsidR="00B40BAA" w:rsidRPr="00EA60F0" w:rsidRDefault="00B40BAA" w:rsidP="00B40BAA">
      <w:pPr>
        <w:ind w:firstLine="720"/>
        <w:rPr>
          <w:i/>
          <w:iCs/>
          <w:noProof/>
        </w:rPr>
      </w:pPr>
      <w:r w:rsidRPr="00EA60F0">
        <w:rPr>
          <w:bCs/>
        </w:rPr>
        <w:t xml:space="preserve">We confirmed experimentally that the TL measurements in these samples were </w:t>
      </w:r>
      <w:r w:rsidRPr="00854B59">
        <w:rPr>
          <w:b/>
          <w:bCs/>
          <w:i/>
          <w:u w:val="single"/>
        </w:rPr>
        <w:t>not</w:t>
      </w:r>
      <w:r w:rsidRPr="00EA60F0">
        <w:rPr>
          <w:bCs/>
        </w:rPr>
        <w:t xml:space="preserve"> affected by the use of heparin as the anticoagulant. </w:t>
      </w:r>
      <w:r w:rsidRPr="00EA60F0">
        <w:t xml:space="preserve">Samples from the original study were retested with and without the addition of heparinase. If there were a meaningful heparin effect on the measurement in the PMBC samples, then this should have been reversed by the addition of heparinase. Genomic DNA (1.5 ug purified from saliva or PBMCs isolated from sodium heparin tubes) was treated with 12 U of </w:t>
      </w:r>
      <w:r w:rsidRPr="00EA60F0">
        <w:rPr>
          <w:i/>
          <w:iCs/>
        </w:rPr>
        <w:t>Bacteroides</w:t>
      </w:r>
      <w:r w:rsidRPr="00EA60F0">
        <w:t xml:space="preserve"> Heparinase I (New England Biolabs) for 2 hours at room temperature. The control contained 1.5 ug of genomic DNA treated identically (similarly diluted, incubated with heparinase buffer for 2 hours at room temperature) with the exception that heparinase was not added. TL was measured in triplicate twice using 1.5 ng genomic DNA /well as described in the manuscript except that values were not normalized for variation between runs. The averaged results across the two experiments are shown in SI Figure 1. SI Figure 1 C shows the effect on TL of adding heparinase. No PMBC sample had a reproducibly higher TL after heparin treatment. Also, the telomere quantities (Fig. 1A) and 36B4 (Fig. 1B) quantities of the PBMC samples assayed were not reproducibly higher in the presence of heparinase </w:t>
      </w:r>
      <w:r w:rsidRPr="00EA60F0">
        <w:rPr>
          <w:i/>
          <w:iCs/>
        </w:rPr>
        <w:t>indicating that heparin is not a significant confounder in these samples.</w:t>
      </w:r>
      <w:r w:rsidRPr="00EA60F0">
        <w:rPr>
          <w:i/>
          <w:iCs/>
          <w:noProof/>
        </w:rPr>
        <w:t xml:space="preserve"> </w:t>
      </w:r>
    </w:p>
    <w:p w14:paraId="0EEFBB9A" w14:textId="77777777" w:rsidR="00B40BAA" w:rsidRPr="00EA60F0" w:rsidRDefault="00B40BAA" w:rsidP="00B40BAA">
      <w:pPr>
        <w:ind w:firstLine="720"/>
        <w:rPr>
          <w:i/>
          <w:iCs/>
          <w:noProof/>
        </w:rPr>
      </w:pPr>
    </w:p>
    <w:p w14:paraId="1DFCC34D" w14:textId="77777777" w:rsidR="00B40BAA" w:rsidRPr="00EA60F0" w:rsidRDefault="00B40BAA" w:rsidP="00B40BAA">
      <w:pPr>
        <w:ind w:firstLine="720"/>
        <w:rPr>
          <w:i/>
          <w:iCs/>
          <w:noProof/>
        </w:rPr>
      </w:pPr>
    </w:p>
    <w:p w14:paraId="04DD2CB1" w14:textId="77777777" w:rsidR="00B40BAA" w:rsidRPr="00EA60F0" w:rsidRDefault="00B40BAA" w:rsidP="00B40BAA">
      <w:pPr>
        <w:ind w:firstLine="720"/>
        <w:rPr>
          <w:bCs/>
          <w:i/>
          <w:iCs/>
          <w:noProof/>
        </w:rPr>
      </w:pPr>
    </w:p>
    <w:p w14:paraId="3408379D" w14:textId="77777777" w:rsidR="00B40BAA" w:rsidRPr="00EA60F0" w:rsidRDefault="00B40BAA" w:rsidP="00B40BAA">
      <w:pPr>
        <w:spacing w:after="160" w:line="259" w:lineRule="auto"/>
        <w:rPr>
          <w:bCs/>
        </w:rPr>
      </w:pPr>
      <w:r w:rsidRPr="00EA60F0">
        <w:rPr>
          <w:bCs/>
          <w:noProof/>
        </w:rPr>
        <w:lastRenderedPageBreak/>
        <mc:AlternateContent>
          <mc:Choice Requires="wps">
            <w:drawing>
              <wp:anchor distT="0" distB="0" distL="114300" distR="114300" simplePos="0" relativeHeight="251659264" behindDoc="0" locked="0" layoutInCell="1" allowOverlap="1" wp14:anchorId="62677F9B" wp14:editId="37974ADB">
                <wp:simplePos x="0" y="0"/>
                <wp:positionH relativeFrom="column">
                  <wp:posOffset>0</wp:posOffset>
                </wp:positionH>
                <wp:positionV relativeFrom="paragraph">
                  <wp:posOffset>6115742</wp:posOffset>
                </wp:positionV>
                <wp:extent cx="6474460" cy="914400"/>
                <wp:effectExtent l="0" t="0" r="2540" b="0"/>
                <wp:wrapSquare wrapText="bothSides"/>
                <wp:docPr id="12" name="Text Box 4">
                  <a:extLst xmlns:a="http://schemas.openxmlformats.org/drawingml/2006/main">
                    <a:ext uri="{FF2B5EF4-FFF2-40B4-BE49-F238E27FC236}">
                      <a16:creationId xmlns:a16="http://schemas.microsoft.com/office/drawing/2014/main" id="{8596334F-19AE-2E40-BEFE-50E342CC697C}"/>
                    </a:ext>
                  </a:extLst>
                </wp:docPr>
                <wp:cNvGraphicFramePr/>
                <a:graphic xmlns:a="http://schemas.openxmlformats.org/drawingml/2006/main">
                  <a:graphicData uri="http://schemas.microsoft.com/office/word/2010/wordprocessingShape">
                    <wps:wsp>
                      <wps:cNvSpPr txBox="1"/>
                      <wps:spPr>
                        <a:xfrm>
                          <a:off x="0" y="0"/>
                          <a:ext cx="6474460" cy="914400"/>
                        </a:xfrm>
                        <a:prstGeom prst="rect">
                          <a:avLst/>
                        </a:prstGeom>
                        <a:solidFill>
                          <a:prstClr val="white"/>
                        </a:solidFill>
                        <a:ln>
                          <a:noFill/>
                        </a:ln>
                      </wps:spPr>
                      <wps:txbx>
                        <w:txbxContent>
                          <w:p w14:paraId="2EEF64AC" w14:textId="77777777" w:rsidR="00991FE3" w:rsidRPr="008E42AE" w:rsidRDefault="00991FE3" w:rsidP="00B40BAA">
                            <w:pPr>
                              <w:spacing w:after="200"/>
                            </w:pPr>
                            <w:r w:rsidRPr="008E42AE">
                              <w:rPr>
                                <w:rFonts w:eastAsia="Calibri"/>
                                <w:color w:val="000000"/>
                                <w:kern w:val="24"/>
                                <w:sz w:val="18"/>
                                <w:szCs w:val="18"/>
                              </w:rPr>
                              <w:t>SI Figure 1: The effect of pretreatment of PBMC and saliva samples prior to telomere length measurement by qPCR. Samples were incubated for two hours in the absence or presence of heparinase at room temperature. TL was measured by qPCR. Samples were measured in triplicate and the qPCR repeated once. Bars represent average values from each qPCR run; error bars represent the standard error. The sample number refers to an individual (e.g. PBMC Sample 4 and Saliva Sample 4 represent genomic DNA purified from blood and saliva from the same individual). Heparin was added to Saliva sample 5 (the same sample as in Figure 2) as a control.  A. qPCR reaction measuring telomere quantity. B. qPCR reaction measuring 36B4 quantity. C. TL measurement.</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77F9B" id="_x0000_t202" coordsize="21600,21600" o:spt="202" path="m,l,21600r21600,l21600,xe">
                <v:stroke joinstyle="miter"/>
                <v:path gradientshapeok="t" o:connecttype="rect"/>
              </v:shapetype>
              <v:shape id="Text Box 4" o:spid="_x0000_s1026" type="#_x0000_t202" style="position:absolute;margin-left:0;margin-top:481.55pt;width:509.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" stroked="f">
                <v:textbox inset="0,0,0,0">
                  <w:txbxContent>
                    <w:p w14:paraId="2EEF64AC" w14:textId="77777777" w:rsidR="00991FE3" w:rsidRPr="008E42AE" w:rsidRDefault="00991FE3" w:rsidP="00B40BAA">
                      <w:pPr>
                        <w:spacing w:after="200"/>
                      </w:pPr>
                      <w:r w:rsidRPr="008E42AE">
                        <w:rPr>
                          <w:rFonts w:eastAsia="Calibri"/>
                          <w:color w:val="000000"/>
                          <w:kern w:val="24"/>
                          <w:sz w:val="18"/>
                          <w:szCs w:val="18"/>
                        </w:rPr>
                        <w:t>SI Figure 1: The effect of pretreatment of PBMC and saliva samples prior to telomere length measurement by qPCR. Samples were incubated for two hours in the absence or presence of heparinase at room temperature. TL was measured by qPCR. Samples were measured in triplicate and the qPCR repeated once. Bars represent average values from each qPCR run; error bars represent the standard error. The sample number refers to an individual (e.g. PBMC Sample 4 and Saliva Sample 4 represent genomic DNA purified from blood and saliva from the same individual). Heparin was added to Saliva sample 5 (the same sample as in Figure 2) as a control.  A. qPCR reaction measuring telomere quantity. B. qPCR reaction measuring 36B4 quantity. C. TL measurement.</w:t>
                      </w:r>
                    </w:p>
                  </w:txbxContent>
                </v:textbox>
                <w10:wrap type="square"/>
              </v:shape>
            </w:pict>
          </mc:Fallback>
        </mc:AlternateContent>
      </w:r>
      <w:r w:rsidRPr="00EA60F0">
        <w:rPr>
          <w:bCs/>
          <w:noProof/>
        </w:rPr>
        <w:drawing>
          <wp:anchor distT="0" distB="0" distL="114300" distR="114300" simplePos="0" relativeHeight="251660288" behindDoc="0" locked="0" layoutInCell="1" allowOverlap="1" wp14:anchorId="421F7C77" wp14:editId="4CF6B0F4">
            <wp:simplePos x="0" y="0"/>
            <wp:positionH relativeFrom="column">
              <wp:posOffset>1446435</wp:posOffset>
            </wp:positionH>
            <wp:positionV relativeFrom="paragraph">
              <wp:posOffset>478</wp:posOffset>
            </wp:positionV>
            <wp:extent cx="3565525" cy="6049010"/>
            <wp:effectExtent l="0" t="0" r="3175" b="0"/>
            <wp:wrapTopAndBottom/>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rotWithShape="1">
                    <a:blip r:embed="rId5">
                      <a:extLst>
                        <a:ext uri="{28A0092B-C50C-407E-A947-70E740481C1C}">
                          <a14:useLocalDpi xmlns:a14="http://schemas.microsoft.com/office/drawing/2010/main" val="0"/>
                        </a:ext>
                      </a:extLst>
                    </a:blip>
                    <a:srcRect l="7977" b="12179"/>
                    <a:stretch/>
                  </pic:blipFill>
                  <pic:spPr bwMode="auto">
                    <a:xfrm>
                      <a:off x="0" y="0"/>
                      <a:ext cx="3565525" cy="6049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60F0">
        <w:rPr>
          <w:bCs/>
        </w:rPr>
        <w:t xml:space="preserve">  </w:t>
      </w:r>
    </w:p>
    <w:p w14:paraId="3A4A51CC" w14:textId="4D1C3B1F" w:rsidR="00B40BAA" w:rsidRDefault="00B40BAA" w:rsidP="00B40BAA">
      <w:pPr>
        <w:jc w:val="center"/>
        <w:rPr>
          <w:b/>
          <w:bCs/>
        </w:rPr>
      </w:pPr>
      <w:r w:rsidRPr="00EA60F0">
        <w:br w:type="page"/>
      </w:r>
      <w:r w:rsidRPr="00EA60F0">
        <w:rPr>
          <w:b/>
          <w:bCs/>
        </w:rPr>
        <w:lastRenderedPageBreak/>
        <w:t>Supplemental Information References</w:t>
      </w:r>
    </w:p>
    <w:p w14:paraId="4F14F9A4" w14:textId="77777777" w:rsidR="00132811" w:rsidRPr="00EA60F0" w:rsidRDefault="00132811" w:rsidP="00B40BAA">
      <w:pPr>
        <w:jc w:val="center"/>
        <w:rPr>
          <w:b/>
          <w:bCs/>
        </w:rPr>
      </w:pPr>
    </w:p>
    <w:p w14:paraId="7A55038C" w14:textId="77777777" w:rsidR="00076D09" w:rsidRPr="00076D09" w:rsidRDefault="00B40BAA" w:rsidP="00076D09">
      <w:pPr>
        <w:pStyle w:val="Bibliography"/>
      </w:pPr>
      <w:r w:rsidRPr="00EA60F0">
        <w:fldChar w:fldCharType="begin"/>
      </w:r>
      <w:r w:rsidRPr="00EA60F0">
        <w:instrText xml:space="preserve"> ADDIN ZOTERO_BIBL {"uncited":[],"omitted":[],"custom":[]} CSL_BIBLIOGRAPHY </w:instrText>
      </w:r>
      <w:r w:rsidRPr="00EA60F0">
        <w:fldChar w:fldCharType="separate"/>
      </w:r>
      <w:r w:rsidR="00076D09" w:rsidRPr="00076D09">
        <w:t xml:space="preserve">1. </w:t>
      </w:r>
      <w:r w:rsidR="00076D09" w:rsidRPr="00076D09">
        <w:tab/>
        <w:t xml:space="preserve">Geronimus AT, Bound J, Waidmann TA, Colen CG, Steffick D. Inequality in life expectancy, functional status, and active life expectancy across selected black and white populations in the United States. </w:t>
      </w:r>
      <w:r w:rsidR="00076D09" w:rsidRPr="00076D09">
        <w:rPr>
          <w:i/>
          <w:iCs/>
        </w:rPr>
        <w:t>Demography</w:t>
      </w:r>
      <w:r w:rsidR="00076D09" w:rsidRPr="00076D09">
        <w:t>. 2001;38(2):227-251. doi:10.1353/dem.2001.0015</w:t>
      </w:r>
    </w:p>
    <w:p w14:paraId="2A75FD29" w14:textId="77777777" w:rsidR="00076D09" w:rsidRPr="00076D09" w:rsidRDefault="00076D09" w:rsidP="00076D09">
      <w:pPr>
        <w:pStyle w:val="Bibliography"/>
      </w:pPr>
      <w:r w:rsidRPr="00076D09">
        <w:t xml:space="preserve">2. </w:t>
      </w:r>
      <w:r w:rsidRPr="00076D09">
        <w:tab/>
        <w:t xml:space="preserve">Geronimus AT, Hicken M, Keene D, Bound J. “Weathering” and Age Patterns of Allostatic Load Scores Among Blacks and Whites in the United States. </w:t>
      </w:r>
      <w:r w:rsidRPr="00076D09">
        <w:rPr>
          <w:i/>
          <w:iCs/>
        </w:rPr>
        <w:t>Am J Public Health</w:t>
      </w:r>
      <w:r w:rsidRPr="00076D09">
        <w:t>. 2006;96(5):826-833. doi:10.2105/AJPH.2004.060749</w:t>
      </w:r>
    </w:p>
    <w:p w14:paraId="0B7DC592" w14:textId="77777777" w:rsidR="00076D09" w:rsidRPr="00076D09" w:rsidRDefault="00076D09" w:rsidP="00076D09">
      <w:pPr>
        <w:pStyle w:val="Bibliography"/>
      </w:pPr>
      <w:r w:rsidRPr="00076D09">
        <w:t xml:space="preserve">3. </w:t>
      </w:r>
      <w:r w:rsidRPr="00076D09">
        <w:tab/>
        <w:t xml:space="preserve">Kemp BR, Ferraro KF. Are Biological Consequences of Childhood Exposures Detectable in Telomere Length Decades Later? Le Couteur D, ed. </w:t>
      </w:r>
      <w:r w:rsidRPr="00076D09">
        <w:rPr>
          <w:i/>
          <w:iCs/>
        </w:rPr>
        <w:t>The Journals of Gerontology: Series A</w:t>
      </w:r>
      <w:r w:rsidRPr="00076D09">
        <w:t>. 2021;76(1):7-14. doi:10.1093/gerona/glaa019</w:t>
      </w:r>
    </w:p>
    <w:p w14:paraId="731123F0" w14:textId="77777777" w:rsidR="00076D09" w:rsidRPr="00076D09" w:rsidRDefault="00076D09" w:rsidP="00076D09">
      <w:pPr>
        <w:pStyle w:val="Bibliography"/>
      </w:pPr>
      <w:r w:rsidRPr="00076D09">
        <w:t xml:space="preserve">4. </w:t>
      </w:r>
      <w:r w:rsidRPr="00076D09">
        <w:tab/>
        <w:t xml:space="preserve">Geronimus AT, Pearson JA, Linnenbringer E, et al. Race-Ethnicity, Poverty, Urban Stressors, and Telomere Length in a Detroit Community-based Sample. </w:t>
      </w:r>
      <w:r w:rsidRPr="00076D09">
        <w:rPr>
          <w:i/>
          <w:iCs/>
        </w:rPr>
        <w:t>Journal of Health and Social Behavior</w:t>
      </w:r>
      <w:r w:rsidRPr="00076D09">
        <w:t>. 2015;56(2):199-224. doi:10.1177/0022146515582100</w:t>
      </w:r>
    </w:p>
    <w:p w14:paraId="739CAD57" w14:textId="77777777" w:rsidR="00076D09" w:rsidRPr="00076D09" w:rsidRDefault="00076D09" w:rsidP="00076D09">
      <w:pPr>
        <w:pStyle w:val="Bibliography"/>
      </w:pPr>
      <w:r w:rsidRPr="00076D09">
        <w:t xml:space="preserve">5. </w:t>
      </w:r>
      <w:r w:rsidRPr="00076D09">
        <w:tab/>
        <w:t xml:space="preserve">Frenck RW, Blackburn EH, Shannon KM. The rate of telomere sequence loss in human leukocytes varies with age. </w:t>
      </w:r>
      <w:r w:rsidRPr="00076D09">
        <w:rPr>
          <w:i/>
          <w:iCs/>
        </w:rPr>
        <w:t>Proceedings of the National Academy of Sciences</w:t>
      </w:r>
      <w:r w:rsidRPr="00076D09">
        <w:t>. 1998;95(10):5607-5610. doi:10.1073/pnas.95.10.5607</w:t>
      </w:r>
    </w:p>
    <w:p w14:paraId="5CB2C5E2" w14:textId="77777777" w:rsidR="00076D09" w:rsidRPr="00076D09" w:rsidRDefault="00076D09" w:rsidP="00076D09">
      <w:pPr>
        <w:pStyle w:val="Bibliography"/>
      </w:pPr>
      <w:r w:rsidRPr="00076D09">
        <w:t xml:space="preserve">6. </w:t>
      </w:r>
      <w:r w:rsidRPr="00076D09">
        <w:tab/>
        <w:t xml:space="preserve">Aviv A. The Epidemiology of Human Telomeres: Faults and Promises. </w:t>
      </w:r>
      <w:r w:rsidRPr="00076D09">
        <w:rPr>
          <w:i/>
          <w:iCs/>
        </w:rPr>
        <w:t>The Journals of Gerontology Series A: Biological Sciences and Medical Sciences</w:t>
      </w:r>
      <w:r w:rsidRPr="00076D09">
        <w:t>. 2008;63(9):979-983. doi:10.1093/gerona/63.9.979</w:t>
      </w:r>
    </w:p>
    <w:p w14:paraId="515E62DD" w14:textId="77777777" w:rsidR="00076D09" w:rsidRPr="00076D09" w:rsidRDefault="00076D09" w:rsidP="00076D09">
      <w:pPr>
        <w:pStyle w:val="Bibliography"/>
      </w:pPr>
      <w:r w:rsidRPr="00076D09">
        <w:t xml:space="preserve">7. </w:t>
      </w:r>
      <w:r w:rsidRPr="00076D09">
        <w:tab/>
        <w:t xml:space="preserve">Geronimus AT, Bound J, Waidmann TA, Rodriguez JM, Timpe B. Weathering, Drugs, and Whack-a-Mole: Fundamental and Proximate Causes of Widening Educational Inequity in U.S. Life Expectancy by Sex and Race, 1990–2015. </w:t>
      </w:r>
      <w:r w:rsidRPr="00076D09">
        <w:rPr>
          <w:i/>
          <w:iCs/>
        </w:rPr>
        <w:t>J Health Soc Behav</w:t>
      </w:r>
      <w:r w:rsidRPr="00076D09">
        <w:t>. 2019;60(2):222-239. doi:10.1177/0022146519849932</w:t>
      </w:r>
    </w:p>
    <w:p w14:paraId="2D03AA7A" w14:textId="77777777" w:rsidR="00076D09" w:rsidRPr="00076D09" w:rsidRDefault="00076D09" w:rsidP="00076D09">
      <w:pPr>
        <w:pStyle w:val="Bibliography"/>
      </w:pPr>
      <w:r w:rsidRPr="00076D09">
        <w:t xml:space="preserve">8. </w:t>
      </w:r>
      <w:r w:rsidRPr="00076D09">
        <w:tab/>
        <w:t xml:space="preserve">Cherkas LF, Aviv A, Valdes AM, et al. The effects of social status on biological aging as measured by white-blood-cell telomere length. </w:t>
      </w:r>
      <w:r w:rsidRPr="00076D09">
        <w:rPr>
          <w:i/>
          <w:iCs/>
        </w:rPr>
        <w:t>Aging Cell</w:t>
      </w:r>
      <w:r w:rsidRPr="00076D09">
        <w:t>. 2006;5(5):361-365. doi:10.1111/j.1474-9726.2006.00222.x</w:t>
      </w:r>
    </w:p>
    <w:p w14:paraId="00AFDD45" w14:textId="77777777" w:rsidR="00076D09" w:rsidRPr="00076D09" w:rsidRDefault="00076D09" w:rsidP="00076D09">
      <w:pPr>
        <w:pStyle w:val="Bibliography"/>
      </w:pPr>
      <w:r w:rsidRPr="00076D09">
        <w:t xml:space="preserve">9. </w:t>
      </w:r>
      <w:r w:rsidRPr="00076D09">
        <w:tab/>
        <w:t xml:space="preserve">Epel ES, Blackburn EH, Lin J, et al. Accelerated telomere shortening in response to life stress. </w:t>
      </w:r>
      <w:r w:rsidRPr="00076D09">
        <w:rPr>
          <w:i/>
          <w:iCs/>
        </w:rPr>
        <w:t>Proc Natl Acad Sci U S A</w:t>
      </w:r>
      <w:r w:rsidRPr="00076D09">
        <w:t>. 2004;101(49):17312-17315. doi:10.1073/pnas.0407162101</w:t>
      </w:r>
    </w:p>
    <w:p w14:paraId="75C85676" w14:textId="77777777" w:rsidR="00076D09" w:rsidRPr="00076D09" w:rsidRDefault="00076D09" w:rsidP="00076D09">
      <w:pPr>
        <w:pStyle w:val="Bibliography"/>
      </w:pPr>
      <w:r w:rsidRPr="00076D09">
        <w:t xml:space="preserve">10. </w:t>
      </w:r>
      <w:r w:rsidRPr="00076D09">
        <w:tab/>
        <w:t xml:space="preserve">Lapham K, Kvale MN, Lin J, et al. Automated assay of telomere length measurement and informatics for 100,000 subjects in the genetic epidemiology research on adult health and aging (GERA) cohort. </w:t>
      </w:r>
      <w:r w:rsidRPr="00076D09">
        <w:rPr>
          <w:i/>
          <w:iCs/>
        </w:rPr>
        <w:t>Genetics</w:t>
      </w:r>
      <w:r w:rsidRPr="00076D09">
        <w:t>. 2015;200(4):1061-1072. doi:10.1534/genetics.115.178624</w:t>
      </w:r>
    </w:p>
    <w:p w14:paraId="21A9E821" w14:textId="77777777" w:rsidR="00076D09" w:rsidRPr="00076D09" w:rsidRDefault="00076D09" w:rsidP="00076D09">
      <w:pPr>
        <w:pStyle w:val="Bibliography"/>
      </w:pPr>
      <w:r w:rsidRPr="00076D09">
        <w:t xml:space="preserve">11. </w:t>
      </w:r>
      <w:r w:rsidRPr="00076D09">
        <w:tab/>
        <w:t xml:space="preserve">McDade TW, Williams SA (Sharon AA, Snodgrass JJosh. What a Drop Can Do: Dried Blood Spots as a Minimally Invasive Method for Integrating Biomarkers Into Population-Based Research. </w:t>
      </w:r>
      <w:r w:rsidRPr="00076D09">
        <w:rPr>
          <w:i/>
          <w:iCs/>
        </w:rPr>
        <w:t>Demography</w:t>
      </w:r>
      <w:r w:rsidRPr="00076D09">
        <w:t>. 2007;44(4):899-925. doi:10.1353/dem.2007.0038</w:t>
      </w:r>
    </w:p>
    <w:p w14:paraId="0E3AF15D" w14:textId="77777777" w:rsidR="00076D09" w:rsidRPr="00076D09" w:rsidRDefault="00076D09" w:rsidP="00076D09">
      <w:pPr>
        <w:pStyle w:val="Bibliography"/>
      </w:pPr>
      <w:r w:rsidRPr="00076D09">
        <w:lastRenderedPageBreak/>
        <w:t xml:space="preserve">12. </w:t>
      </w:r>
      <w:r w:rsidRPr="00076D09">
        <w:tab/>
        <w:t xml:space="preserve">Denham J, Marques FZ, Charchar FJ. Leukocyte telomere length variation due to DNA extraction method. </w:t>
      </w:r>
      <w:r w:rsidRPr="00076D09">
        <w:rPr>
          <w:i/>
          <w:iCs/>
        </w:rPr>
        <w:t>BMC Res Notes</w:t>
      </w:r>
      <w:r w:rsidRPr="00076D09">
        <w:t>. 2014;7:877. doi:10.1186/1756-0500-7-877</w:t>
      </w:r>
    </w:p>
    <w:p w14:paraId="064A392E" w14:textId="77777777" w:rsidR="00076D09" w:rsidRPr="00076D09" w:rsidRDefault="00076D09" w:rsidP="00076D09">
      <w:pPr>
        <w:pStyle w:val="Bibliography"/>
      </w:pPr>
      <w:r w:rsidRPr="00076D09">
        <w:t xml:space="preserve">13. </w:t>
      </w:r>
      <w:r w:rsidRPr="00076D09">
        <w:tab/>
        <w:t xml:space="preserve">Mitchell C, Hobcraft J, McLanahan SS, et al. Social disadvantage, genetic sensitivity, and children’s telomere length. </w:t>
      </w:r>
      <w:r w:rsidRPr="00076D09">
        <w:rPr>
          <w:i/>
          <w:iCs/>
        </w:rPr>
        <w:t>Proceedings of the National Academy of Sciences</w:t>
      </w:r>
      <w:r w:rsidRPr="00076D09">
        <w:t>. 2014;111(16):5944-5949. doi:10.1073/pnas.1404293111</w:t>
      </w:r>
    </w:p>
    <w:p w14:paraId="68805C9F" w14:textId="77777777" w:rsidR="00076D09" w:rsidRPr="00076D09" w:rsidRDefault="00076D09" w:rsidP="00076D09">
      <w:pPr>
        <w:pStyle w:val="Bibliography"/>
      </w:pPr>
      <w:r w:rsidRPr="00076D09">
        <w:t xml:space="preserve">14. </w:t>
      </w:r>
      <w:r w:rsidRPr="00076D09">
        <w:tab/>
        <w:t xml:space="preserve">Mitchell C, McLanahan S, Schneper L, Garfinkel I, Brooks-Gunn J, Notterman D. Father loss and child telomere length. </w:t>
      </w:r>
      <w:r w:rsidRPr="00076D09">
        <w:rPr>
          <w:i/>
          <w:iCs/>
        </w:rPr>
        <w:t>Pediatrics</w:t>
      </w:r>
      <w:r w:rsidRPr="00076D09">
        <w:t>. 2017;140(2). doi:10.1542/peds.2016-3245</w:t>
      </w:r>
    </w:p>
    <w:p w14:paraId="1F6E2178" w14:textId="77777777" w:rsidR="00076D09" w:rsidRPr="00076D09" w:rsidRDefault="00076D09" w:rsidP="00076D09">
      <w:pPr>
        <w:pStyle w:val="Bibliography"/>
      </w:pPr>
      <w:r w:rsidRPr="00076D09">
        <w:t xml:space="preserve">15. </w:t>
      </w:r>
      <w:r w:rsidRPr="00076D09">
        <w:tab/>
        <w:t xml:space="preserve">O’Callaghan NJ, Fenech M. A quantitative PCR method for measuring absolute telomere length. </w:t>
      </w:r>
      <w:r w:rsidRPr="00076D09">
        <w:rPr>
          <w:i/>
          <w:iCs/>
        </w:rPr>
        <w:t>Biol Proced Online</w:t>
      </w:r>
      <w:r w:rsidRPr="00076D09">
        <w:t>. 2011;13:3. doi:10.1186/1480-9222-13-3</w:t>
      </w:r>
    </w:p>
    <w:p w14:paraId="5F06CD09" w14:textId="77777777" w:rsidR="00076D09" w:rsidRPr="00076D09" w:rsidRDefault="00076D09" w:rsidP="00076D09">
      <w:pPr>
        <w:pStyle w:val="Bibliography"/>
      </w:pPr>
      <w:r w:rsidRPr="00076D09">
        <w:t xml:space="preserve">16. </w:t>
      </w:r>
      <w:r w:rsidRPr="00076D09">
        <w:tab/>
        <w:t xml:space="preserve">Cawthon RM. Telomere measurement by quantitative PCR. </w:t>
      </w:r>
      <w:r w:rsidRPr="00076D09">
        <w:rPr>
          <w:i/>
          <w:iCs/>
        </w:rPr>
        <w:t>Nucleic Acids Research</w:t>
      </w:r>
      <w:r w:rsidRPr="00076D09">
        <w:t>. 2002;30(10):47e-447. doi:10.1093/nar/30.10.e47</w:t>
      </w:r>
    </w:p>
    <w:p w14:paraId="22F4C74F" w14:textId="77777777" w:rsidR="00076D09" w:rsidRPr="00076D09" w:rsidRDefault="00076D09" w:rsidP="00076D09">
      <w:pPr>
        <w:pStyle w:val="Bibliography"/>
      </w:pPr>
      <w:r w:rsidRPr="00076D09">
        <w:t xml:space="preserve">17. </w:t>
      </w:r>
      <w:r w:rsidRPr="00076D09">
        <w:tab/>
        <w:t xml:space="preserve">O’Callaghan NJ, Dhillon VS, Thomas P, Fenech M. A quantitative real-time PCR method for absolute telomere length. </w:t>
      </w:r>
      <w:r w:rsidRPr="00076D09">
        <w:rPr>
          <w:i/>
          <w:iCs/>
        </w:rPr>
        <w:t>BioTechniques</w:t>
      </w:r>
      <w:r w:rsidRPr="00076D09">
        <w:t>. 2008;44(6):807-809. doi:10.2144/000112761</w:t>
      </w:r>
    </w:p>
    <w:p w14:paraId="238EF0E7" w14:textId="77777777" w:rsidR="00076D09" w:rsidRPr="00076D09" w:rsidRDefault="00076D09" w:rsidP="00076D09">
      <w:pPr>
        <w:pStyle w:val="Bibliography"/>
      </w:pPr>
      <w:r w:rsidRPr="00076D09">
        <w:t xml:space="preserve">18. </w:t>
      </w:r>
      <w:r w:rsidRPr="00076D09">
        <w:tab/>
        <w:t xml:space="preserve">Cheng, D., Zhao Y, Wang S, et al. Repression of telomerase gene promoter requires human-specific genomic context and is mediated by multiple HDAC1-containing corepressor complexes. </w:t>
      </w:r>
      <w:r w:rsidRPr="00076D09">
        <w:rPr>
          <w:i/>
          <w:iCs/>
        </w:rPr>
        <w:t>FASEB J</w:t>
      </w:r>
      <w:r w:rsidRPr="00076D09">
        <w:t>. 2017;31(3):1165-1178. doi:10.1096/fj.201601111R</w:t>
      </w:r>
    </w:p>
    <w:p w14:paraId="3DBC812B" w14:textId="77777777" w:rsidR="00076D09" w:rsidRPr="00076D09" w:rsidRDefault="00076D09" w:rsidP="00076D09">
      <w:pPr>
        <w:pStyle w:val="Bibliography"/>
      </w:pPr>
      <w:r w:rsidRPr="00076D09">
        <w:t xml:space="preserve">19. </w:t>
      </w:r>
      <w:r w:rsidRPr="00076D09">
        <w:tab/>
        <w:t xml:space="preserve">Wang S, Zhu J. Evidence for a relief of repression mechanism for activation of the human telomerase reverse transcriptase promoter. </w:t>
      </w:r>
      <w:r w:rsidRPr="00076D09">
        <w:rPr>
          <w:i/>
          <w:iCs/>
        </w:rPr>
        <w:t>J Biol Chem</w:t>
      </w:r>
      <w:r w:rsidRPr="00076D09">
        <w:t>. 2003;278(21):18842-18850. doi:10.1074/jbc.M209544200</w:t>
      </w:r>
    </w:p>
    <w:p w14:paraId="03B431C1" w14:textId="77777777" w:rsidR="00076D09" w:rsidRPr="00076D09" w:rsidRDefault="00076D09" w:rsidP="00076D09">
      <w:pPr>
        <w:pStyle w:val="Bibliography"/>
      </w:pPr>
      <w:r w:rsidRPr="00076D09">
        <w:t xml:space="preserve">20. </w:t>
      </w:r>
      <w:r w:rsidRPr="00076D09">
        <w:tab/>
        <w:t xml:space="preserve">Cook RD. Influential Observations in Linear Regression. </w:t>
      </w:r>
      <w:r w:rsidRPr="00076D09">
        <w:rPr>
          <w:i/>
          <w:iCs/>
        </w:rPr>
        <w:t>Journal of the American Statistical Association</w:t>
      </w:r>
      <w:r w:rsidRPr="00076D09">
        <w:t>. 1979;74(365):169-174. doi:10.1080/01621459.1979.10481634</w:t>
      </w:r>
    </w:p>
    <w:p w14:paraId="32E57881" w14:textId="77777777" w:rsidR="00076D09" w:rsidRPr="00076D09" w:rsidRDefault="00076D09" w:rsidP="00076D09">
      <w:pPr>
        <w:pStyle w:val="Bibliography"/>
      </w:pPr>
      <w:r w:rsidRPr="00076D09">
        <w:t xml:space="preserve">21. </w:t>
      </w:r>
      <w:r w:rsidRPr="00076D09">
        <w:tab/>
        <w:t xml:space="preserve">White H. A Heteroskedasticity-Consistent Covariance Matrix Estimator and a Direct Test for Heteroskedasticity. </w:t>
      </w:r>
      <w:r w:rsidRPr="00076D09">
        <w:rPr>
          <w:i/>
          <w:iCs/>
        </w:rPr>
        <w:t>Econometrica</w:t>
      </w:r>
      <w:r w:rsidRPr="00076D09">
        <w:t>. 1980;48(4):817. doi:10.2307/1912934</w:t>
      </w:r>
    </w:p>
    <w:p w14:paraId="284CB9F7" w14:textId="77777777" w:rsidR="00076D09" w:rsidRPr="00076D09" w:rsidRDefault="00076D09" w:rsidP="00076D09">
      <w:pPr>
        <w:pStyle w:val="Bibliography"/>
      </w:pPr>
      <w:r w:rsidRPr="00076D09">
        <w:t xml:space="preserve">22. </w:t>
      </w:r>
      <w:r w:rsidRPr="00076D09">
        <w:tab/>
        <w:t xml:space="preserve">Holodniy M, Kim S, Katzenstein D, Konrad M, Groves E, Merigan TC. Inhibition of human immunodeficiency virus gene amplification by heparin. </w:t>
      </w:r>
      <w:r w:rsidRPr="00076D09">
        <w:rPr>
          <w:i/>
          <w:iCs/>
        </w:rPr>
        <w:t>J Clin Microbiol</w:t>
      </w:r>
      <w:r w:rsidRPr="00076D09">
        <w:t>. 1991;29(4):676-679. doi:10.1128/JCM.29.4.676-679.1991</w:t>
      </w:r>
    </w:p>
    <w:p w14:paraId="22870F0D" w14:textId="77777777" w:rsidR="00076D09" w:rsidRPr="00076D09" w:rsidRDefault="00076D09" w:rsidP="00076D09">
      <w:pPr>
        <w:pStyle w:val="Bibliography"/>
      </w:pPr>
      <w:r w:rsidRPr="00076D09">
        <w:t xml:space="preserve">23. </w:t>
      </w:r>
      <w:r w:rsidRPr="00076D09">
        <w:tab/>
        <w:t xml:space="preserve">Izraeli S, Pfleiderer C, Lion T. Detection of gene expression by PCR amplification of RNA derived from frozen heparinized whole blood. </w:t>
      </w:r>
      <w:r w:rsidRPr="00076D09">
        <w:rPr>
          <w:i/>
          <w:iCs/>
        </w:rPr>
        <w:t>Nucleic Acids Res</w:t>
      </w:r>
      <w:r w:rsidRPr="00076D09">
        <w:t>. 1991;19(21):6051. doi:10.1093/nar/19.21.6051</w:t>
      </w:r>
    </w:p>
    <w:p w14:paraId="325922CA" w14:textId="77777777" w:rsidR="00076D09" w:rsidRPr="00076D09" w:rsidRDefault="00076D09" w:rsidP="00076D09">
      <w:pPr>
        <w:pStyle w:val="Bibliography"/>
      </w:pPr>
      <w:r w:rsidRPr="00076D09">
        <w:t xml:space="preserve">24. </w:t>
      </w:r>
      <w:r w:rsidRPr="00076D09">
        <w:tab/>
        <w:t xml:space="preserve">Yokota M, Tatsumi N, Nathalang O, Yamada T, Tsuda I. Effects of heparin on polymerase chain reaction for blood white cells. </w:t>
      </w:r>
      <w:r w:rsidRPr="00076D09">
        <w:rPr>
          <w:i/>
          <w:iCs/>
        </w:rPr>
        <w:t>J Clin Lab Anal</w:t>
      </w:r>
      <w:r w:rsidRPr="00076D09">
        <w:t>. 1999;13(3):133-140. doi:10.1002/(sici)1098-2825(1999)13:3&lt;133::aid-jcla8&gt;3.0.co;2-0</w:t>
      </w:r>
    </w:p>
    <w:p w14:paraId="20987AA6" w14:textId="77777777" w:rsidR="00076D09" w:rsidRPr="00076D09" w:rsidRDefault="00076D09" w:rsidP="00076D09">
      <w:pPr>
        <w:pStyle w:val="Bibliography"/>
      </w:pPr>
      <w:r w:rsidRPr="00076D09">
        <w:t xml:space="preserve">25. </w:t>
      </w:r>
      <w:r w:rsidRPr="00076D09">
        <w:tab/>
        <w:t xml:space="preserve">Johnson ML, Navanukraw C, Grazul-Bilska AT, Reynolds LP, Redmer DA. Heparinase treatment of RNA before quantitative real-time RT-PCR. </w:t>
      </w:r>
      <w:r w:rsidRPr="00076D09">
        <w:rPr>
          <w:i/>
          <w:iCs/>
        </w:rPr>
        <w:t>Biotechniques</w:t>
      </w:r>
      <w:r w:rsidRPr="00076D09">
        <w:t>. 2003;35(6):1140-1142, 1144. doi:10.2144/03356bm03</w:t>
      </w:r>
    </w:p>
    <w:p w14:paraId="14A5EEED" w14:textId="77777777" w:rsidR="00076D09" w:rsidRPr="00076D09" w:rsidRDefault="00076D09" w:rsidP="00076D09">
      <w:pPr>
        <w:pStyle w:val="Bibliography"/>
      </w:pPr>
      <w:r w:rsidRPr="00076D09">
        <w:lastRenderedPageBreak/>
        <w:t xml:space="preserve">26. </w:t>
      </w:r>
      <w:r w:rsidRPr="00076D09">
        <w:tab/>
        <w:t xml:space="preserve">Kondratov K, Kurapeev D, Popov M, et al. Heparinase treatment of heparin-contaminated plasma from coronary artery bypass grafting patients enables reliable quantification of microRNAs. </w:t>
      </w:r>
      <w:r w:rsidRPr="00076D09">
        <w:rPr>
          <w:i/>
          <w:iCs/>
        </w:rPr>
        <w:t>Biomol Detect Quantif</w:t>
      </w:r>
      <w:r w:rsidRPr="00076D09">
        <w:t>. 2016;8:9-14. doi:10.1016/j.bdq.2016.03.001</w:t>
      </w:r>
    </w:p>
    <w:p w14:paraId="3CCBAB8D" w14:textId="77777777" w:rsidR="00076D09" w:rsidRPr="00076D09" w:rsidRDefault="00076D09" w:rsidP="00076D09">
      <w:pPr>
        <w:pStyle w:val="Bibliography"/>
      </w:pPr>
      <w:r w:rsidRPr="00076D09">
        <w:t xml:space="preserve">27. </w:t>
      </w:r>
      <w:r w:rsidRPr="00076D09">
        <w:tab/>
        <w:t xml:space="preserve">Roest HP, Verhoeven CJ, de Haan JE, de Jonge J, IJzermans JNM, van der Laan LJW. Improving Accuracy of Urinary miRNA Quantification in Heparinized Patients Using Heparinase I Digestion. </w:t>
      </w:r>
      <w:r w:rsidRPr="00076D09">
        <w:rPr>
          <w:i/>
          <w:iCs/>
        </w:rPr>
        <w:t>J Mol Diagn</w:t>
      </w:r>
      <w:r w:rsidRPr="00076D09">
        <w:t>. 2016;18(6):825-833. doi:10.1016/j.jmoldx.2016.06.006</w:t>
      </w:r>
    </w:p>
    <w:p w14:paraId="6C811590" w14:textId="77777777" w:rsidR="00076D09" w:rsidRPr="00076D09" w:rsidRDefault="00076D09" w:rsidP="00076D09">
      <w:pPr>
        <w:pStyle w:val="Bibliography"/>
      </w:pPr>
      <w:r w:rsidRPr="00076D09">
        <w:t xml:space="preserve">28. </w:t>
      </w:r>
      <w:r w:rsidRPr="00076D09">
        <w:tab/>
        <w:t xml:space="preserve">Stout SA, Lin J, Hernandez N, et al. Validation of minimally-invasive sample collection methods for measurement of telomere length. </w:t>
      </w:r>
      <w:r w:rsidRPr="00076D09">
        <w:rPr>
          <w:i/>
          <w:iCs/>
        </w:rPr>
        <w:t>Front Aging Neurosci</w:t>
      </w:r>
      <w:r w:rsidRPr="00076D09">
        <w:t>. 2017;9:397. doi:10.3389/fnagi.2017.00397</w:t>
      </w:r>
    </w:p>
    <w:p w14:paraId="2F25313F" w14:textId="77777777" w:rsidR="00076D09" w:rsidRPr="00076D09" w:rsidRDefault="00076D09" w:rsidP="00076D09">
      <w:pPr>
        <w:pStyle w:val="Bibliography"/>
      </w:pPr>
      <w:r w:rsidRPr="00076D09">
        <w:t xml:space="preserve">29. </w:t>
      </w:r>
      <w:r w:rsidRPr="00076D09">
        <w:tab/>
        <w:t xml:space="preserve">Zanet DL, Saberi S, Oliveira L, Sattha B, Gadawski I, Côté HCF. Blood and dried blood spot telomere length measurement by qPCR: assay considerations. </w:t>
      </w:r>
      <w:r w:rsidRPr="00076D09">
        <w:rPr>
          <w:i/>
          <w:iCs/>
        </w:rPr>
        <w:t>PLoS One</w:t>
      </w:r>
      <w:r w:rsidRPr="00076D09">
        <w:t>. 2013;8(2):e57787. doi:10.1371/journal.pone.0057787</w:t>
      </w:r>
    </w:p>
    <w:p w14:paraId="6110F3D8" w14:textId="1418E96A" w:rsidR="009D0685" w:rsidRDefault="00B40BAA" w:rsidP="00B40BAA">
      <w:r w:rsidRPr="00EA60F0">
        <w:fldChar w:fldCharType="end"/>
      </w:r>
    </w:p>
    <w:sectPr w:rsidR="009D0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30F83"/>
    <w:multiLevelType w:val="multilevel"/>
    <w:tmpl w:val="A9107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AA"/>
    <w:rsid w:val="000520A2"/>
    <w:rsid w:val="00054FE5"/>
    <w:rsid w:val="00076D09"/>
    <w:rsid w:val="000816F1"/>
    <w:rsid w:val="000848BB"/>
    <w:rsid w:val="00090836"/>
    <w:rsid w:val="000A4F6E"/>
    <w:rsid w:val="000B256F"/>
    <w:rsid w:val="000B31D6"/>
    <w:rsid w:val="000C6430"/>
    <w:rsid w:val="000F19D9"/>
    <w:rsid w:val="00110A45"/>
    <w:rsid w:val="00132811"/>
    <w:rsid w:val="00190278"/>
    <w:rsid w:val="0019722D"/>
    <w:rsid w:val="00210DDF"/>
    <w:rsid w:val="00243438"/>
    <w:rsid w:val="00261726"/>
    <w:rsid w:val="002836C0"/>
    <w:rsid w:val="00293328"/>
    <w:rsid w:val="00293CED"/>
    <w:rsid w:val="002C7755"/>
    <w:rsid w:val="002E6045"/>
    <w:rsid w:val="00310552"/>
    <w:rsid w:val="003266B0"/>
    <w:rsid w:val="00346C45"/>
    <w:rsid w:val="00365EEA"/>
    <w:rsid w:val="0039496A"/>
    <w:rsid w:val="003A1F46"/>
    <w:rsid w:val="003F5EA7"/>
    <w:rsid w:val="004038EC"/>
    <w:rsid w:val="00455CAF"/>
    <w:rsid w:val="00484F9E"/>
    <w:rsid w:val="004C0327"/>
    <w:rsid w:val="005142D2"/>
    <w:rsid w:val="00561529"/>
    <w:rsid w:val="00566B09"/>
    <w:rsid w:val="005D7C7A"/>
    <w:rsid w:val="00604DD6"/>
    <w:rsid w:val="0062251A"/>
    <w:rsid w:val="00687B1F"/>
    <w:rsid w:val="006A11E8"/>
    <w:rsid w:val="006A7552"/>
    <w:rsid w:val="007005C8"/>
    <w:rsid w:val="0070121E"/>
    <w:rsid w:val="007021CE"/>
    <w:rsid w:val="0071486D"/>
    <w:rsid w:val="00744C5E"/>
    <w:rsid w:val="00793905"/>
    <w:rsid w:val="0083474B"/>
    <w:rsid w:val="00854B59"/>
    <w:rsid w:val="00862DD6"/>
    <w:rsid w:val="00881817"/>
    <w:rsid w:val="008A42AE"/>
    <w:rsid w:val="008B20B6"/>
    <w:rsid w:val="008B2F01"/>
    <w:rsid w:val="008E40A3"/>
    <w:rsid w:val="00991FE3"/>
    <w:rsid w:val="009D0685"/>
    <w:rsid w:val="009E53E0"/>
    <w:rsid w:val="009E7E75"/>
    <w:rsid w:val="009F7A1A"/>
    <w:rsid w:val="00A82943"/>
    <w:rsid w:val="00A839E3"/>
    <w:rsid w:val="00AA0975"/>
    <w:rsid w:val="00AA5A16"/>
    <w:rsid w:val="00AD47F9"/>
    <w:rsid w:val="00AE16B4"/>
    <w:rsid w:val="00AE6FDE"/>
    <w:rsid w:val="00B40BAA"/>
    <w:rsid w:val="00B421DD"/>
    <w:rsid w:val="00B65528"/>
    <w:rsid w:val="00C93478"/>
    <w:rsid w:val="00C94716"/>
    <w:rsid w:val="00CE02BB"/>
    <w:rsid w:val="00CF1049"/>
    <w:rsid w:val="00D47227"/>
    <w:rsid w:val="00D95BC5"/>
    <w:rsid w:val="00DA29E3"/>
    <w:rsid w:val="00DF29D9"/>
    <w:rsid w:val="00E2711E"/>
    <w:rsid w:val="00E63119"/>
    <w:rsid w:val="00E80001"/>
    <w:rsid w:val="00E93C3E"/>
    <w:rsid w:val="00E948D0"/>
    <w:rsid w:val="00EC29C7"/>
    <w:rsid w:val="00ED59C9"/>
    <w:rsid w:val="00EE4E19"/>
    <w:rsid w:val="00F102EE"/>
    <w:rsid w:val="00F22D3B"/>
    <w:rsid w:val="00F43315"/>
    <w:rsid w:val="00F52FCF"/>
    <w:rsid w:val="00F61813"/>
    <w:rsid w:val="00FD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144C"/>
  <w15:chartTrackingRefBased/>
  <w15:docId w15:val="{286BE3CF-A69C-492B-B972-DF3A3360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B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F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FDE"/>
    <w:rPr>
      <w:rFonts w:ascii="Segoe UI" w:eastAsia="Times New Roman" w:hAnsi="Segoe UI" w:cs="Segoe UI"/>
      <w:sz w:val="18"/>
      <w:szCs w:val="18"/>
    </w:rPr>
  </w:style>
  <w:style w:type="paragraph" w:styleId="Bibliography">
    <w:name w:val="Bibliography"/>
    <w:basedOn w:val="Normal"/>
    <w:next w:val="Normal"/>
    <w:uiPriority w:val="37"/>
    <w:unhideWhenUsed/>
    <w:rsid w:val="00293328"/>
    <w:pPr>
      <w:tabs>
        <w:tab w:val="left" w:pos="500"/>
      </w:tabs>
      <w:spacing w:after="240"/>
      <w:ind w:left="504" w:hanging="504"/>
    </w:pPr>
  </w:style>
  <w:style w:type="character" w:styleId="HTMLCite">
    <w:name w:val="HTML Cite"/>
    <w:basedOn w:val="DefaultParagraphFont"/>
    <w:uiPriority w:val="99"/>
    <w:semiHidden/>
    <w:unhideWhenUsed/>
    <w:rsid w:val="008B2F01"/>
    <w:rPr>
      <w:i/>
      <w:iCs/>
    </w:rPr>
  </w:style>
  <w:style w:type="character" w:styleId="Hyperlink">
    <w:name w:val="Hyperlink"/>
    <w:basedOn w:val="DefaultParagraphFont"/>
    <w:uiPriority w:val="99"/>
    <w:semiHidden/>
    <w:unhideWhenUsed/>
    <w:rsid w:val="008B2F01"/>
    <w:rPr>
      <w:color w:val="0000FF"/>
      <w:u w:val="single"/>
    </w:rPr>
  </w:style>
  <w:style w:type="character" w:styleId="CommentReference">
    <w:name w:val="annotation reference"/>
    <w:basedOn w:val="DefaultParagraphFont"/>
    <w:uiPriority w:val="99"/>
    <w:semiHidden/>
    <w:unhideWhenUsed/>
    <w:rsid w:val="00AA5A16"/>
    <w:rPr>
      <w:sz w:val="16"/>
      <w:szCs w:val="16"/>
    </w:rPr>
  </w:style>
  <w:style w:type="paragraph" w:styleId="CommentText">
    <w:name w:val="annotation text"/>
    <w:basedOn w:val="Normal"/>
    <w:link w:val="CommentTextChar"/>
    <w:uiPriority w:val="99"/>
    <w:semiHidden/>
    <w:unhideWhenUsed/>
    <w:rsid w:val="00AA5A16"/>
    <w:rPr>
      <w:sz w:val="20"/>
      <w:szCs w:val="20"/>
    </w:rPr>
  </w:style>
  <w:style w:type="character" w:customStyle="1" w:styleId="CommentTextChar">
    <w:name w:val="Comment Text Char"/>
    <w:basedOn w:val="DefaultParagraphFont"/>
    <w:link w:val="CommentText"/>
    <w:uiPriority w:val="99"/>
    <w:semiHidden/>
    <w:rsid w:val="00AA5A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5A16"/>
    <w:rPr>
      <w:b/>
      <w:bCs/>
    </w:rPr>
  </w:style>
  <w:style w:type="character" w:customStyle="1" w:styleId="CommentSubjectChar">
    <w:name w:val="Comment Subject Char"/>
    <w:basedOn w:val="CommentTextChar"/>
    <w:link w:val="CommentSubject"/>
    <w:uiPriority w:val="99"/>
    <w:semiHidden/>
    <w:rsid w:val="00AA5A1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261544">
      <w:bodyDiv w:val="1"/>
      <w:marLeft w:val="0"/>
      <w:marRight w:val="0"/>
      <w:marTop w:val="0"/>
      <w:marBottom w:val="0"/>
      <w:divBdr>
        <w:top w:val="none" w:sz="0" w:space="0" w:color="auto"/>
        <w:left w:val="none" w:sz="0" w:space="0" w:color="auto"/>
        <w:bottom w:val="none" w:sz="0" w:space="0" w:color="auto"/>
        <w:right w:val="none" w:sz="0" w:space="0" w:color="auto"/>
      </w:divBdr>
    </w:div>
    <w:div w:id="855119048">
      <w:bodyDiv w:val="1"/>
      <w:marLeft w:val="0"/>
      <w:marRight w:val="0"/>
      <w:marTop w:val="0"/>
      <w:marBottom w:val="0"/>
      <w:divBdr>
        <w:top w:val="none" w:sz="0" w:space="0" w:color="auto"/>
        <w:left w:val="none" w:sz="0" w:space="0" w:color="auto"/>
        <w:bottom w:val="none" w:sz="0" w:space="0" w:color="auto"/>
        <w:right w:val="none" w:sz="0" w:space="0" w:color="auto"/>
      </w:divBdr>
      <w:divsChild>
        <w:div w:id="1777366676">
          <w:marLeft w:val="0"/>
          <w:marRight w:val="0"/>
          <w:marTop w:val="0"/>
          <w:marBottom w:val="0"/>
          <w:divBdr>
            <w:top w:val="none" w:sz="0" w:space="0" w:color="auto"/>
            <w:left w:val="none" w:sz="0" w:space="0" w:color="auto"/>
            <w:bottom w:val="none" w:sz="0" w:space="0" w:color="auto"/>
            <w:right w:val="none" w:sz="0" w:space="0" w:color="auto"/>
          </w:divBdr>
        </w:div>
        <w:div w:id="637104163">
          <w:marLeft w:val="0"/>
          <w:marRight w:val="0"/>
          <w:marTop w:val="0"/>
          <w:marBottom w:val="0"/>
          <w:divBdr>
            <w:top w:val="none" w:sz="0" w:space="0" w:color="auto"/>
            <w:left w:val="none" w:sz="0" w:space="0" w:color="auto"/>
            <w:bottom w:val="none" w:sz="0" w:space="0" w:color="auto"/>
            <w:right w:val="none" w:sz="0" w:space="0" w:color="auto"/>
          </w:divBdr>
        </w:div>
        <w:div w:id="514541899">
          <w:marLeft w:val="0"/>
          <w:marRight w:val="0"/>
          <w:marTop w:val="0"/>
          <w:marBottom w:val="0"/>
          <w:divBdr>
            <w:top w:val="none" w:sz="0" w:space="0" w:color="auto"/>
            <w:left w:val="none" w:sz="0" w:space="0" w:color="auto"/>
            <w:bottom w:val="none" w:sz="0" w:space="0" w:color="auto"/>
            <w:right w:val="none" w:sz="0" w:space="0" w:color="auto"/>
          </w:divBdr>
        </w:div>
        <w:div w:id="1650405954">
          <w:marLeft w:val="0"/>
          <w:marRight w:val="0"/>
          <w:marTop w:val="0"/>
          <w:marBottom w:val="0"/>
          <w:divBdr>
            <w:top w:val="none" w:sz="0" w:space="0" w:color="auto"/>
            <w:left w:val="none" w:sz="0" w:space="0" w:color="auto"/>
            <w:bottom w:val="none" w:sz="0" w:space="0" w:color="auto"/>
            <w:right w:val="none" w:sz="0" w:space="0" w:color="auto"/>
          </w:divBdr>
        </w:div>
      </w:divsChild>
    </w:div>
    <w:div w:id="1097403768">
      <w:bodyDiv w:val="1"/>
      <w:marLeft w:val="0"/>
      <w:marRight w:val="0"/>
      <w:marTop w:val="0"/>
      <w:marBottom w:val="0"/>
      <w:divBdr>
        <w:top w:val="none" w:sz="0" w:space="0" w:color="auto"/>
        <w:left w:val="none" w:sz="0" w:space="0" w:color="auto"/>
        <w:bottom w:val="none" w:sz="0" w:space="0" w:color="auto"/>
        <w:right w:val="none" w:sz="0" w:space="0" w:color="auto"/>
      </w:divBdr>
    </w:div>
    <w:div w:id="1770733203">
      <w:bodyDiv w:val="1"/>
      <w:marLeft w:val="0"/>
      <w:marRight w:val="0"/>
      <w:marTop w:val="0"/>
      <w:marBottom w:val="0"/>
      <w:divBdr>
        <w:top w:val="none" w:sz="0" w:space="0" w:color="auto"/>
        <w:left w:val="none" w:sz="0" w:space="0" w:color="auto"/>
        <w:bottom w:val="none" w:sz="0" w:space="0" w:color="auto"/>
        <w:right w:val="none" w:sz="0" w:space="0" w:color="auto"/>
      </w:divBdr>
    </w:div>
    <w:div w:id="191230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15203</Words>
  <Characters>86661</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ISR</Company>
  <LinksUpToDate>false</LinksUpToDate>
  <CharactersWithSpaces>101661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Arline</dc:creator>
  <cp:keywords/>
  <dc:description/>
  <cp:lastModifiedBy>chn off32</cp:lastModifiedBy>
  <cp:revision>3</cp:revision>
  <cp:lastPrinted>2021-05-26T15:48:00Z</cp:lastPrinted>
  <dcterms:created xsi:type="dcterms:W3CDTF">2021-05-26T17:10:00Z</dcterms:created>
  <dcterms:modified xsi:type="dcterms:W3CDTF">2021-08-10T08:04:00Z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id="I6WJAfhd"/&gt;&lt;style id="http://www.zotero.org/styles/american-medical-association" hasBibliography="1" bibliographyStyleHasBeenSet="1"/&gt;&lt;prefs&gt;&lt;pref name="fieldType" value="Field"/&gt;&lt;/prefs&gt;&lt;/data</vt:lpwstr>
  </property>
  <property fmtid="{D5CDD505-2E9C-101B-9397-08002B2CF9AE}" pid="3" name="ZOTERO_PREF_2">
    <vt:lpwstr>&gt;</vt:lpwstr>
  </property>
</Properties>
</file>