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6CDE5" w14:textId="22A0AD49" w:rsidR="004F6796" w:rsidRDefault="004F6796" w:rsidP="004F6796">
      <w:pPr>
        <w:pStyle w:val="CommentText"/>
        <w:spacing w:line="480" w:lineRule="auto"/>
        <w:rPr>
          <w:rFonts w:ascii="Arial" w:hAnsi="Arial" w:cs="Arial"/>
          <w:sz w:val="22"/>
          <w:szCs w:val="22"/>
        </w:rPr>
      </w:pPr>
      <w:r w:rsidRPr="003B39B3">
        <w:rPr>
          <w:rFonts w:ascii="Arial" w:hAnsi="Arial" w:cs="Arial"/>
          <w:b/>
          <w:bCs/>
          <w:sz w:val="22"/>
          <w:szCs w:val="22"/>
        </w:rPr>
        <w:t xml:space="preserve">Supplement </w:t>
      </w:r>
      <w:r w:rsidR="003B39B3" w:rsidRPr="003B39B3">
        <w:rPr>
          <w:rFonts w:ascii="Arial" w:hAnsi="Arial" w:cs="Arial"/>
          <w:b/>
          <w:bCs/>
          <w:sz w:val="22"/>
          <w:szCs w:val="22"/>
        </w:rPr>
        <w:t>1</w:t>
      </w:r>
      <w:r w:rsidRPr="003B39B3">
        <w:rPr>
          <w:rFonts w:ascii="Arial" w:hAnsi="Arial" w:cs="Arial"/>
          <w:b/>
          <w:bCs/>
          <w:sz w:val="22"/>
          <w:szCs w:val="22"/>
        </w:rPr>
        <w:t>.</w:t>
      </w:r>
      <w:r>
        <w:rPr>
          <w:rFonts w:ascii="Arial" w:hAnsi="Arial" w:cs="Arial"/>
          <w:sz w:val="22"/>
          <w:szCs w:val="22"/>
        </w:rPr>
        <w:t xml:space="preserve"> Detailed statistical analysis plan for </w:t>
      </w:r>
      <w:proofErr w:type="spellStart"/>
      <w:r>
        <w:rPr>
          <w:rFonts w:ascii="Arial" w:hAnsi="Arial" w:cs="Arial"/>
          <w:sz w:val="22"/>
          <w:szCs w:val="22"/>
        </w:rPr>
        <w:t>CommunityRx</w:t>
      </w:r>
      <w:proofErr w:type="spellEnd"/>
      <w:r>
        <w:rPr>
          <w:rFonts w:ascii="Arial" w:hAnsi="Arial" w:cs="Arial"/>
          <w:sz w:val="22"/>
          <w:szCs w:val="22"/>
        </w:rPr>
        <w:t xml:space="preserve">-Hunger and </w:t>
      </w:r>
      <w:proofErr w:type="spellStart"/>
      <w:r>
        <w:rPr>
          <w:rFonts w:ascii="Arial" w:hAnsi="Arial" w:cs="Arial"/>
          <w:sz w:val="22"/>
          <w:szCs w:val="22"/>
        </w:rPr>
        <w:t>CommunityRx</w:t>
      </w:r>
      <w:proofErr w:type="spellEnd"/>
      <w:r>
        <w:rPr>
          <w:rFonts w:ascii="Arial" w:hAnsi="Arial" w:cs="Arial"/>
          <w:sz w:val="22"/>
          <w:szCs w:val="22"/>
        </w:rPr>
        <w:t>-Dementia</w:t>
      </w:r>
    </w:p>
    <w:p w14:paraId="488BFE0C" w14:textId="7A4F60BA" w:rsidR="005B53EC" w:rsidRDefault="005B53EC" w:rsidP="004F6796">
      <w:pPr>
        <w:pStyle w:val="CommentText"/>
        <w:spacing w:line="480" w:lineRule="auto"/>
        <w:rPr>
          <w:rFonts w:ascii="Arial" w:hAnsi="Arial" w:cs="Arial"/>
          <w:sz w:val="22"/>
          <w:szCs w:val="22"/>
        </w:rPr>
      </w:pPr>
      <w:r>
        <w:rPr>
          <w:rFonts w:ascii="Arial" w:hAnsi="Arial" w:cs="Arial"/>
          <w:sz w:val="22"/>
          <w:szCs w:val="22"/>
        </w:rPr>
        <w:t xml:space="preserve">Table 1 </w:t>
      </w:r>
      <w:r w:rsidR="00F876D6">
        <w:rPr>
          <w:rFonts w:ascii="Arial" w:hAnsi="Arial" w:cs="Arial"/>
          <w:sz w:val="22"/>
          <w:szCs w:val="22"/>
        </w:rPr>
        <w:t xml:space="preserve">in the main narrative </w:t>
      </w:r>
      <w:r>
        <w:rPr>
          <w:rFonts w:ascii="Arial" w:hAnsi="Arial" w:cs="Arial"/>
          <w:sz w:val="22"/>
          <w:szCs w:val="22"/>
        </w:rPr>
        <w:t xml:space="preserve">describes the design characteristics, scientific aims and corresponding outcomes of </w:t>
      </w:r>
      <w:proofErr w:type="spellStart"/>
      <w:r>
        <w:rPr>
          <w:rFonts w:ascii="Arial" w:hAnsi="Arial" w:cs="Arial"/>
          <w:sz w:val="22"/>
          <w:szCs w:val="22"/>
        </w:rPr>
        <w:t>CommunityRx</w:t>
      </w:r>
      <w:proofErr w:type="spellEnd"/>
      <w:r>
        <w:rPr>
          <w:rFonts w:ascii="Arial" w:hAnsi="Arial" w:cs="Arial"/>
          <w:sz w:val="22"/>
          <w:szCs w:val="22"/>
        </w:rPr>
        <w:t xml:space="preserve">-Hunger and </w:t>
      </w:r>
      <w:proofErr w:type="spellStart"/>
      <w:r>
        <w:rPr>
          <w:rFonts w:ascii="Arial" w:hAnsi="Arial" w:cs="Arial"/>
          <w:sz w:val="22"/>
          <w:szCs w:val="22"/>
        </w:rPr>
        <w:t>CommunityRx</w:t>
      </w:r>
      <w:proofErr w:type="spellEnd"/>
      <w:r>
        <w:rPr>
          <w:rFonts w:ascii="Arial" w:hAnsi="Arial" w:cs="Arial"/>
          <w:sz w:val="22"/>
          <w:szCs w:val="22"/>
        </w:rPr>
        <w:t>-Dementia</w:t>
      </w:r>
      <w:r w:rsidR="00144F3E">
        <w:rPr>
          <w:rFonts w:ascii="Arial" w:hAnsi="Arial" w:cs="Arial"/>
          <w:sz w:val="22"/>
          <w:szCs w:val="22"/>
        </w:rPr>
        <w:t>.</w:t>
      </w:r>
    </w:p>
    <w:p w14:paraId="10991053" w14:textId="4B6DFFB7" w:rsidR="004F6796" w:rsidRDefault="004F6796" w:rsidP="004F6796">
      <w:pPr>
        <w:spacing w:before="100" w:beforeAutospacing="1" w:after="100" w:afterAutospacing="1" w:line="480" w:lineRule="auto"/>
        <w:rPr>
          <w:rFonts w:ascii="Arial" w:eastAsia="Calibri" w:hAnsi="Arial" w:cs="Arial"/>
        </w:rPr>
      </w:pPr>
      <w:r>
        <w:rPr>
          <w:rFonts w:ascii="Arial" w:eastAsia="Calibri" w:hAnsi="Arial" w:cs="Arial"/>
        </w:rPr>
        <w:t xml:space="preserve">Aim 1 analyses will evaluate the impact of the intervention on self-efficacy, limiting the analytic sample to food insecure caregivers for </w:t>
      </w:r>
      <w:proofErr w:type="spellStart"/>
      <w:r>
        <w:rPr>
          <w:rFonts w:ascii="Arial" w:eastAsia="Calibri" w:hAnsi="Arial" w:cs="Arial"/>
        </w:rPr>
        <w:t>CommunityRx</w:t>
      </w:r>
      <w:proofErr w:type="spellEnd"/>
      <w:r>
        <w:rPr>
          <w:rFonts w:ascii="Arial" w:eastAsia="Calibri" w:hAnsi="Arial" w:cs="Arial"/>
        </w:rPr>
        <w:t xml:space="preserve">-Hunger and caregivers with at least 1 HRSR for </w:t>
      </w:r>
      <w:proofErr w:type="spellStart"/>
      <w:r>
        <w:rPr>
          <w:rFonts w:ascii="Arial" w:eastAsia="Calibri" w:hAnsi="Arial" w:cs="Arial"/>
        </w:rPr>
        <w:t>CommunityRx</w:t>
      </w:r>
      <w:proofErr w:type="spellEnd"/>
      <w:r>
        <w:rPr>
          <w:rFonts w:ascii="Arial" w:eastAsia="Calibri" w:hAnsi="Arial" w:cs="Arial"/>
        </w:rPr>
        <w:t xml:space="preserve">-Dementia. For </w:t>
      </w:r>
      <w:proofErr w:type="spellStart"/>
      <w:r>
        <w:rPr>
          <w:rFonts w:ascii="Arial" w:eastAsia="Calibri" w:hAnsi="Arial" w:cs="Arial"/>
        </w:rPr>
        <w:t>CommunityRx</w:t>
      </w:r>
      <w:proofErr w:type="spellEnd"/>
      <w:r>
        <w:rPr>
          <w:rFonts w:ascii="Arial" w:eastAsia="Calibri" w:hAnsi="Arial" w:cs="Arial"/>
        </w:rPr>
        <w:t>-Hunger, the primary outcome of caregiver self-efficacy for finding resources is assessed using an adapted measure of Bandura’s 1-item Self-Efficacy Scale,</w:t>
      </w:r>
      <w:r w:rsidR="004F2392">
        <w:rPr>
          <w:rFonts w:ascii="Arial" w:eastAsia="Calibri" w:hAnsi="Arial" w:cs="Arial"/>
        </w:rPr>
        <w:fldChar w:fldCharType="begin"/>
      </w:r>
      <w:r w:rsidR="004F2392">
        <w:rPr>
          <w:rFonts w:ascii="Arial" w:eastAsia="Calibri" w:hAnsi="Arial" w:cs="Arial"/>
        </w:rPr>
        <w:instrText xml:space="preserve"> ADDIN ZOTERO_ITEM CSL_CITATION {"citationID":"1jU7HR0Q","properties":{"formattedCitation":"(1,2)","plainCitation":"(1,2)","noteIndex":0},"citationItems":[{"id":729,"uris":["http://zotero.org/groups/627109/items/TH9WN784"],"itemData":{"id":729,"type":"article-journal","container-title":"Psychological review","ISSN":"1939-1471","issue":"2","page":"191","title":"Self-efficacy: toward a unifying theory of behavioral change","title-short":"Self-efficacy: toward a unifying theory of behavioral change","volume":"84","author":[{"family":"Bandura","given":"Albert"}],"issued":{"date-parts":[["1977"]]}}},{"id":1122,"uris":["http://zotero.org/groups/627109/items/MG7GDJJF"],"itemData":{"id":1122,"type":"chapter","container-title":"Self-Efficacy Beliefs of Adolescents","page":"307-337","publisher":"Information Age Publishing","title":"Guide for constructing self-efficacy scales","URL":"https://www.uky.edu/~eushe2/Bandura/BanduraGuide2006.pdf","author":[{"family":"Bandura","given":"Albert"}],"accessed":{"date-parts":[["2018",2,23]]},"issued":{"date-parts":[["2006"]]}}}],"schema":"https://github.com/citation-style-language/schema/raw/master/csl-citation.json"} </w:instrText>
      </w:r>
      <w:r w:rsidR="004F2392">
        <w:rPr>
          <w:rFonts w:ascii="Arial" w:eastAsia="Calibri" w:hAnsi="Arial" w:cs="Arial"/>
        </w:rPr>
        <w:fldChar w:fldCharType="separate"/>
      </w:r>
      <w:r w:rsidR="004F2392" w:rsidRPr="004F2392">
        <w:rPr>
          <w:rFonts w:ascii="Arial" w:hAnsi="Arial" w:cs="Arial"/>
        </w:rPr>
        <w:t>(1,2)</w:t>
      </w:r>
      <w:r w:rsidR="004F2392">
        <w:rPr>
          <w:rFonts w:ascii="Arial" w:eastAsia="Calibri" w:hAnsi="Arial" w:cs="Arial"/>
        </w:rPr>
        <w:fldChar w:fldCharType="end"/>
      </w:r>
      <w:r w:rsidRPr="00FF4ECA">
        <w:rPr>
          <w:rFonts w:ascii="Arial" w:eastAsia="Calibri" w:hAnsi="Arial" w:cs="Arial"/>
        </w:rPr>
        <w:t xml:space="preserve"> “How confident are you in your ability to find resources in your community that help you manage your health?”</w:t>
      </w:r>
      <w:r>
        <w:rPr>
          <w:rFonts w:ascii="Arial" w:eastAsia="Calibri" w:hAnsi="Arial" w:cs="Arial"/>
        </w:rPr>
        <w:t xml:space="preserve"> Responses will be assessed on a 1 (“not at all confident”) to 5-point (“completely confident”) Likert scale. Self-efficacy is queried at baseline, 7 days, 30 days, </w:t>
      </w:r>
      <w:r w:rsidR="00B9724A">
        <w:rPr>
          <w:rFonts w:ascii="Arial" w:eastAsia="Calibri" w:hAnsi="Arial" w:cs="Arial"/>
        </w:rPr>
        <w:t xml:space="preserve">90 days, </w:t>
      </w:r>
      <w:r w:rsidR="001C4521">
        <w:rPr>
          <w:rFonts w:ascii="Arial" w:eastAsia="Calibri" w:hAnsi="Arial" w:cs="Arial"/>
        </w:rPr>
        <w:t>6 months</w:t>
      </w:r>
      <w:r>
        <w:rPr>
          <w:rFonts w:ascii="Arial" w:eastAsia="Calibri" w:hAnsi="Arial" w:cs="Arial"/>
        </w:rPr>
        <w:t>, and 12 months. Secondary outcomes include severity of household food insecurity,</w:t>
      </w:r>
      <w:r w:rsidR="00B522F9">
        <w:rPr>
          <w:rFonts w:ascii="Arial" w:eastAsia="Calibri" w:hAnsi="Arial" w:cs="Arial"/>
        </w:rPr>
        <w:fldChar w:fldCharType="begin"/>
      </w:r>
      <w:r w:rsidR="00B522F9">
        <w:rPr>
          <w:rFonts w:ascii="Arial" w:eastAsia="Calibri" w:hAnsi="Arial" w:cs="Arial"/>
        </w:rPr>
        <w:instrText xml:space="preserve"> ADDIN ZOTERO_ITEM CSL_CITATION {"citationID":"9hNV8Uyh","properties":{"formattedCitation":"(3)","plainCitation":"(3)","noteIndex":0},"citationItems":[{"id":1357,"uris":["http://zotero.org/groups/627109/items/F4PAJQK2"],"itemData":{"id":1357,"type":"webpage","container-title":"Center for Medicare &amp; Medicaid Services","title":"The Accountable Health Communities Health-Related Social Needs Screening Tool","URL":"https://innovation.cms.gov/Files/worksheets/ahcm-screeningtool.pdf","accessed":{"date-parts":[["2021",7,7]]}}}],"schema":"https://github.com/citation-style-language/schema/raw/master/csl-citation.json"} </w:instrText>
      </w:r>
      <w:r w:rsidR="00B522F9">
        <w:rPr>
          <w:rFonts w:ascii="Arial" w:eastAsia="Calibri" w:hAnsi="Arial" w:cs="Arial"/>
        </w:rPr>
        <w:fldChar w:fldCharType="separate"/>
      </w:r>
      <w:r w:rsidR="00B522F9" w:rsidRPr="00B522F9">
        <w:rPr>
          <w:rFonts w:ascii="Arial" w:hAnsi="Arial" w:cs="Arial"/>
        </w:rPr>
        <w:t>(3)</w:t>
      </w:r>
      <w:r w:rsidR="00B522F9">
        <w:rPr>
          <w:rFonts w:ascii="Arial" w:eastAsia="Calibri" w:hAnsi="Arial" w:cs="Arial"/>
        </w:rPr>
        <w:fldChar w:fldCharType="end"/>
      </w:r>
      <w:r>
        <w:rPr>
          <w:rFonts w:ascii="Arial" w:eastAsia="Calibri" w:hAnsi="Arial" w:cs="Arial"/>
        </w:rPr>
        <w:t xml:space="preserve"> caregiver health, assessed using the Medical </w:t>
      </w:r>
      <w:r w:rsidRPr="00FF4ECA">
        <w:rPr>
          <w:rFonts w:ascii="Arial" w:eastAsia="Calibri" w:hAnsi="Arial" w:cs="Arial"/>
        </w:rPr>
        <w:t>Outcomes Study Short Form-12</w:t>
      </w:r>
      <w:r>
        <w:rPr>
          <w:rFonts w:ascii="Arial" w:eastAsia="Calibri" w:hAnsi="Arial" w:cs="Arial"/>
        </w:rPr>
        <w:t>,</w:t>
      </w:r>
      <w:r w:rsidR="00B522F9">
        <w:rPr>
          <w:rFonts w:ascii="Arial" w:eastAsia="Calibri" w:hAnsi="Arial" w:cs="Arial"/>
        </w:rPr>
        <w:fldChar w:fldCharType="begin"/>
      </w:r>
      <w:r w:rsidR="00B522F9">
        <w:rPr>
          <w:rFonts w:ascii="Arial" w:eastAsia="Calibri" w:hAnsi="Arial" w:cs="Arial"/>
        </w:rPr>
        <w:instrText xml:space="preserve"> ADDIN ZOTERO_ITEM CSL_CITATION {"citationID":"nlJnu6wU","properties":{"formattedCitation":"(4)","plainCitation":"(4)","noteIndex":0},"citationItems":[{"id":797,"uris":["http://zotero.org/groups/627109/items/XMA73V4J"],"itemData":{"id":797,"type":"article-journal","abstract":"Physical component summary (PCS) and mental component summary (MCS) measures make it possible to reduce the number of statistical comparisons and thereby the role of chance in testing hypotheses about health outcomes. To test their usefulness relative to a profile of eight scores, results were compared across 16 tests involving patients (N = 1,440) participating in the Medical Outcomes Study. Comparisons were made between groups known to differ at a point in time or to change over time in terms of age, diagnosis, severity of disease, comorbid conditions, acute symptoms, self-reported changes in health, and recovery from clinical depression. The relative validity (RV) of each measure was estimated by a comparison of statistical results with those for the best scales in the same tests. Differences in RV among scales from the Medical Outcomes Study 36-Item Short-Form Health Survey (SF-36) were consistent with those in previous studies. One or both of the summary measures were significant for 14 of 15 differences detected in multivariate analyses of profiles and detected differences missed by the profile in one test. Relative validity coefficients ranged from .20 to .94 (median, .79) for PCS in tests involving physical criteria and from .93 to 1.45 (median, 1.02) for MCS in tests involving mental criteria. The MCS was superior to the best SF-36 scale in three of four tests involving mental health. Results suggest that the two summary measures may be useful in most studies and that their empiric validity, relative to the best SF-36 scale, will depend on the application. Surveys offering the option of analyzing both a profile and psychometrically based summary measures have an advantage over those that do not.","container-title":"Medical Care","ISSN":"0025-7079","issue":"4 Suppl","journalAbbreviation":"Med Care","language":"eng","note":"PMID: 7723455","page":"AS264-279","source":"PubMed","title":"Comparison of methods for the scoring and statistical analysis of SF-36 health profile and summary measures: summary of results from the Medical Outcomes Study","title-short":"Comparison of methods for the scoring and statistical analysis of SF-36 health profile and summary measures","volume":"33","author":[{"family":"Ware","given":"J. E."},{"family":"Kosinski","given":"M."},{"family":"Bayliss","given":"M. S."},{"family":"McHorney","given":"C. A."},{"family":"Rogers","given":"W. H."},{"family":"Raczek","given":"A."}],"issued":{"date-parts":[["1995",4]]}}}],"schema":"https://github.com/citation-style-language/schema/raw/master/csl-citation.json"} </w:instrText>
      </w:r>
      <w:r w:rsidR="00B522F9">
        <w:rPr>
          <w:rFonts w:ascii="Arial" w:eastAsia="Calibri" w:hAnsi="Arial" w:cs="Arial"/>
        </w:rPr>
        <w:fldChar w:fldCharType="separate"/>
      </w:r>
      <w:r w:rsidR="00B522F9" w:rsidRPr="00B522F9">
        <w:rPr>
          <w:rFonts w:ascii="Arial" w:hAnsi="Arial" w:cs="Arial"/>
        </w:rPr>
        <w:t>(4)</w:t>
      </w:r>
      <w:r w:rsidR="00B522F9">
        <w:rPr>
          <w:rFonts w:ascii="Arial" w:eastAsia="Calibri" w:hAnsi="Arial" w:cs="Arial"/>
        </w:rPr>
        <w:fldChar w:fldCharType="end"/>
      </w:r>
      <w:r>
        <w:rPr>
          <w:rFonts w:ascii="Arial" w:eastAsia="Calibri" w:hAnsi="Arial" w:cs="Arial"/>
        </w:rPr>
        <w:t xml:space="preserve"> caregiver-reported child health, using the </w:t>
      </w:r>
      <w:r w:rsidRPr="00FF4ECA">
        <w:rPr>
          <w:rFonts w:ascii="Arial" w:eastAsia="Calibri" w:hAnsi="Arial" w:cs="Arial"/>
        </w:rPr>
        <w:t>single-item physical and mental health measure from the National Survey of Child Health</w:t>
      </w:r>
      <w:r>
        <w:rPr>
          <w:rFonts w:ascii="Arial" w:eastAsia="Calibri" w:hAnsi="Arial" w:cs="Arial"/>
        </w:rPr>
        <w:t>,</w:t>
      </w:r>
      <w:r w:rsidR="004F2392">
        <w:rPr>
          <w:rFonts w:ascii="Arial" w:eastAsia="Calibri" w:hAnsi="Arial" w:cs="Arial"/>
        </w:rPr>
        <w:fldChar w:fldCharType="begin"/>
      </w:r>
      <w:r w:rsidR="00B522F9">
        <w:rPr>
          <w:rFonts w:ascii="Arial" w:eastAsia="Calibri" w:hAnsi="Arial" w:cs="Arial"/>
        </w:rPr>
        <w:instrText xml:space="preserve"> ADDIN ZOTERO_ITEM CSL_CITATION {"citationID":"Hsbe2ZWp","properties":{"formattedCitation":"(5)","plainCitation":"(5)","noteIndex":0},"citationItems":[{"id":544,"uris":["http://zotero.org/groups/627109/items/XIHTZQI8"],"itemData":{"id":544,"type":"document","publisher":"Health Resources and Services Administration, Maternal and Child Health Bureau, Centers for Disease Control and Prevention, National Center for Health Statistics","title":"National Survey of Children's Health, 2003","title-short":"2011 National Survey of Children's Health","URL":"http://www.cdc.gov/nchs/data/slaits/nsch_questionnaire.pdf","accessed":{"date-parts":[["2016",2,29]]},"issued":{"date-parts":[["2003"]]}}}],"schema":"https://github.com/citation-style-language/schema/raw/master/csl-citation.json"} </w:instrText>
      </w:r>
      <w:r w:rsidR="004F2392">
        <w:rPr>
          <w:rFonts w:ascii="Arial" w:eastAsia="Calibri" w:hAnsi="Arial" w:cs="Arial"/>
        </w:rPr>
        <w:fldChar w:fldCharType="separate"/>
      </w:r>
      <w:r w:rsidR="00B522F9" w:rsidRPr="00B522F9">
        <w:rPr>
          <w:rFonts w:ascii="Arial" w:hAnsi="Arial" w:cs="Arial"/>
        </w:rPr>
        <w:t>(5)</w:t>
      </w:r>
      <w:r w:rsidR="004F2392">
        <w:rPr>
          <w:rFonts w:ascii="Arial" w:eastAsia="Calibri" w:hAnsi="Arial" w:cs="Arial"/>
        </w:rPr>
        <w:fldChar w:fldCharType="end"/>
      </w:r>
      <w:r>
        <w:rPr>
          <w:rFonts w:ascii="Arial" w:eastAsia="Calibri" w:hAnsi="Arial" w:cs="Arial"/>
        </w:rPr>
        <w:t xml:space="preserve"> adult and child nutrition, and child healthcare utilization obtained from the child’s electronic medical record and caregiver self-report</w:t>
      </w:r>
      <w:r w:rsidRPr="00FF4ECA">
        <w:rPr>
          <w:rFonts w:ascii="Arial" w:eastAsia="Calibri" w:hAnsi="Arial" w:cs="Arial"/>
        </w:rPr>
        <w:t>.</w:t>
      </w:r>
      <w:r>
        <w:rPr>
          <w:rFonts w:ascii="Arial" w:eastAsia="Calibri" w:hAnsi="Arial" w:cs="Arial"/>
        </w:rPr>
        <w:t xml:space="preserve"> For the primary outcome of self-efficacy for finding resources at 12-months, 236 food insecure caregivers per arm allows detection of a treatment difference of a similar magnitude as that from a previous </w:t>
      </w:r>
      <w:proofErr w:type="spellStart"/>
      <w:r w:rsidR="00CC5586">
        <w:rPr>
          <w:rFonts w:ascii="Arial" w:eastAsia="Calibri" w:hAnsi="Arial" w:cs="Arial"/>
        </w:rPr>
        <w:t>CommunityRx</w:t>
      </w:r>
      <w:proofErr w:type="spellEnd"/>
      <w:r>
        <w:rPr>
          <w:rFonts w:ascii="Arial" w:eastAsia="Calibri" w:hAnsi="Arial" w:cs="Arial"/>
        </w:rPr>
        <w:t xml:space="preserve"> trial</w:t>
      </w:r>
      <w:r w:rsidR="004F2392">
        <w:rPr>
          <w:rFonts w:ascii="Arial" w:eastAsia="Calibri" w:hAnsi="Arial" w:cs="Arial"/>
        </w:rPr>
        <w:fldChar w:fldCharType="begin"/>
      </w:r>
      <w:r w:rsidR="00B522F9">
        <w:rPr>
          <w:rFonts w:ascii="Arial" w:eastAsia="Calibri" w:hAnsi="Arial" w:cs="Arial"/>
        </w:rPr>
        <w:instrText xml:space="preserve"> ADDIN ZOTERO_ITEM CSL_CITATION {"citationID":"VN4u70Gy","properties":{"formattedCitation":"(6)","plainCitation":"(6)","noteIndex":0},"citationItems":[{"id":10,"uris":["http://zotero.org/groups/627109/items/ADF7UDWD"],"itemData":{"id":10,"type":"article-journal","container-title":"American Journal of Public Health","DOI":"10.2105/AJPH.2018.304905.","issue":"4","note":"PMCID: PMC6417580","page":"600-606","title":"CommunityRx: A real-world controlled clinical trial of a scalable, low-intensity community resource referral intervention","volume":"109","author":[{"family":"Lindau","given":"S. T."},{"family":"Makelarski","given":"JA"},{"family":"Abramsohn","given":"E"},{"family":"Beiser","given":"David G."},{"family":"Boyd","given":"K"},{"family":"Chou","given":"C"},{"family":"Giurcanu","given":"M"},{"family":"Huang","given":"ES"}],"issued":{"date-parts":[["2019",4]]}}}],"schema":"https://github.com/citation-style-language/schema/raw/master/csl-citation.json"} </w:instrText>
      </w:r>
      <w:r w:rsidR="004F2392">
        <w:rPr>
          <w:rFonts w:ascii="Arial" w:eastAsia="Calibri" w:hAnsi="Arial" w:cs="Arial"/>
        </w:rPr>
        <w:fldChar w:fldCharType="separate"/>
      </w:r>
      <w:r w:rsidR="00B522F9" w:rsidRPr="00B522F9">
        <w:rPr>
          <w:rFonts w:ascii="Arial" w:hAnsi="Arial" w:cs="Arial"/>
        </w:rPr>
        <w:t>(6)</w:t>
      </w:r>
      <w:r w:rsidR="004F2392">
        <w:rPr>
          <w:rFonts w:ascii="Arial" w:eastAsia="Calibri" w:hAnsi="Arial" w:cs="Arial"/>
        </w:rPr>
        <w:fldChar w:fldCharType="end"/>
      </w:r>
      <w:r>
        <w:rPr>
          <w:rFonts w:ascii="Arial" w:eastAsia="Calibri" w:hAnsi="Arial" w:cs="Arial"/>
        </w:rPr>
        <w:t xml:space="preserve"> (</w:t>
      </w:r>
      <w:r w:rsidRPr="004C3B39">
        <w:rPr>
          <w:rFonts w:ascii="Arial" w:eastAsia="Calibri" w:hAnsi="Arial" w:cs="Arial"/>
        </w:rPr>
        <w:t>3.56 +/- 1.47 vs. 3.92 +/- 1.24</w:t>
      </w:r>
      <w:r>
        <w:rPr>
          <w:rFonts w:ascii="Arial" w:eastAsia="Calibri" w:hAnsi="Arial" w:cs="Arial"/>
        </w:rPr>
        <w:t xml:space="preserve">). These calculations, performed during the study design phase, assumed a group allocation of 1:1, power=0.8, alpha=0.05, and incorporated a nonparametric adjustment. </w:t>
      </w:r>
    </w:p>
    <w:p w14:paraId="5B13E996" w14:textId="67E20F59" w:rsidR="004F6796" w:rsidRDefault="004F6796" w:rsidP="004F6796">
      <w:pPr>
        <w:spacing w:before="100" w:beforeAutospacing="1" w:after="100" w:afterAutospacing="1" w:line="480" w:lineRule="auto"/>
        <w:rPr>
          <w:rFonts w:ascii="Arial" w:eastAsia="Calibri" w:hAnsi="Arial" w:cs="Arial"/>
        </w:rPr>
      </w:pPr>
      <w:r>
        <w:rPr>
          <w:rFonts w:ascii="Arial" w:eastAsia="Calibri" w:hAnsi="Arial" w:cs="Arial"/>
        </w:rPr>
        <w:t xml:space="preserve">For </w:t>
      </w:r>
      <w:proofErr w:type="spellStart"/>
      <w:r>
        <w:rPr>
          <w:rFonts w:ascii="Arial" w:eastAsia="Calibri" w:hAnsi="Arial" w:cs="Arial"/>
        </w:rPr>
        <w:t>CommunityRx</w:t>
      </w:r>
      <w:proofErr w:type="spellEnd"/>
      <w:r>
        <w:rPr>
          <w:rFonts w:ascii="Arial" w:eastAsia="Calibri" w:hAnsi="Arial" w:cs="Arial"/>
        </w:rPr>
        <w:t xml:space="preserve">-Dementia, caregiver self-efficacy is assessed using the 4-item </w:t>
      </w:r>
      <w:r w:rsidRPr="004600D4">
        <w:rPr>
          <w:rFonts w:ascii="Arial" w:eastAsia="Calibri" w:hAnsi="Arial" w:cs="Arial"/>
        </w:rPr>
        <w:t>self-efficacy sub-domain from the 2015 Caregiver Dementia Care and Self-Efficacy Survey</w:t>
      </w:r>
      <w:r w:rsidR="004F2392">
        <w:rPr>
          <w:rFonts w:ascii="Arial" w:eastAsia="Calibri" w:hAnsi="Arial" w:cs="Arial"/>
        </w:rPr>
        <w:fldChar w:fldCharType="begin"/>
      </w:r>
      <w:r w:rsidR="00B522F9">
        <w:rPr>
          <w:rFonts w:ascii="Arial" w:eastAsia="Calibri" w:hAnsi="Arial" w:cs="Arial"/>
        </w:rPr>
        <w:instrText xml:space="preserve"> ADDIN ZOTERO_ITEM CSL_CITATION {"citationID":"efbmhChh","properties":{"formattedCitation":"(7)","plainCitation":"(7)","noteIndex":0},"citationItems":[{"id":711,"uris":["http://zotero.org/groups/627109/items/3RD7TH7Q"],"itemData":{"id":711,"type":"article-journal","abstract":"Two samples of family caregivers (Study 1: N = 169; Study 2: N = 145) of cognitively impaired older adults were used to revise, extend, and evaluate a measure of perceived self-efficacy for caregiving tasks. The Revised Scale for Caregiving Self-Efficacy measures 3 domains of caregiving self-efficacy: Obtaining Respite, Responding to Disruptive Patient Behaviors, and Controlling Upsetting Thoughts. The 3 subscales show strong internal consistency and adequate test-retest reliability. Construct validity is supported by relationships between these 3 facets of perceived caregiving efficacy and depression, anxiety, anger, perceived social support, and criticism expressed in speech samples. The Revised Scale for Caregiving Self-Efficacy has potential uses for both research and clinical purposes.","container-title":"The Journals of Gerontology. Series B, Psychological Sciences and Social Sciences","ISSN":"1079-5014","issue":"1","journalAbbreviation":"J Gerontol B Psychol Sci Soc Sci","language":"eng","note":"PMID: 11773226","page":"P74-86","source":"PubMed","title":"The revised scale for caregiving self-efficacy: reliability and validity studies","title-short":"The revised scale for caregiving self-efficacy","volume":"57","author":[{"family":"Steffen","given":"Ann M."},{"family":"McKibbin","given":"Christine"},{"family":"Zeiss","given":"Antonette M."},{"family":"Gallagher-Thompson","given":"Dolores"},{"family":"Bandura","given":"Albert"}],"issued":{"date-parts":[["2002",1]]}}}],"schema":"https://github.com/citation-style-language/schema/raw/master/csl-citation.json"} </w:instrText>
      </w:r>
      <w:r w:rsidR="004F2392">
        <w:rPr>
          <w:rFonts w:ascii="Arial" w:eastAsia="Calibri" w:hAnsi="Arial" w:cs="Arial"/>
        </w:rPr>
        <w:fldChar w:fldCharType="separate"/>
      </w:r>
      <w:r w:rsidR="00B522F9" w:rsidRPr="00B522F9">
        <w:rPr>
          <w:rFonts w:ascii="Arial" w:hAnsi="Arial" w:cs="Arial"/>
        </w:rPr>
        <w:t>(7)</w:t>
      </w:r>
      <w:r w:rsidR="004F2392">
        <w:rPr>
          <w:rFonts w:ascii="Arial" w:eastAsia="Calibri" w:hAnsi="Arial" w:cs="Arial"/>
        </w:rPr>
        <w:fldChar w:fldCharType="end"/>
      </w:r>
      <w:r>
        <w:rPr>
          <w:rFonts w:ascii="Arial" w:eastAsia="Calibri" w:hAnsi="Arial" w:cs="Arial"/>
        </w:rPr>
        <w:t xml:space="preserve"> that utilizes a 1 (“not at all confident”) to 5-point (“completely confident”) Likert scale. Per protocol, responses </w:t>
      </w:r>
      <w:r>
        <w:rPr>
          <w:rFonts w:ascii="Arial" w:eastAsia="Calibri" w:hAnsi="Arial" w:cs="Arial"/>
        </w:rPr>
        <w:lastRenderedPageBreak/>
        <w:t xml:space="preserve">will be averaged. Self-efficacy is queried at baseline, 30 days, </w:t>
      </w:r>
      <w:r w:rsidR="00B9724A">
        <w:rPr>
          <w:rFonts w:ascii="Arial" w:eastAsia="Calibri" w:hAnsi="Arial" w:cs="Arial"/>
        </w:rPr>
        <w:t xml:space="preserve">90 days </w:t>
      </w:r>
      <w:r>
        <w:rPr>
          <w:rFonts w:ascii="Arial" w:eastAsia="Calibri" w:hAnsi="Arial" w:cs="Arial"/>
        </w:rPr>
        <w:t>and 12 months. Secondary outcomes include psychosocial outcomes (unmet needs,</w:t>
      </w:r>
      <w:r w:rsidR="00B522F9">
        <w:rPr>
          <w:rFonts w:ascii="Arial" w:eastAsia="Calibri" w:hAnsi="Arial" w:cs="Arial"/>
        </w:rPr>
        <w:fldChar w:fldCharType="begin"/>
      </w:r>
      <w:r w:rsidR="00B522F9">
        <w:rPr>
          <w:rFonts w:ascii="Arial" w:eastAsia="Calibri" w:hAnsi="Arial" w:cs="Arial"/>
        </w:rPr>
        <w:instrText xml:space="preserve"> ADDIN ZOTERO_ITEM CSL_CITATION {"citationID":"WXfIKyBd","properties":{"formattedCitation":"(8)","plainCitation":"(8)","noteIndex":0},"citationItems":[{"id":1358,"uris":["http://zotero.org/groups/627109/items/NXIPBQPW"],"itemData":{"id":1358,"type":"article-journal","abstract":"OBJECTIVES: To characterize caregiver strain, depressive symptoms, and self-efficacy for managing dementia-related problems and the relationship between these and referring provider type.\nDESIGN: Cross-sectional observational cohort.\nSETTING: Urban academic medical center.\nPARTICIPANTS: Caregivers of community-dwelling adults with dementia referred to a dementia care management program.\nMEASUREMENTS: Caregivers were surveyed and completed the Patient Health Questionnaire (PHQ-9) about themselves; the Modified Caregiver Strain Index; the Neuropsychiatric Inventory Questionnaire, which measures patient symptom severity and related caregiver distress; and a nine-item caregiver self-efficacy scale developed for the study.\nRESULTS: Of 307 patient-caregiver dyads surveyed over a 1-year period, 32% of caregivers reported confidence in managing dementia-related problems, 19% knew how to access community services to help provide care, and 28% agreed that the individual's provider helped them work through dementia care problems. Thirty-eight percent reported high levels of caregiver strain, and 15% reported moderate to severe depressive symptoms. Caregivers of individuals referred by geriatricians more often reported having a healthcare professional to help work through dementia care problems than those referred by internists, family physicians, or other specialists, but self-efficacy did not differ. Low caregiver self-efficacy was associated with higher caregiver strain, more caregiver depressive symptoms, and caring for an individual with more-severe behavioral symptoms.\nCONCLUSION: Most caregivers perceived inadequate support from the individual's provider in managing dementia-related problems, reported strain, and had low confidence in managing caregiving. New models of care are needed to address the complex care needs of individuals with dementia and their caregivers.","container-title":"Journal of the American Geriatrics Society","DOI":"10.1111/jgs.13251","ISSN":"1532-5415","issue":"2","journalAbbreviation":"J Am Geriatr Soc","language":"eng","note":"PMID: 25688604\nPMCID: PMC4332558","page":"282-289","source":"PubMed","title":"Unmet needs of caregivers of individuals referred to a dementia care program","volume":"63","author":[{"family":"Jennings","given":"Lee A."},{"family":"Reuben","given":"David B."},{"family":"Evertson","given":"Leslie Chang"},{"family":"Serrano","given":"Katherine S."},{"family":"Ercoli","given":"Linda"},{"family":"Grill","given":"Joshua"},{"family":"Chodosh","given":"Joshua"},{"family":"Tan","given":"Zaldy"},{"family":"Wenger","given":"Neil S."}],"issued":{"date-parts":[["2015",2]]}}}],"schema":"https://github.com/citation-style-language/schema/raw/master/csl-citation.json"} </w:instrText>
      </w:r>
      <w:r w:rsidR="00B522F9">
        <w:rPr>
          <w:rFonts w:ascii="Arial" w:eastAsia="Calibri" w:hAnsi="Arial" w:cs="Arial"/>
        </w:rPr>
        <w:fldChar w:fldCharType="separate"/>
      </w:r>
      <w:r w:rsidR="00B522F9" w:rsidRPr="00B522F9">
        <w:rPr>
          <w:rFonts w:ascii="Arial" w:hAnsi="Arial" w:cs="Arial"/>
        </w:rPr>
        <w:t>(8)</w:t>
      </w:r>
      <w:r w:rsidR="00B522F9">
        <w:rPr>
          <w:rFonts w:ascii="Arial" w:eastAsia="Calibri" w:hAnsi="Arial" w:cs="Arial"/>
        </w:rPr>
        <w:fldChar w:fldCharType="end"/>
      </w:r>
      <w:r>
        <w:rPr>
          <w:rFonts w:ascii="Arial" w:eastAsia="Calibri" w:hAnsi="Arial" w:cs="Arial"/>
        </w:rPr>
        <w:t xml:space="preserve"> social isolation, caregiver well-being, caregiver burden,</w:t>
      </w:r>
      <w:r w:rsidR="00F876D6">
        <w:rPr>
          <w:rFonts w:ascii="Arial" w:eastAsia="Calibri" w:hAnsi="Arial" w:cs="Arial"/>
        </w:rPr>
        <w:fldChar w:fldCharType="begin"/>
      </w:r>
      <w:r w:rsidR="00926218">
        <w:rPr>
          <w:rFonts w:ascii="Arial" w:eastAsia="Calibri" w:hAnsi="Arial" w:cs="Arial"/>
        </w:rPr>
        <w:instrText xml:space="preserve"> ADDIN ZOTERO_ITEM CSL_CITATION {"citationID":"60o6tifK","properties":{"formattedCitation":"(9)","plainCitation":"(9)","noteIndex":0},"citationItems":[{"id":1341,"uris":["http://zotero.org/groups/627109/items/F4WNAJ6T"],"itemData":{"id":1341,"type":"article-journal","abstract":"OBJECTIVES: To better capture the scope of caregiver burden by creating a composite of 3 existing measures that assess different health domains.\nDESIGN: Prospective follow-up study.\nSETTING: University-based dementia care management program.\nPARTICIPANTS: Caregivers of persons with dementia (PWD) (N=1,091).\nMEASUREMENTS: The composite measure (the Dementia Burden Scale-Caregiver (DBS-CG)) was based on the Modified Caregiver Strain Index, Neuropsychiatric Inventory Questionnaire Distress Scale, and Patient Health Questionnaire (PHQ-9). Alternative factor structures were evaluated using 2 confirmatory factor analysis (CFA) models: a bifactor model and a 3 correlated factors model. Good model fit was defined as a root mean square error of approximation (RMSEA) of less than 0.06 and comparative fit index (CFI) value greater than 0.95. Coefficient omega was used to estimate scale reliability. Minimally important differences (MIDs) were estimated by anchoring the magnitude of DBS-CG change to change in caregiver self-efficacy and functional ability of PWD.\nRESULTS: The bifactor CFA model fit best (RMSEA = 0.04, CFI = 0.95). Based on this model, a DBS-CG scale was created wherein all items were transformed to a possible range of 0 to 100 and then averaged. Higher scores indicate higher burden. Mean DBS-CG score was 27.3. The reliability was excellent (coefficient omega=0.93). MID estimates ranged from 4 to 5 points (effect sizes: 0.20-0.49).\nCONCLUSION: This study provides support for the reliability and validity of the DBS-CG. It can be used as an outcome measure to assess the effect of interventions to reduce dementia caregiver burden.","container-title":"Journal of the American Geriatrics Society","DOI":"10.1111/jgs.15502","ISSN":"1532-5415","issue":"9","journalAbbreviation":"J Am Geriatr Soc","language":"eng","note":"PMID: 30094817","page":"1785-1789","source":"PubMed","title":"A Composite Measure of Caregiver Burden in Dementia: The Dementia Burden Scale-Caregiver","title-short":"A Composite Measure of Caregiver Burden in Dementia","volume":"66","author":[{"family":"Peipert","given":"John D."},{"family":"Jennings","given":"Lee A."},{"family":"Hays","given":"Ron D."},{"family":"Wenger","given":"Neil S."},{"family":"Keeler","given":"Emmett"},{"family":"Reuben","given":"David B."}],"issued":{"date-parts":[["2018",9]]}}}],"schema":"https://github.com/citation-style-language/schema/raw/master/csl-citation.json"} </w:instrText>
      </w:r>
      <w:r w:rsidR="00F876D6">
        <w:rPr>
          <w:rFonts w:ascii="Arial" w:eastAsia="Calibri" w:hAnsi="Arial" w:cs="Arial"/>
        </w:rPr>
        <w:fldChar w:fldCharType="separate"/>
      </w:r>
      <w:r w:rsidR="00926218" w:rsidRPr="00926218">
        <w:rPr>
          <w:rFonts w:ascii="Arial" w:hAnsi="Arial" w:cs="Arial"/>
        </w:rPr>
        <w:t>(9)</w:t>
      </w:r>
      <w:r w:rsidR="00F876D6">
        <w:rPr>
          <w:rFonts w:ascii="Arial" w:eastAsia="Calibri" w:hAnsi="Arial" w:cs="Arial"/>
        </w:rPr>
        <w:fldChar w:fldCharType="end"/>
      </w:r>
      <w:bookmarkStart w:id="0" w:name="_GoBack"/>
      <w:bookmarkEnd w:id="0"/>
      <w:r>
        <w:rPr>
          <w:rFonts w:ascii="Arial" w:eastAsia="Calibri" w:hAnsi="Arial" w:cs="Arial"/>
        </w:rPr>
        <w:t xml:space="preserve"> depression,</w:t>
      </w:r>
      <w:r w:rsidR="00F876D6">
        <w:rPr>
          <w:rFonts w:ascii="Arial" w:eastAsia="Calibri" w:hAnsi="Arial" w:cs="Arial"/>
        </w:rPr>
        <w:fldChar w:fldCharType="begin"/>
      </w:r>
      <w:r w:rsidR="00F876D6">
        <w:rPr>
          <w:rFonts w:ascii="Arial" w:eastAsia="Calibri" w:hAnsi="Arial" w:cs="Arial"/>
        </w:rPr>
        <w:instrText xml:space="preserve"> ADDIN ZOTERO_ITEM CSL_CITATION {"citationID":"oIZIdVsG","properties":{"formattedCitation":"(10)","plainCitation":"(10)","noteIndex":0},"citationItems":[{"id":4641,"uris":["http://zotero.org/groups/627109/items/5XXHSBJA"],"itemData":{"id":4641,"type":"article-journal","abstract":"PURPOSE Although screening for unipolar depression is controversial, it is potentially an efficient way to find undetected cases and improve diagnostic acumen. Using a reference standard, we aimed to validate the 2- and 9-question Patient Health Questionnaires (PHQ-2 and PHQ-9) in primary care settings. The PHQ-2 comprises the first 2 questions of the PHQ-9.\nMETHODS Consecutive adult patients attending Auckland family practices completed the PHQ-9, after which they completed the Composite International Diagnostic Interview (CIDI) depression reference standard. Sensitivities and specificities for PHQ-2 and PHQ-9 were analyzed.\nRESULTS There were 2,642 patients who completed both the PHQ-9 and the CIDI. Sensitivity and specificity of the PHQ-2 for diagnosing major depression were 86% and 78%, respectively, with a score of 2 or higher and 61% and 92% with a score 3 or higher; for the PHQ-9, they were 74% and 91%, respectively, with a score of 10 or higher. For the PHQ-2 a score of 2 or higher detected more cases of depression than a score of 3 or higher. For the PHQ-9 a score of 10 or higher detected more cases of major depression than the PHQ determination of major depression originally described by Spitzer et al in 1999.\nCONCLUSIONS We report the largest validation study of the PHQ-2 and PHQ-9, compared with a reference standard interview, undertaken in an exclusively primary care population. The PHQ-2 score or 2 or higher had good sensitivity but poor specificity in detecting major depression. Using a PHQ-2 threshold score of 2 or higher rather than 3 or higher resulted in more depressed patients being correctly identified. A PHQ-9 score of 10 or higher appears to detect more depressed patients than the originally described PHQ-9 scoring for major depression.","container-title":"The Annals of Family Medicine","DOI":"10.1370/afm.1139","ISSN":"1544-1709, 1544-1717","issue":"4","language":"en","license":"© 2010 Annals of Family Medicine, Inc.","note":"publisher: The Annals of Family Medicine\nsection: Methodology\nPMID: 20644190","page":"348-353","source":"www.annfammed.org","title":"Validation of PHQ-2 and PHQ-9 to Screen for Major Depression in the Primary Care Population","volume":"8","author":[{"family":"Arroll","given":"Bruce"},{"family":"Goodyear-Smith","given":"Felicity"},{"family":"Crengle","given":"Susan"},{"family":"Gunn","given":"Jane"},{"family":"Kerse","given":"Ngaire"},{"family":"Fishman","given":"Tana"},{"family":"Falloon","given":"Karen"},{"family":"Hatcher","given":"Simon"}],"issued":{"date-parts":[["2010",7,1]]}}}],"schema":"https://github.com/citation-style-language/schema/raw/master/csl-citation.json"} </w:instrText>
      </w:r>
      <w:r w:rsidR="00F876D6">
        <w:rPr>
          <w:rFonts w:ascii="Arial" w:eastAsia="Calibri" w:hAnsi="Arial" w:cs="Arial"/>
        </w:rPr>
        <w:fldChar w:fldCharType="separate"/>
      </w:r>
      <w:r w:rsidR="00F876D6" w:rsidRPr="00F876D6">
        <w:rPr>
          <w:rFonts w:ascii="Arial" w:hAnsi="Arial" w:cs="Arial"/>
        </w:rPr>
        <w:t>(10)</w:t>
      </w:r>
      <w:r w:rsidR="00F876D6">
        <w:rPr>
          <w:rFonts w:ascii="Arial" w:eastAsia="Calibri" w:hAnsi="Arial" w:cs="Arial"/>
        </w:rPr>
        <w:fldChar w:fldCharType="end"/>
      </w:r>
      <w:r>
        <w:rPr>
          <w:rFonts w:ascii="Arial" w:eastAsia="Calibri" w:hAnsi="Arial" w:cs="Arial"/>
        </w:rPr>
        <w:t xml:space="preserve"> and stress</w:t>
      </w:r>
      <w:r w:rsidR="00F876D6">
        <w:rPr>
          <w:rFonts w:ascii="Arial" w:eastAsia="Calibri" w:hAnsi="Arial" w:cs="Arial"/>
        </w:rPr>
        <w:fldChar w:fldCharType="begin"/>
      </w:r>
      <w:r w:rsidR="00F876D6">
        <w:rPr>
          <w:rFonts w:ascii="Arial" w:eastAsia="Calibri" w:hAnsi="Arial" w:cs="Arial"/>
        </w:rPr>
        <w:instrText xml:space="preserve"> ADDIN ZOTERO_ITEM CSL_CITATION {"citationID":"5K2NF78y","properties":{"formattedCitation":"(11)","plainCitation":"(11)","noteIndex":0},"citationItems":[{"id":37,"uris":["http://zotero.org/groups/627109/items/8NDKS3LI"],"itemData":{"id":37,"type":"article-journal","container-title":"Journal of Health and Social Behavior","ISSN":"0022-1465","issue":"4","journalAbbreviation":"J Health Soc Behav","language":"eng","note":"PMID: 6668417","page":"385-396","source":"PubMed","title":"A global measure of perceived stress","volume":"24","author":[{"family":"Cohen","given":"S."},{"family":"Kamarck","given":"T."},{"family":"Mermelstein","given":"R."}],"issued":{"date-parts":[["1983",12]]}}}],"schema":"https://github.com/citation-style-language/schema/raw/master/csl-citation.json"} </w:instrText>
      </w:r>
      <w:r w:rsidR="00F876D6">
        <w:rPr>
          <w:rFonts w:ascii="Arial" w:eastAsia="Calibri" w:hAnsi="Arial" w:cs="Arial"/>
        </w:rPr>
        <w:fldChar w:fldCharType="separate"/>
      </w:r>
      <w:r w:rsidR="00F876D6" w:rsidRPr="00F876D6">
        <w:rPr>
          <w:rFonts w:ascii="Arial" w:hAnsi="Arial" w:cs="Arial"/>
        </w:rPr>
        <w:t>(11)</w:t>
      </w:r>
      <w:r w:rsidR="00F876D6">
        <w:rPr>
          <w:rFonts w:ascii="Arial" w:eastAsia="Calibri" w:hAnsi="Arial" w:cs="Arial"/>
        </w:rPr>
        <w:fldChar w:fldCharType="end"/>
      </w:r>
      <w:r>
        <w:rPr>
          <w:rFonts w:ascii="Arial" w:eastAsia="Calibri" w:hAnsi="Arial" w:cs="Arial"/>
        </w:rPr>
        <w:t>), behavioral outcomes (use of the web-based Community Resource Finder), and health and healthcare outcomes (caregiver physical health and quality of life,</w:t>
      </w:r>
      <w:r w:rsidR="00F876D6">
        <w:rPr>
          <w:rFonts w:ascii="Arial" w:eastAsia="Calibri" w:hAnsi="Arial" w:cs="Arial"/>
        </w:rPr>
        <w:fldChar w:fldCharType="begin"/>
      </w:r>
      <w:r w:rsidR="00926218">
        <w:rPr>
          <w:rFonts w:ascii="Arial" w:eastAsia="Calibri" w:hAnsi="Arial" w:cs="Arial"/>
        </w:rPr>
        <w:instrText xml:space="preserve"> ADDIN ZOTERO_ITEM CSL_CITATION {"citationID":"yJBrkYxJ","properties":{"formattedCitation":"(12)","plainCitation":"(12)","noteIndex":0},"citationItems":[{"id":4200,"uris":["http://zotero.org/groups/627109/items/76RJFDPI"],"itemData":{"id":4200,"type":"article-journal","abstract":"PURPOSE: To develop and validate an item-response theory-based patient-reported outcomes assessment tool of positive affect and well-being (PAW). This is part of a larger NINDS-funded study to develop a health-related quality of life measurement system across major neurological disorders, called Neuro-QOL.\nMETHODS: Informed by a literature review and qualitative input from clinicians and patients, item pools were created to assess PAW concepts. Items were administered to a general population sample (N = 513) and a group of individuals with a variety of neurologic conditions (N = 581) for calibration and validation purposes, respectively.\nRESULTS: A 23-item calibrated bank and a 9-item short form of PAW was developed, reflecting components of positive affect, life satisfaction, or an overall sense of purpose and meaning. The Neuro-QOL PAW measure demonstrated sufficient unidimensionality and displayed good internal consistency, test-retest reliability, model fit, convergent and discriminant validity, and responsiveness.\nCONCLUSION: The Neuro-QOL PAW measure was designed to aid clinicians and researchers to better evaluate and understand the potential role of positive health processes for individuals with chronic neurological conditions. Further psychometric testing within and between neurological conditions, as well as testing in non-neurologic chronic diseases, will help evaluate the generalizability of this new tool.","container-title":"Quality of Life Research: An International Journal of Quality of Life Aspects of Treatment, Care and Rehabilitation","DOI":"10.1007/s11136-013-0382-0","ISSN":"1573-2649","issue":"9","journalAbbreviation":"Qual Life Res","language":"eng","note":"PMID: 23526093\nPMCID: PMC3855608","page":"2569-2580","source":"PubMed","title":"Development and validation of the positive affect and well-being scale for the neurology quality of life (Neuro-QOL) measurement system","volume":"22","author":[{"family":"Salsman","given":"John M."},{"family":"Victorson","given":"David"},{"family":"Choi","given":"Seung W."},{"family":"Peterman","given":"Amy H."},{"family":"Heinemann","given":"Allen W."},{"family":"Nowinski","given":"Cindy"},{"family":"Cella","given":"David"}],"issued":{"date-parts":[["2013",11]]}}}],"schema":"https://github.com/citation-style-language/schema/raw/master/csl-citation.json"} </w:instrText>
      </w:r>
      <w:r w:rsidR="00F876D6">
        <w:rPr>
          <w:rFonts w:ascii="Arial" w:eastAsia="Calibri" w:hAnsi="Arial" w:cs="Arial"/>
        </w:rPr>
        <w:fldChar w:fldCharType="separate"/>
      </w:r>
      <w:r w:rsidR="00926218" w:rsidRPr="00926218">
        <w:rPr>
          <w:rFonts w:ascii="Arial" w:hAnsi="Arial" w:cs="Arial"/>
        </w:rPr>
        <w:t>(12)</w:t>
      </w:r>
      <w:r w:rsidR="00F876D6">
        <w:rPr>
          <w:rFonts w:ascii="Arial" w:eastAsia="Calibri" w:hAnsi="Arial" w:cs="Arial"/>
        </w:rPr>
        <w:fldChar w:fldCharType="end"/>
      </w:r>
      <w:r>
        <w:rPr>
          <w:rFonts w:ascii="Arial" w:eastAsia="Calibri" w:hAnsi="Arial" w:cs="Arial"/>
        </w:rPr>
        <w:t xml:space="preserve"> physical health of the care recipient,</w:t>
      </w:r>
      <w:r w:rsidR="00926218">
        <w:rPr>
          <w:rFonts w:ascii="Arial" w:eastAsia="Calibri" w:hAnsi="Arial" w:cs="Arial"/>
        </w:rPr>
        <w:fldChar w:fldCharType="begin"/>
      </w:r>
      <w:r w:rsidR="00926218">
        <w:rPr>
          <w:rFonts w:ascii="Arial" w:eastAsia="Calibri" w:hAnsi="Arial" w:cs="Arial"/>
        </w:rPr>
        <w:instrText xml:space="preserve"> ADDIN ZOTERO_ITEM CSL_CITATION {"citationID":"Y83AFKzS","properties":{"formattedCitation":"(4)","plainCitation":"(4)","noteIndex":0},"citationItems":[{"id":797,"uris":["http://zotero.org/groups/627109/items/XMA73V4J"],"itemData":{"id":797,"type":"article-journal","abstract":"Physical component summary (PCS) and mental component summary (MCS) measures make it possible to reduce the number of statistical comparisons and thereby the role of chance in testing hypotheses about health outcomes. To test their usefulness relative to a profile of eight scores, results were compared across 16 tests involving patients (N = 1,440) participating in the Medical Outcomes Study. Comparisons were made between groups known to differ at a point in time or to change over time in terms of age, diagnosis, severity of disease, comorbid conditions, acute symptoms, self-reported changes in health, and recovery from clinical depression. The relative validity (RV) of each measure was estimated by a comparison of statistical results with those for the best scales in the same tests. Differences in RV among scales from the Medical Outcomes Study 36-Item Short-Form Health Survey (SF-36) were consistent with those in previous studies. One or both of the summary measures were significant for 14 of 15 differences detected in multivariate analyses of profiles and detected differences missed by the profile in one test. Relative validity coefficients ranged from .20 to .94 (median, .79) for PCS in tests involving physical criteria and from .93 to 1.45 (median, 1.02) for MCS in tests involving mental criteria. The MCS was superior to the best SF-36 scale in three of four tests involving mental health. Results suggest that the two summary measures may be useful in most studies and that their empiric validity, relative to the best SF-36 scale, will depend on the application. Surveys offering the option of analyzing both a profile and psychometrically based summary measures have an advantage over those that do not.","container-title":"Medical Care","ISSN":"0025-7079","issue":"4 Suppl","journalAbbreviation":"Med Care","language":"eng","note":"PMID: 7723455","page":"AS264-279","source":"PubMed","title":"Comparison of methods for the scoring and statistical analysis of SF-36 health profile and summary measures: summary of results from the Medical Outcomes Study","title-short":"Comparison of methods for the scoring and statistical analysis of SF-36 health profile and summary measures","volume":"33","author":[{"family":"Ware","given":"J. E."},{"family":"Kosinski","given":"M."},{"family":"Bayliss","given":"M. S."},{"family":"McHorney","given":"C. A."},{"family":"Rogers","given":"W. H."},{"family":"Raczek","given":"A."}],"issued":{"date-parts":[["1995",4]]}}}],"schema":"https://github.com/citation-style-language/schema/raw/master/csl-citation.json"} </w:instrText>
      </w:r>
      <w:r w:rsidR="00926218">
        <w:rPr>
          <w:rFonts w:ascii="Arial" w:eastAsia="Calibri" w:hAnsi="Arial" w:cs="Arial"/>
        </w:rPr>
        <w:fldChar w:fldCharType="separate"/>
      </w:r>
      <w:r w:rsidR="00926218" w:rsidRPr="00926218">
        <w:rPr>
          <w:rFonts w:ascii="Arial" w:hAnsi="Arial" w:cs="Arial"/>
        </w:rPr>
        <w:t>(4)</w:t>
      </w:r>
      <w:r w:rsidR="00926218">
        <w:rPr>
          <w:rFonts w:ascii="Arial" w:eastAsia="Calibri" w:hAnsi="Arial" w:cs="Arial"/>
        </w:rPr>
        <w:fldChar w:fldCharType="end"/>
      </w:r>
      <w:r>
        <w:rPr>
          <w:rFonts w:ascii="Arial" w:eastAsia="Calibri" w:hAnsi="Arial" w:cs="Arial"/>
        </w:rPr>
        <w:t xml:space="preserve"> and healthcare utilization). For the primary outcome of caregiver self-efficacy at 12 months, 86 caregivers with unmet HRSRs in each arm allows for a detectable treatment difference of 0.43 points, a minimally important difference. Calculations assumed a group allocation of 1:1, power=0.8, alpha=0.05, mean=2.8 in the control group, and SD=1. </w:t>
      </w:r>
    </w:p>
    <w:p w14:paraId="25F50A7E" w14:textId="77777777" w:rsidR="004F6796" w:rsidRDefault="004F6796" w:rsidP="004F6796">
      <w:pPr>
        <w:spacing w:before="100" w:beforeAutospacing="1" w:after="100" w:afterAutospacing="1" w:line="480" w:lineRule="auto"/>
        <w:rPr>
          <w:rFonts w:ascii="Arial" w:eastAsia="Calibri" w:hAnsi="Arial" w:cs="Arial"/>
        </w:rPr>
      </w:pPr>
      <w:bookmarkStart w:id="1" w:name="_Hlk135140263"/>
      <w:r>
        <w:rPr>
          <w:rFonts w:ascii="Arial" w:eastAsia="Calibri" w:hAnsi="Arial" w:cs="Arial"/>
        </w:rPr>
        <w:t xml:space="preserve">Generalized linear mixed models (GLMM) will be utilized to leverage the longitudinal data, fit with a time by study arm interaction. Time points will include 7, 30, 90, 180 days and 12 months post-discharge for </w:t>
      </w:r>
      <w:proofErr w:type="spellStart"/>
      <w:r>
        <w:rPr>
          <w:rFonts w:ascii="Arial" w:eastAsia="Calibri" w:hAnsi="Arial" w:cs="Arial"/>
        </w:rPr>
        <w:t>CommunityRx</w:t>
      </w:r>
      <w:proofErr w:type="spellEnd"/>
      <w:r>
        <w:rPr>
          <w:rFonts w:ascii="Arial" w:eastAsia="Calibri" w:hAnsi="Arial" w:cs="Arial"/>
        </w:rPr>
        <w:t xml:space="preserve">-Hunger and 7, 30, 90 days and 12 months for </w:t>
      </w:r>
      <w:proofErr w:type="spellStart"/>
      <w:r>
        <w:rPr>
          <w:rFonts w:ascii="Arial" w:eastAsia="Calibri" w:hAnsi="Arial" w:cs="Arial"/>
        </w:rPr>
        <w:t>CommunityRx</w:t>
      </w:r>
      <w:proofErr w:type="spellEnd"/>
      <w:r>
        <w:rPr>
          <w:rFonts w:ascii="Arial" w:eastAsia="Calibri" w:hAnsi="Arial" w:cs="Arial"/>
        </w:rPr>
        <w:t xml:space="preserve">-Dementia. The baseline value will be included as a covariate. </w:t>
      </w:r>
    </w:p>
    <w:bookmarkEnd w:id="1"/>
    <w:p w14:paraId="44A045EF" w14:textId="3647C354" w:rsidR="005B53EC" w:rsidRDefault="004F6796" w:rsidP="004F6796">
      <w:pPr>
        <w:spacing w:before="100" w:beforeAutospacing="1" w:after="100" w:afterAutospacing="1" w:line="480" w:lineRule="auto"/>
        <w:rPr>
          <w:rFonts w:ascii="Arial" w:eastAsia="Calibri" w:hAnsi="Arial" w:cs="Arial"/>
        </w:rPr>
      </w:pPr>
      <w:r>
        <w:rPr>
          <w:rFonts w:ascii="Arial" w:eastAsia="Calibri" w:hAnsi="Arial" w:cs="Arial"/>
        </w:rPr>
        <w:t xml:space="preserve">Aim 2 analyses include all randomized caregivers and will assess whether </w:t>
      </w:r>
      <w:bookmarkStart w:id="2" w:name="_Hlk135140356"/>
      <w:r>
        <w:rPr>
          <w:rFonts w:ascii="Arial" w:eastAsia="Calibri" w:hAnsi="Arial" w:cs="Arial"/>
        </w:rPr>
        <w:t>the intervention has an impact on caregiver satisfaction with care (measured at 7 days) and experiences of discrimination.</w:t>
      </w:r>
      <w:bookmarkEnd w:id="2"/>
      <w:r>
        <w:rPr>
          <w:rFonts w:ascii="Arial" w:eastAsia="Calibri" w:hAnsi="Arial" w:cs="Arial"/>
        </w:rPr>
        <w:t xml:space="preserve"> For </w:t>
      </w:r>
      <w:proofErr w:type="spellStart"/>
      <w:r>
        <w:rPr>
          <w:rFonts w:ascii="Arial" w:eastAsia="Calibri" w:hAnsi="Arial" w:cs="Arial"/>
        </w:rPr>
        <w:t>CommunityRx</w:t>
      </w:r>
      <w:proofErr w:type="spellEnd"/>
      <w:r>
        <w:rPr>
          <w:rFonts w:ascii="Arial" w:eastAsia="Calibri" w:hAnsi="Arial" w:cs="Arial"/>
        </w:rPr>
        <w:t xml:space="preserve">-Hunger, the primary outcome of interest is assessed using the </w:t>
      </w:r>
      <w:r w:rsidR="00723871">
        <w:rPr>
          <w:rFonts w:ascii="Arial" w:eastAsia="Calibri" w:hAnsi="Arial" w:cs="Arial"/>
        </w:rPr>
        <w:t xml:space="preserve">Child </w:t>
      </w:r>
      <w:r w:rsidRPr="00FF4ECA">
        <w:rPr>
          <w:rFonts w:ascii="Arial" w:eastAsia="Calibri" w:hAnsi="Arial" w:cs="Arial"/>
        </w:rPr>
        <w:t>Hospital Consumer Assessment of Healt</w:t>
      </w:r>
      <w:r>
        <w:rPr>
          <w:rFonts w:ascii="Arial" w:eastAsia="Calibri" w:hAnsi="Arial" w:cs="Arial"/>
        </w:rPr>
        <w:t>hcare Providers Survey (HCAHPS),</w:t>
      </w:r>
      <w:r w:rsidR="004F2392">
        <w:rPr>
          <w:rFonts w:ascii="Arial" w:eastAsia="Calibri" w:hAnsi="Arial" w:cs="Arial"/>
        </w:rPr>
        <w:fldChar w:fldCharType="begin"/>
      </w:r>
      <w:r w:rsidR="00926218">
        <w:rPr>
          <w:rFonts w:ascii="Arial" w:eastAsia="Calibri" w:hAnsi="Arial" w:cs="Arial"/>
        </w:rPr>
        <w:instrText xml:space="preserve"> ADDIN ZOTERO_ITEM CSL_CITATION {"citationID":"C4hvYBci","properties":{"formattedCitation":"(13)","plainCitation":"(13)","noteIndex":0},"citationItems":[{"id":735,"uris":["http://zotero.org/groups/627109/items/P3IZ9WJW"],"itemData":{"id":735,"type":"article-journal","abstract":"Using HCAHPS (Hospital Consumer Assessment of Healthcare Providers and Systems, also known as the CAHPS Hospital Survey) data from 2,684 hospitals, the authors compare the experiences of Hispanic, African American, Asian/Pacific Islander, American Indian/Alaska Native, and multiracial inpatients with those of non-Hispanic White inpatients to understand the roles of between- and within-hospital differences in patients' perspectives of hospital care. The study finds that, on average, non-Hispanic White inpatients receive care at hospitals that provide better experiences for all patients than the hospitals more often used by minority patients. Within hospitals, patient experiences are more similar by race/ethnicity, though some disparities do exist, especially for Asians. This research suggests that targeting hospitals that serve predominantly minority patients, improving the access of minority patients to better hospitals, and targeting the experiences of Asians within hospitals may be promising means of reducing disparities in patient experience.","container-title":"Medical care research and review: MCRR","DOI":"10.1177/1077558709341066","ISSN":"1552-6801","issue":"1","journalAbbreviation":"Med Care Res Rev","language":"eng","note":"PMID: 19652150","page":"74-92","source":"PubMed","title":"Racial/ethnic differences in patients' perceptions of inpatient care using the HCAHPS survey","volume":"67","author":[{"family":"Goldstein","given":"Elizabeth"},{"family":"Elliott","given":"Marc N."},{"family":"Lehrman","given":"William G."},{"family":"Hambarsoomian","given":"Katrin"},{"family":"Giordano","given":"Laura A."}],"issued":{"date-parts":[["2010",2]]}}}],"schema":"https://github.com/citation-style-language/schema/raw/master/csl-citation.json"} </w:instrText>
      </w:r>
      <w:r w:rsidR="004F2392">
        <w:rPr>
          <w:rFonts w:ascii="Arial" w:eastAsia="Calibri" w:hAnsi="Arial" w:cs="Arial"/>
        </w:rPr>
        <w:fldChar w:fldCharType="separate"/>
      </w:r>
      <w:r w:rsidR="00926218" w:rsidRPr="00926218">
        <w:rPr>
          <w:rFonts w:ascii="Arial" w:hAnsi="Arial" w:cs="Arial"/>
        </w:rPr>
        <w:t>(13)</w:t>
      </w:r>
      <w:r w:rsidR="004F2392">
        <w:rPr>
          <w:rFonts w:ascii="Arial" w:eastAsia="Calibri" w:hAnsi="Arial" w:cs="Arial"/>
        </w:rPr>
        <w:fldChar w:fldCharType="end"/>
      </w:r>
      <w:r>
        <w:rPr>
          <w:rFonts w:ascii="Arial" w:eastAsia="Calibri" w:hAnsi="Arial" w:cs="Arial"/>
        </w:rPr>
        <w:t xml:space="preserve"> which queries satisfaction with discharge. The total score will be transformed to a 0-100 scale for ease of interpretation. Assuming group allocation of 1:1, one-sided alpha=0.05, standard deviation of 8, and a non-inferiority margin of 1.6, a total sample size of 640 is needed to achieve 80% </w:t>
      </w:r>
      <w:proofErr w:type="gramStart"/>
      <w:r>
        <w:rPr>
          <w:rFonts w:ascii="Arial" w:eastAsia="Calibri" w:hAnsi="Arial" w:cs="Arial"/>
        </w:rPr>
        <w:t>power</w:t>
      </w:r>
      <w:proofErr w:type="gramEnd"/>
      <w:r>
        <w:rPr>
          <w:rFonts w:ascii="Arial" w:eastAsia="Calibri" w:hAnsi="Arial" w:cs="Arial"/>
        </w:rPr>
        <w:t xml:space="preserve">. For </w:t>
      </w:r>
      <w:proofErr w:type="spellStart"/>
      <w:r>
        <w:rPr>
          <w:rFonts w:ascii="Arial" w:eastAsia="Calibri" w:hAnsi="Arial" w:cs="Arial"/>
        </w:rPr>
        <w:t>CommunityRx</w:t>
      </w:r>
      <w:proofErr w:type="spellEnd"/>
      <w:r>
        <w:rPr>
          <w:rFonts w:ascii="Arial" w:eastAsia="Calibri" w:hAnsi="Arial" w:cs="Arial"/>
        </w:rPr>
        <w:t xml:space="preserve">-Dementia, the primary outcome of satisfaction with care is assessed using the </w:t>
      </w:r>
      <w:r w:rsidRPr="00C5732B">
        <w:rPr>
          <w:rFonts w:ascii="Arial" w:eastAsia="Calibri" w:hAnsi="Arial" w:cs="Arial"/>
        </w:rPr>
        <w:t>Patient Satisfaction Questionnaire 18-item short form (PSQ-18)</w:t>
      </w:r>
      <w:r>
        <w:rPr>
          <w:rFonts w:ascii="Arial" w:eastAsia="Calibri" w:hAnsi="Arial" w:cs="Arial"/>
        </w:rPr>
        <w:t>.</w:t>
      </w:r>
      <w:r w:rsidR="004F2392">
        <w:rPr>
          <w:rFonts w:ascii="Arial" w:eastAsia="Calibri" w:hAnsi="Arial" w:cs="Arial"/>
        </w:rPr>
        <w:fldChar w:fldCharType="begin"/>
      </w:r>
      <w:r w:rsidR="00926218">
        <w:rPr>
          <w:rFonts w:ascii="Arial" w:eastAsia="Calibri" w:hAnsi="Arial" w:cs="Arial"/>
        </w:rPr>
        <w:instrText xml:space="preserve"> ADDIN ZOTERO_ITEM CSL_CITATION {"citationID":"l87pwmlN","properties":{"formattedCitation":"(14)","plainCitation":"(14)","noteIndex":0},"citationItems":[{"id":1335,"uris":["http://zotero.org/groups/627109/items/NZTMCMTI"],"itemData":{"id":1335,"type":"webpage","container-title":"RAND","title":"The Patient Satisfaction Questionnaire Short-Form (PSQ-18)","URL":"https://www.rand.org/content/dam/rand/pubs/papers/2006/P7865.pdf","author":[{"family":"Marshall","given":"Grant N"},{"family":"Hays","given":"Ron D"}],"accessed":{"date-parts":[["2018",12,13]]},"issued":{"date-parts":[["1994"]]}}}],"schema":"https://github.com/citation-style-language/schema/raw/master/csl-citation.json"} </w:instrText>
      </w:r>
      <w:r w:rsidR="004F2392">
        <w:rPr>
          <w:rFonts w:ascii="Arial" w:eastAsia="Calibri" w:hAnsi="Arial" w:cs="Arial"/>
        </w:rPr>
        <w:fldChar w:fldCharType="separate"/>
      </w:r>
      <w:r w:rsidR="00926218" w:rsidRPr="00926218">
        <w:rPr>
          <w:rFonts w:ascii="Arial" w:hAnsi="Arial" w:cs="Arial"/>
        </w:rPr>
        <w:t>(14)</w:t>
      </w:r>
      <w:r w:rsidR="004F2392">
        <w:rPr>
          <w:rFonts w:ascii="Arial" w:eastAsia="Calibri" w:hAnsi="Arial" w:cs="Arial"/>
        </w:rPr>
        <w:fldChar w:fldCharType="end"/>
      </w:r>
      <w:r>
        <w:rPr>
          <w:rFonts w:ascii="Arial" w:eastAsia="Calibri" w:hAnsi="Arial" w:cs="Arial"/>
        </w:rPr>
        <w:t xml:space="preserve"> With a total sample size of 344, there would be 80% power (one-sided alpha=0.025, SD=25) to detect a non-inferiority margin of 7.6. In both trials, discrimination is assessed using the </w:t>
      </w:r>
      <w:r w:rsidRPr="00C5732B">
        <w:rPr>
          <w:rFonts w:ascii="Arial" w:eastAsia="Calibri" w:hAnsi="Arial" w:cs="Arial"/>
        </w:rPr>
        <w:t xml:space="preserve">Discrimination </w:t>
      </w:r>
      <w:r>
        <w:rPr>
          <w:rFonts w:ascii="Arial" w:eastAsia="Calibri" w:hAnsi="Arial" w:cs="Arial"/>
        </w:rPr>
        <w:t>in Medical Settings Scale (DMS).</w:t>
      </w:r>
      <w:r w:rsidR="004F2392">
        <w:rPr>
          <w:rFonts w:ascii="Arial" w:eastAsia="Calibri" w:hAnsi="Arial" w:cs="Arial"/>
        </w:rPr>
        <w:fldChar w:fldCharType="begin"/>
      </w:r>
      <w:r w:rsidR="00926218">
        <w:rPr>
          <w:rFonts w:ascii="Arial" w:eastAsia="Calibri" w:hAnsi="Arial" w:cs="Arial"/>
        </w:rPr>
        <w:instrText xml:space="preserve"> ADDIN ZOTERO_ITEM CSL_CITATION {"citationID":"SAlQUMSq","properties":{"formattedCitation":"(15)","plainCitation":"(15)","noteIndex":0},"citationItems":[{"id":863,"uris":["http://zotero.org/groups/627109/items/IAD37DEF"],"itemData":{"id":863,"type":"article-journal","abstract":"Objective\nDespite evidence that discrimination within the health care system may play an important role in perpetuating health disparities, instruments designed to measure discrimination within the health care setting have not been adequately tested or validated. Consequently, we sought to test the psychometric properties of a modified version of the Everyday Discrimination scale, adapted for medical settings.\n\nDesign\nCross-sectional study.\n\nSetting\nAcademic medical center in Chicago.\n\nParticipants\nSeventy-four African American patients.\n\nOutcome measures\nWe measured factor analysis, internal consistency, test-retest reliability, convergent validity and discriminant validity.\n\nResults\nSeventy-four participants completed the baseline interviews and 66 participants (89%) completed the follow-up interviews. Eighty percent were women. The Discrimination in Medical Settings (DMS) Scale had a single factor solution (eigenvalue of 4.36), a Cronbach’s alpha of 0.89 and test-retest reliability of .58 (P&lt;.0001). The DMS was significantly correlated with an overall measure of societal discrimination (EOD) (r=.51, P&lt;.001) as well as two of its three subscales (unfair: r=−.04, P=.76; discrimination: r=.45, P&lt;0.001; worry: r=−.36, P=.002). The DMS was associated with the overall African American Trust in Health Care Scale (r=.27, P=.02) as well as two key subscales (racism: r=.31, P&lt;.001; disrespect: r=.44, P&lt;.001). The DMS scale was inversely associated with the Social Desirability Scale (r=.18, P=.13). The DMS scale was not correlated with the Center for Epidemiologic Studies Depression Scale (r=.03, P=.80).\n\nConclusions\nThe Discrimination in Medical Settings Scale has excellent internal consistency, test-retest reliability, convergent validity and discriminant validity among our sample of African American patients. Further testing is warranted among other racial/ethnic groups.","container-title":"Ethnicity &amp; disease","ISSN":"1049-510X","issue":"4","journalAbbreviation":"Ethn Dis","note":"PMID: 22428358\nPMCID: PMC3350778","page":"502-509","source":"PubMed Central","title":"Adapting the everyday discrimination scale to medical settings: Reliability and validity testing in a sample of African American patients","title-short":"Adapting the Everyday Discrimination Scale to Medical Settings","volume":"21","author":[{"family":"Peek","given":"Monica E."},{"family":"Nunez-Smith","given":"Marcella"},{"family":"Drum","given":"Melinda"},{"family":"Lewis","given":"Tené T."}],"issued":{"date-parts":[["2011"]]}}}],"schema":"https://github.com/citation-style-language/schema/raw/master/csl-citation.json"} </w:instrText>
      </w:r>
      <w:r w:rsidR="004F2392">
        <w:rPr>
          <w:rFonts w:ascii="Arial" w:eastAsia="Calibri" w:hAnsi="Arial" w:cs="Arial"/>
        </w:rPr>
        <w:fldChar w:fldCharType="separate"/>
      </w:r>
      <w:r w:rsidR="00926218" w:rsidRPr="00926218">
        <w:rPr>
          <w:rFonts w:ascii="Arial" w:hAnsi="Arial" w:cs="Arial"/>
        </w:rPr>
        <w:t>(15)</w:t>
      </w:r>
      <w:r w:rsidR="004F2392">
        <w:rPr>
          <w:rFonts w:ascii="Arial" w:eastAsia="Calibri" w:hAnsi="Arial" w:cs="Arial"/>
        </w:rPr>
        <w:fldChar w:fldCharType="end"/>
      </w:r>
      <w:r>
        <w:rPr>
          <w:rFonts w:ascii="Arial" w:eastAsia="Calibri" w:hAnsi="Arial" w:cs="Arial"/>
        </w:rPr>
        <w:t xml:space="preserve"> Non-inferiority will be supported for the primary outcome if </w:t>
      </w:r>
      <w:r>
        <w:rPr>
          <w:rFonts w:ascii="Arial" w:eastAsia="Calibri" w:hAnsi="Arial" w:cs="Arial"/>
        </w:rPr>
        <w:lastRenderedPageBreak/>
        <w:t xml:space="preserve">the </w:t>
      </w:r>
      <w:r w:rsidRPr="00576092">
        <w:rPr>
          <w:rFonts w:ascii="Arial" w:eastAsia="Calibri" w:hAnsi="Arial" w:cs="Arial"/>
        </w:rPr>
        <w:t>upper limit of the conf</w:t>
      </w:r>
      <w:r>
        <w:rPr>
          <w:rFonts w:ascii="Arial" w:eastAsia="Calibri" w:hAnsi="Arial" w:cs="Arial"/>
        </w:rPr>
        <w:t xml:space="preserve">idence interval for the treatment difference </w:t>
      </w:r>
      <w:r w:rsidRPr="00576092">
        <w:rPr>
          <w:rFonts w:ascii="Arial" w:eastAsia="Calibri" w:hAnsi="Arial" w:cs="Arial"/>
        </w:rPr>
        <w:t xml:space="preserve">(usual care </w:t>
      </w:r>
      <w:r>
        <w:rPr>
          <w:rFonts w:ascii="Arial" w:eastAsia="Calibri" w:hAnsi="Arial" w:cs="Arial"/>
        </w:rPr>
        <w:t>–</w:t>
      </w:r>
      <w:r w:rsidRPr="00576092">
        <w:rPr>
          <w:rFonts w:ascii="Arial" w:eastAsia="Calibri" w:hAnsi="Arial" w:cs="Arial"/>
        </w:rPr>
        <w:t xml:space="preserve"> </w:t>
      </w:r>
      <w:proofErr w:type="spellStart"/>
      <w:r w:rsidRPr="00576092">
        <w:rPr>
          <w:rFonts w:ascii="Arial" w:eastAsia="Calibri" w:hAnsi="Arial" w:cs="Arial"/>
        </w:rPr>
        <w:t>C</w:t>
      </w:r>
      <w:r>
        <w:rPr>
          <w:rFonts w:ascii="Arial" w:eastAsia="Calibri" w:hAnsi="Arial" w:cs="Arial"/>
        </w:rPr>
        <w:t>ommunityRx</w:t>
      </w:r>
      <w:proofErr w:type="spellEnd"/>
      <w:r>
        <w:rPr>
          <w:rFonts w:ascii="Arial" w:eastAsia="Calibri" w:hAnsi="Arial" w:cs="Arial"/>
        </w:rPr>
        <w:t xml:space="preserve">-Hunger or </w:t>
      </w:r>
      <w:proofErr w:type="spellStart"/>
      <w:r>
        <w:rPr>
          <w:rFonts w:ascii="Arial" w:eastAsia="Calibri" w:hAnsi="Arial" w:cs="Arial"/>
        </w:rPr>
        <w:t>CommunityRx</w:t>
      </w:r>
      <w:proofErr w:type="spellEnd"/>
      <w:r>
        <w:rPr>
          <w:rFonts w:ascii="Arial" w:eastAsia="Calibri" w:hAnsi="Arial" w:cs="Arial"/>
        </w:rPr>
        <w:t>-Dementia</w:t>
      </w:r>
      <w:r w:rsidRPr="00576092">
        <w:rPr>
          <w:rFonts w:ascii="Arial" w:eastAsia="Calibri" w:hAnsi="Arial" w:cs="Arial"/>
        </w:rPr>
        <w:t>)</w:t>
      </w:r>
      <w:r>
        <w:rPr>
          <w:rFonts w:ascii="Arial" w:eastAsia="Calibri" w:hAnsi="Arial" w:cs="Arial"/>
        </w:rPr>
        <w:t xml:space="preserve"> does not exceed the non-</w:t>
      </w:r>
      <w:r w:rsidRPr="00576092">
        <w:rPr>
          <w:rFonts w:ascii="Arial" w:eastAsia="Calibri" w:hAnsi="Arial" w:cs="Arial"/>
        </w:rPr>
        <w:t>inferiority mar</w:t>
      </w:r>
      <w:r>
        <w:rPr>
          <w:rFonts w:ascii="Arial" w:eastAsia="Calibri" w:hAnsi="Arial" w:cs="Arial"/>
        </w:rPr>
        <w:t>gin.</w:t>
      </w:r>
    </w:p>
    <w:p w14:paraId="7A1D2BDA" w14:textId="130995BC" w:rsidR="00144F3E" w:rsidRDefault="00144F3E" w:rsidP="004F6796">
      <w:pPr>
        <w:spacing w:before="100" w:beforeAutospacing="1" w:after="100" w:afterAutospacing="1" w:line="480" w:lineRule="auto"/>
        <w:rPr>
          <w:rFonts w:ascii="Arial" w:eastAsia="Calibri" w:hAnsi="Arial" w:cs="Arial"/>
        </w:rPr>
      </w:pPr>
      <w:r>
        <w:rPr>
          <w:rFonts w:ascii="Arial" w:hAnsi="Arial" w:cs="Arial"/>
        </w:rPr>
        <w:t xml:space="preserve">Aims 1 and 2 for each trial each have one primary outcome. Sample size calculations for each trial did not account for multiple primary outcomes because, for both trials, Aim 2 utilizes data from the full trial whereas Aim 1 only includes a subsample of the full sample. </w:t>
      </w:r>
    </w:p>
    <w:p w14:paraId="1E69B515" w14:textId="77777777" w:rsidR="009F2211" w:rsidRDefault="009F2211">
      <w:pPr>
        <w:rPr>
          <w:rFonts w:ascii="Arial" w:eastAsia="Calibri" w:hAnsi="Arial" w:cs="Arial"/>
        </w:rPr>
      </w:pPr>
      <w:r>
        <w:rPr>
          <w:rFonts w:ascii="Arial" w:eastAsia="Calibri" w:hAnsi="Arial" w:cs="Arial"/>
        </w:rPr>
        <w:br w:type="page"/>
      </w:r>
    </w:p>
    <w:p w14:paraId="11FAD4D7" w14:textId="5E9C6E84" w:rsidR="004F6796" w:rsidRPr="00F876D6" w:rsidRDefault="00F876D6" w:rsidP="004F6796">
      <w:pPr>
        <w:pStyle w:val="CommentText"/>
        <w:spacing w:line="480" w:lineRule="auto"/>
        <w:rPr>
          <w:rFonts w:ascii="Arial" w:hAnsi="Arial" w:cs="Arial"/>
          <w:b/>
          <w:bCs/>
          <w:sz w:val="22"/>
          <w:szCs w:val="22"/>
        </w:rPr>
      </w:pPr>
      <w:r w:rsidRPr="00F876D6">
        <w:rPr>
          <w:rFonts w:ascii="Arial" w:hAnsi="Arial" w:cs="Arial"/>
          <w:b/>
          <w:bCs/>
          <w:sz w:val="22"/>
          <w:szCs w:val="22"/>
        </w:rPr>
        <w:lastRenderedPageBreak/>
        <w:t>REFERENCES</w:t>
      </w:r>
    </w:p>
    <w:p w14:paraId="4E8DBD6E" w14:textId="77777777" w:rsidR="00926218" w:rsidRPr="00926218" w:rsidRDefault="009F2211" w:rsidP="00926218">
      <w:pPr>
        <w:pStyle w:val="Bibliography"/>
        <w:rPr>
          <w:rFonts w:ascii="Arial" w:hAnsi="Arial" w:cs="Arial"/>
        </w:rPr>
      </w:pPr>
      <w:r>
        <w:rPr>
          <w:rFonts w:ascii="Arial" w:hAnsi="Arial" w:cs="Arial"/>
        </w:rPr>
        <w:fldChar w:fldCharType="begin"/>
      </w:r>
      <w:r w:rsidR="00926218">
        <w:rPr>
          <w:rFonts w:ascii="Arial" w:hAnsi="Arial" w:cs="Arial"/>
        </w:rPr>
        <w:instrText xml:space="preserve"> ADDIN ZOTERO_BIBL {"uncited":[],"omitted":[],"custom":[]} CSL_BIBLIOGRAPHY </w:instrText>
      </w:r>
      <w:r>
        <w:rPr>
          <w:rFonts w:ascii="Arial" w:hAnsi="Arial" w:cs="Arial"/>
        </w:rPr>
        <w:fldChar w:fldCharType="separate"/>
      </w:r>
      <w:r w:rsidR="00926218" w:rsidRPr="00926218">
        <w:rPr>
          <w:rFonts w:ascii="Arial" w:hAnsi="Arial" w:cs="Arial"/>
        </w:rPr>
        <w:t>1.</w:t>
      </w:r>
      <w:r w:rsidR="00926218" w:rsidRPr="00926218">
        <w:rPr>
          <w:rFonts w:ascii="Arial" w:hAnsi="Arial" w:cs="Arial"/>
        </w:rPr>
        <w:tab/>
        <w:t xml:space="preserve">Bandura A. Self-efficacy: toward a unifying theory of behavioral change. Psychol Rev. 1977;84(2):191. </w:t>
      </w:r>
    </w:p>
    <w:p w14:paraId="2EA915BB" w14:textId="77777777" w:rsidR="00926218" w:rsidRPr="00926218" w:rsidRDefault="00926218" w:rsidP="00926218">
      <w:pPr>
        <w:pStyle w:val="Bibliography"/>
        <w:rPr>
          <w:rFonts w:ascii="Arial" w:hAnsi="Arial" w:cs="Arial"/>
        </w:rPr>
      </w:pPr>
      <w:r w:rsidRPr="00926218">
        <w:rPr>
          <w:rFonts w:ascii="Arial" w:hAnsi="Arial" w:cs="Arial"/>
        </w:rPr>
        <w:t>2.</w:t>
      </w:r>
      <w:r w:rsidRPr="00926218">
        <w:rPr>
          <w:rFonts w:ascii="Arial" w:hAnsi="Arial" w:cs="Arial"/>
        </w:rPr>
        <w:tab/>
        <w:t>Bandura A. Guide for constructing self-efficacy scales. In: Self-Efficacy Beliefs of Adolescents [Internet]. Information Age Publishing; 2006 [cited 2018 Feb 23]. p. 307–37. Available from: https://www.uky.edu/~eushe2/Bandura/BanduraGuide2006.pdf</w:t>
      </w:r>
    </w:p>
    <w:p w14:paraId="27B36893" w14:textId="77777777" w:rsidR="00926218" w:rsidRPr="00926218" w:rsidRDefault="00926218" w:rsidP="00926218">
      <w:pPr>
        <w:pStyle w:val="Bibliography"/>
        <w:rPr>
          <w:rFonts w:ascii="Arial" w:hAnsi="Arial" w:cs="Arial"/>
        </w:rPr>
      </w:pPr>
      <w:r w:rsidRPr="00926218">
        <w:rPr>
          <w:rFonts w:ascii="Arial" w:hAnsi="Arial" w:cs="Arial"/>
        </w:rPr>
        <w:t>3.</w:t>
      </w:r>
      <w:r w:rsidRPr="00926218">
        <w:rPr>
          <w:rFonts w:ascii="Arial" w:hAnsi="Arial" w:cs="Arial"/>
        </w:rPr>
        <w:tab/>
        <w:t>The Accountable Health Communities Health-Related Social Needs Screening Tool [Internet]. Center for Medicare &amp; Medicaid Services. [cited 2021 Jul 7]. Available from: https://innovation.cms.gov/Files/worksheets/ahcm-screeningtool.pdf</w:t>
      </w:r>
    </w:p>
    <w:p w14:paraId="28BF8760" w14:textId="77777777" w:rsidR="00926218" w:rsidRPr="00926218" w:rsidRDefault="00926218" w:rsidP="00926218">
      <w:pPr>
        <w:pStyle w:val="Bibliography"/>
        <w:rPr>
          <w:rFonts w:ascii="Arial" w:hAnsi="Arial" w:cs="Arial"/>
        </w:rPr>
      </w:pPr>
      <w:r w:rsidRPr="00926218">
        <w:rPr>
          <w:rFonts w:ascii="Arial" w:hAnsi="Arial" w:cs="Arial"/>
        </w:rPr>
        <w:t>4.</w:t>
      </w:r>
      <w:r w:rsidRPr="00926218">
        <w:rPr>
          <w:rFonts w:ascii="Arial" w:hAnsi="Arial" w:cs="Arial"/>
        </w:rPr>
        <w:tab/>
        <w:t xml:space="preserve">Ware JE, Kosinski M, Bayliss MS, McHorney CA, Rogers WH, Raczek A. Comparison of methods for the scoring and statistical analysis of SF-36 health profile and summary measures: summary of results from the Medical Outcomes Study. Med Care. 1995 Apr;33(4 Suppl):AS264-279. </w:t>
      </w:r>
    </w:p>
    <w:p w14:paraId="56B93BA6" w14:textId="77777777" w:rsidR="00926218" w:rsidRPr="00926218" w:rsidRDefault="00926218" w:rsidP="00926218">
      <w:pPr>
        <w:pStyle w:val="Bibliography"/>
        <w:rPr>
          <w:rFonts w:ascii="Arial" w:hAnsi="Arial" w:cs="Arial"/>
        </w:rPr>
      </w:pPr>
      <w:r w:rsidRPr="00926218">
        <w:rPr>
          <w:rFonts w:ascii="Arial" w:hAnsi="Arial" w:cs="Arial"/>
        </w:rPr>
        <w:t>5.</w:t>
      </w:r>
      <w:r w:rsidRPr="00926218">
        <w:rPr>
          <w:rFonts w:ascii="Arial" w:hAnsi="Arial" w:cs="Arial"/>
        </w:rPr>
        <w:tab/>
        <w:t>National Survey of Children’s Health, 2003 [Internet]. Health Resources and Services Administration, Maternal and Child Health Bureau, Centers for Disease Control and Prevention, National Center for Health Statistics; 2003 [cited 2016 Feb 29]. Available from: http://www.cdc.gov/nchs/data/slaits/nsch_questionnaire.pdf</w:t>
      </w:r>
    </w:p>
    <w:p w14:paraId="1B323DFA" w14:textId="77777777" w:rsidR="00926218" w:rsidRPr="00926218" w:rsidRDefault="00926218" w:rsidP="00926218">
      <w:pPr>
        <w:pStyle w:val="Bibliography"/>
        <w:rPr>
          <w:rFonts w:ascii="Arial" w:hAnsi="Arial" w:cs="Arial"/>
        </w:rPr>
      </w:pPr>
      <w:r w:rsidRPr="00926218">
        <w:rPr>
          <w:rFonts w:ascii="Arial" w:hAnsi="Arial" w:cs="Arial"/>
        </w:rPr>
        <w:t>6.</w:t>
      </w:r>
      <w:r w:rsidRPr="00926218">
        <w:rPr>
          <w:rFonts w:ascii="Arial" w:hAnsi="Arial" w:cs="Arial"/>
        </w:rPr>
        <w:tab/>
        <w:t xml:space="preserve">Lindau ST, Makelarski J, Abramsohn E, Beiser DG, Boyd K, Chou C, et al. CommunityRx: A real-world controlled clinical trial of a scalable, low-intensity community resource referral intervention. Am J Public Health. 2019 Apr;109(4):600–6. </w:t>
      </w:r>
    </w:p>
    <w:p w14:paraId="71805E28" w14:textId="77777777" w:rsidR="00926218" w:rsidRPr="00926218" w:rsidRDefault="00926218" w:rsidP="00926218">
      <w:pPr>
        <w:pStyle w:val="Bibliography"/>
        <w:rPr>
          <w:rFonts w:ascii="Arial" w:hAnsi="Arial" w:cs="Arial"/>
        </w:rPr>
      </w:pPr>
      <w:r w:rsidRPr="00926218">
        <w:rPr>
          <w:rFonts w:ascii="Arial" w:hAnsi="Arial" w:cs="Arial"/>
        </w:rPr>
        <w:t>7.</w:t>
      </w:r>
      <w:r w:rsidRPr="00926218">
        <w:rPr>
          <w:rFonts w:ascii="Arial" w:hAnsi="Arial" w:cs="Arial"/>
        </w:rPr>
        <w:tab/>
        <w:t xml:space="preserve">Steffen AM, McKibbin C, Zeiss AM, Gallagher-Thompson D, Bandura A. The revised scale for caregiving self-efficacy: reliability and validity studies. J Gerontol B Psychol Sci Soc Sci. 2002 Jan;57(1):P74-86. </w:t>
      </w:r>
    </w:p>
    <w:p w14:paraId="64A92987" w14:textId="77777777" w:rsidR="00926218" w:rsidRPr="00926218" w:rsidRDefault="00926218" w:rsidP="00926218">
      <w:pPr>
        <w:pStyle w:val="Bibliography"/>
        <w:rPr>
          <w:rFonts w:ascii="Arial" w:hAnsi="Arial" w:cs="Arial"/>
        </w:rPr>
      </w:pPr>
      <w:r w:rsidRPr="00926218">
        <w:rPr>
          <w:rFonts w:ascii="Arial" w:hAnsi="Arial" w:cs="Arial"/>
        </w:rPr>
        <w:t>8.</w:t>
      </w:r>
      <w:r w:rsidRPr="00926218">
        <w:rPr>
          <w:rFonts w:ascii="Arial" w:hAnsi="Arial" w:cs="Arial"/>
        </w:rPr>
        <w:tab/>
        <w:t xml:space="preserve">Jennings LA, Reuben DB, Evertson LC, Serrano KS, Ercoli L, Grill J, et al. Unmet needs of caregivers of individuals referred to a dementia care program. J Am Geriatr Soc. 2015 Feb;63(2):282–9. </w:t>
      </w:r>
    </w:p>
    <w:p w14:paraId="48AB09C4" w14:textId="4001AAC7" w:rsidR="00926218" w:rsidRPr="00926218" w:rsidRDefault="00926218" w:rsidP="00926218">
      <w:pPr>
        <w:pStyle w:val="Bibliography"/>
        <w:rPr>
          <w:rFonts w:ascii="Arial" w:hAnsi="Arial" w:cs="Arial"/>
        </w:rPr>
      </w:pPr>
      <w:r w:rsidRPr="00926218">
        <w:rPr>
          <w:rFonts w:ascii="Arial" w:hAnsi="Arial" w:cs="Arial"/>
        </w:rPr>
        <w:t>9.</w:t>
      </w:r>
      <w:r w:rsidRPr="00926218">
        <w:rPr>
          <w:rFonts w:ascii="Arial" w:hAnsi="Arial" w:cs="Arial"/>
        </w:rPr>
        <w:tab/>
        <w:t xml:space="preserve">Peipert JD, Jennings LA, Hays RD, Wenger NS, Keeler E, Reuben DB. A </w:t>
      </w:r>
      <w:r w:rsidR="00CC5586">
        <w:rPr>
          <w:rFonts w:ascii="Arial" w:hAnsi="Arial" w:cs="Arial"/>
        </w:rPr>
        <w:t>c</w:t>
      </w:r>
      <w:r w:rsidRPr="00926218">
        <w:rPr>
          <w:rFonts w:ascii="Arial" w:hAnsi="Arial" w:cs="Arial"/>
        </w:rPr>
        <w:t xml:space="preserve">omposite </w:t>
      </w:r>
      <w:r w:rsidR="00CC5586">
        <w:rPr>
          <w:rFonts w:ascii="Arial" w:hAnsi="Arial" w:cs="Arial"/>
        </w:rPr>
        <w:t>m</w:t>
      </w:r>
      <w:r w:rsidRPr="00926218">
        <w:rPr>
          <w:rFonts w:ascii="Arial" w:hAnsi="Arial" w:cs="Arial"/>
        </w:rPr>
        <w:t xml:space="preserve">easure of </w:t>
      </w:r>
      <w:r w:rsidR="00CC5586">
        <w:rPr>
          <w:rFonts w:ascii="Arial" w:hAnsi="Arial" w:cs="Arial"/>
        </w:rPr>
        <w:t>c</w:t>
      </w:r>
      <w:r w:rsidRPr="00926218">
        <w:rPr>
          <w:rFonts w:ascii="Arial" w:hAnsi="Arial" w:cs="Arial"/>
        </w:rPr>
        <w:t xml:space="preserve">aregiver </w:t>
      </w:r>
      <w:r w:rsidR="00CC5586">
        <w:rPr>
          <w:rFonts w:ascii="Arial" w:hAnsi="Arial" w:cs="Arial"/>
        </w:rPr>
        <w:t>b</w:t>
      </w:r>
      <w:r w:rsidRPr="00926218">
        <w:rPr>
          <w:rFonts w:ascii="Arial" w:hAnsi="Arial" w:cs="Arial"/>
        </w:rPr>
        <w:t xml:space="preserve">urden in </w:t>
      </w:r>
      <w:r w:rsidR="00CC5586">
        <w:rPr>
          <w:rFonts w:ascii="Arial" w:hAnsi="Arial" w:cs="Arial"/>
        </w:rPr>
        <w:t>d</w:t>
      </w:r>
      <w:r w:rsidRPr="00926218">
        <w:rPr>
          <w:rFonts w:ascii="Arial" w:hAnsi="Arial" w:cs="Arial"/>
        </w:rPr>
        <w:t xml:space="preserve">ementia: The Dementia Burden Scale-Caregiver. J Am Geriatr Soc. 2018 Sep;66(9):1785–9. </w:t>
      </w:r>
    </w:p>
    <w:p w14:paraId="64A2895B" w14:textId="07FF6F94" w:rsidR="00926218" w:rsidRPr="00926218" w:rsidRDefault="00926218" w:rsidP="00926218">
      <w:pPr>
        <w:pStyle w:val="Bibliography"/>
        <w:rPr>
          <w:rFonts w:ascii="Arial" w:hAnsi="Arial" w:cs="Arial"/>
        </w:rPr>
      </w:pPr>
      <w:r w:rsidRPr="00926218">
        <w:rPr>
          <w:rFonts w:ascii="Arial" w:hAnsi="Arial" w:cs="Arial"/>
        </w:rPr>
        <w:t>10.</w:t>
      </w:r>
      <w:r w:rsidRPr="00926218">
        <w:rPr>
          <w:rFonts w:ascii="Arial" w:hAnsi="Arial" w:cs="Arial"/>
        </w:rPr>
        <w:tab/>
        <w:t xml:space="preserve">Arroll B, Goodyear-Smith F, Crengle S, Gunn J, Kerse N, Fishman T, et al. Validation of PHQ-2 and PHQ-9 to </w:t>
      </w:r>
      <w:r w:rsidR="00CC5586">
        <w:rPr>
          <w:rFonts w:ascii="Arial" w:hAnsi="Arial" w:cs="Arial"/>
        </w:rPr>
        <w:t>s</w:t>
      </w:r>
      <w:r w:rsidRPr="00926218">
        <w:rPr>
          <w:rFonts w:ascii="Arial" w:hAnsi="Arial" w:cs="Arial"/>
        </w:rPr>
        <w:t xml:space="preserve">creen for </w:t>
      </w:r>
      <w:r w:rsidR="00CC5586">
        <w:rPr>
          <w:rFonts w:ascii="Arial" w:hAnsi="Arial" w:cs="Arial"/>
        </w:rPr>
        <w:t>m</w:t>
      </w:r>
      <w:r w:rsidRPr="00926218">
        <w:rPr>
          <w:rFonts w:ascii="Arial" w:hAnsi="Arial" w:cs="Arial"/>
        </w:rPr>
        <w:t xml:space="preserve">ajor </w:t>
      </w:r>
      <w:r w:rsidR="00CC5586">
        <w:rPr>
          <w:rFonts w:ascii="Arial" w:hAnsi="Arial" w:cs="Arial"/>
        </w:rPr>
        <w:t>d</w:t>
      </w:r>
      <w:r w:rsidRPr="00926218">
        <w:rPr>
          <w:rFonts w:ascii="Arial" w:hAnsi="Arial" w:cs="Arial"/>
        </w:rPr>
        <w:t xml:space="preserve">epression in the </w:t>
      </w:r>
      <w:r w:rsidR="00CC5586">
        <w:rPr>
          <w:rFonts w:ascii="Arial" w:hAnsi="Arial" w:cs="Arial"/>
        </w:rPr>
        <w:t>p</w:t>
      </w:r>
      <w:r w:rsidRPr="00926218">
        <w:rPr>
          <w:rFonts w:ascii="Arial" w:hAnsi="Arial" w:cs="Arial"/>
        </w:rPr>
        <w:t xml:space="preserve">rimary </w:t>
      </w:r>
      <w:r w:rsidR="00CC5586">
        <w:rPr>
          <w:rFonts w:ascii="Arial" w:hAnsi="Arial" w:cs="Arial"/>
        </w:rPr>
        <w:t>c</w:t>
      </w:r>
      <w:r w:rsidRPr="00926218">
        <w:rPr>
          <w:rFonts w:ascii="Arial" w:hAnsi="Arial" w:cs="Arial"/>
        </w:rPr>
        <w:t xml:space="preserve">are </w:t>
      </w:r>
      <w:r w:rsidR="00CC5586">
        <w:rPr>
          <w:rFonts w:ascii="Arial" w:hAnsi="Arial" w:cs="Arial"/>
        </w:rPr>
        <w:t>p</w:t>
      </w:r>
      <w:r w:rsidRPr="00926218">
        <w:rPr>
          <w:rFonts w:ascii="Arial" w:hAnsi="Arial" w:cs="Arial"/>
        </w:rPr>
        <w:t xml:space="preserve">opulation. Ann Fam Med. 2010 Jul 1;8(4):348–53. </w:t>
      </w:r>
    </w:p>
    <w:p w14:paraId="4A7C4A24" w14:textId="77777777" w:rsidR="00926218" w:rsidRPr="00926218" w:rsidRDefault="00926218" w:rsidP="00926218">
      <w:pPr>
        <w:pStyle w:val="Bibliography"/>
        <w:rPr>
          <w:rFonts w:ascii="Arial" w:hAnsi="Arial" w:cs="Arial"/>
        </w:rPr>
      </w:pPr>
      <w:r w:rsidRPr="00926218">
        <w:rPr>
          <w:rFonts w:ascii="Arial" w:hAnsi="Arial" w:cs="Arial"/>
        </w:rPr>
        <w:t>11.</w:t>
      </w:r>
      <w:r w:rsidRPr="00926218">
        <w:rPr>
          <w:rFonts w:ascii="Arial" w:hAnsi="Arial" w:cs="Arial"/>
        </w:rPr>
        <w:tab/>
        <w:t xml:space="preserve">Cohen S, Kamarck T, Mermelstein R. A global measure of perceived stress. J Health Soc Behav. 1983 Dec;24(4):385–96. </w:t>
      </w:r>
    </w:p>
    <w:p w14:paraId="1D351801" w14:textId="77777777" w:rsidR="00926218" w:rsidRPr="00926218" w:rsidRDefault="00926218" w:rsidP="00926218">
      <w:pPr>
        <w:pStyle w:val="Bibliography"/>
        <w:rPr>
          <w:rFonts w:ascii="Arial" w:hAnsi="Arial" w:cs="Arial"/>
        </w:rPr>
      </w:pPr>
      <w:r w:rsidRPr="00926218">
        <w:rPr>
          <w:rFonts w:ascii="Arial" w:hAnsi="Arial" w:cs="Arial"/>
        </w:rPr>
        <w:t>12.</w:t>
      </w:r>
      <w:r w:rsidRPr="00926218">
        <w:rPr>
          <w:rFonts w:ascii="Arial" w:hAnsi="Arial" w:cs="Arial"/>
        </w:rPr>
        <w:tab/>
        <w:t xml:space="preserve">Salsman JM, Victorson D, Choi SW, Peterman AH, Heinemann AW, Nowinski C, et al. Development and validation of the positive affect and well-being scale for the neurology quality of life (Neuro-QOL) measurement system. Qual Life Res Int J Qual Life Asp Treat Care Rehabil. 2013 Nov;22(9):2569–80. </w:t>
      </w:r>
    </w:p>
    <w:p w14:paraId="18E6986F" w14:textId="77777777" w:rsidR="00926218" w:rsidRPr="00926218" w:rsidRDefault="00926218" w:rsidP="00926218">
      <w:pPr>
        <w:pStyle w:val="Bibliography"/>
        <w:rPr>
          <w:rFonts w:ascii="Arial" w:hAnsi="Arial" w:cs="Arial"/>
        </w:rPr>
      </w:pPr>
      <w:r w:rsidRPr="00926218">
        <w:rPr>
          <w:rFonts w:ascii="Arial" w:hAnsi="Arial" w:cs="Arial"/>
        </w:rPr>
        <w:lastRenderedPageBreak/>
        <w:t>13.</w:t>
      </w:r>
      <w:r w:rsidRPr="00926218">
        <w:rPr>
          <w:rFonts w:ascii="Arial" w:hAnsi="Arial" w:cs="Arial"/>
        </w:rPr>
        <w:tab/>
        <w:t xml:space="preserve">Goldstein E, Elliott MN, Lehrman WG, Hambarsoomian K, Giordano LA. Racial/ethnic differences in patients’ perceptions of inpatient care using the HCAHPS survey. Med Care Res Rev MCRR. 2010 Feb;67(1):74–92. </w:t>
      </w:r>
    </w:p>
    <w:p w14:paraId="6172AB65" w14:textId="77777777" w:rsidR="00926218" w:rsidRPr="00926218" w:rsidRDefault="00926218" w:rsidP="00926218">
      <w:pPr>
        <w:pStyle w:val="Bibliography"/>
        <w:rPr>
          <w:rFonts w:ascii="Arial" w:hAnsi="Arial" w:cs="Arial"/>
        </w:rPr>
      </w:pPr>
      <w:r w:rsidRPr="00926218">
        <w:rPr>
          <w:rFonts w:ascii="Arial" w:hAnsi="Arial" w:cs="Arial"/>
        </w:rPr>
        <w:t>14.</w:t>
      </w:r>
      <w:r w:rsidRPr="00926218">
        <w:rPr>
          <w:rFonts w:ascii="Arial" w:hAnsi="Arial" w:cs="Arial"/>
        </w:rPr>
        <w:tab/>
        <w:t>Marshall GN, Hays RD. The Patient Satisfaction Questionnaire Short-Form (PSQ-18) [Internet]. RAND. 1994 [cited 2018 Dec 13]. Available from: https://www.rand.org/content/dam/rand/pubs/papers/2006/P7865.pdf</w:t>
      </w:r>
    </w:p>
    <w:p w14:paraId="07263011" w14:textId="77777777" w:rsidR="00926218" w:rsidRPr="00926218" w:rsidRDefault="00926218" w:rsidP="00926218">
      <w:pPr>
        <w:pStyle w:val="Bibliography"/>
        <w:rPr>
          <w:rFonts w:ascii="Arial" w:hAnsi="Arial" w:cs="Arial"/>
        </w:rPr>
      </w:pPr>
      <w:r w:rsidRPr="00926218">
        <w:rPr>
          <w:rFonts w:ascii="Arial" w:hAnsi="Arial" w:cs="Arial"/>
        </w:rPr>
        <w:t>15.</w:t>
      </w:r>
      <w:r w:rsidRPr="00926218">
        <w:rPr>
          <w:rFonts w:ascii="Arial" w:hAnsi="Arial" w:cs="Arial"/>
        </w:rPr>
        <w:tab/>
        <w:t xml:space="preserve">Peek ME, Nunez-Smith M, Drum M, Lewis TT. Adapting the everyday discrimination scale to medical settings: Reliability and validity testing in a sample of African American patients. Ethn Dis. 2011;21(4):502–9. </w:t>
      </w:r>
    </w:p>
    <w:p w14:paraId="55C62D82" w14:textId="4EE8E8B2" w:rsidR="009F2211" w:rsidRPr="004F6796" w:rsidRDefault="009F2211" w:rsidP="004F6796">
      <w:pPr>
        <w:pStyle w:val="CommentText"/>
        <w:spacing w:line="480" w:lineRule="auto"/>
        <w:rPr>
          <w:rFonts w:ascii="Arial" w:hAnsi="Arial" w:cs="Arial"/>
          <w:sz w:val="22"/>
          <w:szCs w:val="22"/>
        </w:rPr>
      </w:pPr>
      <w:r>
        <w:rPr>
          <w:rFonts w:ascii="Arial" w:hAnsi="Arial" w:cs="Arial"/>
          <w:sz w:val="22"/>
          <w:szCs w:val="22"/>
        </w:rPr>
        <w:fldChar w:fldCharType="end"/>
      </w:r>
    </w:p>
    <w:sectPr w:rsidR="009F2211" w:rsidRPr="004F6796" w:rsidSect="003765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5BB4"/>
    <w:multiLevelType w:val="hybridMultilevel"/>
    <w:tmpl w:val="FB86F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CD1975"/>
    <w:multiLevelType w:val="hybridMultilevel"/>
    <w:tmpl w:val="CA42C3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61341A4"/>
    <w:multiLevelType w:val="hybridMultilevel"/>
    <w:tmpl w:val="D624B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1A1B0C"/>
    <w:multiLevelType w:val="hybridMultilevel"/>
    <w:tmpl w:val="540CA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4996962"/>
    <w:multiLevelType w:val="hybridMultilevel"/>
    <w:tmpl w:val="CC240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y Abramsohn">
    <w15:presenceInfo w15:providerId="AD" w15:userId="S::eabramsohn@UCHICAGO.EDU::ec290169-2dfa-4abe-a547-9f47334fac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Total_Editing_Time" w:val="0"/>
  </w:docVars>
  <w:rsids>
    <w:rsidRoot w:val="004F6796"/>
    <w:rsid w:val="00144F3E"/>
    <w:rsid w:val="001C4521"/>
    <w:rsid w:val="0020567A"/>
    <w:rsid w:val="002658E8"/>
    <w:rsid w:val="003765AC"/>
    <w:rsid w:val="003A34BC"/>
    <w:rsid w:val="003B39B3"/>
    <w:rsid w:val="004C2360"/>
    <w:rsid w:val="004F2392"/>
    <w:rsid w:val="004F6796"/>
    <w:rsid w:val="005B53EC"/>
    <w:rsid w:val="005F6AB4"/>
    <w:rsid w:val="00723871"/>
    <w:rsid w:val="007737A2"/>
    <w:rsid w:val="00806DCA"/>
    <w:rsid w:val="008B5A2A"/>
    <w:rsid w:val="008F3293"/>
    <w:rsid w:val="00926218"/>
    <w:rsid w:val="009F2211"/>
    <w:rsid w:val="009F6CBC"/>
    <w:rsid w:val="00B522F9"/>
    <w:rsid w:val="00B9724A"/>
    <w:rsid w:val="00C870C2"/>
    <w:rsid w:val="00CC5586"/>
    <w:rsid w:val="00E56C9C"/>
    <w:rsid w:val="00F87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D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7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4F6796"/>
    <w:pPr>
      <w:spacing w:line="240" w:lineRule="auto"/>
    </w:pPr>
    <w:rPr>
      <w:sz w:val="20"/>
      <w:szCs w:val="20"/>
    </w:rPr>
  </w:style>
  <w:style w:type="character" w:customStyle="1" w:styleId="CommentTextChar">
    <w:name w:val="Comment Text Char"/>
    <w:basedOn w:val="DefaultParagraphFont"/>
    <w:link w:val="CommentText"/>
    <w:uiPriority w:val="99"/>
    <w:rsid w:val="004F6796"/>
    <w:rPr>
      <w:sz w:val="20"/>
      <w:szCs w:val="20"/>
    </w:rPr>
  </w:style>
  <w:style w:type="character" w:styleId="CommentReference">
    <w:name w:val="annotation reference"/>
    <w:basedOn w:val="DefaultParagraphFont"/>
    <w:uiPriority w:val="99"/>
    <w:semiHidden/>
    <w:unhideWhenUsed/>
    <w:rsid w:val="004F6796"/>
    <w:rPr>
      <w:sz w:val="16"/>
      <w:szCs w:val="16"/>
    </w:rPr>
  </w:style>
  <w:style w:type="paragraph" w:styleId="ListParagraph">
    <w:name w:val="List Paragraph"/>
    <w:basedOn w:val="Normal"/>
    <w:uiPriority w:val="34"/>
    <w:qFormat/>
    <w:rsid w:val="005B53EC"/>
    <w:pPr>
      <w:ind w:left="720"/>
      <w:contextualSpacing/>
    </w:pPr>
  </w:style>
  <w:style w:type="character" w:styleId="Hyperlink">
    <w:name w:val="Hyperlink"/>
    <w:basedOn w:val="DefaultParagraphFont"/>
    <w:uiPriority w:val="99"/>
    <w:unhideWhenUsed/>
    <w:rsid w:val="005B53EC"/>
    <w:rPr>
      <w:color w:val="0563C1" w:themeColor="hyperlink"/>
      <w:u w:val="single"/>
    </w:rPr>
  </w:style>
  <w:style w:type="table" w:styleId="TableGrid">
    <w:name w:val="Table Grid"/>
    <w:basedOn w:val="TableNormal"/>
    <w:uiPriority w:val="59"/>
    <w:rsid w:val="005B5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C4521"/>
    <w:rPr>
      <w:b/>
      <w:bCs/>
    </w:rPr>
  </w:style>
  <w:style w:type="character" w:customStyle="1" w:styleId="CommentSubjectChar">
    <w:name w:val="Comment Subject Char"/>
    <w:basedOn w:val="CommentTextChar"/>
    <w:link w:val="CommentSubject"/>
    <w:uiPriority w:val="99"/>
    <w:semiHidden/>
    <w:rsid w:val="001C4521"/>
    <w:rPr>
      <w:b/>
      <w:bCs/>
      <w:sz w:val="20"/>
      <w:szCs w:val="20"/>
    </w:rPr>
  </w:style>
  <w:style w:type="paragraph" w:styleId="Bibliography">
    <w:name w:val="Bibliography"/>
    <w:basedOn w:val="Normal"/>
    <w:next w:val="Normal"/>
    <w:uiPriority w:val="37"/>
    <w:unhideWhenUsed/>
    <w:rsid w:val="009F2211"/>
    <w:pPr>
      <w:tabs>
        <w:tab w:val="left" w:pos="264"/>
      </w:tabs>
      <w:spacing w:after="240" w:line="240" w:lineRule="auto"/>
      <w:ind w:left="264" w:hanging="264"/>
    </w:pPr>
  </w:style>
  <w:style w:type="paragraph" w:customStyle="1" w:styleId="Default">
    <w:name w:val="Default"/>
    <w:rsid w:val="00723871"/>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44F3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7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4F6796"/>
    <w:pPr>
      <w:spacing w:line="240" w:lineRule="auto"/>
    </w:pPr>
    <w:rPr>
      <w:sz w:val="20"/>
      <w:szCs w:val="20"/>
    </w:rPr>
  </w:style>
  <w:style w:type="character" w:customStyle="1" w:styleId="CommentTextChar">
    <w:name w:val="Comment Text Char"/>
    <w:basedOn w:val="DefaultParagraphFont"/>
    <w:link w:val="CommentText"/>
    <w:uiPriority w:val="99"/>
    <w:rsid w:val="004F6796"/>
    <w:rPr>
      <w:sz w:val="20"/>
      <w:szCs w:val="20"/>
    </w:rPr>
  </w:style>
  <w:style w:type="character" w:styleId="CommentReference">
    <w:name w:val="annotation reference"/>
    <w:basedOn w:val="DefaultParagraphFont"/>
    <w:uiPriority w:val="99"/>
    <w:semiHidden/>
    <w:unhideWhenUsed/>
    <w:rsid w:val="004F6796"/>
    <w:rPr>
      <w:sz w:val="16"/>
      <w:szCs w:val="16"/>
    </w:rPr>
  </w:style>
  <w:style w:type="paragraph" w:styleId="ListParagraph">
    <w:name w:val="List Paragraph"/>
    <w:basedOn w:val="Normal"/>
    <w:uiPriority w:val="34"/>
    <w:qFormat/>
    <w:rsid w:val="005B53EC"/>
    <w:pPr>
      <w:ind w:left="720"/>
      <w:contextualSpacing/>
    </w:pPr>
  </w:style>
  <w:style w:type="character" w:styleId="Hyperlink">
    <w:name w:val="Hyperlink"/>
    <w:basedOn w:val="DefaultParagraphFont"/>
    <w:uiPriority w:val="99"/>
    <w:unhideWhenUsed/>
    <w:rsid w:val="005B53EC"/>
    <w:rPr>
      <w:color w:val="0563C1" w:themeColor="hyperlink"/>
      <w:u w:val="single"/>
    </w:rPr>
  </w:style>
  <w:style w:type="table" w:styleId="TableGrid">
    <w:name w:val="Table Grid"/>
    <w:basedOn w:val="TableNormal"/>
    <w:uiPriority w:val="59"/>
    <w:rsid w:val="005B5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C4521"/>
    <w:rPr>
      <w:b/>
      <w:bCs/>
    </w:rPr>
  </w:style>
  <w:style w:type="character" w:customStyle="1" w:styleId="CommentSubjectChar">
    <w:name w:val="Comment Subject Char"/>
    <w:basedOn w:val="CommentTextChar"/>
    <w:link w:val="CommentSubject"/>
    <w:uiPriority w:val="99"/>
    <w:semiHidden/>
    <w:rsid w:val="001C4521"/>
    <w:rPr>
      <w:b/>
      <w:bCs/>
      <w:sz w:val="20"/>
      <w:szCs w:val="20"/>
    </w:rPr>
  </w:style>
  <w:style w:type="paragraph" w:styleId="Bibliography">
    <w:name w:val="Bibliography"/>
    <w:basedOn w:val="Normal"/>
    <w:next w:val="Normal"/>
    <w:uiPriority w:val="37"/>
    <w:unhideWhenUsed/>
    <w:rsid w:val="009F2211"/>
    <w:pPr>
      <w:tabs>
        <w:tab w:val="left" w:pos="264"/>
      </w:tabs>
      <w:spacing w:after="240" w:line="240" w:lineRule="auto"/>
      <w:ind w:left="264" w:hanging="264"/>
    </w:pPr>
  </w:style>
  <w:style w:type="paragraph" w:customStyle="1" w:styleId="Default">
    <w:name w:val="Default"/>
    <w:rsid w:val="00723871"/>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44F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5540</Words>
  <Characters>31584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Abramsohn</dc:creator>
  <cp:keywords/>
  <dc:description/>
  <cp:lastModifiedBy>Ebarita, Roque</cp:lastModifiedBy>
  <cp:revision>4</cp:revision>
  <dcterms:created xsi:type="dcterms:W3CDTF">2023-10-11T14:43:00Z</dcterms:created>
  <dcterms:modified xsi:type="dcterms:W3CDTF">2023-10-12T08:47:00Z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id="wlyqR5LV"/&gt;&lt;style id="http://www.zotero.org/styles/vancouver" locale="en-US" hasBibliography="1" bibliographyStyleHasBeenSet="1"/&gt;&lt;prefs&gt;&lt;pref name="fieldType" value="Field"/&gt;&lt;pref name="automati</vt:lpwstr>
  </property>
  <property fmtid="{D5CDD505-2E9C-101B-9397-08002B2CF9AE}" pid="3" name="ZOTERO_PREF_2">
    <vt:lpwstr>cJournalAbbreviations" value="true"/&gt;&lt;/prefs&gt;&lt;/data&gt;</vt:lpwstr>
  </property>
</Properties>
</file>