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81" w:rsidRPr="005D6581" w:rsidRDefault="005D6581" w:rsidP="005D6581">
      <w:pPr>
        <w:keepNext/>
        <w:keepLines/>
        <w:spacing w:before="360" w:after="120" w:line="276" w:lineRule="auto"/>
        <w:outlineLvl w:val="1"/>
        <w:rPr>
          <w:rFonts w:ascii="Times New Roman" w:eastAsia="Arial" w:hAnsi="Times New Roman" w:cs="Arial"/>
          <w:b/>
          <w:sz w:val="24"/>
          <w:szCs w:val="32"/>
          <w:lang w:val="en"/>
        </w:rPr>
      </w:pPr>
      <w:r w:rsidRPr="005D6581">
        <w:rPr>
          <w:rFonts w:ascii="Times New Roman" w:eastAsia="Arial" w:hAnsi="Times New Roman" w:cs="Arial"/>
          <w:b/>
          <w:sz w:val="24"/>
          <w:szCs w:val="32"/>
          <w:lang w:val="en"/>
        </w:rPr>
        <w:t>Supplemental Material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Text.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Detailed description of short-read analyses to verify gene absences. 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drawing>
          <wp:inline distT="114300" distB="114300" distL="114300" distR="114300" wp14:anchorId="1C2CADAE" wp14:editId="790FB830">
            <wp:extent cx="5895975" cy="5695950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569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>Figure S2.1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Relationships between environmental factors and relative abundance of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nitrifiers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in the Great Lakes. Relative abundance based on 16S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rRNA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V4-V5 region amplicon sequencing from </w:t>
      </w:r>
      <w:proofErr w:type="gramStart"/>
      <w:r w:rsidRPr="005D6581">
        <w:rPr>
          <w:rFonts w:ascii="Times New Roman" w:eastAsia="Times New Roman" w:hAnsi="Times New Roman" w:cs="Times New Roman"/>
          <w:sz w:val="24"/>
          <w:szCs w:val="24"/>
        </w:rPr>
        <w:t>Summer</w:t>
      </w:r>
      <w:proofErr w:type="gram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2012.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abundance includes sequences assigned to the families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Nitrosopumilaceae</w:t>
      </w:r>
      <w:proofErr w:type="spellEnd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(AOA),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Nitrosomonadaceae</w:t>
      </w:r>
      <w:proofErr w:type="spellEnd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(AOB),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Nitrospiraceae</w:t>
      </w:r>
      <w:proofErr w:type="spellEnd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(NOB), and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Gallionellaceae</w:t>
      </w:r>
      <w:proofErr w:type="spellEnd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(NOB). (a) Relative abundance of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nitrifiers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(% of total community) compared to photosynthetically active radiation (PAR). (b) Correlation between the relative abundances of nitrite oxidizers and ammonia oxidizers in each sample. A 1:1 line (solid) and linear regression fit (dashed) are shown for reference. (c)  Relative abundance of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nitrifiers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(% of total community)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compared to chlorophyll </w:t>
      </w:r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>concentration. PAR and chlorophyll data from the EPA Great Lakes Environmental Database (</w:t>
      </w:r>
      <w:hyperlink r:id="rId5">
        <w:r w:rsidRPr="005D658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https://cdx.epa.gov/</w:t>
        </w:r>
      </w:hyperlink>
      <w:r w:rsidRPr="005D6581">
        <w:rPr>
          <w:rFonts w:ascii="Times New Roman" w:eastAsia="Times New Roman" w:hAnsi="Times New Roman" w:cs="Times New Roman"/>
          <w:sz w:val="24"/>
          <w:szCs w:val="24"/>
        </w:rPr>
        <w:t>). Values are presented in Supplemental Dataset S2.1.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drawing>
          <wp:inline distT="114300" distB="114300" distL="114300" distR="114300" wp14:anchorId="6B1A0152" wp14:editId="5FB1989B">
            <wp:extent cx="5943600" cy="5105400"/>
            <wp:effectExtent l="0" t="0" r="0" b="0"/>
            <wp:docPr id="1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S2.2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Oligotype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composition of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nitrifiers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across the Great Lakes. Each color represents a different 16S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rRNA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oligotype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114300" distB="114300" distL="114300" distR="114300" wp14:anchorId="3B3848DA" wp14:editId="794FA52A">
            <wp:extent cx="5905500" cy="6838950"/>
            <wp:effectExtent l="0" t="0" r="0" b="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83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S2.3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Phylogenomic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tree of the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Nitrosomonadales</w:t>
      </w:r>
      <w:proofErr w:type="spellEnd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order of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Betaproteobacteria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, focusing on the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Nitrosomonadaceae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Gallionellaceae</w:t>
      </w:r>
      <w:proofErr w:type="spellEnd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families. Tree was constructed using 139 concatenated single-copy core genes (B.J. Campbell, L. Yu, J.F. Heidelberg, and D.L.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Kirchman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, PNAS 108:12776-12781, 2011). Colored squares indicate the environment of origin; colored circles denote the lake of origin for genomes from the Laurentian Great Lakes; yellow stars indicate clades containing strains that lack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nitrosocyanin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114300" distB="114300" distL="114300" distR="114300" wp14:anchorId="7F803184" wp14:editId="73F89F7E">
            <wp:extent cx="5943600" cy="6870700"/>
            <wp:effectExtent l="0" t="0" r="0" b="0"/>
            <wp:docPr id="1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S2.4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Histograms of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genome properties. Rows show each taxonomic group and columns show genome properties. Each circle represents a single genome/MAG. Great Lakes MAGs shown as filled circles. 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114300" distB="114300" distL="114300" distR="114300" wp14:anchorId="240B9F6F" wp14:editId="6CF02623">
            <wp:extent cx="5943600" cy="1600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S2.5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Gene neighborhood surrounding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proteorhodopsin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Nitrosospira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draft genomes from deep lakes. Light blue, shared genes on reverse strand; dark blue, shared genes on forward strand; pink,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tRNA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genes; orange, PR module in NspGL1 MAG; gray, genes unique to one MAG.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114300" distB="114300" distL="114300" distR="114300" wp14:anchorId="53F3EB20" wp14:editId="4F8FFF5E">
            <wp:extent cx="5943600" cy="8623300"/>
            <wp:effectExtent l="0" t="0" r="0" b="0"/>
            <wp:docPr id="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2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Figure S2.6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Phylogenomic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tree of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Nitrosopumilaceae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Cenarchaeum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. Tree was constructed using concatenated single-copy core genes as defined in (C. Rinke </w:t>
      </w:r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et al.,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>Nature 499:431-437, 2013)</w:t>
      </w:r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Colored boxes correspond to the environment of origin; genomes from the Laurentian Great Lakes are indicated by colored circles. Names in bold indicate cultured isolates or enrichments.</w:t>
      </w:r>
      <w:r w:rsidRPr="005D6581">
        <w:rPr>
          <w:rFonts w:ascii="Times New Roman" w:eastAsia="Times New Roman" w:hAnsi="Times New Roman" w:cs="Times New Roman"/>
          <w:sz w:val="24"/>
        </w:rPr>
        <w:t xml:space="preserve"> 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114300" distB="114300" distL="114300" distR="114300" wp14:anchorId="6244A3B2" wp14:editId="7E48C8BD">
            <wp:extent cx="5943600" cy="8293100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9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Figure S2.7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Cyanase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diversity and distribution among nitrite oxidizing bacteria. a) Phylogenetic tree showing distinct clades of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cyanase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, highlighting Great Lakes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Nitrospira</w:t>
      </w:r>
      <w:proofErr w:type="spellEnd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Ca.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Nitrotoga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. b) Gene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synteny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surrounding the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cyanase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gene in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NspiraGL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and reference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Nitrospira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, and a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cyanase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insertion in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NtogaGL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compared to reference </w:t>
      </w:r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Ca.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Nitrotoga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drawing>
          <wp:inline distT="114300" distB="114300" distL="114300" distR="114300" wp14:anchorId="4949FC23" wp14:editId="365A9FC2">
            <wp:extent cx="5943600" cy="3149600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S2.8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>Gene content distinguishing NtogaGL1a and NtogaGL1b. Genes colored in blue are shared between both genomes; orange colored genes are unique to either genome.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inline distT="114300" distB="114300" distL="114300" distR="114300" wp14:anchorId="4DAFB589" wp14:editId="68D41D5D">
            <wp:extent cx="5943600" cy="8420100"/>
            <wp:effectExtent l="0" t="0" r="0" b="0"/>
            <wp:docPr id="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2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Figure S2.9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Phylogenomic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tree of Lineage I and II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Nitrospira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. Tree was constructed using concatenated single-copy core genes (B.J. Campbell, L. Yu, J.F. Heidelberg, and D.L.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Kirchman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>, PNAS 108:12776-12781, 2011).</w:t>
      </w:r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>Colored boxes correspond to the environment of origin; genomes from the Laurentian Great Lakes are indicated by circles color coded by lake of origin.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sz w:val="24"/>
        </w:rPr>
      </w:pPr>
      <w:r w:rsidRPr="005D6581">
        <w:rPr>
          <w:rFonts w:ascii="Times New Roman" w:eastAsia="Times New Roman" w:hAnsi="Times New Roman" w:cs="Times New Roman"/>
          <w:noProof/>
          <w:sz w:val="24"/>
        </w:rPr>
        <w:drawing>
          <wp:inline distT="114300" distB="114300" distL="114300" distR="114300" wp14:anchorId="2C775566" wp14:editId="7913F102">
            <wp:extent cx="5943600" cy="1689100"/>
            <wp:effectExtent l="0" t="0" r="0" b="0"/>
            <wp:docPr id="1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S2.10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Gene neighborhood surrounding photolyase genes in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NspiraGL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, compared to reference </w:t>
      </w:r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 xml:space="preserve">N. </w:t>
      </w:r>
      <w:proofErr w:type="spellStart"/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moscoviensis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>. Genes shared between the two genomes are colored light blue (protein coding) or magenta (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rRNA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tRNA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>); non-shared genes are gray; photolyase genes are colored to match the tree in Figure 5.</w:t>
      </w: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b/>
          <w:sz w:val="24"/>
        </w:rPr>
      </w:pPr>
    </w:p>
    <w:p w:rsidR="005D6581" w:rsidRPr="005D6581" w:rsidRDefault="005D6581" w:rsidP="005D6581">
      <w:pPr>
        <w:widowControl w:val="0"/>
        <w:spacing w:after="0" w:line="479" w:lineRule="auto"/>
        <w:rPr>
          <w:rFonts w:ascii="Times New Roman" w:eastAsia="Times New Roman" w:hAnsi="Times New Roman" w:cs="Times New Roman"/>
          <w:b/>
          <w:sz w:val="24"/>
        </w:rPr>
      </w:pP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>Dataset S2.1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. Relative abundance of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nitrifiers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based on 16S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rRNA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amplicons, and associated environmental parameters. Relative abundance is reported as proportion of total community reads. The full 16S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rRNA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dataset is presented in Paver et al. (2020) Environ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Microbiol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22(1): 433-446. Chlorophyll-</w:t>
      </w:r>
      <w:r w:rsidRPr="005D658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concentrations and irradiance values are from the US EPA Water Quality Survey (available from https://cdx.epa.gov/).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sz w:val="24"/>
          <w:szCs w:val="24"/>
        </w:rPr>
        <w:tab/>
      </w:r>
      <w:r w:rsidRPr="005D6581">
        <w:rPr>
          <w:rFonts w:ascii="Times New Roman" w:eastAsia="Times New Roman" w:hAnsi="Times New Roman" w:cs="Times New Roman"/>
          <w:sz w:val="24"/>
          <w:szCs w:val="24"/>
        </w:rPr>
        <w:tab/>
      </w:r>
      <w:r w:rsidRPr="005D6581">
        <w:rPr>
          <w:rFonts w:ascii="Times New Roman" w:eastAsia="Times New Roman" w:hAnsi="Times New Roman" w:cs="Times New Roman"/>
          <w:sz w:val="24"/>
          <w:szCs w:val="24"/>
        </w:rPr>
        <w:tab/>
      </w:r>
      <w:r w:rsidRPr="005D6581">
        <w:rPr>
          <w:rFonts w:ascii="Times New Roman" w:eastAsia="Times New Roman" w:hAnsi="Times New Roman" w:cs="Times New Roman"/>
          <w:sz w:val="24"/>
          <w:szCs w:val="24"/>
        </w:rPr>
        <w:tab/>
      </w:r>
      <w:r w:rsidRPr="005D6581">
        <w:rPr>
          <w:rFonts w:ascii="Times New Roman" w:eastAsia="Times New Roman" w:hAnsi="Times New Roman" w:cs="Times New Roman"/>
          <w:sz w:val="24"/>
          <w:szCs w:val="24"/>
        </w:rPr>
        <w:tab/>
      </w:r>
      <w:r w:rsidRPr="005D658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>Dataset S2.2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. Nitrate (NOx), ammonium, and urea concentrations compiled from literature, EPA Water Quality Survey (available from https://cdx.epa.gov/) or measured in this study. NA, not available;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n.d.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>, not detected</w:t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>Dataset S2.3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. Assembly statistics and taxonomic information for metagenome-assembled genomes (MAGs) of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nitrifiers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in the Great Lakes.</w:t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>Dataset S2.4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>. Genome properties for newly assembled MAGs and reference genomes included in this study.</w:t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Dataset S2.5.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Protein functions differentiating genomes of Great Lakes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nitrifiers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from previously published genomes. Genome averages are calculated for reference genomes and GL MAGs. Genome-level counts for each individual GL MAG and for selected reference genomes are also shown.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ab/>
      </w:r>
      <w:r w:rsidRPr="005D65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>Dataset S2.6.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Detailed list of presence/absence of key nitrification genes in MAGs presented in this study. NCBI Protein IDs listed when a MAG contains the target gene. 0 indicates the gene was not recovered in the MAG.</w:t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>Dataset S2.7.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 xml:space="preserve"> Short read analysis for verifying gene loss. Each target gene was searched in unassembled short reads as described in Materials &amp; Methods. Values indicate the number of mapped reads, normalized to gene length. </w:t>
      </w:r>
      <w:proofErr w:type="spellStart"/>
      <w:r w:rsidRPr="005D6581">
        <w:rPr>
          <w:rFonts w:ascii="Times New Roman" w:eastAsia="Times New Roman" w:hAnsi="Times New Roman" w:cs="Times New Roman"/>
          <w:sz w:val="24"/>
          <w:szCs w:val="24"/>
        </w:rPr>
        <w:t>n.d.</w:t>
      </w:r>
      <w:proofErr w:type="spellEnd"/>
      <w:r w:rsidRPr="005D6581">
        <w:rPr>
          <w:rFonts w:ascii="Times New Roman" w:eastAsia="Times New Roman" w:hAnsi="Times New Roman" w:cs="Times New Roman"/>
          <w:sz w:val="24"/>
          <w:szCs w:val="24"/>
        </w:rPr>
        <w:t>, not detected.</w:t>
      </w: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581" w:rsidRPr="005D6581" w:rsidRDefault="005D6581" w:rsidP="005D65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581">
        <w:rPr>
          <w:rFonts w:ascii="Times New Roman" w:eastAsia="Times New Roman" w:hAnsi="Times New Roman" w:cs="Times New Roman"/>
          <w:b/>
          <w:sz w:val="24"/>
          <w:szCs w:val="24"/>
        </w:rPr>
        <w:t xml:space="preserve">Dataset S2.8. </w:t>
      </w:r>
      <w:r w:rsidRPr="005D6581">
        <w:rPr>
          <w:rFonts w:ascii="Times New Roman" w:eastAsia="Times New Roman" w:hAnsi="Times New Roman" w:cs="Times New Roman"/>
          <w:sz w:val="24"/>
          <w:szCs w:val="24"/>
        </w:rPr>
        <w:t>Stations are from the US EPA Water Quality Survey (available from https://cdx.epa.gov/).</w:t>
      </w:r>
    </w:p>
    <w:p w:rsidR="005D6581" w:rsidRPr="005D6581" w:rsidRDefault="005D6581" w:rsidP="005D6581">
      <w:pPr>
        <w:spacing w:after="0" w:line="276" w:lineRule="auto"/>
        <w:rPr>
          <w:rFonts w:ascii="Times New Roman" w:eastAsia="Calibri" w:hAnsi="Times New Roman" w:cs="Arial"/>
          <w:sz w:val="24"/>
        </w:rPr>
      </w:pPr>
    </w:p>
    <w:p w:rsidR="00B61845" w:rsidRPr="005D6581" w:rsidRDefault="00B618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1845" w:rsidRPr="005D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13"/>
    <w:rsid w:val="00476113"/>
    <w:rsid w:val="005D6581"/>
    <w:rsid w:val="00B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C69D3-1E2A-4891-A8FD-6B95747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cdx.epa.gov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Justin</cp:lastModifiedBy>
  <cp:revision>2</cp:revision>
  <dcterms:created xsi:type="dcterms:W3CDTF">2022-03-25T14:20:00Z</dcterms:created>
  <dcterms:modified xsi:type="dcterms:W3CDTF">2022-03-25T14:21:00Z</dcterms:modified>
</cp:coreProperties>
</file>