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84C" w:rsidRPr="003A46D9" w:rsidRDefault="00E6184C">
      <w:pPr>
        <w:rPr>
          <w:rFonts w:ascii="Times New Roman" w:hAnsi="Times New Roman" w:cs="Times New Roman"/>
          <w:b/>
          <w:vertAlign w:val="superscript"/>
        </w:rPr>
      </w:pPr>
      <w:r w:rsidRPr="003A46D9">
        <w:rPr>
          <w:rFonts w:ascii="Times New Roman" w:hAnsi="Times New Roman" w:cs="Times New Roman"/>
          <w:b/>
        </w:rPr>
        <w:t xml:space="preserve">Appendix Table A1. Incidence Rate Ratios from Multivariate Negative Binomial Regression Model Predicting (1) Total Size and (2) Maximum Chain Length of the Prospective RDS Recruitment Networks of MSM in the </w:t>
      </w:r>
      <w:proofErr w:type="spellStart"/>
      <w:r w:rsidRPr="003A46D9">
        <w:rPr>
          <w:rFonts w:ascii="Times New Roman" w:hAnsi="Times New Roman" w:cs="Times New Roman"/>
          <w:b/>
        </w:rPr>
        <w:t>uConnect</w:t>
      </w:r>
      <w:proofErr w:type="spellEnd"/>
      <w:r w:rsidRPr="003A46D9">
        <w:rPr>
          <w:rFonts w:ascii="Times New Roman" w:hAnsi="Times New Roman" w:cs="Times New Roman"/>
          <w:b/>
        </w:rPr>
        <w:t xml:space="preserve"> Study, 2013-2014 (N = 567)</w:t>
      </w:r>
      <w:r w:rsidRPr="003A46D9">
        <w:rPr>
          <w:rFonts w:ascii="Times New Roman" w:hAnsi="Times New Roman" w:cs="Times New Roman"/>
          <w:b/>
          <w:vertAlign w:val="superscript"/>
        </w:rPr>
        <w:t>a</w:t>
      </w:r>
    </w:p>
    <w:tbl>
      <w:tblPr>
        <w:tblW w:w="9483" w:type="dxa"/>
        <w:tblInd w:w="93" w:type="dxa"/>
        <w:tblLook w:val="04A0" w:firstRow="1" w:lastRow="0" w:firstColumn="1" w:lastColumn="0" w:noHBand="0" w:noVBand="1"/>
      </w:tblPr>
      <w:tblGrid>
        <w:gridCol w:w="3975"/>
        <w:gridCol w:w="2657"/>
        <w:gridCol w:w="313"/>
        <w:gridCol w:w="2538"/>
      </w:tblGrid>
      <w:tr w:rsidR="00E6184C" w:rsidRPr="00E6184C" w:rsidTr="00E6184C">
        <w:trPr>
          <w:trHeight w:val="700"/>
        </w:trPr>
        <w:tc>
          <w:tcPr>
            <w:tcW w:w="3975" w:type="dxa"/>
            <w:tcBorders>
              <w:top w:val="single" w:sz="18" w:space="0" w:color="auto"/>
              <w:left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b/>
                <w:bCs/>
                <w:color w:val="000000"/>
                <w:sz w:val="20"/>
                <w:szCs w:val="20"/>
              </w:rPr>
            </w:pPr>
            <w:r w:rsidRPr="00E6184C">
              <w:rPr>
                <w:rFonts w:ascii="Times New Roman" w:eastAsia="Times New Roman" w:hAnsi="Times New Roman" w:cs="Times New Roman"/>
                <w:b/>
                <w:bCs/>
                <w:color w:val="000000"/>
                <w:sz w:val="20"/>
                <w:szCs w:val="20"/>
              </w:rPr>
              <w:t> </w:t>
            </w:r>
          </w:p>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p w:rsidR="00E6184C" w:rsidRPr="00E6184C" w:rsidRDefault="00E6184C" w:rsidP="00E6184C">
            <w:pPr>
              <w:spacing w:after="0" w:line="240" w:lineRule="auto"/>
              <w:rPr>
                <w:rFonts w:ascii="Times New Roman" w:eastAsia="Times New Roman" w:hAnsi="Times New Roman" w:cs="Times New Roman"/>
                <w:b/>
                <w:bCs/>
                <w:color w:val="000000"/>
                <w:sz w:val="20"/>
                <w:szCs w:val="20"/>
              </w:rPr>
            </w:pPr>
            <w:r w:rsidRPr="00E6184C">
              <w:rPr>
                <w:rFonts w:ascii="Times New Roman" w:eastAsia="Times New Roman" w:hAnsi="Times New Roman" w:cs="Times New Roman"/>
                <w:color w:val="000000"/>
              </w:rPr>
              <w:t> </w:t>
            </w:r>
          </w:p>
        </w:tc>
        <w:tc>
          <w:tcPr>
            <w:tcW w:w="2657" w:type="dxa"/>
            <w:tcBorders>
              <w:top w:val="single" w:sz="18" w:space="0" w:color="auto"/>
              <w:left w:val="nil"/>
              <w:bottom w:val="single" w:sz="12" w:space="0" w:color="auto"/>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b/>
                <w:bCs/>
                <w:color w:val="000000"/>
                <w:sz w:val="21"/>
                <w:szCs w:val="21"/>
              </w:rPr>
            </w:pPr>
            <w:r w:rsidRPr="00E6184C">
              <w:rPr>
                <w:rFonts w:ascii="Times New Roman" w:eastAsia="Times New Roman" w:hAnsi="Times New Roman" w:cs="Times New Roman"/>
                <w:b/>
                <w:bCs/>
                <w:color w:val="000000"/>
                <w:sz w:val="21"/>
                <w:szCs w:val="21"/>
              </w:rPr>
              <w:t>Model 1: Total Size</w:t>
            </w:r>
          </w:p>
          <w:p w:rsidR="00E6184C" w:rsidRPr="00E6184C" w:rsidRDefault="00E6184C" w:rsidP="00E6184C">
            <w:pPr>
              <w:spacing w:after="0" w:line="240" w:lineRule="auto"/>
              <w:jc w:val="center"/>
              <w:rPr>
                <w:rFonts w:ascii="Times New Roman" w:eastAsia="Times New Roman" w:hAnsi="Times New Roman" w:cs="Times New Roman"/>
                <w:b/>
                <w:bCs/>
                <w:color w:val="000000"/>
                <w:sz w:val="21"/>
                <w:szCs w:val="21"/>
              </w:rPr>
            </w:pPr>
            <w:r w:rsidRPr="00E6184C">
              <w:rPr>
                <w:rFonts w:ascii="Times New Roman" w:eastAsia="Times New Roman" w:hAnsi="Times New Roman" w:cs="Times New Roman"/>
                <w:b/>
                <w:bCs/>
                <w:color w:val="000000"/>
                <w:sz w:val="21"/>
                <w:szCs w:val="21"/>
              </w:rPr>
              <w:t>of Prospective RDS</w:t>
            </w:r>
          </w:p>
          <w:p w:rsidR="00E6184C" w:rsidRPr="00E6184C" w:rsidRDefault="00E6184C" w:rsidP="00E6184C">
            <w:pPr>
              <w:spacing w:after="0" w:line="240" w:lineRule="auto"/>
              <w:jc w:val="center"/>
              <w:rPr>
                <w:rFonts w:ascii="Times New Roman" w:eastAsia="Times New Roman" w:hAnsi="Times New Roman" w:cs="Times New Roman"/>
                <w:b/>
                <w:bCs/>
                <w:color w:val="000000"/>
                <w:sz w:val="21"/>
                <w:szCs w:val="21"/>
              </w:rPr>
            </w:pPr>
            <w:r w:rsidRPr="00E6184C">
              <w:rPr>
                <w:rFonts w:ascii="Times New Roman" w:eastAsia="Times New Roman" w:hAnsi="Times New Roman" w:cs="Times New Roman"/>
                <w:b/>
                <w:bCs/>
                <w:color w:val="000000"/>
                <w:sz w:val="21"/>
                <w:szCs w:val="21"/>
              </w:rPr>
              <w:t>Recruitment Network</w:t>
            </w:r>
          </w:p>
        </w:tc>
        <w:tc>
          <w:tcPr>
            <w:tcW w:w="313" w:type="dxa"/>
            <w:tcBorders>
              <w:top w:val="single" w:sz="18" w:space="0" w:color="auto"/>
              <w:left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tc>
        <w:tc>
          <w:tcPr>
            <w:tcW w:w="2538" w:type="dxa"/>
            <w:tcBorders>
              <w:top w:val="single" w:sz="18" w:space="0" w:color="auto"/>
              <w:left w:val="nil"/>
              <w:bottom w:val="single" w:sz="12" w:space="0" w:color="auto"/>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b/>
                <w:bCs/>
                <w:color w:val="000000"/>
                <w:sz w:val="21"/>
                <w:szCs w:val="21"/>
              </w:rPr>
            </w:pPr>
            <w:r w:rsidRPr="00E6184C">
              <w:rPr>
                <w:rFonts w:ascii="Times New Roman" w:eastAsia="Times New Roman" w:hAnsi="Times New Roman" w:cs="Times New Roman"/>
                <w:b/>
                <w:bCs/>
                <w:color w:val="000000"/>
                <w:sz w:val="21"/>
                <w:szCs w:val="21"/>
              </w:rPr>
              <w:t>Model 2: Length of</w:t>
            </w:r>
          </w:p>
          <w:p w:rsidR="00E6184C" w:rsidRPr="00E6184C" w:rsidRDefault="00E6184C" w:rsidP="00E6184C">
            <w:pPr>
              <w:spacing w:after="0" w:line="240" w:lineRule="auto"/>
              <w:jc w:val="center"/>
              <w:rPr>
                <w:rFonts w:ascii="Times New Roman" w:eastAsia="Times New Roman" w:hAnsi="Times New Roman" w:cs="Times New Roman"/>
                <w:b/>
                <w:bCs/>
                <w:color w:val="000000"/>
                <w:sz w:val="21"/>
                <w:szCs w:val="21"/>
              </w:rPr>
            </w:pPr>
            <w:r w:rsidRPr="00E6184C">
              <w:rPr>
                <w:rFonts w:ascii="Times New Roman" w:eastAsia="Times New Roman" w:hAnsi="Times New Roman" w:cs="Times New Roman"/>
                <w:b/>
                <w:bCs/>
                <w:color w:val="000000"/>
                <w:sz w:val="21"/>
                <w:szCs w:val="21"/>
              </w:rPr>
              <w:t>Longest Prospective RDS</w:t>
            </w:r>
          </w:p>
          <w:p w:rsidR="00E6184C" w:rsidRPr="00E6184C" w:rsidRDefault="00E6184C" w:rsidP="00E6184C">
            <w:pPr>
              <w:spacing w:after="0" w:line="240" w:lineRule="auto"/>
              <w:jc w:val="center"/>
              <w:rPr>
                <w:rFonts w:ascii="Times New Roman" w:eastAsia="Times New Roman" w:hAnsi="Times New Roman" w:cs="Times New Roman"/>
                <w:b/>
                <w:bCs/>
                <w:color w:val="000000"/>
                <w:sz w:val="21"/>
                <w:szCs w:val="21"/>
              </w:rPr>
            </w:pPr>
            <w:r w:rsidRPr="00E6184C">
              <w:rPr>
                <w:rFonts w:ascii="Times New Roman" w:eastAsia="Times New Roman" w:hAnsi="Times New Roman" w:cs="Times New Roman"/>
                <w:b/>
                <w:bCs/>
                <w:color w:val="000000"/>
                <w:sz w:val="21"/>
                <w:szCs w:val="21"/>
              </w:rPr>
              <w:t>Recruitment Chain</w:t>
            </w:r>
          </w:p>
        </w:tc>
      </w:tr>
      <w:tr w:rsidR="00E6184C" w:rsidRPr="00E6184C" w:rsidTr="00E6184C">
        <w:trPr>
          <w:trHeight w:val="360"/>
        </w:trPr>
        <w:tc>
          <w:tcPr>
            <w:tcW w:w="3975" w:type="dxa"/>
            <w:tcBorders>
              <w:top w:val="nil"/>
              <w:left w:val="nil"/>
              <w:bottom w:val="single" w:sz="12" w:space="0" w:color="auto"/>
              <w:right w:val="nil"/>
            </w:tcBorders>
            <w:shd w:val="clear" w:color="000000" w:fill="FFFFFF"/>
            <w:noWrap/>
            <w:vAlign w:val="center"/>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Predictor</w:t>
            </w:r>
          </w:p>
        </w:tc>
        <w:tc>
          <w:tcPr>
            <w:tcW w:w="2657" w:type="dxa"/>
            <w:tcBorders>
              <w:top w:val="single" w:sz="12" w:space="0" w:color="auto"/>
              <w:left w:val="nil"/>
              <w:bottom w:val="single" w:sz="12" w:space="0" w:color="auto"/>
              <w:right w:val="nil"/>
            </w:tcBorders>
            <w:shd w:val="clear" w:color="000000" w:fill="FFFFFF"/>
            <w:noWrap/>
            <w:vAlign w:val="center"/>
            <w:hideMark/>
          </w:tcPr>
          <w:p w:rsidR="00E6184C" w:rsidRPr="00E6184C" w:rsidRDefault="00E6184C" w:rsidP="00E6184C">
            <w:pPr>
              <w:spacing w:after="0" w:line="240" w:lineRule="auto"/>
              <w:jc w:val="center"/>
              <w:rPr>
                <w:rFonts w:ascii="Times New Roman" w:eastAsia="Times New Roman" w:hAnsi="Times New Roman" w:cs="Times New Roman"/>
                <w:color w:val="000000"/>
                <w:sz w:val="21"/>
                <w:szCs w:val="21"/>
              </w:rPr>
            </w:pPr>
            <w:r w:rsidRPr="00E6184C">
              <w:rPr>
                <w:rFonts w:ascii="Times New Roman" w:eastAsia="Times New Roman" w:hAnsi="Times New Roman" w:cs="Times New Roman"/>
                <w:color w:val="000000"/>
                <w:sz w:val="21"/>
                <w:szCs w:val="21"/>
              </w:rPr>
              <w:t>IRR  (95% CI)</w:t>
            </w:r>
          </w:p>
        </w:tc>
        <w:tc>
          <w:tcPr>
            <w:tcW w:w="313" w:type="dxa"/>
            <w:tcBorders>
              <w:top w:val="nil"/>
              <w:left w:val="nil"/>
              <w:bottom w:val="single" w:sz="12" w:space="0" w:color="auto"/>
              <w:right w:val="nil"/>
            </w:tcBorders>
            <w:shd w:val="clear" w:color="000000" w:fill="FFFFFF"/>
            <w:noWrap/>
            <w:vAlign w:val="center"/>
            <w:hideMark/>
          </w:tcPr>
          <w:p w:rsidR="00E6184C" w:rsidRPr="00E6184C" w:rsidRDefault="00E6184C" w:rsidP="00E6184C">
            <w:pPr>
              <w:spacing w:after="0" w:line="240" w:lineRule="auto"/>
              <w:rPr>
                <w:rFonts w:ascii="Times New Roman" w:eastAsia="Times New Roman" w:hAnsi="Times New Roman" w:cs="Times New Roman"/>
                <w:color w:val="000000"/>
                <w:sz w:val="20"/>
                <w:szCs w:val="20"/>
              </w:rPr>
            </w:pPr>
            <w:r w:rsidRPr="00E6184C">
              <w:rPr>
                <w:rFonts w:ascii="Times New Roman" w:eastAsia="Times New Roman" w:hAnsi="Times New Roman" w:cs="Times New Roman"/>
                <w:color w:val="000000"/>
                <w:sz w:val="20"/>
                <w:szCs w:val="20"/>
              </w:rPr>
              <w:t> </w:t>
            </w:r>
            <w:bookmarkStart w:id="0" w:name="_GoBack"/>
            <w:bookmarkEnd w:id="0"/>
          </w:p>
        </w:tc>
        <w:tc>
          <w:tcPr>
            <w:tcW w:w="2538" w:type="dxa"/>
            <w:tcBorders>
              <w:top w:val="single" w:sz="12" w:space="0" w:color="auto"/>
              <w:left w:val="nil"/>
              <w:bottom w:val="single" w:sz="12" w:space="0" w:color="auto"/>
              <w:right w:val="nil"/>
            </w:tcBorders>
            <w:shd w:val="clear" w:color="000000" w:fill="FFFFFF"/>
            <w:noWrap/>
            <w:vAlign w:val="center"/>
            <w:hideMark/>
          </w:tcPr>
          <w:p w:rsidR="00E6184C" w:rsidRPr="00E6184C" w:rsidRDefault="00E6184C" w:rsidP="00E6184C">
            <w:pPr>
              <w:spacing w:after="0" w:line="240" w:lineRule="auto"/>
              <w:jc w:val="center"/>
              <w:rPr>
                <w:rFonts w:ascii="Times New Roman" w:eastAsia="Times New Roman" w:hAnsi="Times New Roman" w:cs="Times New Roman"/>
                <w:color w:val="000000"/>
                <w:sz w:val="21"/>
                <w:szCs w:val="21"/>
              </w:rPr>
            </w:pPr>
            <w:r w:rsidRPr="00E6184C">
              <w:rPr>
                <w:rFonts w:ascii="Times New Roman" w:eastAsia="Times New Roman" w:hAnsi="Times New Roman" w:cs="Times New Roman"/>
                <w:color w:val="000000"/>
                <w:sz w:val="21"/>
                <w:szCs w:val="21"/>
              </w:rPr>
              <w:t>IRR  (95% CI)</w:t>
            </w:r>
          </w:p>
        </w:tc>
      </w:tr>
      <w:tr w:rsidR="00E6184C" w:rsidRPr="00E6184C" w:rsidTr="00E6184C">
        <w:trPr>
          <w:trHeight w:val="405"/>
        </w:trPr>
        <w:tc>
          <w:tcPr>
            <w:tcW w:w="3975" w:type="dxa"/>
            <w:tcBorders>
              <w:top w:val="single" w:sz="12" w:space="0" w:color="auto"/>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Recruitment wave</w:t>
            </w:r>
          </w:p>
        </w:tc>
        <w:tc>
          <w:tcPr>
            <w:tcW w:w="2657" w:type="dxa"/>
            <w:tcBorders>
              <w:top w:val="single" w:sz="12" w:space="0" w:color="auto"/>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1.32  (1.01, 1.74)</w:t>
            </w:r>
          </w:p>
        </w:tc>
        <w:tc>
          <w:tcPr>
            <w:tcW w:w="313" w:type="dxa"/>
            <w:tcBorders>
              <w:top w:val="single" w:sz="12" w:space="0" w:color="auto"/>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tc>
        <w:tc>
          <w:tcPr>
            <w:tcW w:w="2538" w:type="dxa"/>
            <w:tcBorders>
              <w:top w:val="single" w:sz="12" w:space="0" w:color="auto"/>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1.01  (.83, 1.24)</w:t>
            </w:r>
          </w:p>
        </w:tc>
      </w:tr>
      <w:tr w:rsidR="00E6184C" w:rsidRPr="00E6184C" w:rsidTr="00E6184C">
        <w:trPr>
          <w:trHeight w:val="360"/>
        </w:trPr>
        <w:tc>
          <w:tcPr>
            <w:tcW w:w="3975"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Recruitment wave (squared)</w:t>
            </w:r>
          </w:p>
        </w:tc>
        <w:tc>
          <w:tcPr>
            <w:tcW w:w="2657"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0.97  (.95, .99)</w:t>
            </w:r>
          </w:p>
        </w:tc>
        <w:tc>
          <w:tcPr>
            <w:tcW w:w="313"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tc>
        <w:tc>
          <w:tcPr>
            <w:tcW w:w="2538"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1.00  (.98, 1.01)</w:t>
            </w:r>
          </w:p>
        </w:tc>
      </w:tr>
      <w:tr w:rsidR="00E6184C" w:rsidRPr="00E6184C" w:rsidTr="00E6184C">
        <w:trPr>
          <w:trHeight w:val="360"/>
        </w:trPr>
        <w:tc>
          <w:tcPr>
            <w:tcW w:w="3975"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Age</w:t>
            </w:r>
          </w:p>
        </w:tc>
        <w:tc>
          <w:tcPr>
            <w:tcW w:w="2657"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0.97  (.90, 1.05)</w:t>
            </w:r>
          </w:p>
        </w:tc>
        <w:tc>
          <w:tcPr>
            <w:tcW w:w="313"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tc>
        <w:tc>
          <w:tcPr>
            <w:tcW w:w="2538"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1.00  (.95, 1.06)</w:t>
            </w:r>
          </w:p>
        </w:tc>
      </w:tr>
      <w:tr w:rsidR="00E6184C" w:rsidRPr="00E6184C" w:rsidTr="00E6184C">
        <w:trPr>
          <w:trHeight w:val="360"/>
        </w:trPr>
        <w:tc>
          <w:tcPr>
            <w:tcW w:w="3975"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Hispanic ethnicity</w:t>
            </w:r>
          </w:p>
        </w:tc>
        <w:tc>
          <w:tcPr>
            <w:tcW w:w="2657"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2.25  (.87, 5.77)</w:t>
            </w:r>
          </w:p>
        </w:tc>
        <w:tc>
          <w:tcPr>
            <w:tcW w:w="313"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tc>
        <w:tc>
          <w:tcPr>
            <w:tcW w:w="2538"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1.45  (.68, 3.09)</w:t>
            </w:r>
          </w:p>
        </w:tc>
      </w:tr>
      <w:tr w:rsidR="00E6184C" w:rsidRPr="00E6184C" w:rsidTr="00E6184C">
        <w:trPr>
          <w:trHeight w:val="360"/>
        </w:trPr>
        <w:tc>
          <w:tcPr>
            <w:tcW w:w="3975"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Non-</w:t>
            </w:r>
            <w:proofErr w:type="spellStart"/>
            <w:r w:rsidRPr="00E6184C">
              <w:rPr>
                <w:rFonts w:ascii="Times New Roman" w:eastAsia="Times New Roman" w:hAnsi="Times New Roman" w:cs="Times New Roman"/>
                <w:color w:val="000000"/>
              </w:rPr>
              <w:t>southside</w:t>
            </w:r>
            <w:proofErr w:type="spellEnd"/>
            <w:r w:rsidRPr="00E6184C">
              <w:rPr>
                <w:rFonts w:ascii="Times New Roman" w:eastAsia="Times New Roman" w:hAnsi="Times New Roman" w:cs="Times New Roman"/>
                <w:color w:val="000000"/>
              </w:rPr>
              <w:t xml:space="preserve"> residence</w:t>
            </w:r>
          </w:p>
        </w:tc>
        <w:tc>
          <w:tcPr>
            <w:tcW w:w="2657"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0.74  (.37, 1.47)</w:t>
            </w:r>
          </w:p>
        </w:tc>
        <w:tc>
          <w:tcPr>
            <w:tcW w:w="313"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tc>
        <w:tc>
          <w:tcPr>
            <w:tcW w:w="2538"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0.78  (.46, 1.34)</w:t>
            </w:r>
          </w:p>
        </w:tc>
      </w:tr>
      <w:tr w:rsidR="00E6184C" w:rsidRPr="00E6184C" w:rsidTr="00E6184C">
        <w:trPr>
          <w:trHeight w:val="360"/>
        </w:trPr>
        <w:tc>
          <w:tcPr>
            <w:tcW w:w="3975"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Bisexual orientation (vs. gay)</w:t>
            </w:r>
          </w:p>
        </w:tc>
        <w:tc>
          <w:tcPr>
            <w:tcW w:w="2657"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1.33  (.73, 2.42)</w:t>
            </w:r>
          </w:p>
        </w:tc>
        <w:tc>
          <w:tcPr>
            <w:tcW w:w="313"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tc>
        <w:tc>
          <w:tcPr>
            <w:tcW w:w="2538"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1.31  (.85, 2.02)</w:t>
            </w:r>
          </w:p>
        </w:tc>
      </w:tr>
      <w:tr w:rsidR="00E6184C" w:rsidRPr="00E6184C" w:rsidTr="00E6184C">
        <w:trPr>
          <w:trHeight w:val="360"/>
        </w:trPr>
        <w:tc>
          <w:tcPr>
            <w:tcW w:w="3975"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Other non-gay orientation (vs. gay)</w:t>
            </w:r>
          </w:p>
        </w:tc>
        <w:tc>
          <w:tcPr>
            <w:tcW w:w="2657"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0.39  (.20, .77)</w:t>
            </w:r>
          </w:p>
        </w:tc>
        <w:tc>
          <w:tcPr>
            <w:tcW w:w="313"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tc>
        <w:tc>
          <w:tcPr>
            <w:tcW w:w="2538"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0.77  (.45, 1.31)</w:t>
            </w:r>
          </w:p>
        </w:tc>
      </w:tr>
      <w:tr w:rsidR="00E6184C" w:rsidRPr="00E6184C" w:rsidTr="00E6184C">
        <w:trPr>
          <w:trHeight w:val="360"/>
        </w:trPr>
        <w:tc>
          <w:tcPr>
            <w:tcW w:w="3975"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Number of sex partners, last 6 months</w:t>
            </w:r>
          </w:p>
        </w:tc>
        <w:tc>
          <w:tcPr>
            <w:tcW w:w="2657"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1.03  (.97, 1.11)</w:t>
            </w:r>
          </w:p>
        </w:tc>
        <w:tc>
          <w:tcPr>
            <w:tcW w:w="313"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tc>
        <w:tc>
          <w:tcPr>
            <w:tcW w:w="2538"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1.02  (.96, 1.08)</w:t>
            </w:r>
          </w:p>
        </w:tc>
      </w:tr>
      <w:tr w:rsidR="00E6184C" w:rsidRPr="00E6184C" w:rsidTr="00E6184C">
        <w:trPr>
          <w:trHeight w:val="360"/>
        </w:trPr>
        <w:tc>
          <w:tcPr>
            <w:tcW w:w="3975"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Number of black MSM known</w:t>
            </w:r>
          </w:p>
        </w:tc>
        <w:tc>
          <w:tcPr>
            <w:tcW w:w="2657"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1.04  (1.01, 1.08)</w:t>
            </w:r>
          </w:p>
        </w:tc>
        <w:tc>
          <w:tcPr>
            <w:tcW w:w="313"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tc>
        <w:tc>
          <w:tcPr>
            <w:tcW w:w="2538"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1.02  (1.00, 1.04)</w:t>
            </w:r>
          </w:p>
        </w:tc>
      </w:tr>
      <w:tr w:rsidR="00E6184C" w:rsidRPr="00E6184C" w:rsidTr="00E6184C">
        <w:trPr>
          <w:trHeight w:val="360"/>
        </w:trPr>
        <w:tc>
          <w:tcPr>
            <w:tcW w:w="3975"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Uses social media</w:t>
            </w:r>
          </w:p>
        </w:tc>
        <w:tc>
          <w:tcPr>
            <w:tcW w:w="2657"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1.72  (1.03, 2.88)</w:t>
            </w:r>
          </w:p>
        </w:tc>
        <w:tc>
          <w:tcPr>
            <w:tcW w:w="313"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tc>
        <w:tc>
          <w:tcPr>
            <w:tcW w:w="2538"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1.21  (.83, 1.77)</w:t>
            </w:r>
          </w:p>
        </w:tc>
      </w:tr>
      <w:tr w:rsidR="00E6184C" w:rsidRPr="00E6184C" w:rsidTr="00E6184C">
        <w:trPr>
          <w:trHeight w:val="360"/>
        </w:trPr>
        <w:tc>
          <w:tcPr>
            <w:tcW w:w="3975"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Meets MSM in outdoor/public spaces</w:t>
            </w:r>
          </w:p>
        </w:tc>
        <w:tc>
          <w:tcPr>
            <w:tcW w:w="2657"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0.52  (.32, .84)</w:t>
            </w:r>
          </w:p>
        </w:tc>
        <w:tc>
          <w:tcPr>
            <w:tcW w:w="313"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tc>
        <w:tc>
          <w:tcPr>
            <w:tcW w:w="2538" w:type="dxa"/>
            <w:tcBorders>
              <w:top w:val="nil"/>
              <w:left w:val="nil"/>
              <w:bottom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0.74  (.52, 1.05)</w:t>
            </w:r>
          </w:p>
        </w:tc>
      </w:tr>
      <w:tr w:rsidR="00E6184C" w:rsidRPr="00E6184C" w:rsidTr="00E6184C">
        <w:trPr>
          <w:trHeight w:val="360"/>
        </w:trPr>
        <w:tc>
          <w:tcPr>
            <w:tcW w:w="3975" w:type="dxa"/>
            <w:tcBorders>
              <w:top w:val="nil"/>
              <w:left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Social/Sexual venue range</w:t>
            </w:r>
          </w:p>
        </w:tc>
        <w:tc>
          <w:tcPr>
            <w:tcW w:w="2657" w:type="dxa"/>
            <w:tcBorders>
              <w:top w:val="nil"/>
              <w:left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1.32  (1.14, 1.53)</w:t>
            </w:r>
          </w:p>
        </w:tc>
        <w:tc>
          <w:tcPr>
            <w:tcW w:w="313" w:type="dxa"/>
            <w:tcBorders>
              <w:top w:val="nil"/>
              <w:left w:val="nil"/>
              <w:right w:val="nil"/>
            </w:tcBorders>
            <w:shd w:val="clear" w:color="000000" w:fill="FFFFFF"/>
            <w:noWrap/>
            <w:vAlign w:val="bottom"/>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tc>
        <w:tc>
          <w:tcPr>
            <w:tcW w:w="2538" w:type="dxa"/>
            <w:tcBorders>
              <w:top w:val="nil"/>
              <w:left w:val="nil"/>
              <w:right w:val="nil"/>
            </w:tcBorders>
            <w:shd w:val="clear" w:color="000000" w:fill="FFFFFF"/>
            <w:noWrap/>
            <w:vAlign w:val="bottom"/>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1.15  (1.04, 1.28)</w:t>
            </w:r>
          </w:p>
        </w:tc>
      </w:tr>
      <w:tr w:rsidR="00E6184C" w:rsidRPr="00E6184C" w:rsidTr="00E6184C">
        <w:trPr>
          <w:trHeight w:val="420"/>
        </w:trPr>
        <w:tc>
          <w:tcPr>
            <w:tcW w:w="3975" w:type="dxa"/>
            <w:tcBorders>
              <w:top w:val="nil"/>
              <w:left w:val="nil"/>
              <w:bottom w:val="single" w:sz="12" w:space="0" w:color="auto"/>
              <w:right w:val="nil"/>
            </w:tcBorders>
            <w:shd w:val="clear" w:color="000000" w:fill="FFFFFF"/>
            <w:noWrap/>
            <w:vAlign w:val="center"/>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Intercept</w:t>
            </w:r>
          </w:p>
        </w:tc>
        <w:tc>
          <w:tcPr>
            <w:tcW w:w="2657" w:type="dxa"/>
            <w:tcBorders>
              <w:top w:val="nil"/>
              <w:left w:val="nil"/>
              <w:bottom w:val="single" w:sz="12" w:space="0" w:color="auto"/>
              <w:right w:val="nil"/>
            </w:tcBorders>
            <w:shd w:val="clear" w:color="000000" w:fill="FFFFFF"/>
            <w:noWrap/>
            <w:vAlign w:val="center"/>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1.89  (.24, 14.81)</w:t>
            </w:r>
          </w:p>
        </w:tc>
        <w:tc>
          <w:tcPr>
            <w:tcW w:w="313" w:type="dxa"/>
            <w:tcBorders>
              <w:top w:val="nil"/>
              <w:left w:val="nil"/>
              <w:bottom w:val="single" w:sz="12" w:space="0" w:color="auto"/>
              <w:right w:val="nil"/>
            </w:tcBorders>
            <w:shd w:val="clear" w:color="000000" w:fill="FFFFFF"/>
            <w:noWrap/>
            <w:vAlign w:val="center"/>
            <w:hideMark/>
          </w:tcPr>
          <w:p w:rsidR="00E6184C" w:rsidRPr="00E6184C" w:rsidRDefault="00E6184C" w:rsidP="00E6184C">
            <w:pPr>
              <w:spacing w:after="0" w:line="240" w:lineRule="auto"/>
              <w:rPr>
                <w:rFonts w:ascii="Times New Roman" w:eastAsia="Times New Roman" w:hAnsi="Times New Roman" w:cs="Times New Roman"/>
                <w:color w:val="000000"/>
              </w:rPr>
            </w:pPr>
            <w:r w:rsidRPr="00E6184C">
              <w:rPr>
                <w:rFonts w:ascii="Times New Roman" w:eastAsia="Times New Roman" w:hAnsi="Times New Roman" w:cs="Times New Roman"/>
                <w:color w:val="000000"/>
              </w:rPr>
              <w:t> </w:t>
            </w:r>
          </w:p>
        </w:tc>
        <w:tc>
          <w:tcPr>
            <w:tcW w:w="2538" w:type="dxa"/>
            <w:tcBorders>
              <w:top w:val="nil"/>
              <w:left w:val="nil"/>
              <w:bottom w:val="single" w:sz="12" w:space="0" w:color="auto"/>
              <w:right w:val="nil"/>
            </w:tcBorders>
            <w:shd w:val="clear" w:color="000000" w:fill="FFFFFF"/>
            <w:noWrap/>
            <w:vAlign w:val="center"/>
            <w:hideMark/>
          </w:tcPr>
          <w:p w:rsidR="00E6184C" w:rsidRPr="00E6184C" w:rsidRDefault="00E6184C" w:rsidP="00E6184C">
            <w:pPr>
              <w:spacing w:after="0" w:line="240" w:lineRule="auto"/>
              <w:jc w:val="center"/>
              <w:rPr>
                <w:rFonts w:ascii="Times New Roman" w:eastAsia="Times New Roman" w:hAnsi="Times New Roman" w:cs="Times New Roman"/>
                <w:color w:val="000000"/>
              </w:rPr>
            </w:pPr>
            <w:r w:rsidRPr="00E6184C">
              <w:rPr>
                <w:rFonts w:ascii="Times New Roman" w:eastAsia="Times New Roman" w:hAnsi="Times New Roman" w:cs="Times New Roman"/>
                <w:color w:val="000000"/>
              </w:rPr>
              <w:t>0.67  (.16, 2.85)</w:t>
            </w:r>
          </w:p>
        </w:tc>
      </w:tr>
    </w:tbl>
    <w:p w:rsidR="00E6184C" w:rsidRDefault="00E6184C" w:rsidP="00E6184C">
      <w:pPr>
        <w:spacing w:after="0" w:line="240" w:lineRule="auto"/>
        <w:rPr>
          <w:rFonts w:ascii="Times New Roman" w:hAnsi="Times New Roman" w:cs="Times New Roman"/>
        </w:rPr>
      </w:pPr>
    </w:p>
    <w:p w:rsidR="00E6184C" w:rsidRDefault="00E6184C" w:rsidP="00E6184C">
      <w:pPr>
        <w:spacing w:after="0" w:line="240" w:lineRule="auto"/>
        <w:rPr>
          <w:rFonts w:ascii="Times New Roman" w:hAnsi="Times New Roman" w:cs="Times New Roman"/>
        </w:rPr>
      </w:pPr>
      <w:r>
        <w:rPr>
          <w:rFonts w:ascii="Times New Roman" w:hAnsi="Times New Roman" w:cs="Times New Roman"/>
        </w:rPr>
        <w:t>Abbreviations: RDS, respondent-driven sampling; IRR, incidence rate ratio; CI, confidence interval; MSM, men who have sex with men.</w:t>
      </w:r>
    </w:p>
    <w:p w:rsidR="00E6184C" w:rsidRPr="00E6184C" w:rsidRDefault="00E6184C" w:rsidP="00E6184C">
      <w:pPr>
        <w:spacing w:after="0" w:line="240" w:lineRule="auto"/>
        <w:rPr>
          <w:rFonts w:ascii="Times New Roman" w:hAnsi="Times New Roman" w:cs="Times New Roman"/>
        </w:rPr>
      </w:pPr>
      <w:proofErr w:type="spellStart"/>
      <w:proofErr w:type="gramStart"/>
      <w:r>
        <w:rPr>
          <w:rFonts w:ascii="Times New Roman" w:hAnsi="Times New Roman" w:cs="Times New Roman"/>
          <w:vertAlign w:val="superscript"/>
        </w:rPr>
        <w:t>a</w:t>
      </w:r>
      <w:proofErr w:type="spellEnd"/>
      <w:proofErr w:type="gramEnd"/>
      <w:r>
        <w:rPr>
          <w:rFonts w:ascii="Times New Roman" w:hAnsi="Times New Roman" w:cs="Times New Roman"/>
          <w:vertAlign w:val="superscript"/>
        </w:rPr>
        <w:t xml:space="preserve"> </w:t>
      </w:r>
      <w:r>
        <w:rPr>
          <w:rFonts w:ascii="Times New Roman" w:hAnsi="Times New Roman" w:cs="Times New Roman"/>
        </w:rPr>
        <w:t xml:space="preserve">Applied only to respondents who were provided at least one coupon to distribute. All models are adjusted using the </w:t>
      </w:r>
      <w:proofErr w:type="spellStart"/>
      <w:r>
        <w:rPr>
          <w:rFonts w:ascii="Times New Roman" w:hAnsi="Times New Roman" w:cs="Times New Roman"/>
        </w:rPr>
        <w:t>Volz-Heckathorn</w:t>
      </w:r>
      <w:proofErr w:type="spellEnd"/>
      <w:r>
        <w:rPr>
          <w:rFonts w:ascii="Times New Roman" w:hAnsi="Times New Roman" w:cs="Times New Roman"/>
        </w:rPr>
        <w:t xml:space="preserve"> (2008) RDS-II person-level weights.</w:t>
      </w:r>
    </w:p>
    <w:sectPr w:rsidR="00E6184C" w:rsidRPr="00E618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84C"/>
    <w:rsid w:val="00096EC8"/>
    <w:rsid w:val="003A46D9"/>
    <w:rsid w:val="00E61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85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230</Words>
  <Characters>1312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University of Chicago Medicine &amp; Biological Sciences</Company>
  <LinksUpToDate>false</LinksUpToDate>
  <CharactersWithSpaces>1539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Clovis Sarmiento</dc:creator>
  <cp:lastModifiedBy>Clovis Sarmiento</cp:lastModifiedBy>
  <cp:revision>2</cp:revision>
  <dcterms:created xsi:type="dcterms:W3CDTF">2017-08-07T16:03:00Z</dcterms:created>
  <dcterms:modified xsi:type="dcterms:W3CDTF">2017-08-07T16:16:00Z</dcterms:modified>
</cp:coreProperties>
</file>