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D1F" w:rsidRDefault="00BD3D1F">
      <w:pPr>
        <w:rPr>
          <w:rFonts w:ascii="Times New Roman" w:eastAsia="宋体" w:hAnsi="Times New Roman" w:cs="Times New Roman"/>
          <w:sz w:val="24"/>
          <w:szCs w:val="24"/>
          <w:lang w:val="en-GB" w:eastAsia="en-GB"/>
        </w:rPr>
      </w:pPr>
      <w:r>
        <w:rPr>
          <w:rFonts w:ascii="Times New Roman" w:eastAsia="宋体" w:hAnsi="Times New Roman" w:cs="Times New Roman"/>
          <w:sz w:val="24"/>
          <w:szCs w:val="24"/>
          <w:lang w:val="en-GB" w:eastAsia="en-GB"/>
        </w:rPr>
        <w:t xml:space="preserve">For ease of comparison with previous studies, we conducted a traditional statistical analysis on </w:t>
      </w:r>
      <w:r w:rsidRPr="00BD3D1F">
        <w:rPr>
          <w:rFonts w:ascii="Times New Roman" w:eastAsia="宋体" w:hAnsi="Times New Roman" w:cs="Times New Roman"/>
          <w:sz w:val="24"/>
          <w:szCs w:val="24"/>
          <w:lang w:val="en-GB" w:eastAsia="en-GB"/>
        </w:rPr>
        <w:t>MMN mean amplitudes over the 200-2000 </w:t>
      </w:r>
      <w:proofErr w:type="spellStart"/>
      <w:r w:rsidRPr="00BD3D1F">
        <w:rPr>
          <w:rFonts w:ascii="Times New Roman" w:eastAsia="宋体" w:hAnsi="Times New Roman" w:cs="Times New Roman"/>
          <w:sz w:val="24"/>
          <w:szCs w:val="24"/>
          <w:lang w:val="en-GB" w:eastAsia="en-GB"/>
        </w:rPr>
        <w:t>ms</w:t>
      </w:r>
      <w:proofErr w:type="spellEnd"/>
      <w:r w:rsidRPr="00BD3D1F">
        <w:rPr>
          <w:rFonts w:ascii="Times New Roman" w:eastAsia="宋体" w:hAnsi="Times New Roman" w:cs="Times New Roman"/>
          <w:sz w:val="24"/>
          <w:szCs w:val="24"/>
          <w:lang w:val="en-GB" w:eastAsia="en-GB"/>
        </w:rPr>
        <w:t xml:space="preserve"> time window, grouped into several regions of interest, were compared using repeated measures analyses of variance (ANOVAs) with the factors </w:t>
      </w:r>
      <w:r w:rsidRPr="00BD3D1F">
        <w:rPr>
          <w:rFonts w:ascii="Times New Roman" w:eastAsia="宋体" w:hAnsi="Times New Roman" w:cs="Times New Roman"/>
          <w:smallCaps/>
          <w:sz w:val="24"/>
          <w:szCs w:val="24"/>
          <w:lang w:val="en-GB" w:eastAsia="en-GB"/>
        </w:rPr>
        <w:t>Connective</w:t>
      </w:r>
      <w:r w:rsidRPr="00BD3D1F">
        <w:rPr>
          <w:rFonts w:ascii="Times New Roman" w:eastAsia="宋体" w:hAnsi="Times New Roman" w:cs="Times New Roman"/>
          <w:sz w:val="24"/>
          <w:szCs w:val="24"/>
          <w:lang w:val="en-GB" w:eastAsia="en-GB"/>
        </w:rPr>
        <w:t xml:space="preserve"> (2 levels: </w:t>
      </w:r>
      <w:r w:rsidRPr="00BD3D1F">
        <w:rPr>
          <w:rFonts w:ascii="Times New Roman" w:eastAsia="宋体" w:hAnsi="Times New Roman" w:cs="Times New Roman"/>
          <w:i/>
          <w:sz w:val="24"/>
          <w:szCs w:val="24"/>
          <w:lang w:val="en-GB" w:eastAsia="en-GB"/>
        </w:rPr>
        <w:t>before</w:t>
      </w:r>
      <w:r w:rsidRPr="00BD3D1F">
        <w:rPr>
          <w:rFonts w:ascii="Times New Roman" w:eastAsia="宋体" w:hAnsi="Times New Roman" w:cs="Times New Roman"/>
          <w:sz w:val="24"/>
          <w:szCs w:val="24"/>
          <w:lang w:val="en-GB" w:eastAsia="en-GB"/>
        </w:rPr>
        <w:t xml:space="preserve">, </w:t>
      </w:r>
      <w:r w:rsidRPr="00BD3D1F">
        <w:rPr>
          <w:rFonts w:ascii="Times New Roman" w:eastAsia="宋体" w:hAnsi="Times New Roman" w:cs="Times New Roman"/>
          <w:i/>
          <w:sz w:val="24"/>
          <w:szCs w:val="24"/>
          <w:lang w:val="en-GB" w:eastAsia="en-GB"/>
        </w:rPr>
        <w:t>after</w:t>
      </w:r>
      <w:r w:rsidRPr="00BD3D1F">
        <w:rPr>
          <w:rFonts w:ascii="Times New Roman" w:eastAsia="宋体" w:hAnsi="Times New Roman" w:cs="Times New Roman"/>
          <w:sz w:val="24"/>
          <w:szCs w:val="24"/>
          <w:lang w:val="en-GB" w:eastAsia="en-GB"/>
        </w:rPr>
        <w:t xml:space="preserve">), </w:t>
      </w:r>
      <w:r w:rsidRPr="00BD3D1F">
        <w:rPr>
          <w:rFonts w:ascii="Times New Roman" w:eastAsia="宋体" w:hAnsi="Times New Roman" w:cs="Times New Roman"/>
          <w:smallCaps/>
          <w:sz w:val="24"/>
          <w:szCs w:val="24"/>
          <w:lang w:val="en-GB" w:eastAsia="en-GB"/>
        </w:rPr>
        <w:t>Structure</w:t>
      </w:r>
      <w:r w:rsidRPr="00BD3D1F">
        <w:rPr>
          <w:rFonts w:ascii="Times New Roman" w:eastAsia="宋体" w:hAnsi="Times New Roman" w:cs="Times New Roman"/>
          <w:sz w:val="24"/>
          <w:szCs w:val="24"/>
          <w:lang w:val="en-GB" w:eastAsia="en-GB"/>
        </w:rPr>
        <w:t xml:space="preserve"> (2 levels: sentence-initial temporal clause, sentence-final temporal clause), and </w:t>
      </w:r>
      <w:r w:rsidRPr="00BD3D1F">
        <w:rPr>
          <w:rFonts w:ascii="Times New Roman" w:eastAsia="宋体" w:hAnsi="Times New Roman" w:cs="Times New Roman"/>
          <w:smallCaps/>
          <w:sz w:val="24"/>
          <w:szCs w:val="24"/>
          <w:lang w:val="en-GB" w:eastAsia="en-GB"/>
        </w:rPr>
        <w:t>Region</w:t>
      </w:r>
      <w:r w:rsidRPr="00BD3D1F">
        <w:rPr>
          <w:rFonts w:ascii="Times New Roman" w:eastAsia="宋体" w:hAnsi="Times New Roman" w:cs="Times New Roman"/>
          <w:sz w:val="24"/>
          <w:szCs w:val="24"/>
          <w:lang w:val="en-GB" w:eastAsia="en-GB"/>
        </w:rPr>
        <w:t xml:space="preserve"> (8 levels: frontal [Fp1, Fp2], left anterior [F7, F3, FC5], mid anterior [FC1, FC2, </w:t>
      </w:r>
      <w:proofErr w:type="spellStart"/>
      <w:r w:rsidRPr="00BD3D1F">
        <w:rPr>
          <w:rFonts w:ascii="Times New Roman" w:eastAsia="宋体" w:hAnsi="Times New Roman" w:cs="Times New Roman"/>
          <w:sz w:val="24"/>
          <w:szCs w:val="24"/>
          <w:lang w:val="en-GB" w:eastAsia="en-GB"/>
        </w:rPr>
        <w:t>Fz</w:t>
      </w:r>
      <w:proofErr w:type="spellEnd"/>
      <w:r w:rsidRPr="00BD3D1F">
        <w:rPr>
          <w:rFonts w:ascii="Times New Roman" w:eastAsia="宋体" w:hAnsi="Times New Roman" w:cs="Times New Roman"/>
          <w:sz w:val="24"/>
          <w:szCs w:val="24"/>
          <w:lang w:val="en-GB" w:eastAsia="en-GB"/>
        </w:rPr>
        <w:t xml:space="preserve">], right anterior [F8, F4, FC6], left posterior [CP5, P7, P3], mid posterior [CP1, CP2, </w:t>
      </w:r>
      <w:proofErr w:type="spellStart"/>
      <w:r w:rsidRPr="00BD3D1F">
        <w:rPr>
          <w:rFonts w:ascii="Times New Roman" w:eastAsia="宋体" w:hAnsi="Times New Roman" w:cs="Times New Roman"/>
          <w:sz w:val="24"/>
          <w:szCs w:val="24"/>
          <w:lang w:val="en-GB" w:eastAsia="en-GB"/>
        </w:rPr>
        <w:t>Pz</w:t>
      </w:r>
      <w:proofErr w:type="spellEnd"/>
      <w:r w:rsidRPr="00BD3D1F">
        <w:rPr>
          <w:rFonts w:ascii="Times New Roman" w:eastAsia="宋体" w:hAnsi="Times New Roman" w:cs="Times New Roman"/>
          <w:sz w:val="24"/>
          <w:szCs w:val="24"/>
          <w:lang w:val="en-GB" w:eastAsia="en-GB"/>
        </w:rPr>
        <w:t xml:space="preserve">], right posterior [CP6, P8, P4], and occipital [O1, O2, Oz]). Degrees of freedom for </w:t>
      </w:r>
      <w:r w:rsidRPr="00BD3D1F">
        <w:rPr>
          <w:rFonts w:ascii="Times New Roman" w:eastAsia="宋体" w:hAnsi="Times New Roman" w:cs="Times New Roman"/>
          <w:i/>
          <w:sz w:val="24"/>
          <w:szCs w:val="24"/>
          <w:lang w:val="en-GB" w:eastAsia="en-GB"/>
        </w:rPr>
        <w:t>F</w:t>
      </w:r>
      <w:r w:rsidRPr="00BD3D1F">
        <w:rPr>
          <w:rFonts w:ascii="Times New Roman" w:eastAsia="宋体" w:hAnsi="Times New Roman" w:cs="Times New Roman"/>
          <w:sz w:val="24"/>
          <w:szCs w:val="24"/>
          <w:lang w:val="en-GB" w:eastAsia="en-GB"/>
        </w:rPr>
        <w:t xml:space="preserve">-tests involving the factor </w:t>
      </w:r>
      <w:r w:rsidRPr="00BD3D1F">
        <w:rPr>
          <w:rFonts w:ascii="Times New Roman" w:eastAsia="宋体" w:hAnsi="Times New Roman" w:cs="Times New Roman"/>
          <w:smallCaps/>
          <w:sz w:val="24"/>
          <w:szCs w:val="24"/>
          <w:lang w:val="en-GB" w:eastAsia="en-GB"/>
        </w:rPr>
        <w:t>Region</w:t>
      </w:r>
      <w:r w:rsidRPr="00BD3D1F">
        <w:rPr>
          <w:rFonts w:ascii="Times New Roman" w:eastAsia="宋体" w:hAnsi="Times New Roman" w:cs="Times New Roman"/>
          <w:sz w:val="24"/>
          <w:szCs w:val="24"/>
          <w:lang w:val="en-GB" w:eastAsia="en-GB"/>
        </w:rPr>
        <w:t xml:space="preserve"> were subjected to the Greenhouse-</w:t>
      </w:r>
      <w:proofErr w:type="spellStart"/>
      <w:r w:rsidRPr="00BD3D1F">
        <w:rPr>
          <w:rFonts w:ascii="Times New Roman" w:eastAsia="宋体" w:hAnsi="Times New Roman" w:cs="Times New Roman"/>
          <w:sz w:val="24"/>
          <w:szCs w:val="24"/>
          <w:lang w:val="en-GB" w:eastAsia="en-GB"/>
        </w:rPr>
        <w:t>Geisser</w:t>
      </w:r>
      <w:proofErr w:type="spellEnd"/>
      <w:r w:rsidRPr="00BD3D1F">
        <w:rPr>
          <w:rFonts w:ascii="Times New Roman" w:eastAsia="宋体" w:hAnsi="Times New Roman" w:cs="Times New Roman"/>
          <w:sz w:val="24"/>
          <w:szCs w:val="24"/>
          <w:lang w:val="en-GB" w:eastAsia="en-GB"/>
        </w:rPr>
        <w:t xml:space="preserve"> correction</w:t>
      </w:r>
      <w:r>
        <w:rPr>
          <w:rFonts w:ascii="Times New Roman" w:eastAsia="宋体" w:hAnsi="Times New Roman" w:cs="Times New Roman"/>
          <w:sz w:val="24"/>
          <w:szCs w:val="24"/>
          <w:lang w:val="en-GB" w:eastAsia="en-GB"/>
        </w:rPr>
        <w:t>.</w:t>
      </w:r>
    </w:p>
    <w:p w:rsidR="00BD3D1F" w:rsidRDefault="00BD3D1F">
      <w:pPr>
        <w:rPr>
          <w:rFonts w:ascii="Times New Roman" w:eastAsia="宋体" w:hAnsi="Times New Roman" w:cs="Times New Roman"/>
          <w:sz w:val="24"/>
          <w:szCs w:val="24"/>
          <w:lang w:val="en-GB" w:eastAsia="en-GB"/>
        </w:rPr>
      </w:pPr>
    </w:p>
    <w:p w:rsidR="00C47B8A" w:rsidRPr="00BD3D1F" w:rsidRDefault="00BD3D1F">
      <w:pPr>
        <w:rPr>
          <w:rFonts w:ascii="Times New Roman" w:eastAsia="宋体" w:hAnsi="Times New Roman" w:cs="Times New Roman"/>
          <w:sz w:val="24"/>
          <w:szCs w:val="24"/>
          <w:lang w:val="en-GB" w:eastAsia="en-GB"/>
        </w:rPr>
      </w:pPr>
      <w:r w:rsidRPr="00BD3D1F">
        <w:rPr>
          <w:rFonts w:ascii="Times New Roman" w:eastAsia="宋体" w:hAnsi="Times New Roman" w:cs="Times New Roman"/>
          <w:sz w:val="24"/>
          <w:szCs w:val="24"/>
          <w:lang w:val="en-GB" w:eastAsia="en-GB"/>
        </w:rPr>
        <w:t>The ANOVA over the mean amplitudes from 200-2000 </w:t>
      </w:r>
      <w:proofErr w:type="spellStart"/>
      <w:r w:rsidRPr="00BD3D1F">
        <w:rPr>
          <w:rFonts w:ascii="Times New Roman" w:eastAsia="宋体" w:hAnsi="Times New Roman" w:cs="Times New Roman"/>
          <w:sz w:val="24"/>
          <w:szCs w:val="24"/>
          <w:lang w:val="en-GB" w:eastAsia="en-GB"/>
        </w:rPr>
        <w:t>ms</w:t>
      </w:r>
      <w:proofErr w:type="spellEnd"/>
      <w:r w:rsidRPr="00BD3D1F">
        <w:rPr>
          <w:rFonts w:ascii="Times New Roman" w:eastAsia="宋体" w:hAnsi="Times New Roman" w:cs="Times New Roman"/>
          <w:sz w:val="24"/>
          <w:szCs w:val="24"/>
          <w:lang w:val="en-GB" w:eastAsia="en-GB"/>
        </w:rPr>
        <w:t xml:space="preserve"> revealed a marginal </w:t>
      </w:r>
      <w:proofErr w:type="spellStart"/>
      <w:r w:rsidRPr="00BD3D1F">
        <w:rPr>
          <w:rFonts w:ascii="Times New Roman" w:eastAsia="宋体" w:hAnsi="Times New Roman" w:cs="Times New Roman"/>
          <w:sz w:val="24"/>
          <w:szCs w:val="24"/>
          <w:lang w:val="en-GB" w:eastAsia="en-GB"/>
        </w:rPr>
        <w:t>Connective×Structure×Region</w:t>
      </w:r>
      <w:proofErr w:type="spellEnd"/>
      <w:r w:rsidRPr="00BD3D1F">
        <w:rPr>
          <w:rFonts w:ascii="Times New Roman" w:eastAsia="宋体" w:hAnsi="Times New Roman" w:cs="Times New Roman"/>
          <w:sz w:val="24"/>
          <w:szCs w:val="24"/>
          <w:lang w:val="en-GB" w:eastAsia="en-GB"/>
        </w:rPr>
        <w:t xml:space="preserve"> interaction (</w:t>
      </w:r>
      <w:proofErr w:type="gramStart"/>
      <w:r w:rsidRPr="00BD3D1F">
        <w:rPr>
          <w:rFonts w:ascii="Times New Roman" w:eastAsia="宋体" w:hAnsi="Times New Roman" w:cs="Times New Roman"/>
          <w:i/>
          <w:sz w:val="24"/>
          <w:szCs w:val="24"/>
          <w:lang w:val="en-GB" w:eastAsia="en-GB"/>
        </w:rPr>
        <w:t>F</w:t>
      </w:r>
      <w:r w:rsidRPr="00BD3D1F">
        <w:rPr>
          <w:rFonts w:ascii="Times New Roman" w:eastAsia="宋体" w:hAnsi="Times New Roman" w:cs="Times New Roman"/>
          <w:sz w:val="24"/>
          <w:szCs w:val="24"/>
          <w:lang w:val="en-GB" w:eastAsia="en-GB"/>
        </w:rPr>
        <w:t>(</w:t>
      </w:r>
      <w:proofErr w:type="gramEnd"/>
      <w:r w:rsidRPr="00BD3D1F">
        <w:rPr>
          <w:rFonts w:ascii="Times New Roman" w:eastAsia="宋体" w:hAnsi="Times New Roman" w:cs="Times New Roman"/>
          <w:sz w:val="24"/>
          <w:szCs w:val="24"/>
          <w:lang w:val="en-GB" w:eastAsia="en-GB"/>
        </w:rPr>
        <w:t xml:space="preserve">7,133) = 3.09, </w:t>
      </w:r>
      <w:r w:rsidRPr="00BD3D1F">
        <w:rPr>
          <w:rFonts w:ascii="Times New Roman" w:eastAsia="宋体" w:hAnsi="Times New Roman" w:cs="Times New Roman"/>
          <w:i/>
          <w:sz w:val="24"/>
          <w:szCs w:val="24"/>
          <w:lang w:val="en-GB" w:eastAsia="en-GB"/>
        </w:rPr>
        <w:t>p</w:t>
      </w:r>
      <w:r w:rsidRPr="00BD3D1F">
        <w:rPr>
          <w:rFonts w:ascii="Times New Roman" w:eastAsia="宋体" w:hAnsi="Times New Roman" w:cs="Times New Roman"/>
          <w:sz w:val="24"/>
          <w:szCs w:val="24"/>
          <w:lang w:val="en-GB" w:eastAsia="en-GB"/>
        </w:rPr>
        <w:t> = .062).</w:t>
      </w:r>
      <w:r w:rsidRPr="00BD3D1F">
        <w:rPr>
          <w:rFonts w:ascii="Times New Roman" w:eastAsia="宋体" w:hAnsi="Times New Roman" w:cs="Times New Roman"/>
          <w:sz w:val="24"/>
          <w:szCs w:val="24"/>
          <w:vertAlign w:val="superscript"/>
          <w:lang w:val="en-GB" w:eastAsia="en-GB"/>
        </w:rPr>
        <w:footnoteReference w:id="1"/>
      </w:r>
      <w:r w:rsidRPr="00BD3D1F">
        <w:rPr>
          <w:rFonts w:ascii="Times New Roman" w:eastAsia="宋体" w:hAnsi="Times New Roman" w:cs="Times New Roman"/>
          <w:sz w:val="24"/>
          <w:szCs w:val="24"/>
          <w:lang w:val="en-GB" w:eastAsia="en-GB"/>
        </w:rPr>
        <w:t xml:space="preserve"> We resolved this interaction by examining the </w:t>
      </w:r>
      <w:proofErr w:type="spellStart"/>
      <w:r w:rsidRPr="00BD3D1F">
        <w:rPr>
          <w:rFonts w:ascii="Times New Roman" w:eastAsia="宋体" w:hAnsi="Times New Roman" w:cs="Times New Roman"/>
          <w:sz w:val="24"/>
          <w:szCs w:val="24"/>
          <w:lang w:val="en-GB" w:eastAsia="en-GB"/>
        </w:rPr>
        <w:t>Connective×Structure</w:t>
      </w:r>
      <w:proofErr w:type="spellEnd"/>
      <w:r w:rsidRPr="00BD3D1F">
        <w:rPr>
          <w:rFonts w:ascii="Times New Roman" w:eastAsia="宋体" w:hAnsi="Times New Roman" w:cs="Times New Roman"/>
          <w:sz w:val="24"/>
          <w:szCs w:val="24"/>
          <w:lang w:val="en-GB" w:eastAsia="en-GB"/>
        </w:rPr>
        <w:t xml:space="preserve"> interaction within each region. In the left anterior region there was a significant </w:t>
      </w:r>
      <w:proofErr w:type="spellStart"/>
      <w:r w:rsidRPr="00BD3D1F">
        <w:rPr>
          <w:rFonts w:ascii="Times New Roman" w:eastAsia="宋体" w:hAnsi="Times New Roman" w:cs="Times New Roman"/>
          <w:sz w:val="24"/>
          <w:szCs w:val="24"/>
          <w:lang w:val="en-GB" w:eastAsia="en-GB"/>
        </w:rPr>
        <w:t>Connective×Structure</w:t>
      </w:r>
      <w:proofErr w:type="spellEnd"/>
      <w:r w:rsidRPr="00BD3D1F">
        <w:rPr>
          <w:rFonts w:ascii="Times New Roman" w:eastAsia="宋体" w:hAnsi="Times New Roman" w:cs="Times New Roman"/>
          <w:sz w:val="24"/>
          <w:szCs w:val="24"/>
          <w:lang w:val="en-GB" w:eastAsia="en-GB"/>
        </w:rPr>
        <w:t xml:space="preserve"> interaction (</w:t>
      </w:r>
      <w:r w:rsidRPr="00BD3D1F">
        <w:rPr>
          <w:rFonts w:ascii="Times New Roman" w:eastAsia="宋体" w:hAnsi="Times New Roman" w:cs="Times New Roman"/>
          <w:i/>
          <w:sz w:val="24"/>
          <w:szCs w:val="24"/>
          <w:lang w:val="en-GB" w:eastAsia="en-GB"/>
        </w:rPr>
        <w:t>F</w:t>
      </w:r>
      <w:r w:rsidRPr="00BD3D1F">
        <w:rPr>
          <w:rFonts w:ascii="Times New Roman" w:eastAsia="宋体" w:hAnsi="Times New Roman" w:cs="Times New Roman"/>
          <w:sz w:val="24"/>
          <w:szCs w:val="24"/>
          <w:lang w:val="en-GB" w:eastAsia="en-GB"/>
        </w:rPr>
        <w:t xml:space="preserve">(1,19) = 4.80, </w:t>
      </w:r>
      <w:r w:rsidRPr="00BD3D1F">
        <w:rPr>
          <w:rFonts w:ascii="Times New Roman" w:eastAsia="宋体" w:hAnsi="Times New Roman" w:cs="Times New Roman"/>
          <w:i/>
          <w:sz w:val="24"/>
          <w:szCs w:val="24"/>
          <w:lang w:val="en-GB" w:eastAsia="en-GB"/>
        </w:rPr>
        <w:t>p</w:t>
      </w:r>
      <w:r w:rsidRPr="00BD3D1F">
        <w:rPr>
          <w:rFonts w:ascii="Times New Roman" w:eastAsia="宋体" w:hAnsi="Times New Roman" w:cs="Times New Roman"/>
          <w:sz w:val="24"/>
          <w:szCs w:val="24"/>
          <w:lang w:val="en-GB" w:eastAsia="en-GB"/>
        </w:rPr>
        <w:t xml:space="preserve"> = .041); in the other regions there were either no significant effects, or only main effects of Structure, which </w:t>
      </w:r>
      <w:r w:rsidR="00732906">
        <w:rPr>
          <w:rFonts w:ascii="Times New Roman" w:eastAsia="宋体" w:hAnsi="Times New Roman" w:cs="Times New Roman"/>
          <w:sz w:val="24"/>
          <w:szCs w:val="24"/>
          <w:lang w:val="en-GB" w:eastAsia="en-GB"/>
        </w:rPr>
        <w:t>are</w:t>
      </w:r>
      <w:bookmarkStart w:id="0" w:name="_GoBack"/>
      <w:bookmarkEnd w:id="0"/>
      <w:r w:rsidRPr="00BD3D1F">
        <w:rPr>
          <w:rFonts w:ascii="Times New Roman" w:eastAsia="宋体" w:hAnsi="Times New Roman" w:cs="Times New Roman"/>
          <w:sz w:val="24"/>
          <w:szCs w:val="24"/>
          <w:lang w:val="en-GB" w:eastAsia="en-GB"/>
        </w:rPr>
        <w:t xml:space="preserve"> not of interest (see footnote </w:t>
      </w:r>
      <w:r>
        <w:rPr>
          <w:rFonts w:ascii="Times New Roman" w:eastAsia="宋体" w:hAnsi="Times New Roman" w:cs="Times New Roman"/>
          <w:sz w:val="24"/>
          <w:szCs w:val="24"/>
          <w:lang w:val="en-GB" w:eastAsia="en-GB"/>
        </w:rPr>
        <w:t>1</w:t>
      </w:r>
      <w:r w:rsidRPr="00BD3D1F">
        <w:rPr>
          <w:rFonts w:ascii="Times New Roman" w:eastAsia="宋体" w:hAnsi="Times New Roman" w:cs="Times New Roman"/>
          <w:sz w:val="24"/>
          <w:szCs w:val="24"/>
          <w:lang w:val="en-GB" w:eastAsia="en-GB"/>
        </w:rPr>
        <w:t>).Within the left anterior region, the simple effect of Connective was non-significant for sentence-initial clauses (</w:t>
      </w:r>
      <w:r w:rsidRPr="00BD3D1F">
        <w:rPr>
          <w:rFonts w:ascii="Times New Roman" w:eastAsia="宋体" w:hAnsi="Times New Roman" w:cs="Times New Roman"/>
          <w:i/>
          <w:sz w:val="24"/>
          <w:szCs w:val="24"/>
          <w:lang w:val="en-GB" w:eastAsia="en-GB"/>
        </w:rPr>
        <w:t>F</w:t>
      </w:r>
      <w:r w:rsidRPr="00BD3D1F">
        <w:rPr>
          <w:rFonts w:ascii="Times New Roman" w:eastAsia="宋体" w:hAnsi="Times New Roman" w:cs="Times New Roman"/>
          <w:sz w:val="24"/>
          <w:szCs w:val="24"/>
          <w:lang w:val="en-GB" w:eastAsia="en-GB"/>
        </w:rPr>
        <w:t xml:space="preserve">(1,19) = 1.01, </w:t>
      </w:r>
      <w:r w:rsidRPr="00BD3D1F">
        <w:rPr>
          <w:rFonts w:ascii="Times New Roman" w:eastAsia="宋体" w:hAnsi="Times New Roman" w:cs="Times New Roman"/>
          <w:i/>
          <w:sz w:val="24"/>
          <w:szCs w:val="24"/>
          <w:lang w:val="en-GB" w:eastAsia="en-GB"/>
        </w:rPr>
        <w:t>p</w:t>
      </w:r>
      <w:r w:rsidRPr="00BD3D1F">
        <w:rPr>
          <w:rFonts w:ascii="Times New Roman" w:eastAsia="宋体" w:hAnsi="Times New Roman" w:cs="Times New Roman"/>
          <w:sz w:val="24"/>
          <w:szCs w:val="24"/>
          <w:lang w:val="en-GB" w:eastAsia="en-GB"/>
        </w:rPr>
        <w:t> = .327) but was significant for sentence-final clauses (</w:t>
      </w:r>
      <w:r w:rsidRPr="00BD3D1F">
        <w:rPr>
          <w:rFonts w:ascii="Times New Roman" w:eastAsia="宋体" w:hAnsi="Times New Roman" w:cs="Times New Roman"/>
          <w:i/>
          <w:sz w:val="24"/>
          <w:szCs w:val="24"/>
          <w:lang w:val="en-GB" w:eastAsia="en-GB"/>
        </w:rPr>
        <w:t>F</w:t>
      </w:r>
      <w:r w:rsidRPr="00BD3D1F">
        <w:rPr>
          <w:rFonts w:ascii="Times New Roman" w:eastAsia="宋体" w:hAnsi="Times New Roman" w:cs="Times New Roman"/>
          <w:sz w:val="24"/>
          <w:szCs w:val="24"/>
          <w:lang w:val="en-GB" w:eastAsia="en-GB"/>
        </w:rPr>
        <w:t xml:space="preserve">(1,19) = 4.96, </w:t>
      </w:r>
      <w:r w:rsidRPr="00BD3D1F">
        <w:rPr>
          <w:rFonts w:ascii="Times New Roman" w:eastAsia="宋体" w:hAnsi="Times New Roman" w:cs="Times New Roman"/>
          <w:i/>
          <w:sz w:val="24"/>
          <w:szCs w:val="24"/>
          <w:lang w:val="en-GB" w:eastAsia="en-GB"/>
        </w:rPr>
        <w:t>p</w:t>
      </w:r>
      <w:r w:rsidRPr="00BD3D1F">
        <w:rPr>
          <w:rFonts w:ascii="Times New Roman" w:eastAsia="宋体" w:hAnsi="Times New Roman" w:cs="Times New Roman"/>
          <w:sz w:val="24"/>
          <w:szCs w:val="24"/>
          <w:lang w:val="en-GB" w:eastAsia="en-GB"/>
        </w:rPr>
        <w:t xml:space="preserve"> = .038). While the effect of Connective surprisingly did not reach significance for sentence-initial temporal clauses (contra previous studies, which this effect is intended to replicate), perhaps because of the small number of participants and items (Xiang et al., 2014, included 28 participants and 40 items per condition; </w:t>
      </w:r>
      <w:proofErr w:type="spellStart"/>
      <w:r w:rsidRPr="00BD3D1F">
        <w:rPr>
          <w:rFonts w:ascii="Times New Roman" w:eastAsia="宋体" w:hAnsi="Times New Roman" w:cs="Times New Roman"/>
          <w:sz w:val="24"/>
          <w:szCs w:val="24"/>
          <w:lang w:val="en-GB" w:eastAsia="en-GB"/>
        </w:rPr>
        <w:t>Münte</w:t>
      </w:r>
      <w:proofErr w:type="spellEnd"/>
      <w:r w:rsidRPr="00BD3D1F">
        <w:rPr>
          <w:rFonts w:ascii="Times New Roman" w:eastAsia="宋体" w:hAnsi="Times New Roman" w:cs="Times New Roman"/>
          <w:sz w:val="24"/>
          <w:szCs w:val="24"/>
          <w:lang w:val="en-GB" w:eastAsia="en-GB"/>
        </w:rPr>
        <w:t xml:space="preserve"> et al., 1998, 24 participants and 60 items; </w:t>
      </w:r>
      <w:proofErr w:type="spellStart"/>
      <w:r w:rsidRPr="00BD3D1F">
        <w:rPr>
          <w:rFonts w:ascii="Times New Roman" w:eastAsia="宋体" w:hAnsi="Times New Roman" w:cs="Times New Roman"/>
          <w:sz w:val="24"/>
          <w:szCs w:val="24"/>
          <w:lang w:val="en-GB" w:eastAsia="en-GB"/>
        </w:rPr>
        <w:t>Nieuwland</w:t>
      </w:r>
      <w:proofErr w:type="spellEnd"/>
      <w:r w:rsidRPr="00BD3D1F">
        <w:rPr>
          <w:rFonts w:ascii="Times New Roman" w:eastAsia="宋体" w:hAnsi="Times New Roman" w:cs="Times New Roman"/>
          <w:sz w:val="24"/>
          <w:szCs w:val="24"/>
          <w:lang w:val="en-GB" w:eastAsia="en-GB"/>
        </w:rPr>
        <w:t>, in press, 60 and 30) and perhaps because of the way we divided the electrode array into regions, it was numerically negative as expected (</w:t>
      </w:r>
      <w:r w:rsidRPr="00BD3D1F">
        <w:rPr>
          <w:rFonts w:ascii="Times New Roman" w:eastAsia="宋体" w:hAnsi="Times New Roman" w:cs="Times New Roman"/>
          <w:i/>
          <w:sz w:val="24"/>
          <w:szCs w:val="24"/>
          <w:lang w:val="en-GB" w:eastAsia="en-GB"/>
        </w:rPr>
        <w:t>t</w:t>
      </w:r>
      <w:r w:rsidRPr="00BD3D1F">
        <w:rPr>
          <w:rFonts w:ascii="Times New Roman" w:eastAsia="宋体" w:hAnsi="Times New Roman" w:cs="Times New Roman"/>
          <w:sz w:val="24"/>
          <w:szCs w:val="24"/>
          <w:lang w:val="en-GB" w:eastAsia="en-GB"/>
        </w:rPr>
        <w:t>(19) = -1.01), whereas the significant effect of Connective for sentence-final temporal clauses was positive (</w:t>
      </w:r>
      <w:r w:rsidRPr="00BD3D1F">
        <w:rPr>
          <w:rFonts w:ascii="Times New Roman" w:eastAsia="宋体" w:hAnsi="Times New Roman" w:cs="Times New Roman"/>
          <w:i/>
          <w:sz w:val="24"/>
          <w:szCs w:val="24"/>
          <w:lang w:val="en-GB" w:eastAsia="en-GB"/>
        </w:rPr>
        <w:t>t</w:t>
      </w:r>
      <w:r w:rsidRPr="00BD3D1F">
        <w:rPr>
          <w:rFonts w:ascii="Times New Roman" w:eastAsia="宋体" w:hAnsi="Times New Roman" w:cs="Times New Roman"/>
          <w:sz w:val="24"/>
          <w:szCs w:val="24"/>
          <w:lang w:val="en-GB" w:eastAsia="en-GB"/>
        </w:rPr>
        <w:t>(19) = 2.23).</w:t>
      </w:r>
    </w:p>
    <w:sectPr w:rsidR="00C47B8A" w:rsidRPr="00BD3D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78B" w:rsidRDefault="0010778B" w:rsidP="00BD3D1F">
      <w:r>
        <w:separator/>
      </w:r>
    </w:p>
  </w:endnote>
  <w:endnote w:type="continuationSeparator" w:id="0">
    <w:p w:rsidR="0010778B" w:rsidRDefault="0010778B" w:rsidP="00BD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78B" w:rsidRDefault="0010778B" w:rsidP="00BD3D1F">
      <w:r>
        <w:separator/>
      </w:r>
    </w:p>
  </w:footnote>
  <w:footnote w:type="continuationSeparator" w:id="0">
    <w:p w:rsidR="0010778B" w:rsidRDefault="0010778B" w:rsidP="00BD3D1F">
      <w:r>
        <w:continuationSeparator/>
      </w:r>
    </w:p>
  </w:footnote>
  <w:footnote w:id="1">
    <w:p w:rsidR="00BD3D1F" w:rsidRPr="00BD3D1F" w:rsidRDefault="00BD3D1F" w:rsidP="00BD3D1F">
      <w:pPr>
        <w:pStyle w:val="FootnoteText"/>
        <w:rPr>
          <w:rFonts w:ascii="Times New Roman" w:hAnsi="Times New Roman" w:cs="Times New Roman"/>
        </w:rPr>
      </w:pPr>
      <w:r w:rsidRPr="00BD3D1F">
        <w:rPr>
          <w:rStyle w:val="FootnoteReference"/>
          <w:rFonts w:ascii="Times New Roman" w:hAnsi="Times New Roman" w:cs="Times New Roman"/>
        </w:rPr>
        <w:footnoteRef/>
      </w:r>
      <w:r w:rsidRPr="00BD3D1F">
        <w:rPr>
          <w:rFonts w:ascii="Times New Roman" w:hAnsi="Times New Roman" w:cs="Times New Roman"/>
        </w:rPr>
        <w:t xml:space="preserve"> There was also a significant </w:t>
      </w:r>
      <w:proofErr w:type="spellStart"/>
      <w:r w:rsidRPr="00BD3D1F">
        <w:rPr>
          <w:rFonts w:ascii="Times New Roman" w:hAnsi="Times New Roman" w:cs="Times New Roman"/>
          <w:smallCaps/>
        </w:rPr>
        <w:t>Structure</w:t>
      </w:r>
      <w:r w:rsidRPr="00BD3D1F">
        <w:rPr>
          <w:rFonts w:ascii="Times New Roman" w:hAnsi="Times New Roman" w:cs="Times New Roman"/>
        </w:rPr>
        <w:t>×</w:t>
      </w:r>
      <w:r w:rsidRPr="00BD3D1F">
        <w:rPr>
          <w:rFonts w:ascii="Times New Roman" w:hAnsi="Times New Roman" w:cs="Times New Roman"/>
          <w:smallCaps/>
        </w:rPr>
        <w:t>Region</w:t>
      </w:r>
      <w:proofErr w:type="spellEnd"/>
      <w:r w:rsidRPr="00BD3D1F">
        <w:rPr>
          <w:rFonts w:ascii="Times New Roman" w:hAnsi="Times New Roman" w:cs="Times New Roman"/>
        </w:rPr>
        <w:t xml:space="preserve"> interaction (</w:t>
      </w:r>
      <w:r w:rsidRPr="00BD3D1F">
        <w:rPr>
          <w:rFonts w:ascii="Times New Roman" w:hAnsi="Times New Roman" w:cs="Times New Roman"/>
          <w:i/>
        </w:rPr>
        <w:t>F</w:t>
      </w:r>
      <w:r w:rsidRPr="00BD3D1F">
        <w:rPr>
          <w:rFonts w:ascii="Times New Roman" w:hAnsi="Times New Roman" w:cs="Times New Roman"/>
        </w:rPr>
        <w:t xml:space="preserve">(7,133) = 12.81, </w:t>
      </w:r>
      <w:r w:rsidRPr="00BD3D1F">
        <w:rPr>
          <w:rFonts w:ascii="Times New Roman" w:hAnsi="Times New Roman" w:cs="Times New Roman"/>
          <w:i/>
        </w:rPr>
        <w:t>p</w:t>
      </w:r>
      <w:r w:rsidRPr="00BD3D1F">
        <w:rPr>
          <w:rFonts w:ascii="Times New Roman" w:hAnsi="Times New Roman" w:cs="Times New Roman"/>
        </w:rPr>
        <w:t xml:space="preserve"> &gt; .001), which is not of interest because it involves direct comparison across clauses at different portions of the sentence (which differ on a number of factors that were not of interest, such as how far linearly they are into the sentence), and a main effect of </w:t>
      </w:r>
      <w:r w:rsidRPr="00BD3D1F">
        <w:rPr>
          <w:rFonts w:ascii="Times New Roman" w:hAnsi="Times New Roman" w:cs="Times New Roman"/>
          <w:smallCaps/>
        </w:rPr>
        <w:t>Region</w:t>
      </w:r>
      <w:r w:rsidRPr="00BD3D1F">
        <w:rPr>
          <w:rFonts w:ascii="Times New Roman" w:hAnsi="Times New Roman" w:cs="Times New Roman"/>
        </w:rPr>
        <w:t xml:space="preserve"> (</w:t>
      </w:r>
      <w:r w:rsidRPr="00BD3D1F">
        <w:rPr>
          <w:rFonts w:ascii="Times New Roman" w:hAnsi="Times New Roman" w:cs="Times New Roman"/>
          <w:i/>
        </w:rPr>
        <w:t>F</w:t>
      </w:r>
      <w:r w:rsidRPr="00BD3D1F">
        <w:rPr>
          <w:rFonts w:ascii="Times New Roman" w:hAnsi="Times New Roman" w:cs="Times New Roman"/>
        </w:rPr>
        <w:t xml:space="preserve">(7,133) = 4.83, </w:t>
      </w:r>
      <w:r w:rsidRPr="00BD3D1F">
        <w:rPr>
          <w:rFonts w:ascii="Times New Roman" w:hAnsi="Times New Roman" w:cs="Times New Roman"/>
          <w:i/>
        </w:rPr>
        <w:t>p</w:t>
      </w:r>
      <w:r w:rsidRPr="00BD3D1F">
        <w:rPr>
          <w:rFonts w:ascii="Times New Roman" w:hAnsi="Times New Roman" w:cs="Times New Roman"/>
        </w:rPr>
        <w:t> = .024), which is not of interest because it merely represents differences in the amplitude of the ERP at different portions of the scalp regardless of linguistic manipulations.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573"/>
    <w:rsid w:val="0010778B"/>
    <w:rsid w:val="002A2573"/>
    <w:rsid w:val="00315168"/>
    <w:rsid w:val="003665E5"/>
    <w:rsid w:val="004B058F"/>
    <w:rsid w:val="004C0D22"/>
    <w:rsid w:val="00732906"/>
    <w:rsid w:val="00BD3D1F"/>
    <w:rsid w:val="00C47B8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5168"/>
    <w:rPr>
      <w:rFonts w:ascii="Tahoma" w:hAnsi="Tahoma" w:cs="Tahoma"/>
      <w:sz w:val="16"/>
      <w:szCs w:val="16"/>
    </w:rPr>
  </w:style>
  <w:style w:type="character" w:customStyle="1" w:styleId="BalloonTextChar">
    <w:name w:val="Balloon Text Char"/>
    <w:basedOn w:val="DefaultParagraphFont"/>
    <w:link w:val="BalloonText"/>
    <w:uiPriority w:val="99"/>
    <w:semiHidden/>
    <w:rsid w:val="00315168"/>
    <w:rPr>
      <w:rFonts w:ascii="Tahoma" w:hAnsi="Tahoma" w:cs="Tahoma"/>
      <w:sz w:val="16"/>
      <w:szCs w:val="16"/>
    </w:rPr>
  </w:style>
  <w:style w:type="paragraph" w:styleId="FootnoteText">
    <w:name w:val="footnote text"/>
    <w:basedOn w:val="Normal"/>
    <w:link w:val="FootnoteTextChar"/>
    <w:uiPriority w:val="99"/>
    <w:semiHidden/>
    <w:unhideWhenUsed/>
    <w:rsid w:val="00BD3D1F"/>
    <w:rPr>
      <w:sz w:val="20"/>
      <w:szCs w:val="20"/>
    </w:rPr>
  </w:style>
  <w:style w:type="character" w:customStyle="1" w:styleId="FootnoteTextChar">
    <w:name w:val="Footnote Text Char"/>
    <w:basedOn w:val="DefaultParagraphFont"/>
    <w:link w:val="FootnoteText"/>
    <w:uiPriority w:val="99"/>
    <w:semiHidden/>
    <w:rsid w:val="00BD3D1F"/>
    <w:rPr>
      <w:sz w:val="20"/>
      <w:szCs w:val="20"/>
    </w:rPr>
  </w:style>
  <w:style w:type="paragraph" w:styleId="CommentText">
    <w:name w:val="annotation text"/>
    <w:basedOn w:val="Normal"/>
    <w:link w:val="CommentTextChar"/>
    <w:uiPriority w:val="99"/>
    <w:semiHidden/>
    <w:unhideWhenUsed/>
    <w:rsid w:val="00BD3D1F"/>
    <w:rPr>
      <w:sz w:val="20"/>
      <w:szCs w:val="20"/>
    </w:rPr>
  </w:style>
  <w:style w:type="character" w:customStyle="1" w:styleId="CommentTextChar">
    <w:name w:val="Comment Text Char"/>
    <w:basedOn w:val="DefaultParagraphFont"/>
    <w:link w:val="CommentText"/>
    <w:uiPriority w:val="99"/>
    <w:semiHidden/>
    <w:rsid w:val="00BD3D1F"/>
    <w:rPr>
      <w:sz w:val="20"/>
      <w:szCs w:val="20"/>
    </w:rPr>
  </w:style>
  <w:style w:type="character" w:styleId="FootnoteReference">
    <w:name w:val="footnote reference"/>
    <w:rsid w:val="00BD3D1F"/>
    <w:rPr>
      <w:vertAlign w:val="superscript"/>
    </w:rPr>
  </w:style>
  <w:style w:type="character" w:styleId="CommentReference">
    <w:name w:val="annotation reference"/>
    <w:rsid w:val="00BD3D1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5168"/>
    <w:rPr>
      <w:rFonts w:ascii="Tahoma" w:hAnsi="Tahoma" w:cs="Tahoma"/>
      <w:sz w:val="16"/>
      <w:szCs w:val="16"/>
    </w:rPr>
  </w:style>
  <w:style w:type="character" w:customStyle="1" w:styleId="BalloonTextChar">
    <w:name w:val="Balloon Text Char"/>
    <w:basedOn w:val="DefaultParagraphFont"/>
    <w:link w:val="BalloonText"/>
    <w:uiPriority w:val="99"/>
    <w:semiHidden/>
    <w:rsid w:val="00315168"/>
    <w:rPr>
      <w:rFonts w:ascii="Tahoma" w:hAnsi="Tahoma" w:cs="Tahoma"/>
      <w:sz w:val="16"/>
      <w:szCs w:val="16"/>
    </w:rPr>
  </w:style>
  <w:style w:type="paragraph" w:styleId="FootnoteText">
    <w:name w:val="footnote text"/>
    <w:basedOn w:val="Normal"/>
    <w:link w:val="FootnoteTextChar"/>
    <w:uiPriority w:val="99"/>
    <w:semiHidden/>
    <w:unhideWhenUsed/>
    <w:rsid w:val="00BD3D1F"/>
    <w:rPr>
      <w:sz w:val="20"/>
      <w:szCs w:val="20"/>
    </w:rPr>
  </w:style>
  <w:style w:type="character" w:customStyle="1" w:styleId="FootnoteTextChar">
    <w:name w:val="Footnote Text Char"/>
    <w:basedOn w:val="DefaultParagraphFont"/>
    <w:link w:val="FootnoteText"/>
    <w:uiPriority w:val="99"/>
    <w:semiHidden/>
    <w:rsid w:val="00BD3D1F"/>
    <w:rPr>
      <w:sz w:val="20"/>
      <w:szCs w:val="20"/>
    </w:rPr>
  </w:style>
  <w:style w:type="paragraph" w:styleId="CommentText">
    <w:name w:val="annotation text"/>
    <w:basedOn w:val="Normal"/>
    <w:link w:val="CommentTextChar"/>
    <w:uiPriority w:val="99"/>
    <w:semiHidden/>
    <w:unhideWhenUsed/>
    <w:rsid w:val="00BD3D1F"/>
    <w:rPr>
      <w:sz w:val="20"/>
      <w:szCs w:val="20"/>
    </w:rPr>
  </w:style>
  <w:style w:type="character" w:customStyle="1" w:styleId="CommentTextChar">
    <w:name w:val="Comment Text Char"/>
    <w:basedOn w:val="DefaultParagraphFont"/>
    <w:link w:val="CommentText"/>
    <w:uiPriority w:val="99"/>
    <w:semiHidden/>
    <w:rsid w:val="00BD3D1F"/>
    <w:rPr>
      <w:sz w:val="20"/>
      <w:szCs w:val="20"/>
    </w:rPr>
  </w:style>
  <w:style w:type="character" w:styleId="FootnoteReference">
    <w:name w:val="footnote reference"/>
    <w:rsid w:val="00BD3D1F"/>
    <w:rPr>
      <w:vertAlign w:val="superscript"/>
    </w:rPr>
  </w:style>
  <w:style w:type="character" w:styleId="CommentReference">
    <w:name w:val="annotation reference"/>
    <w:rsid w:val="00BD3D1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olitzerahles\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Single spaced (blank)</Template>
  <TotalTime>4</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Politzer-Ahles</dc:creator>
  <cp:lastModifiedBy>Steve</cp:lastModifiedBy>
  <cp:revision>4</cp:revision>
  <dcterms:created xsi:type="dcterms:W3CDTF">2015-10-26T17:45:00Z</dcterms:created>
  <dcterms:modified xsi:type="dcterms:W3CDTF">2016-01-16T00:03:00Z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ies>
</file>