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DA684" w14:textId="2E0AD9EA" w:rsidR="00CF1C0B" w:rsidRPr="00CF1C0B" w:rsidRDefault="00CF1C0B" w:rsidP="005F76BD">
      <w:pPr>
        <w:jc w:val="both"/>
        <w:rPr>
          <w:rFonts w:ascii="Arial" w:hAnsi="Arial" w:cs="Arial"/>
          <w:b/>
          <w:bCs/>
          <w:sz w:val="32"/>
          <w:szCs w:val="32"/>
          <w:lang w:val="en-US"/>
        </w:rPr>
      </w:pPr>
      <w:r w:rsidRPr="00CF1C0B">
        <w:rPr>
          <w:rFonts w:ascii="Arial" w:hAnsi="Arial" w:cs="Arial"/>
          <w:b/>
          <w:bCs/>
          <w:sz w:val="32"/>
          <w:szCs w:val="32"/>
          <w:lang w:val="en-US"/>
        </w:rPr>
        <w:t>Methods</w:t>
      </w:r>
    </w:p>
    <w:p w14:paraId="02DEFDF3" w14:textId="77777777" w:rsidR="00CF1C0B" w:rsidRDefault="00CF1C0B" w:rsidP="005F76BD">
      <w:pPr>
        <w:autoSpaceDE w:val="0"/>
        <w:autoSpaceDN w:val="0"/>
        <w:adjustRightInd w:val="0"/>
        <w:spacing w:after="0" w:line="240" w:lineRule="auto"/>
        <w:jc w:val="both"/>
        <w:rPr>
          <w:rFonts w:ascii="Arial" w:eastAsia="NimbusSanL-Bold" w:hAnsi="Arial" w:cs="Arial"/>
          <w:b/>
          <w:bCs/>
          <w:color w:val="000000"/>
          <w:sz w:val="20"/>
          <w:szCs w:val="20"/>
        </w:rPr>
      </w:pPr>
    </w:p>
    <w:p w14:paraId="0D5FEBCF" w14:textId="7604645D" w:rsidR="00C90EEE" w:rsidRPr="00DC5447" w:rsidRDefault="00D90969" w:rsidP="00DC5447">
      <w:pPr>
        <w:autoSpaceDE w:val="0"/>
        <w:autoSpaceDN w:val="0"/>
        <w:adjustRightInd w:val="0"/>
        <w:spacing w:after="0" w:line="240" w:lineRule="auto"/>
        <w:jc w:val="both"/>
        <w:rPr>
          <w:rFonts w:ascii="Arial" w:eastAsia="NimbusSanL-Bold" w:hAnsi="Arial" w:cs="Arial"/>
          <w:b/>
          <w:bCs/>
          <w:color w:val="000000"/>
          <w:sz w:val="20"/>
          <w:szCs w:val="20"/>
        </w:rPr>
      </w:pPr>
      <w:r w:rsidRPr="00457969">
        <w:rPr>
          <w:rFonts w:ascii="Arial" w:eastAsia="NimbusSanL-Bold" w:hAnsi="Arial" w:cs="Arial"/>
          <w:b/>
          <w:bCs/>
          <w:color w:val="000000"/>
          <w:sz w:val="20"/>
          <w:szCs w:val="20"/>
        </w:rPr>
        <w:t>Image Acquisition</w:t>
      </w:r>
    </w:p>
    <w:p w14:paraId="77BEC704" w14:textId="77777777" w:rsidR="00DC5447" w:rsidRDefault="00DC5447" w:rsidP="00C90EEE">
      <w:pPr>
        <w:spacing w:line="240" w:lineRule="auto"/>
        <w:jc w:val="both"/>
      </w:pPr>
    </w:p>
    <w:p w14:paraId="1FFE58CD" w14:textId="1D7434F1" w:rsidR="00C90EEE" w:rsidRPr="00457969" w:rsidRDefault="00C90EEE" w:rsidP="00C90EEE">
      <w:pPr>
        <w:spacing w:line="240" w:lineRule="auto"/>
        <w:jc w:val="both"/>
      </w:pPr>
      <w:r>
        <w:t>Participants underwent preoperative 3T multiparametric MRI (</w:t>
      </w:r>
      <w:proofErr w:type="spellStart"/>
      <w:r>
        <w:t>Ingenia</w:t>
      </w:r>
      <w:proofErr w:type="spellEnd"/>
      <w:r>
        <w:t xml:space="preserve">; Philips Healthcare) using a combination of a </w:t>
      </w:r>
      <w:r w:rsidR="00915967">
        <w:t>six-channel</w:t>
      </w:r>
      <w:r>
        <w:t xml:space="preserve"> cardiac phased-array coil placed around the pelvis and an endorectal coil (</w:t>
      </w:r>
      <w:proofErr w:type="spellStart"/>
      <w:r>
        <w:t>Medrad</w:t>
      </w:r>
      <w:proofErr w:type="spellEnd"/>
      <w:r>
        <w:t>; Bayer Healthcare). The HM MRI sequence consisted of a spin-echo module with diffusion sensiti</w:t>
      </w:r>
      <w:r w:rsidR="0079288F">
        <w:t>s</w:t>
      </w:r>
      <w:r>
        <w:t>ing gradients (</w:t>
      </w:r>
      <w:r w:rsidRPr="00C90EEE">
        <w:rPr>
          <w:rFonts w:ascii="Symbol" w:hAnsi="Symbol"/>
        </w:rPr>
        <w:t>d/D</w:t>
      </w:r>
      <w:r>
        <w:t xml:space="preserve"> = 21/35 </w:t>
      </w:r>
      <w:proofErr w:type="spellStart"/>
      <w:r>
        <w:t>ms</w:t>
      </w:r>
      <w:proofErr w:type="spellEnd"/>
      <w:r>
        <w:t>) placed symmetrically about the 180° pulse</w:t>
      </w:r>
      <w:r w:rsidR="0079288F">
        <w:t>,</w:t>
      </w:r>
      <w:r>
        <w:t xml:space="preserve"> followed by single-shot echo-planar imaging readout. Axial HM MRI images were acquired with all combinations of echo times of 57, 70, 150, and 200 </w:t>
      </w:r>
      <w:proofErr w:type="spellStart"/>
      <w:r>
        <w:t>ms</w:t>
      </w:r>
      <w:proofErr w:type="spellEnd"/>
      <w:r>
        <w:t xml:space="preserve"> and b values of 0, 150, 750, and 1500 s/mm</w:t>
      </w:r>
      <w:r w:rsidRPr="00C90EEE">
        <w:rPr>
          <w:vertAlign w:val="superscript"/>
        </w:rPr>
        <w:t>2</w:t>
      </w:r>
      <w:r>
        <w:t>, which resulted in a 4 x 4 array of data associated with each voxel. Axial HM MRI images were oriented perpendicular to the rectal wall, as guided by sagittal images to align MRI scans more closely with wholemount histologic slices. Diffusion encoding gradients were applied in three orthogonal directions with the resultant images averaged.</w:t>
      </w:r>
      <w:r w:rsidR="0079288F">
        <w:t xml:space="preserve"> </w:t>
      </w:r>
      <w:r>
        <w:t xml:space="preserve">Fat saturation was performed using spectral adiabatic inversion recovery. The MRI parameters were as follows: in-plane resolution, 1.5 </w:t>
      </w:r>
      <w:r w:rsidR="00172B1D">
        <w:t>x</w:t>
      </w:r>
      <w:r>
        <w:t xml:space="preserve"> 1.5 mm; imaging matrix, 120 </w:t>
      </w:r>
      <w:r w:rsidR="00172B1D">
        <w:t>x</w:t>
      </w:r>
      <w:r>
        <w:t xml:space="preserve"> 120; field of view, 180 x 180 mm; repetition time, 5 </w:t>
      </w:r>
      <w:r w:rsidR="0079288F">
        <w:t>s</w:t>
      </w:r>
      <w:r>
        <w:t xml:space="preserve">; number of </w:t>
      </w:r>
      <w:r w:rsidR="0079288F">
        <w:t>slices</w:t>
      </w:r>
      <w:r>
        <w:t xml:space="preserve">, 18; </w:t>
      </w:r>
      <w:r w:rsidR="0079288F">
        <w:t>slice</w:t>
      </w:r>
      <w:r>
        <w:t xml:space="preserve"> thickness, 3 mm; reconstruction matrix, 128 x 128. The acquisition time was 10–12 minutes.</w:t>
      </w:r>
      <w:r w:rsidR="0079288F">
        <w:t xml:space="preserve">  Further details are provided in Chatterjee et al (2022).</w:t>
      </w:r>
    </w:p>
    <w:p w14:paraId="466954E4" w14:textId="51EA8B83" w:rsidR="00457969" w:rsidRPr="00457969" w:rsidRDefault="00457969" w:rsidP="005F76BD">
      <w:pPr>
        <w:autoSpaceDE w:val="0"/>
        <w:autoSpaceDN w:val="0"/>
        <w:adjustRightInd w:val="0"/>
        <w:spacing w:after="0" w:line="240" w:lineRule="auto"/>
        <w:jc w:val="both"/>
        <w:rPr>
          <w:rFonts w:ascii="Arial" w:eastAsia="NimbusRomNo9L-Regu" w:hAnsi="Arial" w:cs="Arial"/>
          <w:color w:val="000000"/>
          <w:sz w:val="20"/>
          <w:szCs w:val="20"/>
        </w:rPr>
      </w:pPr>
    </w:p>
    <w:p w14:paraId="6757D666" w14:textId="77777777" w:rsidR="00D90969" w:rsidRPr="00457969" w:rsidRDefault="00D90969" w:rsidP="005F76BD">
      <w:pPr>
        <w:autoSpaceDE w:val="0"/>
        <w:autoSpaceDN w:val="0"/>
        <w:adjustRightInd w:val="0"/>
        <w:spacing w:after="0" w:line="240" w:lineRule="auto"/>
        <w:jc w:val="both"/>
        <w:rPr>
          <w:rFonts w:ascii="Arial" w:eastAsia="NimbusSanL-Bold" w:hAnsi="Arial" w:cs="Arial"/>
          <w:b/>
          <w:bCs/>
          <w:color w:val="000000"/>
          <w:sz w:val="20"/>
          <w:szCs w:val="20"/>
        </w:rPr>
      </w:pPr>
      <w:r w:rsidRPr="00457969">
        <w:rPr>
          <w:rFonts w:ascii="Arial" w:eastAsia="NimbusSanL-Bold" w:hAnsi="Arial" w:cs="Arial"/>
          <w:b/>
          <w:bCs/>
          <w:color w:val="000000"/>
          <w:sz w:val="20"/>
          <w:szCs w:val="20"/>
        </w:rPr>
        <w:t>Image registration</w:t>
      </w:r>
    </w:p>
    <w:p w14:paraId="79957708" w14:textId="77777777" w:rsidR="00DC5447" w:rsidRDefault="00DC5447" w:rsidP="005F76BD">
      <w:pPr>
        <w:autoSpaceDE w:val="0"/>
        <w:autoSpaceDN w:val="0"/>
        <w:adjustRightInd w:val="0"/>
        <w:spacing w:after="0" w:line="240" w:lineRule="auto"/>
        <w:jc w:val="both"/>
      </w:pPr>
    </w:p>
    <w:p w14:paraId="53361358" w14:textId="298990FE" w:rsidR="00D90969" w:rsidRDefault="0079288F" w:rsidP="005F76BD">
      <w:pPr>
        <w:autoSpaceDE w:val="0"/>
        <w:autoSpaceDN w:val="0"/>
        <w:adjustRightInd w:val="0"/>
        <w:spacing w:after="0" w:line="240" w:lineRule="auto"/>
        <w:jc w:val="both"/>
      </w:pPr>
      <w:r>
        <w:t>Prior to registration images were cropped to just include the largest cross section of the prostate pl</w:t>
      </w:r>
      <w:r w:rsidR="00915967">
        <w:t>u</w:t>
      </w:r>
      <w:r>
        <w:t xml:space="preserve">s approximately 5 mm of left/right and anterior/posterior tissue. </w:t>
      </w:r>
      <w:r w:rsidR="00D90969" w:rsidRPr="00EA0DDC">
        <w:t>Data precorrection was applied to the MR images prior the model fitting in a two-step process</w:t>
      </w:r>
      <w:r w:rsidR="008D2911" w:rsidRPr="00EA0DDC">
        <w:t xml:space="preserve"> using MATLAB</w:t>
      </w:r>
      <w:r w:rsidR="0078071C" w:rsidRPr="00EA0DDC">
        <w:t xml:space="preserve"> (version </w:t>
      </w:r>
      <w:r w:rsidR="00D3476D" w:rsidRPr="00EA0DDC">
        <w:t>R</w:t>
      </w:r>
      <w:r w:rsidR="0078071C" w:rsidRPr="00EA0DDC">
        <w:t>2022</w:t>
      </w:r>
      <w:r w:rsidR="00D3476D" w:rsidRPr="00EA0DDC">
        <w:t>a)</w:t>
      </w:r>
      <w:r w:rsidR="00D90969" w:rsidRPr="00EA0DDC">
        <w:t>.</w:t>
      </w:r>
      <w:r w:rsidR="00C137EF">
        <w:t xml:space="preserve"> </w:t>
      </w:r>
      <w:r w:rsidR="00C137EF" w:rsidRPr="00C137EF">
        <w:t xml:space="preserve">Images were firstly </w:t>
      </w:r>
      <w:proofErr w:type="spellStart"/>
      <w:r w:rsidR="00C137EF" w:rsidRPr="00C137EF">
        <w:t>coregistered</w:t>
      </w:r>
      <w:proofErr w:type="spellEnd"/>
      <w:r w:rsidR="00C137EF" w:rsidRPr="00C137EF">
        <w:t xml:space="preserve"> using an intensity-based image registration method with affine transformations. The optimizer initial radius was set to 6.3 </w:t>
      </w:r>
      <m:oMath>
        <m:r>
          <w:rPr>
            <w:rFonts w:ascii="Cambria Math" w:hAnsi="Cambria Math"/>
          </w:rPr>
          <m:t>×</m:t>
        </m:r>
      </m:oMath>
      <w:r w:rsidR="00C137EF" w:rsidRPr="00C137EF">
        <w:t>10</w:t>
      </w:r>
      <w:r w:rsidR="00C137EF" w:rsidRPr="00C137EF">
        <w:rPr>
          <w:vertAlign w:val="superscript"/>
        </w:rPr>
        <w:t>-4</w:t>
      </w:r>
      <w:r w:rsidR="00C137EF" w:rsidRPr="00C137EF">
        <w:t xml:space="preserve"> and the maximum number of iterations to 3</w:t>
      </w:r>
      <m:oMath>
        <m:r>
          <w:rPr>
            <w:rFonts w:ascii="Cambria Math" w:hAnsi="Cambria Math"/>
          </w:rPr>
          <m:t>×</m:t>
        </m:r>
      </m:oMath>
      <w:r w:rsidR="00F0560E" w:rsidRPr="00C137EF">
        <w:t>10</w:t>
      </w:r>
      <w:r w:rsidR="00F0560E" w:rsidRPr="00C137EF">
        <w:rPr>
          <w:vertAlign w:val="superscript"/>
        </w:rPr>
        <w:t>5</w:t>
      </w:r>
      <w:r w:rsidR="00F0560E" w:rsidRPr="00C137EF">
        <w:t>.</w:t>
      </w:r>
      <w:r w:rsidR="00C137EF">
        <w:t xml:space="preserve"> </w:t>
      </w:r>
      <w:r w:rsidR="00C137EF" w:rsidRPr="00C137EF">
        <w:t>For the registration, the MR image sequence with lowest b and TE value served as the reference image</w:t>
      </w:r>
      <w:r>
        <w:t xml:space="preserve"> (Fig. S1)</w:t>
      </w:r>
      <w:r w:rsidR="00C137EF" w:rsidRPr="00C137EF">
        <w:t xml:space="preserve">. </w:t>
      </w:r>
      <w:r w:rsidR="00D90969" w:rsidRPr="00EA0DDC">
        <w:t xml:space="preserve">From this, and to </w:t>
      </w:r>
      <w:r w:rsidR="00420EE6" w:rsidRPr="00EA0DDC">
        <w:t>reduce</w:t>
      </w:r>
      <w:r w:rsidR="00D90969" w:rsidRPr="00EA0DDC">
        <w:t xml:space="preserve"> misalignment errors due to patient movement, all other images with b = 0 and different TE sequences were firstly </w:t>
      </w:r>
      <w:proofErr w:type="spellStart"/>
      <w:r w:rsidR="00D90969" w:rsidRPr="00EA0DDC">
        <w:t>coregistered</w:t>
      </w:r>
      <w:proofErr w:type="spellEnd"/>
      <w:r w:rsidR="00D90969" w:rsidRPr="00EA0DDC">
        <w:t xml:space="preserve"> such that sequence TE = TE1 was used to align sequence TE = TE2, with TE2 &gt; TE1. Once all b = 0, TE sequences were aligned, these images serve as the reference image for all the other sequences with same TE but different b values. This stepwise process ensures that each imaged is registered to the next most similar image in terms of T2 and diffusion attenuation. </w:t>
      </w:r>
    </w:p>
    <w:p w14:paraId="337301AB" w14:textId="77777777" w:rsidR="00915967" w:rsidRPr="00C137EF" w:rsidRDefault="00915967" w:rsidP="005F76BD">
      <w:pPr>
        <w:autoSpaceDE w:val="0"/>
        <w:autoSpaceDN w:val="0"/>
        <w:adjustRightInd w:val="0"/>
        <w:spacing w:after="0" w:line="240" w:lineRule="auto"/>
        <w:jc w:val="both"/>
      </w:pPr>
    </w:p>
    <w:p w14:paraId="6F842F35" w14:textId="77777777" w:rsidR="002D24D1" w:rsidRDefault="002D24D1" w:rsidP="005F76BD">
      <w:pPr>
        <w:autoSpaceDE w:val="0"/>
        <w:autoSpaceDN w:val="0"/>
        <w:adjustRightInd w:val="0"/>
        <w:spacing w:after="0" w:line="240" w:lineRule="auto"/>
        <w:jc w:val="both"/>
        <w:rPr>
          <w:rFonts w:ascii="Arial" w:eastAsia="NimbusRomNo9L-Regu" w:hAnsi="Arial" w:cs="Arial"/>
          <w:color w:val="000000"/>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2D24D1" w14:paraId="10A67CED" w14:textId="77777777" w:rsidTr="00915967">
        <w:trPr>
          <w:trHeight w:val="4509"/>
          <w:jc w:val="center"/>
        </w:trPr>
        <w:tc>
          <w:tcPr>
            <w:tcW w:w="9369" w:type="dxa"/>
            <w:shd w:val="clear" w:color="auto" w:fill="auto"/>
          </w:tcPr>
          <w:p w14:paraId="38F7ACA1" w14:textId="3748E288" w:rsidR="002D24D1" w:rsidRDefault="00F6537E" w:rsidP="005F76BD">
            <w:pPr>
              <w:autoSpaceDE w:val="0"/>
              <w:autoSpaceDN w:val="0"/>
              <w:adjustRightInd w:val="0"/>
              <w:jc w:val="center"/>
              <w:rPr>
                <w:rFonts w:ascii="Arial" w:eastAsia="NimbusRomNo9L-Regu" w:hAnsi="Arial" w:cs="Arial"/>
                <w:color w:val="000000"/>
                <w:sz w:val="20"/>
                <w:szCs w:val="20"/>
              </w:rPr>
            </w:pPr>
            <w:r>
              <w:rPr>
                <w:rFonts w:ascii="Arial" w:eastAsia="NimbusRomNo9L-Regu" w:hAnsi="Arial" w:cs="Arial"/>
                <w:noProof/>
                <w:color w:val="000000"/>
                <w:sz w:val="20"/>
                <w:szCs w:val="20"/>
              </w:rPr>
              <w:lastRenderedPageBreak/>
              <w:drawing>
                <wp:inline distT="0" distB="0" distL="0" distR="0" wp14:anchorId="022742D1" wp14:editId="4BB0C7C3">
                  <wp:extent cx="2795451" cy="2826422"/>
                  <wp:effectExtent l="0" t="0" r="0" b="571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07022" cy="2838121"/>
                          </a:xfrm>
                          <a:prstGeom prst="rect">
                            <a:avLst/>
                          </a:prstGeom>
                        </pic:spPr>
                      </pic:pic>
                    </a:graphicData>
                  </a:graphic>
                </wp:inline>
              </w:drawing>
            </w:r>
          </w:p>
        </w:tc>
      </w:tr>
      <w:tr w:rsidR="002D24D1" w14:paraId="22C3DF35" w14:textId="77777777" w:rsidTr="00915967">
        <w:trPr>
          <w:trHeight w:val="186"/>
          <w:jc w:val="center"/>
        </w:trPr>
        <w:tc>
          <w:tcPr>
            <w:tcW w:w="9369" w:type="dxa"/>
            <w:shd w:val="clear" w:color="auto" w:fill="auto"/>
          </w:tcPr>
          <w:p w14:paraId="2FFC629A" w14:textId="5E13D11D" w:rsidR="00554775" w:rsidRPr="0088525D" w:rsidRDefault="004D45A9" w:rsidP="005F76BD">
            <w:pPr>
              <w:jc w:val="both"/>
              <w:rPr>
                <w:b/>
                <w:bCs/>
              </w:rPr>
            </w:pPr>
            <w:r w:rsidRPr="0088525D">
              <w:rPr>
                <w:b/>
                <w:bCs/>
              </w:rPr>
              <w:t>Fig</w:t>
            </w:r>
            <w:r w:rsidR="00CF1C0B">
              <w:rPr>
                <w:b/>
                <w:bCs/>
              </w:rPr>
              <w:t>. S</w:t>
            </w:r>
            <w:r w:rsidRPr="0088525D">
              <w:rPr>
                <w:b/>
                <w:bCs/>
              </w:rPr>
              <w:t xml:space="preserve">1. </w:t>
            </w:r>
            <w:r w:rsidR="0088525D" w:rsidRPr="0088525D">
              <w:rPr>
                <w:b/>
                <w:bCs/>
              </w:rPr>
              <w:t>Image registration sequence</w:t>
            </w:r>
          </w:p>
          <w:p w14:paraId="5E133ACE" w14:textId="0AD1DFCD" w:rsidR="002D24D1" w:rsidRDefault="004D45A9" w:rsidP="005F76BD">
            <w:pPr>
              <w:jc w:val="both"/>
            </w:pPr>
            <w:r>
              <w:t xml:space="preserve">Image registration was performed </w:t>
            </w:r>
            <w:r w:rsidR="003A4954">
              <w:t>using the image sequence with</w:t>
            </w:r>
            <w:r w:rsidR="00C81897">
              <w:t xml:space="preserve"> lowest TE and b value</w:t>
            </w:r>
            <w:r w:rsidR="00D3476D">
              <w:t xml:space="preserve"> (</w:t>
            </w:r>
            <m:oMath>
              <m:r>
                <w:rPr>
                  <w:rFonts w:ascii="Cambria Math" w:hAnsi="Cambria Math"/>
                </w:rPr>
                <m:t>b = 0</m:t>
              </m:r>
            </m:oMath>
            <w:r w:rsidR="00D3476D">
              <w:t xml:space="preserve"> </w:t>
            </w:r>
            <w:r w:rsidR="00D3476D" w:rsidRPr="00457969">
              <w:rPr>
                <w:rFonts w:eastAsia="NimbusRomNo9L-ReguItal"/>
              </w:rPr>
              <w:t>s</w:t>
            </w:r>
            <w:r w:rsidR="00D3476D" w:rsidRPr="00457969">
              <w:rPr>
                <w:rFonts w:eastAsia="CMMI10"/>
              </w:rPr>
              <w:t>/</w:t>
            </w:r>
            <w:r w:rsidR="00D3476D" w:rsidRPr="00457969">
              <w:rPr>
                <w:rFonts w:eastAsia="NimbusRomNo9L-ReguItal"/>
              </w:rPr>
              <w:t>mm</w:t>
            </w:r>
            <w:r w:rsidR="00D3476D" w:rsidRPr="00D3476D">
              <w:rPr>
                <w:sz w:val="15"/>
                <w:szCs w:val="15"/>
                <w:vertAlign w:val="superscript"/>
              </w:rPr>
              <w:t>2</w:t>
            </w:r>
            <w:r w:rsidR="00D3476D">
              <w:t>)</w:t>
            </w:r>
            <w:r w:rsidR="00C81897">
              <w:t xml:space="preserve"> as the reference image (dark blue).</w:t>
            </w:r>
            <w:r w:rsidR="00CA3D22">
              <w:t xml:space="preserve"> </w:t>
            </w:r>
            <w:r w:rsidR="00AE7DBA">
              <w:t xml:space="preserve">The sequence followed during registration is indicated by the </w:t>
            </w:r>
            <w:r w:rsidR="008A3D6D">
              <w:t>orange and</w:t>
            </w:r>
            <w:r w:rsidR="00561600">
              <w:t xml:space="preserve"> yellow </w:t>
            </w:r>
            <w:r w:rsidR="00AE7DBA">
              <w:t>arrow</w:t>
            </w:r>
            <w:r w:rsidR="00D5135B">
              <w:t xml:space="preserve">s: </w:t>
            </w:r>
            <w:r w:rsidR="00CF1C0B">
              <w:t xml:space="preserve">1) </w:t>
            </w:r>
            <w:r w:rsidR="00D5135B">
              <w:t xml:space="preserve">Firstly, </w:t>
            </w:r>
            <w:r w:rsidR="00E941FC">
              <w:t xml:space="preserve">all images with same </w:t>
            </w:r>
            <w:r w:rsidR="00561600">
              <w:t xml:space="preserve">(lowest) </w:t>
            </w:r>
            <w:r w:rsidR="00E941FC">
              <w:t xml:space="preserve">b value </w:t>
            </w:r>
            <w:r w:rsidR="00561600">
              <w:t xml:space="preserve">were </w:t>
            </w:r>
            <w:proofErr w:type="spellStart"/>
            <w:r w:rsidR="00561600">
              <w:t>coregistered</w:t>
            </w:r>
            <w:proofErr w:type="spellEnd"/>
            <w:r w:rsidR="00561600">
              <w:t xml:space="preserve"> using the image on the left as the reference </w:t>
            </w:r>
            <w:r w:rsidR="008A3D6D">
              <w:t>image (orange arrows)</w:t>
            </w:r>
            <w:r w:rsidR="00CF1C0B">
              <w:t>; 2)</w:t>
            </w:r>
            <w:r w:rsidR="008A3D6D">
              <w:t xml:space="preserve"> Once all these sequences were registered, each image on the top row was used as the reference image for its corresponding column</w:t>
            </w:r>
            <w:r w:rsidR="00012FC9">
              <w:t>.</w:t>
            </w:r>
            <w:r w:rsidR="008A3D6D">
              <w:t xml:space="preserve"> </w:t>
            </w:r>
            <w:r w:rsidR="00E663C3">
              <w:t>For a given image</w:t>
            </w:r>
            <w:r w:rsidR="00E95A67">
              <w:t xml:space="preserve"> sequence</w:t>
            </w:r>
            <w:r w:rsidR="00E663C3">
              <w:t xml:space="preserve">, the image above was used as the </w:t>
            </w:r>
            <w:r w:rsidR="00257476">
              <w:t xml:space="preserve">reference </w:t>
            </w:r>
            <w:r w:rsidR="0047729E">
              <w:t>image (</w:t>
            </w:r>
            <w:r w:rsidR="00E95A67">
              <w:t>yellow arrows)</w:t>
            </w:r>
          </w:p>
        </w:tc>
      </w:tr>
    </w:tbl>
    <w:p w14:paraId="23F93575" w14:textId="77777777" w:rsidR="002D24D1" w:rsidRPr="00457969" w:rsidRDefault="002D24D1" w:rsidP="005F76BD">
      <w:pPr>
        <w:autoSpaceDE w:val="0"/>
        <w:autoSpaceDN w:val="0"/>
        <w:adjustRightInd w:val="0"/>
        <w:spacing w:after="0" w:line="240" w:lineRule="auto"/>
        <w:jc w:val="both"/>
        <w:rPr>
          <w:rFonts w:ascii="Arial" w:eastAsia="NimbusRomNo9L-Regu" w:hAnsi="Arial" w:cs="Arial"/>
          <w:color w:val="000000"/>
          <w:sz w:val="20"/>
          <w:szCs w:val="20"/>
        </w:rPr>
      </w:pPr>
    </w:p>
    <w:p w14:paraId="4A451B7D" w14:textId="77777777" w:rsidR="00F0560E" w:rsidRDefault="00F0560E" w:rsidP="005F76BD">
      <w:pPr>
        <w:autoSpaceDE w:val="0"/>
        <w:autoSpaceDN w:val="0"/>
        <w:adjustRightInd w:val="0"/>
        <w:spacing w:after="0" w:line="240" w:lineRule="auto"/>
        <w:jc w:val="both"/>
        <w:rPr>
          <w:rFonts w:ascii="Arial" w:eastAsia="NimbusSanL-Bold" w:hAnsi="Arial" w:cs="Arial"/>
          <w:b/>
          <w:bCs/>
          <w:color w:val="000000"/>
          <w:sz w:val="20"/>
          <w:szCs w:val="20"/>
        </w:rPr>
      </w:pPr>
    </w:p>
    <w:p w14:paraId="476952FF" w14:textId="77777777" w:rsidR="005F76BD" w:rsidRDefault="005F76BD" w:rsidP="005F76BD">
      <w:pPr>
        <w:autoSpaceDE w:val="0"/>
        <w:autoSpaceDN w:val="0"/>
        <w:adjustRightInd w:val="0"/>
        <w:spacing w:after="0" w:line="240" w:lineRule="auto"/>
        <w:jc w:val="both"/>
        <w:rPr>
          <w:rFonts w:ascii="Arial" w:eastAsia="NimbusSanL-Bold" w:hAnsi="Arial" w:cs="Arial"/>
          <w:b/>
          <w:bCs/>
          <w:color w:val="000000"/>
          <w:sz w:val="20"/>
          <w:szCs w:val="20"/>
        </w:rPr>
      </w:pPr>
    </w:p>
    <w:p w14:paraId="46EF49ED" w14:textId="557EC16B" w:rsidR="00DC5447" w:rsidRDefault="00D90969" w:rsidP="0079288F">
      <w:pPr>
        <w:autoSpaceDE w:val="0"/>
        <w:autoSpaceDN w:val="0"/>
        <w:adjustRightInd w:val="0"/>
        <w:spacing w:after="0" w:line="240" w:lineRule="auto"/>
        <w:jc w:val="both"/>
        <w:rPr>
          <w:rFonts w:ascii="Arial" w:eastAsia="NimbusSanL-Bold" w:hAnsi="Arial" w:cs="Arial"/>
          <w:b/>
          <w:bCs/>
          <w:color w:val="000000"/>
          <w:sz w:val="20"/>
          <w:szCs w:val="20"/>
        </w:rPr>
      </w:pPr>
      <w:r w:rsidRPr="00457969">
        <w:rPr>
          <w:rFonts w:ascii="Arial" w:eastAsia="NimbusSanL-Bold" w:hAnsi="Arial" w:cs="Arial"/>
          <w:b/>
          <w:bCs/>
          <w:color w:val="000000"/>
          <w:sz w:val="20"/>
          <w:szCs w:val="20"/>
        </w:rPr>
        <w:t>Noise floor correctio</w:t>
      </w:r>
      <w:r w:rsidR="0079288F">
        <w:rPr>
          <w:rFonts w:ascii="Arial" w:eastAsia="NimbusSanL-Bold" w:hAnsi="Arial" w:cs="Arial"/>
          <w:b/>
          <w:bCs/>
          <w:color w:val="000000"/>
          <w:sz w:val="20"/>
          <w:szCs w:val="20"/>
        </w:rPr>
        <w:t>n</w:t>
      </w:r>
    </w:p>
    <w:p w14:paraId="7276D7D0" w14:textId="77777777" w:rsidR="0079288F" w:rsidRPr="0079288F" w:rsidRDefault="0079288F" w:rsidP="0079288F">
      <w:pPr>
        <w:autoSpaceDE w:val="0"/>
        <w:autoSpaceDN w:val="0"/>
        <w:adjustRightInd w:val="0"/>
        <w:spacing w:after="0" w:line="240" w:lineRule="auto"/>
        <w:jc w:val="both"/>
        <w:rPr>
          <w:rFonts w:ascii="Arial" w:eastAsia="NimbusSanL-Bold" w:hAnsi="Arial" w:cs="Arial"/>
          <w:b/>
          <w:bCs/>
          <w:color w:val="000000"/>
          <w:sz w:val="20"/>
          <w:szCs w:val="20"/>
        </w:rPr>
      </w:pPr>
    </w:p>
    <w:p w14:paraId="0FF5FE42" w14:textId="2B1B072E" w:rsidR="003A42E2" w:rsidRPr="00EA0DDC" w:rsidRDefault="00D90969" w:rsidP="005F76BD">
      <w:pPr>
        <w:jc w:val="both"/>
      </w:pPr>
      <w:r w:rsidRPr="00457969">
        <w:t>Prior to model fitting</w:t>
      </w:r>
      <w:r w:rsidR="003A42E2">
        <w:t>,</w:t>
      </w:r>
      <w:r w:rsidRPr="00457969">
        <w:t xml:space="preserve"> signal data from each voxel was adjusted to compensate Rician noise bias according to the method of </w:t>
      </w:r>
      <w:proofErr w:type="spellStart"/>
      <w:r w:rsidRPr="00457969">
        <w:t>Gudbjartsson</w:t>
      </w:r>
      <w:proofErr w:type="spellEnd"/>
      <w:r w:rsidR="00EA0DDC">
        <w:t xml:space="preserve"> (1995</w:t>
      </w:r>
      <w:r w:rsidR="00EA0DDC" w:rsidRPr="00EA0DDC">
        <w:t>). The noise level</w:t>
      </w:r>
      <w:r w:rsidRPr="00EA0DDC">
        <w:t xml:space="preserve"> was taken as the standard deviation of signal intensity in an ROI drawn in air inside the endorectal coil adjacent to the prostate.</w:t>
      </w:r>
      <w:r w:rsidRPr="00457969">
        <w:rPr>
          <w:rFonts w:ascii="Arial" w:eastAsia="NimbusRomNo9L-Regu" w:hAnsi="Arial" w:cs="Arial"/>
          <w:color w:val="000000"/>
          <w:sz w:val="20"/>
          <w:szCs w:val="20"/>
        </w:rPr>
        <w:t xml:space="preserve"> </w:t>
      </w:r>
    </w:p>
    <w:p w14:paraId="4403BCAB" w14:textId="77777777" w:rsidR="00C22836" w:rsidRPr="00457969" w:rsidRDefault="00C22836" w:rsidP="005F76BD">
      <w:pPr>
        <w:autoSpaceDE w:val="0"/>
        <w:autoSpaceDN w:val="0"/>
        <w:adjustRightInd w:val="0"/>
        <w:spacing w:after="0" w:line="240" w:lineRule="auto"/>
        <w:jc w:val="both"/>
        <w:rPr>
          <w:rFonts w:ascii="Arial" w:eastAsia="NimbusRomNo9L-Regu" w:hAnsi="Arial" w:cs="Arial"/>
          <w:color w:val="000000"/>
          <w:sz w:val="20"/>
          <w:szCs w:val="20"/>
        </w:rPr>
      </w:pPr>
    </w:p>
    <w:p w14:paraId="5805A86C" w14:textId="77777777" w:rsidR="00D90969" w:rsidRPr="00457969" w:rsidRDefault="00D90969" w:rsidP="005F76BD">
      <w:pPr>
        <w:autoSpaceDE w:val="0"/>
        <w:autoSpaceDN w:val="0"/>
        <w:adjustRightInd w:val="0"/>
        <w:spacing w:after="0" w:line="240" w:lineRule="auto"/>
        <w:jc w:val="both"/>
        <w:rPr>
          <w:rFonts w:ascii="Arial" w:eastAsia="NimbusSanL-Bold" w:hAnsi="Arial" w:cs="Arial"/>
          <w:b/>
          <w:bCs/>
          <w:color w:val="000000"/>
          <w:sz w:val="20"/>
          <w:szCs w:val="20"/>
        </w:rPr>
      </w:pPr>
      <w:r w:rsidRPr="00457969">
        <w:rPr>
          <w:rFonts w:ascii="Arial" w:eastAsia="NimbusSanL-Bold" w:hAnsi="Arial" w:cs="Arial"/>
          <w:b/>
          <w:bCs/>
          <w:color w:val="000000"/>
          <w:sz w:val="20"/>
          <w:szCs w:val="20"/>
        </w:rPr>
        <w:t>Phenomenological model fitting</w:t>
      </w:r>
    </w:p>
    <w:p w14:paraId="3B4B2EBF" w14:textId="77777777" w:rsidR="00915967" w:rsidRDefault="00915967" w:rsidP="005F76BD">
      <w:pPr>
        <w:jc w:val="both"/>
        <w:rPr>
          <w:rFonts w:ascii="Arial" w:hAnsi="Arial" w:cs="Arial"/>
          <w:b/>
          <w:bCs/>
          <w:sz w:val="20"/>
          <w:szCs w:val="20"/>
        </w:rPr>
      </w:pPr>
    </w:p>
    <w:p w14:paraId="63861142" w14:textId="23096A99" w:rsidR="00641F0E" w:rsidRDefault="00D90969" w:rsidP="005F76BD">
      <w:pPr>
        <w:jc w:val="both"/>
      </w:pPr>
      <w:r w:rsidRPr="00457969">
        <w:t xml:space="preserve">After image registration and noise </w:t>
      </w:r>
      <w:r w:rsidR="00DF087E">
        <w:t xml:space="preserve">bias </w:t>
      </w:r>
      <w:r w:rsidRPr="00457969">
        <w:t xml:space="preserve">reduction, </w:t>
      </w:r>
      <w:r w:rsidR="00641F0E">
        <w:t>a mask was manually defined for each prostate slice to include only prostatic tissue.  Model fitting was performed only on intraprostatic voxe</w:t>
      </w:r>
      <w:r w:rsidR="0079288F">
        <w:t>l</w:t>
      </w:r>
      <w:r w:rsidR="00641F0E">
        <w:t>s as defined by the mask.</w:t>
      </w:r>
    </w:p>
    <w:p w14:paraId="2C325542" w14:textId="3CA8BFA7" w:rsidR="00EE49F2" w:rsidRDefault="00641F0E" w:rsidP="005F76BD">
      <w:pPr>
        <w:jc w:val="both"/>
      </w:pPr>
      <w:r>
        <w:t>F</w:t>
      </w:r>
      <w:r w:rsidR="00D90969" w:rsidRPr="00457969">
        <w:t xml:space="preserve">ive </w:t>
      </w:r>
      <w:r w:rsidR="00D01B82">
        <w:t xml:space="preserve">nested </w:t>
      </w:r>
      <w:r w:rsidR="00D90969" w:rsidRPr="00457969">
        <w:t xml:space="preserve">models were fitted </w:t>
      </w:r>
      <w:r w:rsidR="00906A89">
        <w:t xml:space="preserve">progressively </w:t>
      </w:r>
      <w:r w:rsidR="00D90969" w:rsidRPr="00457969">
        <w:t>to the data</w:t>
      </w:r>
      <w:r w:rsidR="00DF087E">
        <w:t xml:space="preserve"> (Fig. </w:t>
      </w:r>
      <w:r w:rsidR="00172B1D">
        <w:t>S</w:t>
      </w:r>
      <w:r w:rsidR="00DF087E">
        <w:t>2)</w:t>
      </w:r>
      <w:r w:rsidR="00EA0DDC">
        <w:t>.</w:t>
      </w:r>
      <w:r w:rsidR="00CC1751">
        <w:t xml:space="preserve"> S</w:t>
      </w:r>
      <w:r w:rsidR="003A1A8C">
        <w:t>tarting from the simplest model</w:t>
      </w:r>
      <w:r w:rsidR="00F16CD1">
        <w:t xml:space="preserve"> (</w:t>
      </w:r>
      <w:r w:rsidR="00DF087E">
        <w:t>M</w:t>
      </w:r>
      <w:r w:rsidR="00F16CD1">
        <w:t>odel 1)</w:t>
      </w:r>
      <w:r w:rsidR="00335B0B">
        <w:t>,</w:t>
      </w:r>
      <w:r w:rsidR="004E5032">
        <w:t xml:space="preserve"> </w:t>
      </w:r>
      <w:r w:rsidR="00754532">
        <w:t xml:space="preserve">one </w:t>
      </w:r>
      <w:r w:rsidR="00C04859">
        <w:t xml:space="preserve">D </w:t>
      </w:r>
      <w:r w:rsidR="00CC1751">
        <w:t>parameter</w:t>
      </w:r>
      <w:r w:rsidR="00EA7353">
        <w:t xml:space="preserve"> and one T2 parameter are </w:t>
      </w:r>
      <w:r w:rsidR="00C04859">
        <w:t>estimated</w:t>
      </w:r>
      <w:r w:rsidR="00EA7353">
        <w:t>. The fitted D value</w:t>
      </w:r>
      <w:r w:rsidR="00DA1BBA">
        <w:t xml:space="preserve"> of </w:t>
      </w:r>
      <w:r w:rsidR="00DF087E">
        <w:t>M</w:t>
      </w:r>
      <w:r w:rsidR="00DA1BBA">
        <w:t>odel 1</w:t>
      </w:r>
      <w:r w:rsidR="00EA7353">
        <w:t xml:space="preserve"> is</w:t>
      </w:r>
      <w:r w:rsidR="00F16CD1">
        <w:t xml:space="preserve"> used to define</w:t>
      </w:r>
      <w:r w:rsidR="009526EB">
        <w:t xml:space="preserve"> the</w:t>
      </w:r>
      <w:r w:rsidR="00F16CD1">
        <w:t xml:space="preserve"> lower and upper </w:t>
      </w:r>
      <w:r w:rsidR="00EA7353">
        <w:t xml:space="preserve">D </w:t>
      </w:r>
      <w:r w:rsidR="00F16CD1">
        <w:t xml:space="preserve">limits for </w:t>
      </w:r>
      <w:r w:rsidR="00754532">
        <w:t xml:space="preserve">the subsequent </w:t>
      </w:r>
      <w:r w:rsidR="0092053B">
        <w:t xml:space="preserve">two </w:t>
      </w:r>
      <w:r w:rsidR="00754532">
        <w:t>model</w:t>
      </w:r>
      <w:r w:rsidR="0092053B">
        <w:t>s</w:t>
      </w:r>
      <w:r w:rsidR="00754532">
        <w:t xml:space="preserve"> (</w:t>
      </w:r>
      <w:r w:rsidR="00DF087E">
        <w:t>M</w:t>
      </w:r>
      <w:r w:rsidR="00754532">
        <w:t>odel</w:t>
      </w:r>
      <w:r w:rsidR="00DF087E">
        <w:t>s</w:t>
      </w:r>
      <w:r w:rsidR="00754532">
        <w:t xml:space="preserve"> 2</w:t>
      </w:r>
      <w:r w:rsidR="0092053B">
        <w:t xml:space="preserve"> </w:t>
      </w:r>
      <w:r w:rsidR="007D56F5">
        <w:t xml:space="preserve">&amp; </w:t>
      </w:r>
      <w:r w:rsidR="0092053B">
        <w:t>3</w:t>
      </w:r>
      <w:r w:rsidR="00754532">
        <w:t>)</w:t>
      </w:r>
      <w:r w:rsidR="00DA1BBA">
        <w:t xml:space="preserve"> and the </w:t>
      </w:r>
      <w:r w:rsidR="00EA7353">
        <w:t xml:space="preserve">D </w:t>
      </w:r>
      <w:r w:rsidR="00CB44C4">
        <w:t xml:space="preserve">estimates of </w:t>
      </w:r>
      <w:r w:rsidR="00DF087E">
        <w:t>M</w:t>
      </w:r>
      <w:r w:rsidR="00CB44C4">
        <w:t xml:space="preserve">odel 2 </w:t>
      </w:r>
      <w:r w:rsidR="00726A1D">
        <w:t>to d</w:t>
      </w:r>
      <w:r w:rsidR="00CB44C4">
        <w:t xml:space="preserve">efine the initial </w:t>
      </w:r>
      <w:r w:rsidR="00EA7353">
        <w:t xml:space="preserve">D </w:t>
      </w:r>
      <w:r w:rsidR="00CB44C4">
        <w:t xml:space="preserve">points for </w:t>
      </w:r>
      <w:r w:rsidR="00DF087E">
        <w:t>M</w:t>
      </w:r>
      <w:r w:rsidR="00CB44C4">
        <w:t xml:space="preserve">odel 3. A similar approach is then followed for </w:t>
      </w:r>
      <w:r w:rsidR="00DF087E">
        <w:t>M</w:t>
      </w:r>
      <w:r w:rsidR="00CB44C4">
        <w:t>odel</w:t>
      </w:r>
      <w:r w:rsidR="00DF087E">
        <w:t>s</w:t>
      </w:r>
      <w:r w:rsidR="00CB44C4">
        <w:t xml:space="preserve"> 4 and 5, where the </w:t>
      </w:r>
      <w:r w:rsidR="00EA7353">
        <w:t xml:space="preserve">D </w:t>
      </w:r>
      <w:r w:rsidR="00CB44C4">
        <w:t>limits</w:t>
      </w:r>
      <w:r w:rsidR="0070673D">
        <w:t xml:space="preserve"> (lower and upper)</w:t>
      </w:r>
      <w:r w:rsidR="00CB44C4">
        <w:t xml:space="preserve"> for both models are defined by the</w:t>
      </w:r>
      <w:r w:rsidR="00EA7353">
        <w:t xml:space="preserve"> D</w:t>
      </w:r>
      <w:r w:rsidR="00CB44C4">
        <w:t xml:space="preserve"> </w:t>
      </w:r>
      <w:r w:rsidR="0070673D">
        <w:t xml:space="preserve">estimates of </w:t>
      </w:r>
      <w:r w:rsidR="00DF087E">
        <w:t>M</w:t>
      </w:r>
      <w:r w:rsidR="0070673D">
        <w:t>odel 3</w:t>
      </w:r>
      <w:r w:rsidR="005E7CCB">
        <w:t xml:space="preserve"> and</w:t>
      </w:r>
      <w:r w:rsidR="0070673D">
        <w:t xml:space="preserve"> the initial </w:t>
      </w:r>
      <w:r w:rsidR="00EA7353">
        <w:t xml:space="preserve">D </w:t>
      </w:r>
      <w:r w:rsidR="0070673D">
        <w:t>value</w:t>
      </w:r>
      <w:r w:rsidR="00EA7353">
        <w:t>s</w:t>
      </w:r>
      <w:r w:rsidR="0070673D">
        <w:t xml:space="preserve"> for </w:t>
      </w:r>
      <w:r w:rsidR="00DF087E">
        <w:t>M</w:t>
      </w:r>
      <w:r w:rsidR="0070673D">
        <w:t>odel 5 are</w:t>
      </w:r>
      <w:r w:rsidR="00DA1BBA">
        <w:t xml:space="preserve"> obtained from </w:t>
      </w:r>
      <w:r w:rsidR="00DF087E">
        <w:t>M</w:t>
      </w:r>
      <w:r w:rsidR="00DA1BBA">
        <w:t xml:space="preserve">odel 4. </w:t>
      </w:r>
      <w:r w:rsidR="003C74F4">
        <w:t xml:space="preserve">For </w:t>
      </w:r>
      <w:r w:rsidR="00273750">
        <w:t>T2</w:t>
      </w:r>
      <w:r w:rsidR="003C74F4">
        <w:t>,</w:t>
      </w:r>
      <w:r w:rsidR="00273750">
        <w:t xml:space="preserve"> limits were always </w:t>
      </w:r>
      <w:r w:rsidR="00DF087E">
        <w:t xml:space="preserve">set to 10-1000 </w:t>
      </w:r>
      <w:proofErr w:type="spellStart"/>
      <w:r w:rsidR="00DF087E">
        <w:t>ms</w:t>
      </w:r>
      <w:proofErr w:type="spellEnd"/>
      <w:r w:rsidR="00273750">
        <w:t xml:space="preserve"> across models and compartments</w:t>
      </w:r>
      <w:r w:rsidR="00DF087E">
        <w:t>.</w:t>
      </w:r>
      <w:r w:rsidR="00273750">
        <w:t xml:space="preserve"> </w:t>
      </w:r>
      <w:r w:rsidR="00DF087E">
        <w:t>C</w:t>
      </w:r>
      <w:r w:rsidR="00273750">
        <w:t>onstrain</w:t>
      </w:r>
      <w:r w:rsidR="006B7CC2">
        <w:t>ing</w:t>
      </w:r>
      <w:r w:rsidR="00273750">
        <w:t xml:space="preserve"> the T2 limits did not produce </w:t>
      </w:r>
      <w:r w:rsidR="00DF087E">
        <w:t xml:space="preserve">significant </w:t>
      </w:r>
      <w:r w:rsidR="006B7CC2">
        <w:t xml:space="preserve">differences </w:t>
      </w:r>
      <w:r w:rsidR="00134A6D">
        <w:t xml:space="preserve">on the </w:t>
      </w:r>
      <w:r w:rsidR="00DF087E">
        <w:t xml:space="preserve">D </w:t>
      </w:r>
      <w:r w:rsidR="00134A6D">
        <w:t>and T2 maps.</w:t>
      </w:r>
      <w:r w:rsidR="003C74F4">
        <w:t xml:space="preserve"> For models </w:t>
      </w:r>
      <w:r w:rsidR="00BD46F9">
        <w:t>sharing the same number</w:t>
      </w:r>
      <w:r w:rsidR="00DF087E">
        <w:t xml:space="preserve"> of water pools</w:t>
      </w:r>
      <w:r w:rsidR="00BD46F9">
        <w:t>,</w:t>
      </w:r>
      <w:r w:rsidR="00134A6D">
        <w:t xml:space="preserve"> </w:t>
      </w:r>
      <w:r w:rsidR="004329C4">
        <w:t xml:space="preserve">the initial </w:t>
      </w:r>
      <w:r w:rsidR="00542853">
        <w:t>estimates were given by the previous model but otherwise the initial estimates were the midpoint of the full range</w:t>
      </w:r>
      <w:r w:rsidR="00134A6D">
        <w:t>.</w:t>
      </w:r>
    </w:p>
    <w:p w14:paraId="26870589" w14:textId="198C99C0" w:rsidR="00B37089" w:rsidRDefault="00EE49F2" w:rsidP="005F76BD">
      <w:pPr>
        <w:autoSpaceDE w:val="0"/>
        <w:autoSpaceDN w:val="0"/>
        <w:adjustRightInd w:val="0"/>
        <w:spacing w:after="0" w:line="240" w:lineRule="auto"/>
        <w:jc w:val="both"/>
      </w:pPr>
      <w:r>
        <w:lastRenderedPageBreak/>
        <w:t>Model</w:t>
      </w:r>
      <w:r w:rsidR="00691C14">
        <w:t xml:space="preserve"> fitting was performed in MATLAB (version R2022a) using the ‘fit’ function and a non-linear least squares method. The ‘Trust-Region’ algorithm was used during fitting and </w:t>
      </w:r>
      <w:r>
        <w:t>the</w:t>
      </w:r>
      <w:r w:rsidR="00691C14">
        <w:t xml:space="preserve"> ‘</w:t>
      </w:r>
      <w:proofErr w:type="spellStart"/>
      <w:r>
        <w:t>b</w:t>
      </w:r>
      <w:r w:rsidR="00691C14">
        <w:t>isquare</w:t>
      </w:r>
      <w:proofErr w:type="spellEnd"/>
      <w:r w:rsidR="00691C14">
        <w:t xml:space="preserve">’ robust method employed to limit the effect of outliers. The maximum change difference was set to 0.001 and the maximum number of function evaluations and iterations </w:t>
      </w:r>
      <w:r w:rsidR="00172B1D">
        <w:t>were set</w:t>
      </w:r>
      <w:r w:rsidR="00691C14">
        <w:t xml:space="preserve"> to 60,000 and </w:t>
      </w:r>
      <w:r w:rsidR="00691C14" w:rsidRPr="00B66108">
        <w:t>40</w:t>
      </w:r>
      <w:r w:rsidR="00691C14">
        <w:t>,</w:t>
      </w:r>
      <w:r w:rsidR="00691C14" w:rsidRPr="00B66108">
        <w:t>000</w:t>
      </w:r>
      <w:r w:rsidR="00691C14">
        <w:t>, respectively. All fittings were performed using MATLAB parallel-computing tools, with 6 CPU cores running on an I</w:t>
      </w:r>
      <w:r w:rsidR="00691C14" w:rsidRPr="00EA2AB6">
        <w:t>ntel Xeon E5-2680 V3 @ 2.50 GHz</w:t>
      </w:r>
      <w:r w:rsidR="00691C14">
        <w:t>, and with a</w:t>
      </w:r>
      <w:r>
        <w:t xml:space="preserve"> typical </w:t>
      </w:r>
      <w:r w:rsidR="00691C14">
        <w:t xml:space="preserve">execution time </w:t>
      </w:r>
      <w:r w:rsidR="00915967">
        <w:t xml:space="preserve">of </w:t>
      </w:r>
      <w:r w:rsidR="00915967">
        <w:rPr>
          <w:color w:val="000000" w:themeColor="text1"/>
        </w:rPr>
        <w:t>30</w:t>
      </w:r>
      <w:r>
        <w:rPr>
          <w:color w:val="000000" w:themeColor="text1"/>
        </w:rPr>
        <w:t>-40</w:t>
      </w:r>
      <w:r w:rsidR="00653203">
        <w:rPr>
          <w:color w:val="000000" w:themeColor="text1"/>
        </w:rPr>
        <w:t xml:space="preserve"> min</w:t>
      </w:r>
      <w:r w:rsidR="00172B1D">
        <w:rPr>
          <w:color w:val="000000" w:themeColor="text1"/>
        </w:rPr>
        <w:t>, depending on number of voxels</w:t>
      </w:r>
      <w:r>
        <w:rPr>
          <w:color w:val="000000" w:themeColor="text1"/>
        </w:rPr>
        <w:t xml:space="preserve"> in the prostate slice</w:t>
      </w:r>
      <w:r w:rsidR="00172B1D">
        <w:rPr>
          <w:color w:val="000000" w:themeColor="text1"/>
        </w:rPr>
        <w:t>.</w:t>
      </w:r>
    </w:p>
    <w:p w14:paraId="34CBA48B" w14:textId="77777777" w:rsidR="00691C14" w:rsidRPr="00457969" w:rsidRDefault="00691C14" w:rsidP="005F76BD">
      <w:pPr>
        <w:autoSpaceDE w:val="0"/>
        <w:autoSpaceDN w:val="0"/>
        <w:adjustRightInd w:val="0"/>
        <w:spacing w:after="0" w:line="240" w:lineRule="auto"/>
        <w:jc w:val="both"/>
        <w:rPr>
          <w:rFonts w:ascii="Arial" w:eastAsia="NimbusRomNo9L-Regu" w:hAnsi="Arial" w:cs="Arial"/>
          <w:color w:val="000000"/>
          <w:sz w:val="20"/>
          <w:szCs w:val="20"/>
        </w:rPr>
      </w:pPr>
    </w:p>
    <w:p w14:paraId="13DFE209" w14:textId="3ED11B9F" w:rsidR="00B37089" w:rsidRDefault="00691C14" w:rsidP="005F76BD">
      <w:pPr>
        <w:autoSpaceDE w:val="0"/>
        <w:autoSpaceDN w:val="0"/>
        <w:adjustRightInd w:val="0"/>
        <w:spacing w:after="0" w:line="240" w:lineRule="auto"/>
        <w:jc w:val="both"/>
        <w:rPr>
          <w:rFonts w:ascii="Arial" w:eastAsia="NimbusRomNo9L-Regu" w:hAnsi="Arial" w:cs="Arial"/>
          <w:b/>
          <w:bCs/>
          <w:color w:val="000000"/>
          <w:sz w:val="20"/>
          <w:szCs w:val="20"/>
        </w:rPr>
      </w:pPr>
      <w:r>
        <w:rPr>
          <w:rFonts w:ascii="Arial" w:eastAsia="NimbusRomNo9L-Regu" w:hAnsi="Arial" w:cs="Arial"/>
          <w:b/>
          <w:bCs/>
          <w:color w:val="000000"/>
          <w:sz w:val="20"/>
          <w:szCs w:val="20"/>
        </w:rPr>
        <w:t xml:space="preserve">Supplementary </w:t>
      </w:r>
      <w:r w:rsidR="009A7A9B">
        <w:rPr>
          <w:rFonts w:ascii="Arial" w:eastAsia="NimbusRomNo9L-Regu" w:hAnsi="Arial" w:cs="Arial"/>
          <w:b/>
          <w:bCs/>
          <w:color w:val="000000"/>
          <w:sz w:val="20"/>
          <w:szCs w:val="20"/>
        </w:rPr>
        <w:t xml:space="preserve">Table S1.  </w:t>
      </w:r>
      <w:r w:rsidR="00B37089" w:rsidRPr="00457969">
        <w:rPr>
          <w:rFonts w:ascii="Arial" w:eastAsia="NimbusRomNo9L-Regu" w:hAnsi="Arial" w:cs="Arial"/>
          <w:b/>
          <w:bCs/>
          <w:color w:val="000000"/>
          <w:sz w:val="20"/>
          <w:szCs w:val="20"/>
        </w:rPr>
        <w:t>Differences from standard HM</w:t>
      </w:r>
      <w:r w:rsidR="00DF087E">
        <w:rPr>
          <w:rFonts w:ascii="Arial" w:eastAsia="NimbusRomNo9L-Regu" w:hAnsi="Arial" w:cs="Arial"/>
          <w:b/>
          <w:bCs/>
          <w:color w:val="000000"/>
          <w:sz w:val="20"/>
          <w:szCs w:val="20"/>
        </w:rPr>
        <w:t>-</w:t>
      </w:r>
      <w:r w:rsidR="00B37089" w:rsidRPr="00457969">
        <w:rPr>
          <w:rFonts w:ascii="Arial" w:eastAsia="NimbusRomNo9L-Regu" w:hAnsi="Arial" w:cs="Arial"/>
          <w:b/>
          <w:bCs/>
          <w:color w:val="000000"/>
          <w:sz w:val="20"/>
          <w:szCs w:val="20"/>
        </w:rPr>
        <w:t>MRI model</w:t>
      </w:r>
    </w:p>
    <w:p w14:paraId="4C77FB57" w14:textId="77777777" w:rsidR="00554775" w:rsidRPr="00691C14" w:rsidRDefault="00554775" w:rsidP="005F76BD">
      <w:pPr>
        <w:autoSpaceDE w:val="0"/>
        <w:autoSpaceDN w:val="0"/>
        <w:adjustRightInd w:val="0"/>
        <w:spacing w:after="0" w:line="240" w:lineRule="auto"/>
        <w:jc w:val="both"/>
        <w:rPr>
          <w:rFonts w:ascii="Arial" w:eastAsia="NimbusRomNo9L-Regu" w:hAnsi="Arial" w:cs="Arial"/>
          <w:b/>
          <w:bCs/>
          <w:color w:val="000000"/>
          <w:sz w:val="20"/>
          <w:szCs w:val="20"/>
        </w:rPr>
      </w:pPr>
    </w:p>
    <w:tbl>
      <w:tblPr>
        <w:tblStyle w:val="TableGrid"/>
        <w:tblW w:w="0" w:type="auto"/>
        <w:tblLook w:val="04A0" w:firstRow="1" w:lastRow="0" w:firstColumn="1" w:lastColumn="0" w:noHBand="0" w:noVBand="1"/>
      </w:tblPr>
      <w:tblGrid>
        <w:gridCol w:w="3005"/>
        <w:gridCol w:w="3005"/>
        <w:gridCol w:w="3006"/>
      </w:tblGrid>
      <w:tr w:rsidR="00B37089" w:rsidRPr="00457969" w14:paraId="11A5DF8C" w14:textId="77777777" w:rsidTr="00592324">
        <w:tc>
          <w:tcPr>
            <w:tcW w:w="3005" w:type="dxa"/>
          </w:tcPr>
          <w:p w14:paraId="0EEF422C" w14:textId="77777777" w:rsidR="00B37089" w:rsidRPr="00EA0DDC" w:rsidRDefault="00B37089" w:rsidP="005F76BD">
            <w:pPr>
              <w:autoSpaceDE w:val="0"/>
              <w:autoSpaceDN w:val="0"/>
              <w:adjustRightInd w:val="0"/>
              <w:jc w:val="both"/>
              <w:rPr>
                <w:rFonts w:ascii="Arial" w:eastAsia="NimbusRomNo9L-Regu" w:hAnsi="Arial" w:cs="Arial"/>
                <w:b/>
                <w:bCs/>
                <w:color w:val="000000"/>
                <w:sz w:val="20"/>
                <w:szCs w:val="20"/>
              </w:rPr>
            </w:pPr>
            <w:r w:rsidRPr="00EA0DDC">
              <w:rPr>
                <w:rFonts w:ascii="Arial" w:eastAsia="NimbusRomNo9L-Regu" w:hAnsi="Arial" w:cs="Arial"/>
                <w:b/>
                <w:bCs/>
                <w:color w:val="000000"/>
                <w:sz w:val="20"/>
                <w:szCs w:val="20"/>
              </w:rPr>
              <w:t>Parameter</w:t>
            </w:r>
          </w:p>
        </w:tc>
        <w:tc>
          <w:tcPr>
            <w:tcW w:w="3005" w:type="dxa"/>
          </w:tcPr>
          <w:p w14:paraId="0BCA4FBB" w14:textId="77777777" w:rsidR="00B37089" w:rsidRPr="00EA0DDC" w:rsidRDefault="00B37089" w:rsidP="005F76BD">
            <w:pPr>
              <w:autoSpaceDE w:val="0"/>
              <w:autoSpaceDN w:val="0"/>
              <w:adjustRightInd w:val="0"/>
              <w:jc w:val="both"/>
              <w:rPr>
                <w:rFonts w:ascii="Arial" w:eastAsia="NimbusRomNo9L-Regu" w:hAnsi="Arial" w:cs="Arial"/>
                <w:b/>
                <w:bCs/>
                <w:color w:val="000000"/>
                <w:sz w:val="20"/>
                <w:szCs w:val="20"/>
                <w:vertAlign w:val="superscript"/>
              </w:rPr>
            </w:pPr>
            <w:r w:rsidRPr="00EA0DDC">
              <w:rPr>
                <w:rFonts w:ascii="Arial" w:eastAsia="NimbusRomNo9L-Regu" w:hAnsi="Arial" w:cs="Arial"/>
                <w:b/>
                <w:bCs/>
                <w:color w:val="000000"/>
                <w:sz w:val="20"/>
                <w:szCs w:val="20"/>
              </w:rPr>
              <w:t>Model 5 allowed range</w:t>
            </w:r>
            <w:r w:rsidRPr="00EA0DDC">
              <w:rPr>
                <w:rFonts w:ascii="Arial" w:eastAsia="NimbusRomNo9L-Regu" w:hAnsi="Arial" w:cs="Arial"/>
                <w:b/>
                <w:bCs/>
                <w:color w:val="000000"/>
                <w:sz w:val="20"/>
                <w:szCs w:val="20"/>
                <w:vertAlign w:val="superscript"/>
              </w:rPr>
              <w:t>*</w:t>
            </w:r>
          </w:p>
        </w:tc>
        <w:tc>
          <w:tcPr>
            <w:tcW w:w="3006" w:type="dxa"/>
          </w:tcPr>
          <w:p w14:paraId="6B615FD2" w14:textId="6D7072E8" w:rsidR="00B37089" w:rsidRPr="00EA0DDC" w:rsidRDefault="00B37089" w:rsidP="005F76BD">
            <w:pPr>
              <w:autoSpaceDE w:val="0"/>
              <w:autoSpaceDN w:val="0"/>
              <w:adjustRightInd w:val="0"/>
              <w:jc w:val="both"/>
              <w:rPr>
                <w:rFonts w:ascii="Arial" w:eastAsia="NimbusRomNo9L-Regu" w:hAnsi="Arial" w:cs="Arial"/>
                <w:b/>
                <w:bCs/>
                <w:color w:val="000000"/>
                <w:sz w:val="20"/>
                <w:szCs w:val="20"/>
              </w:rPr>
            </w:pPr>
            <w:r w:rsidRPr="00EA0DDC">
              <w:rPr>
                <w:rFonts w:ascii="Arial" w:eastAsia="NimbusRomNo9L-Regu" w:hAnsi="Arial" w:cs="Arial"/>
                <w:b/>
                <w:bCs/>
                <w:color w:val="000000"/>
                <w:sz w:val="20"/>
                <w:szCs w:val="20"/>
              </w:rPr>
              <w:t>HM</w:t>
            </w:r>
            <w:r w:rsidR="00DF087E" w:rsidRPr="00EA0DDC">
              <w:rPr>
                <w:rFonts w:ascii="Arial" w:eastAsia="NimbusRomNo9L-Regu" w:hAnsi="Arial" w:cs="Arial"/>
                <w:b/>
                <w:bCs/>
                <w:color w:val="000000"/>
                <w:sz w:val="20"/>
                <w:szCs w:val="20"/>
              </w:rPr>
              <w:t>-</w:t>
            </w:r>
            <w:r w:rsidRPr="00EA0DDC">
              <w:rPr>
                <w:rFonts w:ascii="Arial" w:eastAsia="NimbusRomNo9L-Regu" w:hAnsi="Arial" w:cs="Arial"/>
                <w:b/>
                <w:bCs/>
                <w:color w:val="000000"/>
                <w:sz w:val="20"/>
                <w:szCs w:val="20"/>
              </w:rPr>
              <w:t>MRI allowed range</w:t>
            </w:r>
          </w:p>
        </w:tc>
      </w:tr>
      <w:tr w:rsidR="00B37089" w:rsidRPr="00457969" w14:paraId="2E052656" w14:textId="77777777" w:rsidTr="00592324">
        <w:tc>
          <w:tcPr>
            <w:tcW w:w="3005" w:type="dxa"/>
          </w:tcPr>
          <w:p w14:paraId="237DB2D6" w14:textId="77777777" w:rsidR="00B37089" w:rsidRPr="00457969" w:rsidRDefault="00B37089" w:rsidP="005F76BD">
            <w:pPr>
              <w:autoSpaceDE w:val="0"/>
              <w:autoSpaceDN w:val="0"/>
              <w:adjustRightInd w:val="0"/>
              <w:jc w:val="both"/>
              <w:rPr>
                <w:rFonts w:ascii="Arial" w:eastAsia="NimbusRomNo9L-Regu" w:hAnsi="Arial" w:cs="Arial"/>
                <w:color w:val="000000"/>
                <w:sz w:val="20"/>
                <w:szCs w:val="20"/>
              </w:rPr>
            </w:pPr>
            <w:r w:rsidRPr="00457969">
              <w:rPr>
                <w:rFonts w:ascii="Arial" w:eastAsia="NimbusRomNo9L-Regu" w:hAnsi="Arial" w:cs="Arial"/>
                <w:color w:val="000000"/>
                <w:sz w:val="20"/>
                <w:szCs w:val="20"/>
              </w:rPr>
              <w:t xml:space="preserve">D_1  </w:t>
            </w:r>
            <w:proofErr w:type="gramStart"/>
            <w:r w:rsidRPr="00457969">
              <w:rPr>
                <w:rFonts w:ascii="Arial" w:eastAsia="NimbusRomNo9L-Regu" w:hAnsi="Arial" w:cs="Arial"/>
                <w:color w:val="000000"/>
                <w:sz w:val="20"/>
                <w:szCs w:val="20"/>
              </w:rPr>
              <w:t xml:space="preserve">   (</w:t>
            </w:r>
            <w:proofErr w:type="gramEnd"/>
            <w:r w:rsidRPr="00457969">
              <w:rPr>
                <w:rFonts w:ascii="Arial" w:eastAsia="NimbusRomNo9L-Regu" w:hAnsi="Arial" w:cs="Arial"/>
                <w:color w:val="000000"/>
                <w:sz w:val="20"/>
                <w:szCs w:val="20"/>
              </w:rPr>
              <w:t>HMMRI ‘epithelium)</w:t>
            </w:r>
          </w:p>
        </w:tc>
        <w:tc>
          <w:tcPr>
            <w:tcW w:w="3005" w:type="dxa"/>
          </w:tcPr>
          <w:p w14:paraId="28427F54" w14:textId="77777777" w:rsidR="00B37089" w:rsidRPr="00457969" w:rsidRDefault="00B37089" w:rsidP="005F76BD">
            <w:pPr>
              <w:autoSpaceDE w:val="0"/>
              <w:autoSpaceDN w:val="0"/>
              <w:adjustRightInd w:val="0"/>
              <w:jc w:val="both"/>
              <w:rPr>
                <w:rFonts w:ascii="Arial" w:eastAsia="NimbusRomNo9L-Regu" w:hAnsi="Arial" w:cs="Arial"/>
                <w:color w:val="000000"/>
                <w:sz w:val="20"/>
                <w:szCs w:val="20"/>
              </w:rPr>
            </w:pPr>
            <w:r w:rsidRPr="00457969">
              <w:rPr>
                <w:rFonts w:ascii="Arial" w:eastAsia="NimbusRomNo9L-Regu" w:hAnsi="Arial" w:cs="Arial"/>
                <w:color w:val="000000"/>
                <w:sz w:val="20"/>
                <w:szCs w:val="20"/>
              </w:rPr>
              <w:t xml:space="preserve">0.1 – </w:t>
            </w:r>
            <w:proofErr w:type="gramStart"/>
            <w:r w:rsidRPr="00457969">
              <w:rPr>
                <w:rFonts w:ascii="Arial" w:eastAsia="NimbusRomNo9L-Regu" w:hAnsi="Arial" w:cs="Arial"/>
                <w:color w:val="000000"/>
                <w:sz w:val="20"/>
                <w:szCs w:val="20"/>
              </w:rPr>
              <w:t>4.5  µ</w:t>
            </w:r>
            <w:proofErr w:type="gramEnd"/>
            <w:r w:rsidRPr="00457969">
              <w:rPr>
                <w:rFonts w:ascii="Arial" w:eastAsia="NimbusRomNo9L-Regu" w:hAnsi="Arial" w:cs="Arial"/>
                <w:color w:val="000000"/>
                <w:sz w:val="20"/>
                <w:szCs w:val="20"/>
              </w:rPr>
              <w:t>m</w:t>
            </w:r>
            <w:r w:rsidRPr="00457969">
              <w:rPr>
                <w:rFonts w:ascii="Arial" w:eastAsia="NimbusRomNo9L-Regu" w:hAnsi="Arial" w:cs="Arial"/>
                <w:color w:val="000000"/>
                <w:sz w:val="20"/>
                <w:szCs w:val="20"/>
                <w:vertAlign w:val="superscript"/>
              </w:rPr>
              <w:t>2</w:t>
            </w:r>
            <w:r w:rsidRPr="00457969">
              <w:rPr>
                <w:rFonts w:ascii="Arial" w:eastAsia="NimbusRomNo9L-Regu" w:hAnsi="Arial" w:cs="Arial"/>
                <w:color w:val="000000"/>
                <w:sz w:val="20"/>
                <w:szCs w:val="20"/>
              </w:rPr>
              <w:t>/</w:t>
            </w:r>
            <w:proofErr w:type="spellStart"/>
            <w:r w:rsidRPr="00457969">
              <w:rPr>
                <w:rFonts w:ascii="Arial" w:eastAsia="NimbusRomNo9L-Regu" w:hAnsi="Arial" w:cs="Arial"/>
                <w:color w:val="000000"/>
                <w:sz w:val="20"/>
                <w:szCs w:val="20"/>
              </w:rPr>
              <w:t>ms</w:t>
            </w:r>
            <w:proofErr w:type="spellEnd"/>
          </w:p>
        </w:tc>
        <w:tc>
          <w:tcPr>
            <w:tcW w:w="3006" w:type="dxa"/>
          </w:tcPr>
          <w:p w14:paraId="1A1B8D37" w14:textId="77777777" w:rsidR="00B37089" w:rsidRPr="00457969" w:rsidRDefault="00B37089" w:rsidP="005F76BD">
            <w:pPr>
              <w:autoSpaceDE w:val="0"/>
              <w:autoSpaceDN w:val="0"/>
              <w:adjustRightInd w:val="0"/>
              <w:jc w:val="both"/>
              <w:rPr>
                <w:rFonts w:ascii="Arial" w:eastAsia="NimbusRomNo9L-Regu" w:hAnsi="Arial" w:cs="Arial"/>
                <w:color w:val="000000"/>
                <w:sz w:val="20"/>
                <w:szCs w:val="20"/>
              </w:rPr>
            </w:pPr>
            <w:r w:rsidRPr="00457969">
              <w:rPr>
                <w:rFonts w:ascii="Arial" w:eastAsia="NimbusRomNo9L-Regu" w:hAnsi="Arial" w:cs="Arial"/>
                <w:color w:val="000000"/>
                <w:sz w:val="20"/>
                <w:szCs w:val="20"/>
              </w:rPr>
              <w:t>0.3 – 0.7   µm</w:t>
            </w:r>
            <w:r w:rsidRPr="00457969">
              <w:rPr>
                <w:rFonts w:ascii="Arial" w:eastAsia="NimbusRomNo9L-Regu" w:hAnsi="Arial" w:cs="Arial"/>
                <w:color w:val="000000"/>
                <w:sz w:val="20"/>
                <w:szCs w:val="20"/>
                <w:vertAlign w:val="superscript"/>
              </w:rPr>
              <w:t>2</w:t>
            </w:r>
            <w:r w:rsidRPr="00457969">
              <w:rPr>
                <w:rFonts w:ascii="Arial" w:eastAsia="NimbusRomNo9L-Regu" w:hAnsi="Arial" w:cs="Arial"/>
                <w:color w:val="000000"/>
                <w:sz w:val="20"/>
                <w:szCs w:val="20"/>
              </w:rPr>
              <w:t>/</w:t>
            </w:r>
            <w:proofErr w:type="spellStart"/>
            <w:r w:rsidRPr="00457969">
              <w:rPr>
                <w:rFonts w:ascii="Arial" w:eastAsia="NimbusRomNo9L-Regu" w:hAnsi="Arial" w:cs="Arial"/>
                <w:color w:val="000000"/>
                <w:sz w:val="20"/>
                <w:szCs w:val="20"/>
              </w:rPr>
              <w:t>ms</w:t>
            </w:r>
            <w:proofErr w:type="spellEnd"/>
          </w:p>
        </w:tc>
      </w:tr>
      <w:tr w:rsidR="00B37089" w:rsidRPr="00457969" w14:paraId="5B32C5EC" w14:textId="77777777" w:rsidTr="00592324">
        <w:tc>
          <w:tcPr>
            <w:tcW w:w="3005" w:type="dxa"/>
          </w:tcPr>
          <w:p w14:paraId="169C834B" w14:textId="77777777" w:rsidR="00B37089" w:rsidRPr="00457969" w:rsidRDefault="00B37089" w:rsidP="005F76BD">
            <w:pPr>
              <w:autoSpaceDE w:val="0"/>
              <w:autoSpaceDN w:val="0"/>
              <w:adjustRightInd w:val="0"/>
              <w:jc w:val="both"/>
              <w:rPr>
                <w:rFonts w:ascii="Arial" w:eastAsia="NimbusRomNo9L-Regu" w:hAnsi="Arial" w:cs="Arial"/>
                <w:color w:val="000000"/>
                <w:sz w:val="20"/>
                <w:szCs w:val="20"/>
              </w:rPr>
            </w:pPr>
            <w:r w:rsidRPr="00457969">
              <w:rPr>
                <w:rFonts w:ascii="Arial" w:eastAsia="NimbusRomNo9L-Regu" w:hAnsi="Arial" w:cs="Arial"/>
                <w:color w:val="000000"/>
                <w:sz w:val="20"/>
                <w:szCs w:val="20"/>
              </w:rPr>
              <w:t xml:space="preserve">D_2  </w:t>
            </w:r>
            <w:proofErr w:type="gramStart"/>
            <w:r w:rsidRPr="00457969">
              <w:rPr>
                <w:rFonts w:ascii="Arial" w:eastAsia="NimbusRomNo9L-Regu" w:hAnsi="Arial" w:cs="Arial"/>
                <w:color w:val="000000"/>
                <w:sz w:val="20"/>
                <w:szCs w:val="20"/>
              </w:rPr>
              <w:t xml:space="preserve">   (</w:t>
            </w:r>
            <w:proofErr w:type="gramEnd"/>
            <w:r w:rsidRPr="00457969">
              <w:rPr>
                <w:rFonts w:ascii="Arial" w:eastAsia="NimbusRomNo9L-Regu" w:hAnsi="Arial" w:cs="Arial"/>
                <w:color w:val="000000"/>
                <w:sz w:val="20"/>
                <w:szCs w:val="20"/>
              </w:rPr>
              <w:t>HMMRI ‘stroma’)</w:t>
            </w:r>
          </w:p>
        </w:tc>
        <w:tc>
          <w:tcPr>
            <w:tcW w:w="3005" w:type="dxa"/>
          </w:tcPr>
          <w:p w14:paraId="0D6583C1" w14:textId="77777777" w:rsidR="00B37089" w:rsidRPr="00457969" w:rsidRDefault="00B37089" w:rsidP="005F76BD">
            <w:pPr>
              <w:autoSpaceDE w:val="0"/>
              <w:autoSpaceDN w:val="0"/>
              <w:adjustRightInd w:val="0"/>
              <w:jc w:val="both"/>
              <w:rPr>
                <w:rFonts w:ascii="Arial" w:eastAsia="NimbusRomNo9L-Regu" w:hAnsi="Arial" w:cs="Arial"/>
                <w:color w:val="000000"/>
                <w:sz w:val="20"/>
                <w:szCs w:val="20"/>
              </w:rPr>
            </w:pPr>
            <w:r w:rsidRPr="00457969">
              <w:rPr>
                <w:rFonts w:ascii="Arial" w:eastAsia="NimbusRomNo9L-Regu" w:hAnsi="Arial" w:cs="Arial"/>
                <w:color w:val="000000"/>
                <w:sz w:val="20"/>
                <w:szCs w:val="20"/>
              </w:rPr>
              <w:t>0.1 – 4.5</w:t>
            </w:r>
          </w:p>
        </w:tc>
        <w:tc>
          <w:tcPr>
            <w:tcW w:w="3006" w:type="dxa"/>
          </w:tcPr>
          <w:p w14:paraId="0A7C3CBD" w14:textId="77777777" w:rsidR="00B37089" w:rsidRPr="00457969" w:rsidRDefault="00B37089" w:rsidP="005F76BD">
            <w:pPr>
              <w:autoSpaceDE w:val="0"/>
              <w:autoSpaceDN w:val="0"/>
              <w:adjustRightInd w:val="0"/>
              <w:jc w:val="both"/>
              <w:rPr>
                <w:rFonts w:ascii="Arial" w:eastAsia="NimbusRomNo9L-Regu" w:hAnsi="Arial" w:cs="Arial"/>
                <w:color w:val="000000"/>
                <w:sz w:val="20"/>
                <w:szCs w:val="20"/>
              </w:rPr>
            </w:pPr>
            <w:r w:rsidRPr="00457969">
              <w:rPr>
                <w:rFonts w:ascii="Arial" w:eastAsia="NimbusRomNo9L-Regu" w:hAnsi="Arial" w:cs="Arial"/>
                <w:color w:val="000000"/>
                <w:sz w:val="20"/>
                <w:szCs w:val="20"/>
              </w:rPr>
              <w:t>0.7 – 1.7</w:t>
            </w:r>
          </w:p>
        </w:tc>
      </w:tr>
      <w:tr w:rsidR="00B37089" w:rsidRPr="00457969" w14:paraId="6CD4D120" w14:textId="77777777" w:rsidTr="00592324">
        <w:tc>
          <w:tcPr>
            <w:tcW w:w="3005" w:type="dxa"/>
          </w:tcPr>
          <w:p w14:paraId="45DFCF77" w14:textId="77777777" w:rsidR="00B37089" w:rsidRPr="00457969" w:rsidRDefault="00B37089" w:rsidP="005F76BD">
            <w:pPr>
              <w:autoSpaceDE w:val="0"/>
              <w:autoSpaceDN w:val="0"/>
              <w:adjustRightInd w:val="0"/>
              <w:jc w:val="both"/>
              <w:rPr>
                <w:rFonts w:ascii="Arial" w:eastAsia="NimbusRomNo9L-Regu" w:hAnsi="Arial" w:cs="Arial"/>
                <w:color w:val="000000"/>
                <w:sz w:val="20"/>
                <w:szCs w:val="20"/>
              </w:rPr>
            </w:pPr>
            <w:r w:rsidRPr="00457969">
              <w:rPr>
                <w:rFonts w:ascii="Arial" w:eastAsia="NimbusRomNo9L-Regu" w:hAnsi="Arial" w:cs="Arial"/>
                <w:color w:val="000000"/>
                <w:sz w:val="20"/>
                <w:szCs w:val="20"/>
              </w:rPr>
              <w:t xml:space="preserve">D_3  </w:t>
            </w:r>
            <w:proofErr w:type="gramStart"/>
            <w:r w:rsidRPr="00457969">
              <w:rPr>
                <w:rFonts w:ascii="Arial" w:eastAsia="NimbusRomNo9L-Regu" w:hAnsi="Arial" w:cs="Arial"/>
                <w:color w:val="000000"/>
                <w:sz w:val="20"/>
                <w:szCs w:val="20"/>
              </w:rPr>
              <w:t xml:space="preserve">   (</w:t>
            </w:r>
            <w:proofErr w:type="gramEnd"/>
            <w:r w:rsidRPr="00457969">
              <w:rPr>
                <w:rFonts w:ascii="Arial" w:eastAsia="NimbusRomNo9L-Regu" w:hAnsi="Arial" w:cs="Arial"/>
                <w:color w:val="000000"/>
                <w:sz w:val="20"/>
                <w:szCs w:val="20"/>
              </w:rPr>
              <w:t>HMMRI ‘lumen)</w:t>
            </w:r>
          </w:p>
        </w:tc>
        <w:tc>
          <w:tcPr>
            <w:tcW w:w="3005" w:type="dxa"/>
          </w:tcPr>
          <w:p w14:paraId="3626F52D" w14:textId="77777777" w:rsidR="00B37089" w:rsidRPr="00457969" w:rsidRDefault="00B37089" w:rsidP="005F76BD">
            <w:pPr>
              <w:autoSpaceDE w:val="0"/>
              <w:autoSpaceDN w:val="0"/>
              <w:adjustRightInd w:val="0"/>
              <w:jc w:val="both"/>
              <w:rPr>
                <w:rFonts w:ascii="Arial" w:eastAsia="NimbusRomNo9L-Regu" w:hAnsi="Arial" w:cs="Arial"/>
                <w:color w:val="000000"/>
                <w:sz w:val="20"/>
                <w:szCs w:val="20"/>
              </w:rPr>
            </w:pPr>
            <w:r w:rsidRPr="00457969">
              <w:rPr>
                <w:rFonts w:ascii="Arial" w:eastAsia="NimbusRomNo9L-Regu" w:hAnsi="Arial" w:cs="Arial"/>
                <w:color w:val="000000"/>
                <w:sz w:val="20"/>
                <w:szCs w:val="20"/>
              </w:rPr>
              <w:t>0.1 – 4.5</w:t>
            </w:r>
          </w:p>
        </w:tc>
        <w:tc>
          <w:tcPr>
            <w:tcW w:w="3006" w:type="dxa"/>
          </w:tcPr>
          <w:p w14:paraId="0F989D3C" w14:textId="77777777" w:rsidR="00B37089" w:rsidRPr="00457969" w:rsidRDefault="00B37089" w:rsidP="005F76BD">
            <w:pPr>
              <w:autoSpaceDE w:val="0"/>
              <w:autoSpaceDN w:val="0"/>
              <w:adjustRightInd w:val="0"/>
              <w:jc w:val="both"/>
              <w:rPr>
                <w:rFonts w:ascii="Arial" w:eastAsia="NimbusRomNo9L-Regu" w:hAnsi="Arial" w:cs="Arial"/>
                <w:color w:val="000000"/>
                <w:sz w:val="20"/>
                <w:szCs w:val="20"/>
              </w:rPr>
            </w:pPr>
            <w:r w:rsidRPr="00457969">
              <w:rPr>
                <w:rFonts w:ascii="Arial" w:eastAsia="NimbusRomNo9L-Regu" w:hAnsi="Arial" w:cs="Arial"/>
                <w:color w:val="000000"/>
                <w:sz w:val="20"/>
                <w:szCs w:val="20"/>
              </w:rPr>
              <w:t>2.7 – 3.0</w:t>
            </w:r>
          </w:p>
        </w:tc>
      </w:tr>
      <w:tr w:rsidR="00B37089" w:rsidRPr="00457969" w14:paraId="60998D47" w14:textId="77777777" w:rsidTr="00CF1C0B">
        <w:tc>
          <w:tcPr>
            <w:tcW w:w="3005" w:type="dxa"/>
            <w:shd w:val="clear" w:color="auto" w:fill="F2F2F2" w:themeFill="background1" w:themeFillShade="F2"/>
          </w:tcPr>
          <w:p w14:paraId="3B6799A8" w14:textId="77777777" w:rsidR="00B37089" w:rsidRPr="00457969" w:rsidRDefault="00B37089" w:rsidP="005F76BD">
            <w:pPr>
              <w:autoSpaceDE w:val="0"/>
              <w:autoSpaceDN w:val="0"/>
              <w:adjustRightInd w:val="0"/>
              <w:jc w:val="both"/>
              <w:rPr>
                <w:rFonts w:ascii="Arial" w:eastAsia="NimbusRomNo9L-Regu" w:hAnsi="Arial" w:cs="Arial"/>
                <w:color w:val="000000"/>
                <w:sz w:val="20"/>
                <w:szCs w:val="20"/>
              </w:rPr>
            </w:pPr>
            <w:r w:rsidRPr="00457969">
              <w:rPr>
                <w:rFonts w:ascii="Arial" w:eastAsia="NimbusRomNo9L-Regu" w:hAnsi="Arial" w:cs="Arial"/>
                <w:color w:val="000000"/>
                <w:sz w:val="20"/>
                <w:szCs w:val="20"/>
              </w:rPr>
              <w:t xml:space="preserve">T2_1  </w:t>
            </w:r>
            <w:proofErr w:type="gramStart"/>
            <w:r w:rsidRPr="00457969">
              <w:rPr>
                <w:rFonts w:ascii="Arial" w:eastAsia="NimbusRomNo9L-Regu" w:hAnsi="Arial" w:cs="Arial"/>
                <w:color w:val="000000"/>
                <w:sz w:val="20"/>
                <w:szCs w:val="20"/>
              </w:rPr>
              <w:t xml:space="preserve">   (</w:t>
            </w:r>
            <w:proofErr w:type="gramEnd"/>
            <w:r w:rsidRPr="00457969">
              <w:rPr>
                <w:rFonts w:ascii="Arial" w:eastAsia="NimbusRomNo9L-Regu" w:hAnsi="Arial" w:cs="Arial"/>
                <w:color w:val="000000"/>
                <w:sz w:val="20"/>
                <w:szCs w:val="20"/>
              </w:rPr>
              <w:t>HMMRI ‘epithelium)</w:t>
            </w:r>
          </w:p>
        </w:tc>
        <w:tc>
          <w:tcPr>
            <w:tcW w:w="3005" w:type="dxa"/>
            <w:shd w:val="clear" w:color="auto" w:fill="F2F2F2" w:themeFill="background1" w:themeFillShade="F2"/>
          </w:tcPr>
          <w:p w14:paraId="107EA491" w14:textId="77777777" w:rsidR="00B37089" w:rsidRPr="00457969" w:rsidRDefault="00B37089" w:rsidP="005F76BD">
            <w:pPr>
              <w:autoSpaceDE w:val="0"/>
              <w:autoSpaceDN w:val="0"/>
              <w:adjustRightInd w:val="0"/>
              <w:jc w:val="both"/>
              <w:rPr>
                <w:rFonts w:ascii="Arial" w:eastAsia="NimbusRomNo9L-Regu" w:hAnsi="Arial" w:cs="Arial"/>
                <w:color w:val="000000"/>
                <w:sz w:val="20"/>
                <w:szCs w:val="20"/>
              </w:rPr>
            </w:pPr>
            <w:r w:rsidRPr="00457969">
              <w:rPr>
                <w:rFonts w:ascii="Arial" w:eastAsia="NimbusRomNo9L-Regu" w:hAnsi="Arial" w:cs="Arial"/>
                <w:color w:val="000000"/>
                <w:sz w:val="20"/>
                <w:szCs w:val="20"/>
              </w:rPr>
              <w:t xml:space="preserve">10 – 1000 </w:t>
            </w:r>
            <w:proofErr w:type="spellStart"/>
            <w:r w:rsidRPr="00457969">
              <w:rPr>
                <w:rFonts w:ascii="Arial" w:eastAsia="NimbusRomNo9L-Regu" w:hAnsi="Arial" w:cs="Arial"/>
                <w:color w:val="000000"/>
                <w:sz w:val="20"/>
                <w:szCs w:val="20"/>
              </w:rPr>
              <w:t>ms</w:t>
            </w:r>
            <w:proofErr w:type="spellEnd"/>
          </w:p>
        </w:tc>
        <w:tc>
          <w:tcPr>
            <w:tcW w:w="3006" w:type="dxa"/>
            <w:shd w:val="clear" w:color="auto" w:fill="F2F2F2" w:themeFill="background1" w:themeFillShade="F2"/>
          </w:tcPr>
          <w:p w14:paraId="657BFCAE" w14:textId="77777777" w:rsidR="00B37089" w:rsidRPr="00457969" w:rsidRDefault="00B37089" w:rsidP="005F76BD">
            <w:pPr>
              <w:autoSpaceDE w:val="0"/>
              <w:autoSpaceDN w:val="0"/>
              <w:adjustRightInd w:val="0"/>
              <w:jc w:val="both"/>
              <w:rPr>
                <w:rFonts w:ascii="Arial" w:eastAsia="NimbusRomNo9L-Regu" w:hAnsi="Arial" w:cs="Arial"/>
                <w:color w:val="000000"/>
                <w:sz w:val="20"/>
                <w:szCs w:val="20"/>
              </w:rPr>
            </w:pPr>
            <w:r w:rsidRPr="00457969">
              <w:rPr>
                <w:rFonts w:ascii="Arial" w:eastAsia="NimbusRomNo9L-Regu" w:hAnsi="Arial" w:cs="Arial"/>
                <w:color w:val="000000"/>
                <w:sz w:val="20"/>
                <w:szCs w:val="20"/>
              </w:rPr>
              <w:t xml:space="preserve">20 – </w:t>
            </w:r>
            <w:proofErr w:type="gramStart"/>
            <w:r w:rsidRPr="00457969">
              <w:rPr>
                <w:rFonts w:ascii="Arial" w:eastAsia="NimbusRomNo9L-Regu" w:hAnsi="Arial" w:cs="Arial"/>
                <w:color w:val="000000"/>
                <w:sz w:val="20"/>
                <w:szCs w:val="20"/>
              </w:rPr>
              <w:t xml:space="preserve">70  </w:t>
            </w:r>
            <w:proofErr w:type="spellStart"/>
            <w:r w:rsidRPr="00457969">
              <w:rPr>
                <w:rFonts w:ascii="Arial" w:eastAsia="NimbusRomNo9L-Regu" w:hAnsi="Arial" w:cs="Arial"/>
                <w:color w:val="000000"/>
                <w:sz w:val="20"/>
                <w:szCs w:val="20"/>
              </w:rPr>
              <w:t>ms</w:t>
            </w:r>
            <w:proofErr w:type="spellEnd"/>
            <w:proofErr w:type="gramEnd"/>
          </w:p>
        </w:tc>
      </w:tr>
      <w:tr w:rsidR="00B37089" w:rsidRPr="00457969" w14:paraId="1B1A62D0" w14:textId="77777777" w:rsidTr="00CF1C0B">
        <w:tc>
          <w:tcPr>
            <w:tcW w:w="3005" w:type="dxa"/>
            <w:shd w:val="clear" w:color="auto" w:fill="F2F2F2" w:themeFill="background1" w:themeFillShade="F2"/>
          </w:tcPr>
          <w:p w14:paraId="7DCDD679" w14:textId="77777777" w:rsidR="00B37089" w:rsidRPr="00457969" w:rsidRDefault="00B37089" w:rsidP="005F76BD">
            <w:pPr>
              <w:autoSpaceDE w:val="0"/>
              <w:autoSpaceDN w:val="0"/>
              <w:adjustRightInd w:val="0"/>
              <w:jc w:val="both"/>
              <w:rPr>
                <w:rFonts w:ascii="Arial" w:eastAsia="NimbusRomNo9L-Regu" w:hAnsi="Arial" w:cs="Arial"/>
                <w:color w:val="000000"/>
                <w:sz w:val="20"/>
                <w:szCs w:val="20"/>
              </w:rPr>
            </w:pPr>
            <w:r w:rsidRPr="00457969">
              <w:rPr>
                <w:rFonts w:ascii="Arial" w:eastAsia="NimbusRomNo9L-Regu" w:hAnsi="Arial" w:cs="Arial"/>
                <w:color w:val="000000"/>
                <w:sz w:val="20"/>
                <w:szCs w:val="20"/>
              </w:rPr>
              <w:t xml:space="preserve">T2_2  </w:t>
            </w:r>
            <w:proofErr w:type="gramStart"/>
            <w:r w:rsidRPr="00457969">
              <w:rPr>
                <w:rFonts w:ascii="Arial" w:eastAsia="NimbusRomNo9L-Regu" w:hAnsi="Arial" w:cs="Arial"/>
                <w:color w:val="000000"/>
                <w:sz w:val="20"/>
                <w:szCs w:val="20"/>
              </w:rPr>
              <w:t xml:space="preserve">   (</w:t>
            </w:r>
            <w:proofErr w:type="gramEnd"/>
            <w:r w:rsidRPr="00457969">
              <w:rPr>
                <w:rFonts w:ascii="Arial" w:eastAsia="NimbusRomNo9L-Regu" w:hAnsi="Arial" w:cs="Arial"/>
                <w:color w:val="000000"/>
                <w:sz w:val="20"/>
                <w:szCs w:val="20"/>
              </w:rPr>
              <w:t>HMMRI ‘stroma’)</w:t>
            </w:r>
          </w:p>
        </w:tc>
        <w:tc>
          <w:tcPr>
            <w:tcW w:w="3005" w:type="dxa"/>
            <w:shd w:val="clear" w:color="auto" w:fill="F2F2F2" w:themeFill="background1" w:themeFillShade="F2"/>
          </w:tcPr>
          <w:p w14:paraId="5CA9DF8F" w14:textId="77777777" w:rsidR="00B37089" w:rsidRPr="00457969" w:rsidRDefault="00B37089" w:rsidP="005F76BD">
            <w:pPr>
              <w:autoSpaceDE w:val="0"/>
              <w:autoSpaceDN w:val="0"/>
              <w:adjustRightInd w:val="0"/>
              <w:jc w:val="both"/>
              <w:rPr>
                <w:rFonts w:ascii="Arial" w:eastAsia="NimbusRomNo9L-Regu" w:hAnsi="Arial" w:cs="Arial"/>
                <w:color w:val="000000"/>
                <w:sz w:val="20"/>
                <w:szCs w:val="20"/>
              </w:rPr>
            </w:pPr>
            <w:r w:rsidRPr="00457969">
              <w:rPr>
                <w:rFonts w:ascii="Arial" w:eastAsia="NimbusRomNo9L-Regu" w:hAnsi="Arial" w:cs="Arial"/>
                <w:color w:val="000000"/>
                <w:sz w:val="20"/>
                <w:szCs w:val="20"/>
              </w:rPr>
              <w:t>10 - 1000</w:t>
            </w:r>
          </w:p>
        </w:tc>
        <w:tc>
          <w:tcPr>
            <w:tcW w:w="3006" w:type="dxa"/>
            <w:shd w:val="clear" w:color="auto" w:fill="F2F2F2" w:themeFill="background1" w:themeFillShade="F2"/>
          </w:tcPr>
          <w:p w14:paraId="7BF257AC" w14:textId="77777777" w:rsidR="00B37089" w:rsidRPr="00457969" w:rsidRDefault="00B37089" w:rsidP="005F76BD">
            <w:pPr>
              <w:autoSpaceDE w:val="0"/>
              <w:autoSpaceDN w:val="0"/>
              <w:adjustRightInd w:val="0"/>
              <w:jc w:val="both"/>
              <w:rPr>
                <w:rFonts w:ascii="Arial" w:eastAsia="NimbusRomNo9L-Regu" w:hAnsi="Arial" w:cs="Arial"/>
                <w:color w:val="000000"/>
                <w:sz w:val="20"/>
                <w:szCs w:val="20"/>
              </w:rPr>
            </w:pPr>
            <w:r w:rsidRPr="00457969">
              <w:rPr>
                <w:rFonts w:ascii="Arial" w:eastAsia="NimbusRomNo9L-Regu" w:hAnsi="Arial" w:cs="Arial"/>
                <w:color w:val="000000"/>
                <w:sz w:val="20"/>
                <w:szCs w:val="20"/>
              </w:rPr>
              <w:t>40 - 100</w:t>
            </w:r>
          </w:p>
        </w:tc>
      </w:tr>
      <w:tr w:rsidR="00B37089" w:rsidRPr="00457969" w14:paraId="56311E53" w14:textId="77777777" w:rsidTr="00CF1C0B">
        <w:tc>
          <w:tcPr>
            <w:tcW w:w="3005" w:type="dxa"/>
            <w:shd w:val="clear" w:color="auto" w:fill="F2F2F2" w:themeFill="background1" w:themeFillShade="F2"/>
          </w:tcPr>
          <w:p w14:paraId="5E4D8CD1" w14:textId="77777777" w:rsidR="00B37089" w:rsidRPr="00457969" w:rsidRDefault="00B37089" w:rsidP="005F76BD">
            <w:pPr>
              <w:autoSpaceDE w:val="0"/>
              <w:autoSpaceDN w:val="0"/>
              <w:adjustRightInd w:val="0"/>
              <w:jc w:val="both"/>
              <w:rPr>
                <w:rFonts w:ascii="Arial" w:eastAsia="NimbusRomNo9L-Regu" w:hAnsi="Arial" w:cs="Arial"/>
                <w:color w:val="000000"/>
                <w:sz w:val="20"/>
                <w:szCs w:val="20"/>
              </w:rPr>
            </w:pPr>
            <w:r w:rsidRPr="00457969">
              <w:rPr>
                <w:rFonts w:ascii="Arial" w:eastAsia="NimbusRomNo9L-Regu" w:hAnsi="Arial" w:cs="Arial"/>
                <w:color w:val="000000"/>
                <w:sz w:val="20"/>
                <w:szCs w:val="20"/>
              </w:rPr>
              <w:t xml:space="preserve">T2_3  </w:t>
            </w:r>
            <w:proofErr w:type="gramStart"/>
            <w:r w:rsidRPr="00457969">
              <w:rPr>
                <w:rFonts w:ascii="Arial" w:eastAsia="NimbusRomNo9L-Regu" w:hAnsi="Arial" w:cs="Arial"/>
                <w:color w:val="000000"/>
                <w:sz w:val="20"/>
                <w:szCs w:val="20"/>
              </w:rPr>
              <w:t xml:space="preserve">   (</w:t>
            </w:r>
            <w:proofErr w:type="gramEnd"/>
            <w:r w:rsidRPr="00457969">
              <w:rPr>
                <w:rFonts w:ascii="Arial" w:eastAsia="NimbusRomNo9L-Regu" w:hAnsi="Arial" w:cs="Arial"/>
                <w:color w:val="000000"/>
                <w:sz w:val="20"/>
                <w:szCs w:val="20"/>
              </w:rPr>
              <w:t>HMMRI ‘lumen)</w:t>
            </w:r>
          </w:p>
        </w:tc>
        <w:tc>
          <w:tcPr>
            <w:tcW w:w="3005" w:type="dxa"/>
            <w:shd w:val="clear" w:color="auto" w:fill="F2F2F2" w:themeFill="background1" w:themeFillShade="F2"/>
          </w:tcPr>
          <w:p w14:paraId="60202429" w14:textId="77777777" w:rsidR="00B37089" w:rsidRPr="00457969" w:rsidRDefault="00B37089" w:rsidP="005F76BD">
            <w:pPr>
              <w:autoSpaceDE w:val="0"/>
              <w:autoSpaceDN w:val="0"/>
              <w:adjustRightInd w:val="0"/>
              <w:jc w:val="both"/>
              <w:rPr>
                <w:rFonts w:ascii="Arial" w:eastAsia="NimbusRomNo9L-Regu" w:hAnsi="Arial" w:cs="Arial"/>
                <w:color w:val="000000"/>
                <w:sz w:val="20"/>
                <w:szCs w:val="20"/>
              </w:rPr>
            </w:pPr>
            <w:r w:rsidRPr="00457969">
              <w:rPr>
                <w:rFonts w:ascii="Arial" w:eastAsia="NimbusRomNo9L-Regu" w:hAnsi="Arial" w:cs="Arial"/>
                <w:color w:val="000000"/>
                <w:sz w:val="20"/>
                <w:szCs w:val="20"/>
              </w:rPr>
              <w:t>10 - 1000</w:t>
            </w:r>
          </w:p>
        </w:tc>
        <w:tc>
          <w:tcPr>
            <w:tcW w:w="3006" w:type="dxa"/>
            <w:shd w:val="clear" w:color="auto" w:fill="F2F2F2" w:themeFill="background1" w:themeFillShade="F2"/>
          </w:tcPr>
          <w:p w14:paraId="4C182ADC" w14:textId="77777777" w:rsidR="00B37089" w:rsidRPr="00457969" w:rsidRDefault="00B37089" w:rsidP="005F76BD">
            <w:pPr>
              <w:autoSpaceDE w:val="0"/>
              <w:autoSpaceDN w:val="0"/>
              <w:adjustRightInd w:val="0"/>
              <w:jc w:val="both"/>
              <w:rPr>
                <w:rFonts w:ascii="Arial" w:eastAsia="NimbusRomNo9L-Regu" w:hAnsi="Arial" w:cs="Arial"/>
                <w:color w:val="000000"/>
                <w:sz w:val="20"/>
                <w:szCs w:val="20"/>
              </w:rPr>
            </w:pPr>
            <w:r w:rsidRPr="00457969">
              <w:rPr>
                <w:rFonts w:ascii="Arial" w:eastAsia="NimbusRomNo9L-Regu" w:hAnsi="Arial" w:cs="Arial"/>
                <w:color w:val="000000"/>
                <w:sz w:val="20"/>
                <w:szCs w:val="20"/>
              </w:rPr>
              <w:t>500 - 1000</w:t>
            </w:r>
          </w:p>
        </w:tc>
      </w:tr>
    </w:tbl>
    <w:p w14:paraId="35653F47" w14:textId="392604EA" w:rsidR="00B37089" w:rsidRPr="00457969" w:rsidRDefault="00B37089" w:rsidP="005F76BD">
      <w:pPr>
        <w:autoSpaceDE w:val="0"/>
        <w:autoSpaceDN w:val="0"/>
        <w:adjustRightInd w:val="0"/>
        <w:spacing w:after="0" w:line="240" w:lineRule="auto"/>
        <w:jc w:val="both"/>
        <w:rPr>
          <w:rFonts w:ascii="Arial" w:eastAsia="NimbusRomNo9L-Regu" w:hAnsi="Arial" w:cs="Arial"/>
          <w:color w:val="000000"/>
          <w:sz w:val="20"/>
          <w:szCs w:val="20"/>
        </w:rPr>
      </w:pPr>
      <w:r w:rsidRPr="00457969">
        <w:rPr>
          <w:rFonts w:ascii="Arial" w:eastAsia="NimbusRomNo9L-Regu" w:hAnsi="Arial" w:cs="Arial"/>
          <w:color w:val="000000"/>
          <w:sz w:val="20"/>
          <w:szCs w:val="20"/>
        </w:rPr>
        <w:t xml:space="preserve">* Range </w:t>
      </w:r>
      <w:proofErr w:type="spellStart"/>
      <w:r w:rsidR="00EE49F2">
        <w:rPr>
          <w:rFonts w:ascii="Arial" w:eastAsia="NimbusRomNo9L-Regu" w:hAnsi="Arial" w:cs="Arial"/>
          <w:color w:val="000000"/>
          <w:sz w:val="20"/>
          <w:szCs w:val="20"/>
        </w:rPr>
        <w:t>fo</w:t>
      </w:r>
      <w:proofErr w:type="spellEnd"/>
      <w:r w:rsidR="00EE49F2">
        <w:rPr>
          <w:rFonts w:ascii="Arial" w:eastAsia="NimbusRomNo9L-Regu" w:hAnsi="Arial" w:cs="Arial"/>
          <w:color w:val="000000"/>
          <w:sz w:val="20"/>
          <w:szCs w:val="20"/>
        </w:rPr>
        <w:t xml:space="preserve"> </w:t>
      </w:r>
      <w:r w:rsidR="00EE49F2">
        <w:rPr>
          <w:rFonts w:ascii="Arial" w:eastAsia="NimbusRomNo9L-Regu" w:hAnsi="Arial" w:cs="Arial"/>
          <w:i/>
          <w:iCs/>
          <w:color w:val="000000"/>
          <w:sz w:val="20"/>
          <w:szCs w:val="20"/>
        </w:rPr>
        <w:t xml:space="preserve">D </w:t>
      </w:r>
      <w:r w:rsidRPr="00457969">
        <w:rPr>
          <w:rFonts w:ascii="Arial" w:eastAsia="NimbusRomNo9L-Regu" w:hAnsi="Arial" w:cs="Arial"/>
          <w:color w:val="000000"/>
          <w:sz w:val="20"/>
          <w:szCs w:val="20"/>
        </w:rPr>
        <w:t>dependent on parameter values of lower order models.</w:t>
      </w:r>
    </w:p>
    <w:p w14:paraId="0F280050" w14:textId="77777777" w:rsidR="00B37089" w:rsidRDefault="00B37089" w:rsidP="005F76BD">
      <w:pPr>
        <w:autoSpaceDE w:val="0"/>
        <w:autoSpaceDN w:val="0"/>
        <w:adjustRightInd w:val="0"/>
        <w:spacing w:after="0" w:line="240" w:lineRule="auto"/>
        <w:jc w:val="both"/>
        <w:rPr>
          <w:rFonts w:ascii="Arial" w:eastAsia="NimbusRomNo9L-Regu" w:hAnsi="Arial" w:cs="Arial"/>
          <w:color w:val="000000"/>
          <w:sz w:val="20"/>
          <w:szCs w:val="20"/>
        </w:rPr>
      </w:pPr>
    </w:p>
    <w:p w14:paraId="10D37B9A" w14:textId="77777777" w:rsidR="00DC5447" w:rsidRDefault="00DC5447" w:rsidP="005F76BD">
      <w:pPr>
        <w:spacing w:after="0" w:line="240" w:lineRule="auto"/>
        <w:jc w:val="both"/>
        <w:rPr>
          <w:rFonts w:ascii="Arial" w:eastAsia="NimbusRomNo9L-Regu" w:hAnsi="Arial" w:cs="Arial"/>
          <w:b/>
          <w:bCs/>
          <w:color w:val="000000"/>
          <w:sz w:val="20"/>
          <w:szCs w:val="20"/>
        </w:rPr>
      </w:pPr>
    </w:p>
    <w:p w14:paraId="678207CC" w14:textId="2FDB7FA2" w:rsidR="007A5566" w:rsidRDefault="007A5566" w:rsidP="005F76BD">
      <w:pPr>
        <w:spacing w:after="0" w:line="240" w:lineRule="auto"/>
        <w:jc w:val="both"/>
        <w:rPr>
          <w:rFonts w:ascii="Arial" w:eastAsia="NimbusRomNo9L-Regu" w:hAnsi="Arial" w:cs="Arial"/>
          <w:b/>
          <w:bCs/>
          <w:color w:val="000000"/>
          <w:sz w:val="20"/>
          <w:szCs w:val="20"/>
        </w:rPr>
      </w:pPr>
      <w:r w:rsidRPr="007A5566">
        <w:rPr>
          <w:rFonts w:ascii="Arial" w:eastAsia="NimbusRomNo9L-Regu" w:hAnsi="Arial" w:cs="Arial"/>
          <w:b/>
          <w:bCs/>
          <w:color w:val="000000"/>
          <w:sz w:val="20"/>
          <w:szCs w:val="20"/>
        </w:rPr>
        <w:t>Gaussian probability distributions for contributions of the three compartments of the ESL microstructure model.</w:t>
      </w:r>
    </w:p>
    <w:p w14:paraId="63642033" w14:textId="77777777" w:rsidR="00DC5447" w:rsidRDefault="00DC5447" w:rsidP="005F76BD">
      <w:pPr>
        <w:jc w:val="both"/>
      </w:pPr>
    </w:p>
    <w:p w14:paraId="74DF4713" w14:textId="1C3975AD" w:rsidR="00E62D01" w:rsidRDefault="007A5566" w:rsidP="005F76BD">
      <w:pPr>
        <w:jc w:val="both"/>
      </w:pPr>
      <w:r>
        <w:t xml:space="preserve">Values for mean and sigma of the Gaussian distributions for the ESL model were based on literature data where available. </w:t>
      </w:r>
    </w:p>
    <w:p w14:paraId="0A78354D" w14:textId="4E16F708" w:rsidR="007A5566" w:rsidRDefault="007A5566" w:rsidP="005F76BD">
      <w:pPr>
        <w:pStyle w:val="ListParagraph"/>
        <w:numPr>
          <w:ilvl w:val="0"/>
          <w:numId w:val="2"/>
        </w:numPr>
        <w:jc w:val="both"/>
      </w:pPr>
      <w:r>
        <w:t xml:space="preserve">For epithelium </w:t>
      </w:r>
      <w:r w:rsidRPr="00E62D01">
        <w:rPr>
          <w:i/>
          <w:iCs/>
        </w:rPr>
        <w:t>D</w:t>
      </w:r>
      <w:r>
        <w:t xml:space="preserve"> mean we used 0.3 </w:t>
      </w:r>
      <w:r w:rsidRPr="00E62D01">
        <w:rPr>
          <w:rFonts w:cs="Times New Roman"/>
        </w:rPr>
        <w:t>µ</w:t>
      </w:r>
      <w:r>
        <w:t>m</w:t>
      </w:r>
      <w:r w:rsidRPr="00E62D01">
        <w:rPr>
          <w:vertAlign w:val="superscript"/>
        </w:rPr>
        <w:t>2</w:t>
      </w:r>
      <w:r>
        <w:t>/</w:t>
      </w:r>
      <w:proofErr w:type="spellStart"/>
      <w:r>
        <w:t>ms</w:t>
      </w:r>
      <w:proofErr w:type="spellEnd"/>
      <w:r>
        <w:t>, which is the ADC reported for Gleason grade 5+5 cancer (</w:t>
      </w:r>
      <w:proofErr w:type="spellStart"/>
      <w:r>
        <w:t>Manetta</w:t>
      </w:r>
      <w:proofErr w:type="spellEnd"/>
      <w:r>
        <w:t xml:space="preserve"> et al. 2019) </w:t>
      </w:r>
      <w:r w:rsidR="00E62D01">
        <w:t xml:space="preserve">characterised by very </w:t>
      </w:r>
      <w:r w:rsidR="000E0C29">
        <w:t>high-density</w:t>
      </w:r>
      <w:r w:rsidR="00E62D01">
        <w:t xml:space="preserve"> epithelial cells with minimal stroma and lumen space. </w:t>
      </w:r>
    </w:p>
    <w:p w14:paraId="5EE13727" w14:textId="7D9D2C1A" w:rsidR="00E62D01" w:rsidRDefault="00E62D01" w:rsidP="005F76BD">
      <w:pPr>
        <w:pStyle w:val="ListParagraph"/>
        <w:numPr>
          <w:ilvl w:val="0"/>
          <w:numId w:val="2"/>
        </w:numPr>
        <w:jc w:val="both"/>
      </w:pPr>
      <w:r>
        <w:t xml:space="preserve">For epithelium </w:t>
      </w:r>
      <w:r>
        <w:rPr>
          <w:i/>
          <w:iCs/>
        </w:rPr>
        <w:t>T2</w:t>
      </w:r>
      <w:r>
        <w:t xml:space="preserve"> mean we used 60 </w:t>
      </w:r>
      <w:proofErr w:type="spellStart"/>
      <w:r>
        <w:t>ms</w:t>
      </w:r>
      <w:proofErr w:type="spellEnd"/>
      <w:r w:rsidR="00D35045">
        <w:t xml:space="preserve">, based on the short </w:t>
      </w:r>
      <w:r w:rsidR="00D35045" w:rsidRPr="00CF1C0B">
        <w:rPr>
          <w:i/>
          <w:iCs/>
        </w:rPr>
        <w:t>T2</w:t>
      </w:r>
      <w:r w:rsidR="00D35045">
        <w:t xml:space="preserve"> component </w:t>
      </w:r>
      <w:proofErr w:type="spellStart"/>
      <w:r w:rsidR="00D35045">
        <w:t>reporrted</w:t>
      </w:r>
      <w:proofErr w:type="spellEnd"/>
      <w:r w:rsidR="00D35045">
        <w:t xml:space="preserve"> from lumen water </w:t>
      </w:r>
      <w:r w:rsidR="00D35045" w:rsidRPr="00111DF4">
        <w:t>imaging (</w:t>
      </w:r>
      <w:proofErr w:type="spellStart"/>
      <w:r w:rsidR="00D35045" w:rsidRPr="00111DF4">
        <w:t>S</w:t>
      </w:r>
      <w:r w:rsidR="00111DF4" w:rsidRPr="00111DF4">
        <w:t>a</w:t>
      </w:r>
      <w:r w:rsidR="00D35045" w:rsidRPr="00111DF4">
        <w:t>bouri</w:t>
      </w:r>
      <w:proofErr w:type="spellEnd"/>
      <w:r w:rsidR="00D35045" w:rsidRPr="00111DF4">
        <w:t xml:space="preserve"> et al. 2017)</w:t>
      </w:r>
      <w:r w:rsidR="00111DF4">
        <w:t>,</w:t>
      </w:r>
      <w:r w:rsidR="00D35045" w:rsidRPr="00111DF4">
        <w:t xml:space="preserve"> although</w:t>
      </w:r>
      <w:r w:rsidR="00D35045">
        <w:t xml:space="preserve"> we note that this component is not specifically assigned to intracellular water.</w:t>
      </w:r>
    </w:p>
    <w:p w14:paraId="3AB2EDB9" w14:textId="20F5BA4A" w:rsidR="00E62D01" w:rsidRDefault="00E62D01" w:rsidP="005F76BD">
      <w:pPr>
        <w:pStyle w:val="ListParagraph"/>
        <w:numPr>
          <w:ilvl w:val="0"/>
          <w:numId w:val="2"/>
        </w:numPr>
        <w:jc w:val="both"/>
      </w:pPr>
      <w:r>
        <w:t xml:space="preserve">For lumen </w:t>
      </w:r>
      <w:r w:rsidRPr="00E62D01">
        <w:rPr>
          <w:i/>
          <w:iCs/>
        </w:rPr>
        <w:t>D</w:t>
      </w:r>
      <w:r>
        <w:t xml:space="preserve"> mean we used 2.5 </w:t>
      </w:r>
      <w:r w:rsidRPr="00E62D01">
        <w:rPr>
          <w:rFonts w:cs="Times New Roman"/>
        </w:rPr>
        <w:t>µ</w:t>
      </w:r>
      <w:r>
        <w:t>m</w:t>
      </w:r>
      <w:r w:rsidRPr="00E62D01">
        <w:rPr>
          <w:vertAlign w:val="superscript"/>
        </w:rPr>
        <w:t>2</w:t>
      </w:r>
      <w:r>
        <w:t>/</w:t>
      </w:r>
      <w:proofErr w:type="spellStart"/>
      <w:r>
        <w:t>ms</w:t>
      </w:r>
      <w:proofErr w:type="spellEnd"/>
      <w:r>
        <w:t>, which is the ADC reported for brain ventricles (</w:t>
      </w:r>
      <w:proofErr w:type="spellStart"/>
      <w:r>
        <w:t>Sener</w:t>
      </w:r>
      <w:proofErr w:type="spellEnd"/>
      <w:r>
        <w:t xml:space="preserve"> 2001, Ellingson et al. 2015).</w:t>
      </w:r>
    </w:p>
    <w:p w14:paraId="0C2FC4C5" w14:textId="0EB1E46F" w:rsidR="00D35045" w:rsidRDefault="00D35045" w:rsidP="005F76BD">
      <w:pPr>
        <w:pStyle w:val="ListParagraph"/>
        <w:numPr>
          <w:ilvl w:val="0"/>
          <w:numId w:val="2"/>
        </w:numPr>
        <w:jc w:val="both"/>
      </w:pPr>
      <w:r>
        <w:t xml:space="preserve">For lumen </w:t>
      </w:r>
      <w:r>
        <w:rPr>
          <w:i/>
          <w:iCs/>
        </w:rPr>
        <w:t>T2</w:t>
      </w:r>
      <w:r>
        <w:t xml:space="preserve"> we used 550 </w:t>
      </w:r>
      <w:r w:rsidR="0091528C">
        <w:t xml:space="preserve">(mean) </w:t>
      </w:r>
      <w:r>
        <w:rPr>
          <w:rFonts w:cs="Times New Roman"/>
        </w:rPr>
        <w:t>±</w:t>
      </w:r>
      <w:r>
        <w:t xml:space="preserve"> </w:t>
      </w:r>
      <w:r w:rsidR="0091528C">
        <w:t xml:space="preserve">200 </w:t>
      </w:r>
      <w:proofErr w:type="spellStart"/>
      <w:r w:rsidR="0091528C">
        <w:t>ms</w:t>
      </w:r>
      <w:proofErr w:type="spellEnd"/>
      <w:r w:rsidR="0091528C">
        <w:t xml:space="preserve"> (sigma)</w:t>
      </w:r>
      <w:r>
        <w:t xml:space="preserve">, based on the long </w:t>
      </w:r>
      <w:r w:rsidRPr="00CF1C0B">
        <w:rPr>
          <w:i/>
          <w:iCs/>
        </w:rPr>
        <w:t>T2</w:t>
      </w:r>
      <w:r>
        <w:t xml:space="preserve"> component </w:t>
      </w:r>
      <w:proofErr w:type="spellStart"/>
      <w:r>
        <w:t>reporrted</w:t>
      </w:r>
      <w:proofErr w:type="spellEnd"/>
      <w:r>
        <w:t xml:space="preserve"> from lumen water imaging (</w:t>
      </w:r>
      <w:proofErr w:type="spellStart"/>
      <w:r w:rsidRPr="00CA1414">
        <w:t>S</w:t>
      </w:r>
      <w:r w:rsidR="00CA1414" w:rsidRPr="00CA1414">
        <w:t>a</w:t>
      </w:r>
      <w:r w:rsidRPr="00CA1414">
        <w:t>bouri</w:t>
      </w:r>
      <w:proofErr w:type="spellEnd"/>
      <w:r w:rsidRPr="00CA1414">
        <w:t xml:space="preserve"> et al. 2017).</w:t>
      </w:r>
    </w:p>
    <w:p w14:paraId="50CFD96F" w14:textId="20553361" w:rsidR="00F0560E" w:rsidRDefault="0091528C" w:rsidP="005F76BD">
      <w:pPr>
        <w:pStyle w:val="ListParagraph"/>
        <w:numPr>
          <w:ilvl w:val="0"/>
          <w:numId w:val="2"/>
        </w:numPr>
        <w:jc w:val="both"/>
      </w:pPr>
      <w:r>
        <w:t xml:space="preserve">For stroma </w:t>
      </w:r>
      <w:r w:rsidRPr="00CF1C0B">
        <w:rPr>
          <w:i/>
          <w:iCs/>
        </w:rPr>
        <w:t>D</w:t>
      </w:r>
      <w:r>
        <w:t xml:space="preserve"> we initially used D = 0.8 </w:t>
      </w:r>
      <w:r>
        <w:rPr>
          <w:rFonts w:cs="Times New Roman"/>
        </w:rPr>
        <w:t>±</w:t>
      </w:r>
      <w:r>
        <w:t xml:space="preserve"> 0.5 </w:t>
      </w:r>
      <w:r w:rsidRPr="00E62D01">
        <w:rPr>
          <w:rFonts w:cs="Times New Roman"/>
        </w:rPr>
        <w:t>µ</w:t>
      </w:r>
      <w:r>
        <w:t>m</w:t>
      </w:r>
      <w:r w:rsidRPr="00E62D01">
        <w:rPr>
          <w:vertAlign w:val="superscript"/>
        </w:rPr>
        <w:t>2</w:t>
      </w:r>
      <w:r>
        <w:t>/</w:t>
      </w:r>
      <w:proofErr w:type="spellStart"/>
      <w:r>
        <w:t>ms</w:t>
      </w:r>
      <w:proofErr w:type="spellEnd"/>
      <w:r>
        <w:t xml:space="preserve"> based on brain white matter (Ellingson et al. 2015), and </w:t>
      </w:r>
      <w:r w:rsidRPr="00CF1C0B">
        <w:rPr>
          <w:i/>
          <w:iCs/>
        </w:rPr>
        <w:t>T2</w:t>
      </w:r>
      <w:r>
        <w:t xml:space="preserve"> = </w:t>
      </w:r>
      <w:r w:rsidR="00F0560E">
        <w:t>80 ±</w:t>
      </w:r>
      <w:r>
        <w:t xml:space="preserve">50 </w:t>
      </w:r>
      <w:proofErr w:type="spellStart"/>
      <w:r>
        <w:t>ms</w:t>
      </w:r>
      <w:proofErr w:type="spellEnd"/>
      <w:r>
        <w:t xml:space="preserve">. However, these values produced (in all patient data sets tested) ESL predictions with implausibly high stroma fractional volumes that were inconsistent with </w:t>
      </w:r>
      <w:r w:rsidR="00F0560E">
        <w:t>post-surgery</w:t>
      </w:r>
      <w:r>
        <w:t xml:space="preserve"> histology.</w:t>
      </w:r>
    </w:p>
    <w:p w14:paraId="56B4A750" w14:textId="77777777" w:rsidR="00F0560E" w:rsidRDefault="00F0560E" w:rsidP="005F76BD">
      <w:pPr>
        <w:pStyle w:val="ListParagraph"/>
        <w:jc w:val="both"/>
      </w:pPr>
    </w:p>
    <w:p w14:paraId="278E3921" w14:textId="77777777" w:rsidR="00B37089" w:rsidRDefault="00B37089" w:rsidP="005F76BD">
      <w:pPr>
        <w:autoSpaceDE w:val="0"/>
        <w:autoSpaceDN w:val="0"/>
        <w:adjustRightInd w:val="0"/>
        <w:spacing w:after="0" w:line="240" w:lineRule="auto"/>
        <w:jc w:val="both"/>
        <w:rPr>
          <w:rFonts w:ascii="Arial" w:eastAsia="NimbusRomNo9L-Regu" w:hAnsi="Arial"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542853" w14:paraId="0CE74F4D" w14:textId="77777777" w:rsidTr="00915967">
        <w:tc>
          <w:tcPr>
            <w:tcW w:w="9016" w:type="dxa"/>
          </w:tcPr>
          <w:p w14:paraId="36DB0F50" w14:textId="1B941D5F" w:rsidR="00542853" w:rsidRDefault="002C392A" w:rsidP="005F76BD">
            <w:pPr>
              <w:autoSpaceDE w:val="0"/>
              <w:autoSpaceDN w:val="0"/>
              <w:adjustRightInd w:val="0"/>
              <w:jc w:val="center"/>
              <w:rPr>
                <w:rFonts w:ascii="Arial" w:eastAsia="NimbusRomNo9L-Regu" w:hAnsi="Arial" w:cs="Arial"/>
                <w:color w:val="000000"/>
                <w:sz w:val="20"/>
                <w:szCs w:val="20"/>
              </w:rPr>
            </w:pPr>
            <w:r>
              <w:rPr>
                <w:rFonts w:ascii="Arial" w:eastAsia="NimbusRomNo9L-Regu" w:hAnsi="Arial" w:cs="Arial"/>
                <w:noProof/>
                <w:color w:val="000000"/>
                <w:sz w:val="20"/>
                <w:szCs w:val="20"/>
              </w:rPr>
              <w:lastRenderedPageBreak/>
              <w:drawing>
                <wp:inline distT="0" distB="0" distL="0" distR="0" wp14:anchorId="1C3793AA" wp14:editId="1C6F3970">
                  <wp:extent cx="5612793" cy="3751604"/>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6650" cy="3754182"/>
                          </a:xfrm>
                          <a:prstGeom prst="rect">
                            <a:avLst/>
                          </a:prstGeom>
                        </pic:spPr>
                      </pic:pic>
                    </a:graphicData>
                  </a:graphic>
                </wp:inline>
              </w:drawing>
            </w:r>
          </w:p>
        </w:tc>
      </w:tr>
      <w:tr w:rsidR="00542853" w14:paraId="6323E65F" w14:textId="77777777" w:rsidTr="00915967">
        <w:tc>
          <w:tcPr>
            <w:tcW w:w="9016" w:type="dxa"/>
          </w:tcPr>
          <w:p w14:paraId="65FF748F" w14:textId="394A3721" w:rsidR="00554775" w:rsidRPr="00915967" w:rsidRDefault="00691C14" w:rsidP="005F76BD">
            <w:pPr>
              <w:jc w:val="both"/>
              <w:rPr>
                <w:b/>
                <w:bCs/>
              </w:rPr>
            </w:pPr>
            <w:r>
              <w:rPr>
                <w:b/>
                <w:bCs/>
              </w:rPr>
              <w:t xml:space="preserve">Supplementary </w:t>
            </w:r>
            <w:r w:rsidR="00231A69" w:rsidRPr="0088525D">
              <w:rPr>
                <w:b/>
                <w:bCs/>
              </w:rPr>
              <w:t>Fig</w:t>
            </w:r>
            <w:r w:rsidR="0088525D" w:rsidRPr="0088525D">
              <w:rPr>
                <w:b/>
                <w:bCs/>
              </w:rPr>
              <w:t>.</w:t>
            </w:r>
            <w:r w:rsidR="00231A69" w:rsidRPr="0088525D">
              <w:rPr>
                <w:b/>
                <w:bCs/>
              </w:rPr>
              <w:t xml:space="preserve"> </w:t>
            </w:r>
            <w:r w:rsidR="00CF1C0B">
              <w:rPr>
                <w:b/>
                <w:bCs/>
              </w:rPr>
              <w:t>S</w:t>
            </w:r>
            <w:r w:rsidR="00231A69" w:rsidRPr="0088525D">
              <w:rPr>
                <w:b/>
                <w:bCs/>
              </w:rPr>
              <w:t xml:space="preserve">2. </w:t>
            </w:r>
            <w:r w:rsidR="0088525D" w:rsidRPr="0088525D">
              <w:rPr>
                <w:b/>
                <w:bCs/>
              </w:rPr>
              <w:t>Phenomenological model fitting sequence</w:t>
            </w:r>
          </w:p>
          <w:p w14:paraId="20D9EB48" w14:textId="22B3C7A9" w:rsidR="00542853" w:rsidRDefault="007A7C9C" w:rsidP="005F76BD">
            <w:pPr>
              <w:jc w:val="both"/>
            </w:pPr>
            <w:r>
              <w:t xml:space="preserve">Five nested </w:t>
            </w:r>
            <w:r w:rsidR="00726A1D">
              <w:t>models</w:t>
            </w:r>
            <w:r w:rsidR="003570B3">
              <w:t xml:space="preserve"> with complexity (number of </w:t>
            </w:r>
            <w:r w:rsidR="005E7CCB">
              <w:t>water pools</w:t>
            </w:r>
            <w:r w:rsidR="00672DF3">
              <w:t xml:space="preserve"> and/or fitted parameters</w:t>
            </w:r>
            <w:r w:rsidR="003570B3">
              <w:t xml:space="preserve">) increasing from left to right. </w:t>
            </w:r>
            <w:r w:rsidR="005813F9">
              <w:t xml:space="preserve">The D and T2 </w:t>
            </w:r>
            <w:r w:rsidR="0030064D">
              <w:t>range</w:t>
            </w:r>
            <w:r w:rsidR="00B37089">
              <w:t>s</w:t>
            </w:r>
            <w:r w:rsidR="005A7D42">
              <w:t xml:space="preserve"> along models and </w:t>
            </w:r>
            <w:r w:rsidR="005E7CCB">
              <w:t>pools</w:t>
            </w:r>
            <w:r w:rsidR="005A7D42">
              <w:t xml:space="preserve"> </w:t>
            </w:r>
            <w:r w:rsidR="005E7CCB">
              <w:t>are</w:t>
            </w:r>
            <w:r w:rsidR="0030064D">
              <w:t xml:space="preserve"> indicated by the blue arrows</w:t>
            </w:r>
            <w:r w:rsidR="00E458A5">
              <w:t>.</w:t>
            </w:r>
            <w:r w:rsidR="003A0DB7">
              <w:t xml:space="preserve"> F</w:t>
            </w:r>
            <w:r w:rsidR="007D45B7">
              <w:t xml:space="preserve">or </w:t>
            </w:r>
            <w:r w:rsidR="002B76A7">
              <w:t>certain models, the starting point during fitting</w:t>
            </w:r>
            <w:r w:rsidR="00685771">
              <w:t xml:space="preserve"> optimisation was chosen as the midpoint of a given range (white circles)</w:t>
            </w:r>
            <w:r w:rsidR="00D93532">
              <w:t xml:space="preserve"> or, </w:t>
            </w:r>
            <w:r w:rsidR="007D45B7">
              <w:t>in some others</w:t>
            </w:r>
            <w:r w:rsidR="00D93532">
              <w:t>,</w:t>
            </w:r>
            <w:r w:rsidR="00E458A5">
              <w:t xml:space="preserve"> by</w:t>
            </w:r>
            <w:r w:rsidR="007D45B7">
              <w:t xml:space="preserve"> the estimated parameters </w:t>
            </w:r>
            <w:r w:rsidR="00D93532">
              <w:t xml:space="preserve">(red arrows) </w:t>
            </w:r>
            <w:r w:rsidR="007D45B7">
              <w:t>of a low</w:t>
            </w:r>
            <w:r w:rsidR="00244E81">
              <w:t>er</w:t>
            </w:r>
            <w:r w:rsidR="007D45B7">
              <w:t xml:space="preserve"> order model </w:t>
            </w:r>
            <w:r w:rsidR="00244E81">
              <w:t>(blue circles)</w:t>
            </w:r>
            <w:r w:rsidR="00D93532">
              <w:t xml:space="preserve">. </w:t>
            </w:r>
            <w:r w:rsidR="00DF087E">
              <w:t>O</w:t>
            </w:r>
            <w:r w:rsidR="00C03E33">
              <w:t xml:space="preserve">nly the D ranges were limited across </w:t>
            </w:r>
            <w:r w:rsidR="005E7CCB">
              <w:t>pools</w:t>
            </w:r>
            <w:r w:rsidR="00C03E33">
              <w:t xml:space="preserve"> (dashed black arrows), wh</w:t>
            </w:r>
            <w:r w:rsidR="008378AE">
              <w:t xml:space="preserve">ile </w:t>
            </w:r>
            <w:r w:rsidR="005E7CCB">
              <w:t xml:space="preserve">the full T2 range was always </w:t>
            </w:r>
            <w:r w:rsidR="00DF087E">
              <w:t xml:space="preserve">allowed </w:t>
            </w:r>
            <w:r w:rsidR="005E7CCB">
              <w:t>across models and pools.</w:t>
            </w:r>
          </w:p>
        </w:tc>
      </w:tr>
    </w:tbl>
    <w:p w14:paraId="5CD96114" w14:textId="77777777" w:rsidR="007F1827" w:rsidRPr="00457969" w:rsidRDefault="007F1827" w:rsidP="005F76BD">
      <w:pPr>
        <w:autoSpaceDE w:val="0"/>
        <w:autoSpaceDN w:val="0"/>
        <w:adjustRightInd w:val="0"/>
        <w:spacing w:after="0" w:line="240" w:lineRule="auto"/>
        <w:jc w:val="both"/>
        <w:rPr>
          <w:rFonts w:ascii="Arial" w:eastAsia="NimbusRomNo9L-Regu" w:hAnsi="Arial" w:cs="Arial"/>
          <w:color w:val="000000"/>
          <w:sz w:val="20"/>
          <w:szCs w:val="20"/>
        </w:rPr>
      </w:pPr>
    </w:p>
    <w:p w14:paraId="1B542300" w14:textId="77777777" w:rsidR="00B37089" w:rsidRDefault="00B37089" w:rsidP="005F76BD">
      <w:pPr>
        <w:autoSpaceDE w:val="0"/>
        <w:autoSpaceDN w:val="0"/>
        <w:adjustRightInd w:val="0"/>
        <w:spacing w:after="0" w:line="240" w:lineRule="auto"/>
        <w:jc w:val="both"/>
        <w:rPr>
          <w:rFonts w:ascii="Arial" w:eastAsia="NimbusRomNo9L-Regu" w:hAnsi="Arial" w:cs="Arial"/>
          <w:b/>
          <w:bCs/>
          <w:color w:val="000000"/>
          <w:sz w:val="20"/>
          <w:szCs w:val="20"/>
        </w:rPr>
      </w:pPr>
    </w:p>
    <w:p w14:paraId="052B4E58" w14:textId="77777777" w:rsidR="00B37089" w:rsidRDefault="00B37089" w:rsidP="005F76BD">
      <w:pPr>
        <w:autoSpaceDE w:val="0"/>
        <w:autoSpaceDN w:val="0"/>
        <w:adjustRightInd w:val="0"/>
        <w:spacing w:after="0" w:line="240" w:lineRule="auto"/>
        <w:jc w:val="both"/>
        <w:rPr>
          <w:rFonts w:ascii="Arial" w:eastAsia="NimbusRomNo9L-Regu" w:hAnsi="Arial" w:cs="Arial"/>
          <w:b/>
          <w:bCs/>
          <w:color w:val="000000"/>
          <w:sz w:val="20"/>
          <w:szCs w:val="20"/>
        </w:rPr>
      </w:pPr>
    </w:p>
    <w:p w14:paraId="05323790" w14:textId="53E90720" w:rsidR="00B37089" w:rsidRPr="00CF1C0B" w:rsidRDefault="00CF1C0B" w:rsidP="005F76BD">
      <w:pPr>
        <w:autoSpaceDE w:val="0"/>
        <w:autoSpaceDN w:val="0"/>
        <w:adjustRightInd w:val="0"/>
        <w:spacing w:after="0" w:line="240" w:lineRule="auto"/>
        <w:jc w:val="both"/>
        <w:rPr>
          <w:rFonts w:ascii="Arial" w:eastAsia="NimbusRomNo9L-Regu" w:hAnsi="Arial" w:cs="Arial"/>
          <w:b/>
          <w:bCs/>
          <w:color w:val="000000"/>
          <w:sz w:val="32"/>
          <w:szCs w:val="32"/>
        </w:rPr>
      </w:pPr>
      <w:r w:rsidRPr="00CF1C0B">
        <w:rPr>
          <w:rFonts w:ascii="Arial" w:eastAsia="NimbusRomNo9L-Regu" w:hAnsi="Arial" w:cs="Arial"/>
          <w:b/>
          <w:bCs/>
          <w:color w:val="000000"/>
          <w:sz w:val="32"/>
          <w:szCs w:val="32"/>
        </w:rPr>
        <w:t>Results</w:t>
      </w:r>
    </w:p>
    <w:p w14:paraId="3E8161ED" w14:textId="77777777" w:rsidR="00B37089" w:rsidRDefault="00B37089" w:rsidP="005F76BD">
      <w:pPr>
        <w:autoSpaceDE w:val="0"/>
        <w:autoSpaceDN w:val="0"/>
        <w:adjustRightInd w:val="0"/>
        <w:spacing w:after="0" w:line="240" w:lineRule="auto"/>
        <w:jc w:val="both"/>
        <w:rPr>
          <w:rFonts w:ascii="Arial" w:eastAsia="NimbusRomNo9L-Regu" w:hAnsi="Arial" w:cs="Arial"/>
          <w:b/>
          <w:bCs/>
          <w:color w:val="000000"/>
          <w:sz w:val="20"/>
          <w:szCs w:val="20"/>
        </w:rPr>
      </w:pPr>
    </w:p>
    <w:p w14:paraId="3D714676" w14:textId="07087753" w:rsidR="00691C14" w:rsidRPr="00457969" w:rsidRDefault="00691C14" w:rsidP="005F76BD">
      <w:pPr>
        <w:autoSpaceDE w:val="0"/>
        <w:autoSpaceDN w:val="0"/>
        <w:adjustRightInd w:val="0"/>
        <w:spacing w:after="0" w:line="240" w:lineRule="auto"/>
        <w:jc w:val="both"/>
        <w:rPr>
          <w:rFonts w:ascii="Arial" w:eastAsia="NimbusSanL-Bold" w:hAnsi="Arial" w:cs="Arial"/>
          <w:b/>
          <w:bCs/>
          <w:color w:val="000000"/>
          <w:sz w:val="20"/>
          <w:szCs w:val="20"/>
        </w:rPr>
      </w:pPr>
      <w:r>
        <w:rPr>
          <w:rFonts w:ascii="Arial" w:eastAsia="NimbusSanL-Bold" w:hAnsi="Arial" w:cs="Arial"/>
          <w:b/>
          <w:bCs/>
          <w:color w:val="000000"/>
          <w:sz w:val="20"/>
          <w:szCs w:val="20"/>
        </w:rPr>
        <w:t>ADC, T2 and volume fraction maps from patient</w:t>
      </w:r>
      <w:r w:rsidR="00081BA0">
        <w:rPr>
          <w:rFonts w:ascii="Arial" w:eastAsia="NimbusSanL-Bold" w:hAnsi="Arial" w:cs="Arial"/>
          <w:b/>
          <w:bCs/>
          <w:color w:val="000000"/>
          <w:sz w:val="20"/>
          <w:szCs w:val="20"/>
        </w:rPr>
        <w:t>s</w:t>
      </w:r>
      <w:r w:rsidR="00185C50">
        <w:rPr>
          <w:rFonts w:ascii="Arial" w:eastAsia="NimbusSanL-Bold" w:hAnsi="Arial" w:cs="Arial"/>
          <w:b/>
          <w:bCs/>
          <w:color w:val="000000"/>
          <w:sz w:val="20"/>
          <w:szCs w:val="20"/>
        </w:rPr>
        <w:t xml:space="preserve"> 1-3</w:t>
      </w:r>
      <w:r>
        <w:rPr>
          <w:rFonts w:ascii="Arial" w:eastAsia="NimbusSanL-Bold" w:hAnsi="Arial" w:cs="Arial"/>
          <w:b/>
          <w:bCs/>
          <w:color w:val="000000"/>
          <w:sz w:val="20"/>
          <w:szCs w:val="20"/>
        </w:rPr>
        <w:t xml:space="preserve"> in main text </w:t>
      </w:r>
      <w:r w:rsidR="00081BA0">
        <w:rPr>
          <w:rFonts w:ascii="Arial" w:eastAsia="NimbusSanL-Bold" w:hAnsi="Arial" w:cs="Arial"/>
          <w:b/>
          <w:bCs/>
          <w:color w:val="000000"/>
          <w:sz w:val="20"/>
          <w:szCs w:val="20"/>
        </w:rPr>
        <w:t>(</w:t>
      </w:r>
      <w:r w:rsidR="00EE49F2" w:rsidRPr="00185C50">
        <w:rPr>
          <w:rFonts w:ascii="Arial" w:eastAsia="NimbusSanL-Bold" w:hAnsi="Arial" w:cs="Arial"/>
          <w:b/>
          <w:bCs/>
          <w:color w:val="000000" w:themeColor="text1"/>
          <w:sz w:val="20"/>
          <w:szCs w:val="20"/>
        </w:rPr>
        <w:t>Fig</w:t>
      </w:r>
      <w:r w:rsidR="00640623">
        <w:rPr>
          <w:rFonts w:ascii="Arial" w:eastAsia="NimbusSanL-Bold" w:hAnsi="Arial" w:cs="Arial"/>
          <w:b/>
          <w:bCs/>
          <w:color w:val="000000" w:themeColor="text1"/>
          <w:sz w:val="20"/>
          <w:szCs w:val="20"/>
        </w:rPr>
        <w:t>s</w:t>
      </w:r>
      <w:r w:rsidR="00EE49F2" w:rsidRPr="00185C50">
        <w:rPr>
          <w:rFonts w:ascii="Arial" w:eastAsia="NimbusSanL-Bold" w:hAnsi="Arial" w:cs="Arial"/>
          <w:b/>
          <w:bCs/>
          <w:color w:val="000000" w:themeColor="text1"/>
          <w:sz w:val="20"/>
          <w:szCs w:val="20"/>
        </w:rPr>
        <w:t>. 2</w:t>
      </w:r>
      <w:r w:rsidR="00185C50" w:rsidRPr="00185C50">
        <w:rPr>
          <w:rFonts w:ascii="Arial" w:eastAsia="NimbusSanL-Bold" w:hAnsi="Arial" w:cs="Arial"/>
          <w:b/>
          <w:bCs/>
          <w:color w:val="000000" w:themeColor="text1"/>
          <w:sz w:val="20"/>
          <w:szCs w:val="20"/>
        </w:rPr>
        <w:t>-</w:t>
      </w:r>
      <w:r w:rsidR="00330F05" w:rsidRPr="00185C50">
        <w:rPr>
          <w:rFonts w:ascii="Arial" w:eastAsia="NimbusSanL-Bold" w:hAnsi="Arial" w:cs="Arial"/>
          <w:b/>
          <w:bCs/>
          <w:color w:val="000000" w:themeColor="text1"/>
          <w:sz w:val="20"/>
          <w:szCs w:val="20"/>
        </w:rPr>
        <w:t>4</w:t>
      </w:r>
      <w:r w:rsidR="00081BA0">
        <w:rPr>
          <w:rFonts w:ascii="Arial" w:eastAsia="NimbusSanL-Bold" w:hAnsi="Arial" w:cs="Arial"/>
          <w:b/>
          <w:bCs/>
          <w:color w:val="000000"/>
          <w:sz w:val="20"/>
          <w:szCs w:val="20"/>
        </w:rPr>
        <w:t>)</w:t>
      </w:r>
    </w:p>
    <w:p w14:paraId="44BE8169" w14:textId="77777777" w:rsidR="00DC5447" w:rsidRDefault="00DC5447" w:rsidP="005F76BD">
      <w:pPr>
        <w:jc w:val="both"/>
      </w:pPr>
    </w:p>
    <w:p w14:paraId="3DA8F4E9" w14:textId="39F1A9B6" w:rsidR="00691C14" w:rsidRPr="00EA0DDC" w:rsidRDefault="00691C14" w:rsidP="005F76BD">
      <w:pPr>
        <w:jc w:val="both"/>
      </w:pPr>
      <w:r>
        <w:t>To</w:t>
      </w:r>
      <w:r w:rsidRPr="00457969">
        <w:t xml:space="preserve"> </w:t>
      </w:r>
      <w:r w:rsidRPr="00A3515D">
        <w:rPr>
          <w:rFonts w:cs="Times New Roman"/>
          <w:color w:val="000000" w:themeColor="text1"/>
        </w:rPr>
        <w:t xml:space="preserve">provide further detail on the </w:t>
      </w:r>
      <w:r>
        <w:rPr>
          <w:rFonts w:cs="Times New Roman"/>
          <w:color w:val="000000" w:themeColor="text1"/>
        </w:rPr>
        <w:t>D</w:t>
      </w:r>
      <w:r w:rsidRPr="00A3515D">
        <w:rPr>
          <w:rFonts w:cs="Times New Roman"/>
          <w:color w:val="000000" w:themeColor="text1"/>
        </w:rPr>
        <w:t xml:space="preserve"> and T2 voxel values </w:t>
      </w:r>
      <w:r w:rsidR="00640623">
        <w:rPr>
          <w:rFonts w:cs="Times New Roman"/>
          <w:color w:val="000000" w:themeColor="text1"/>
        </w:rPr>
        <w:t>for patients 1, 2 and 3, in</w:t>
      </w:r>
      <w:r w:rsidRPr="00A3515D">
        <w:rPr>
          <w:rFonts w:cs="Times New Roman"/>
          <w:color w:val="000000" w:themeColor="text1"/>
        </w:rPr>
        <w:t xml:space="preserve"> main text </w:t>
      </w:r>
      <w:r w:rsidR="00640623">
        <w:rPr>
          <w:rFonts w:cs="Times New Roman"/>
          <w:color w:val="000000" w:themeColor="text1"/>
        </w:rPr>
        <w:t>(</w:t>
      </w:r>
      <w:r w:rsidRPr="00185C50">
        <w:rPr>
          <w:rFonts w:cs="Times New Roman"/>
          <w:color w:val="000000" w:themeColor="text1"/>
        </w:rPr>
        <w:t>Fig</w:t>
      </w:r>
      <w:r w:rsidR="00640623">
        <w:rPr>
          <w:rFonts w:cs="Times New Roman"/>
          <w:color w:val="000000" w:themeColor="text1"/>
        </w:rPr>
        <w:t>s</w:t>
      </w:r>
      <w:r w:rsidRPr="00185C50">
        <w:rPr>
          <w:rFonts w:cs="Times New Roman"/>
          <w:color w:val="000000" w:themeColor="text1"/>
        </w:rPr>
        <w:t>. 2</w:t>
      </w:r>
      <w:r w:rsidR="00185C50" w:rsidRPr="00185C50">
        <w:rPr>
          <w:rFonts w:cs="Times New Roman"/>
          <w:color w:val="000000" w:themeColor="text1"/>
        </w:rPr>
        <w:t>-</w:t>
      </w:r>
      <w:r w:rsidR="00330F05" w:rsidRPr="00185C50">
        <w:rPr>
          <w:rFonts w:cs="Times New Roman"/>
          <w:color w:val="000000" w:themeColor="text1"/>
        </w:rPr>
        <w:t xml:space="preserve"> 4</w:t>
      </w:r>
      <w:r w:rsidR="00640623">
        <w:rPr>
          <w:rFonts w:cs="Times New Roman"/>
          <w:color w:val="000000" w:themeColor="text1"/>
        </w:rPr>
        <w:t>)</w:t>
      </w:r>
      <w:r w:rsidR="00330F05">
        <w:rPr>
          <w:rFonts w:cs="Times New Roman"/>
          <w:color w:val="000000" w:themeColor="text1"/>
        </w:rPr>
        <w:t>,</w:t>
      </w:r>
      <w:r w:rsidRPr="00A3515D">
        <w:rPr>
          <w:rFonts w:cs="Times New Roman"/>
          <w:color w:val="000000" w:themeColor="text1"/>
        </w:rPr>
        <w:t xml:space="preserve"> the non-volume weighted maps are shown in Supplementary Fig. S3</w:t>
      </w:r>
      <w:r w:rsidR="00F7616B">
        <w:rPr>
          <w:rFonts w:cs="Times New Roman"/>
          <w:color w:val="000000" w:themeColor="text1"/>
        </w:rPr>
        <w:t xml:space="preserve"> </w:t>
      </w:r>
      <w:r w:rsidR="00EB5665">
        <w:rPr>
          <w:rFonts w:cs="Times New Roman"/>
          <w:color w:val="000000" w:themeColor="text1"/>
        </w:rPr>
        <w:t xml:space="preserve">top, </w:t>
      </w:r>
      <w:r w:rsidR="00185C50">
        <w:rPr>
          <w:rFonts w:cs="Times New Roman"/>
          <w:color w:val="000000" w:themeColor="text1"/>
        </w:rPr>
        <w:t>middle,</w:t>
      </w:r>
      <w:r w:rsidR="00EB5665">
        <w:rPr>
          <w:rFonts w:cs="Times New Roman"/>
          <w:color w:val="000000" w:themeColor="text1"/>
        </w:rPr>
        <w:t xml:space="preserve"> and bottom, respectively</w:t>
      </w:r>
      <w:r w:rsidRPr="00A3515D">
        <w:rPr>
          <w:rFonts w:cs="Times New Roman"/>
          <w:color w:val="000000" w:themeColor="text1"/>
        </w:rPr>
        <w:t>. Here, the ADC, T2 and volume fraction maps are plotted independently. It should be noted that for Model 1, no volume fraction</w:t>
      </w:r>
      <w:r>
        <w:rPr>
          <w:rFonts w:cs="Times New Roman"/>
          <w:color w:val="000000" w:themeColor="text1"/>
        </w:rPr>
        <w:t xml:space="preserve"> map is</w:t>
      </w:r>
      <w:r w:rsidRPr="00A3515D">
        <w:rPr>
          <w:rFonts w:cs="Times New Roman"/>
          <w:color w:val="000000" w:themeColor="text1"/>
        </w:rPr>
        <w:t xml:space="preserve"> shown</w:t>
      </w:r>
      <w:r>
        <w:rPr>
          <w:rFonts w:cs="Times New Roman"/>
          <w:color w:val="000000" w:themeColor="text1"/>
        </w:rPr>
        <w:t xml:space="preserve"> as</w:t>
      </w:r>
      <w:r w:rsidRPr="00A3515D">
        <w:rPr>
          <w:rFonts w:cs="Times New Roman"/>
          <w:color w:val="000000" w:themeColor="text1"/>
        </w:rPr>
        <w:t>, for this model, only one compartment is assumed and, therefore, all volumes are equal to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91C14" w14:paraId="4875713A" w14:textId="77777777" w:rsidTr="000550CF">
        <w:tc>
          <w:tcPr>
            <w:tcW w:w="9016" w:type="dxa"/>
            <w:shd w:val="clear" w:color="auto" w:fill="FFF2CC" w:themeFill="accent4" w:themeFillTint="33"/>
          </w:tcPr>
          <w:p w14:paraId="4AC6D20F" w14:textId="5D0A9089" w:rsidR="00691C14" w:rsidRDefault="0060561E" w:rsidP="00AA0951">
            <w:pPr>
              <w:rPr>
                <w:rFonts w:cs="Times New Roman"/>
                <w:color w:val="000000" w:themeColor="text1"/>
              </w:rPr>
            </w:pPr>
            <w:r>
              <w:rPr>
                <w:rFonts w:cs="Times New Roman"/>
                <w:noProof/>
                <w:color w:val="000000" w:themeColor="text1"/>
              </w:rPr>
              <w:lastRenderedPageBreak/>
              <w:drawing>
                <wp:inline distT="0" distB="0" distL="0" distR="0" wp14:anchorId="7957BDE5" wp14:editId="0FA0D59B">
                  <wp:extent cx="5134708" cy="2615708"/>
                  <wp:effectExtent l="0" t="0" r="0" b="635"/>
                  <wp:docPr id="2098989863" name="Picture 2098989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89863" name="Picture 2098989863"/>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5176964" cy="2637234"/>
                          </a:xfrm>
                          <a:prstGeom prst="rect">
                            <a:avLst/>
                          </a:prstGeom>
                        </pic:spPr>
                      </pic:pic>
                    </a:graphicData>
                  </a:graphic>
                </wp:inline>
              </w:drawing>
            </w:r>
          </w:p>
        </w:tc>
      </w:tr>
      <w:tr w:rsidR="00BA1BB1" w14:paraId="3015185D" w14:textId="77777777" w:rsidTr="000550CF">
        <w:trPr>
          <w:trHeight w:val="790"/>
        </w:trPr>
        <w:tc>
          <w:tcPr>
            <w:tcW w:w="9016" w:type="dxa"/>
            <w:shd w:val="clear" w:color="auto" w:fill="E2EFD9" w:themeFill="accent6" w:themeFillTint="33"/>
          </w:tcPr>
          <w:p w14:paraId="76C2F3EF" w14:textId="432220F5" w:rsidR="00BA1BB1" w:rsidRDefault="00FC366C" w:rsidP="005F76BD">
            <w:pPr>
              <w:jc w:val="both"/>
              <w:rPr>
                <w:b/>
                <w:bCs/>
              </w:rPr>
            </w:pPr>
            <w:r>
              <w:rPr>
                <w:rFonts w:ascii="Arial" w:eastAsia="NimbusRomNo9L-Regu" w:hAnsi="Arial" w:cs="Arial"/>
                <w:b/>
                <w:bCs/>
                <w:noProof/>
                <w:color w:val="000000"/>
                <w:sz w:val="20"/>
                <w:szCs w:val="20"/>
              </w:rPr>
              <w:drawing>
                <wp:inline distT="0" distB="0" distL="0" distR="0" wp14:anchorId="0F5741EE" wp14:editId="2C08244F">
                  <wp:extent cx="5176911" cy="2648104"/>
                  <wp:effectExtent l="0" t="0" r="5080" b="0"/>
                  <wp:docPr id="761564575" name="Picture 761564575" descr="A screenshot of a computer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089655" name="Picture 4" descr="A screenshot of a computer game&#10;&#10;Description automatically generated"/>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5273617" cy="2697571"/>
                          </a:xfrm>
                          <a:prstGeom prst="rect">
                            <a:avLst/>
                          </a:prstGeom>
                        </pic:spPr>
                      </pic:pic>
                    </a:graphicData>
                  </a:graphic>
                </wp:inline>
              </w:drawing>
            </w:r>
          </w:p>
        </w:tc>
      </w:tr>
      <w:tr w:rsidR="00F06E2D" w14:paraId="3AA3F86C" w14:textId="77777777" w:rsidTr="000550CF">
        <w:trPr>
          <w:trHeight w:val="790"/>
        </w:trPr>
        <w:tc>
          <w:tcPr>
            <w:tcW w:w="9016" w:type="dxa"/>
            <w:shd w:val="clear" w:color="auto" w:fill="FBE4D5" w:themeFill="accent2" w:themeFillTint="33"/>
          </w:tcPr>
          <w:p w14:paraId="545421DD" w14:textId="46E96AF8" w:rsidR="00F06E2D" w:rsidRDefault="00EA33D1" w:rsidP="005F76BD">
            <w:pPr>
              <w:jc w:val="both"/>
              <w:rPr>
                <w:b/>
                <w:bCs/>
              </w:rPr>
            </w:pPr>
            <w:r>
              <w:rPr>
                <w:rFonts w:ascii="Arial" w:eastAsia="NimbusRomNo9L-Regu" w:hAnsi="Arial" w:cs="Arial"/>
                <w:b/>
                <w:bCs/>
                <w:noProof/>
                <w:color w:val="000000"/>
                <w:sz w:val="20"/>
                <w:szCs w:val="20"/>
              </w:rPr>
              <w:drawing>
                <wp:inline distT="0" distB="0" distL="0" distR="0" wp14:anchorId="03B99991" wp14:editId="77536CE0">
                  <wp:extent cx="5275385" cy="2701400"/>
                  <wp:effectExtent l="0" t="0" r="0" b="3810"/>
                  <wp:docPr id="637552362" name="Picture 637552362" descr="A screenshot of a computer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067080" name="Picture 5" descr="A screenshot of a computer game&#10;&#10;Description automatically generated"/>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5368130" cy="2748892"/>
                          </a:xfrm>
                          <a:prstGeom prst="rect">
                            <a:avLst/>
                          </a:prstGeom>
                        </pic:spPr>
                      </pic:pic>
                    </a:graphicData>
                  </a:graphic>
                </wp:inline>
              </w:drawing>
            </w:r>
          </w:p>
        </w:tc>
      </w:tr>
      <w:tr w:rsidR="00691C14" w14:paraId="297A41C3" w14:textId="77777777" w:rsidTr="000550CF">
        <w:trPr>
          <w:trHeight w:val="790"/>
        </w:trPr>
        <w:tc>
          <w:tcPr>
            <w:tcW w:w="9016" w:type="dxa"/>
          </w:tcPr>
          <w:p w14:paraId="09AC13A4" w14:textId="4BC2D8B7" w:rsidR="00691C14" w:rsidRPr="00B112EE" w:rsidRDefault="00691C14" w:rsidP="005F76BD">
            <w:pPr>
              <w:jc w:val="both"/>
              <w:rPr>
                <w:b/>
                <w:bCs/>
              </w:rPr>
            </w:pPr>
            <w:r>
              <w:rPr>
                <w:b/>
                <w:bCs/>
              </w:rPr>
              <w:t xml:space="preserve">Supplementary </w:t>
            </w:r>
            <w:r w:rsidRPr="0088525D">
              <w:rPr>
                <w:b/>
                <w:bCs/>
              </w:rPr>
              <w:t xml:space="preserve">Fig. </w:t>
            </w:r>
            <w:r>
              <w:rPr>
                <w:b/>
                <w:bCs/>
              </w:rPr>
              <w:t>S3</w:t>
            </w:r>
            <w:r w:rsidRPr="0088525D">
              <w:rPr>
                <w:b/>
                <w:bCs/>
              </w:rPr>
              <w:t xml:space="preserve">. </w:t>
            </w:r>
            <w:r>
              <w:rPr>
                <w:b/>
                <w:bCs/>
              </w:rPr>
              <w:t>ADC, T2 and fractional volume maps for patient</w:t>
            </w:r>
            <w:r w:rsidR="00E01852">
              <w:rPr>
                <w:b/>
                <w:bCs/>
              </w:rPr>
              <w:t>s</w:t>
            </w:r>
            <w:r>
              <w:rPr>
                <w:b/>
                <w:bCs/>
              </w:rPr>
              <w:t xml:space="preserve"> in main text</w:t>
            </w:r>
            <w:r w:rsidR="0081107B">
              <w:rPr>
                <w:b/>
                <w:bCs/>
              </w:rPr>
              <w:t xml:space="preserve">: Patient 1 </w:t>
            </w:r>
            <w:r w:rsidR="00E114AB">
              <w:rPr>
                <w:b/>
                <w:bCs/>
              </w:rPr>
              <w:t>(top; yellow box)</w:t>
            </w:r>
            <w:r w:rsidR="00810F5D">
              <w:rPr>
                <w:b/>
                <w:bCs/>
              </w:rPr>
              <w:t xml:space="preserve">, </w:t>
            </w:r>
            <w:r w:rsidR="0081107B">
              <w:rPr>
                <w:b/>
                <w:bCs/>
              </w:rPr>
              <w:t>patient 2</w:t>
            </w:r>
            <w:r w:rsidR="00E114AB">
              <w:rPr>
                <w:b/>
                <w:bCs/>
              </w:rPr>
              <w:t xml:space="preserve"> (middle; green box)</w:t>
            </w:r>
            <w:r w:rsidR="005E19DC">
              <w:rPr>
                <w:b/>
                <w:bCs/>
              </w:rPr>
              <w:t xml:space="preserve"> and </w:t>
            </w:r>
            <w:r w:rsidR="0081107B">
              <w:rPr>
                <w:b/>
                <w:bCs/>
              </w:rPr>
              <w:t>patient 3</w:t>
            </w:r>
            <w:r w:rsidR="00E114AB">
              <w:rPr>
                <w:b/>
                <w:bCs/>
              </w:rPr>
              <w:t xml:space="preserve"> (bottom; orange box)</w:t>
            </w:r>
            <w:r w:rsidR="00CB521F">
              <w:rPr>
                <w:b/>
                <w:bCs/>
              </w:rPr>
              <w:t xml:space="preserve">. </w:t>
            </w:r>
            <w:r w:rsidR="00641F0E">
              <w:t>W</w:t>
            </w:r>
            <w:r>
              <w:t xml:space="preserve">ater pools sharing the same T2 value are </w:t>
            </w:r>
            <w:r w:rsidR="00B30320">
              <w:t>enclosed in dashed grey boxes</w:t>
            </w:r>
            <w:r w:rsidR="00810F5D">
              <w:t xml:space="preserve">. </w:t>
            </w:r>
          </w:p>
        </w:tc>
      </w:tr>
    </w:tbl>
    <w:p w14:paraId="5857D09D" w14:textId="77777777" w:rsidR="00F0560E" w:rsidRDefault="00F0560E" w:rsidP="005F76BD">
      <w:pPr>
        <w:autoSpaceDE w:val="0"/>
        <w:autoSpaceDN w:val="0"/>
        <w:adjustRightInd w:val="0"/>
        <w:spacing w:after="0" w:line="240" w:lineRule="auto"/>
        <w:jc w:val="both"/>
        <w:rPr>
          <w:rFonts w:ascii="Arial" w:eastAsia="NimbusRomNo9L-Regu" w:hAnsi="Arial" w:cs="Arial"/>
          <w:b/>
          <w:bCs/>
          <w:color w:val="000000"/>
          <w:sz w:val="20"/>
          <w:szCs w:val="20"/>
        </w:rPr>
      </w:pPr>
    </w:p>
    <w:p w14:paraId="2CDDB0D3" w14:textId="77777777" w:rsidR="00F0560E" w:rsidRPr="00F0560E" w:rsidRDefault="00F0560E" w:rsidP="005F76BD">
      <w:pPr>
        <w:autoSpaceDE w:val="0"/>
        <w:autoSpaceDN w:val="0"/>
        <w:adjustRightInd w:val="0"/>
        <w:spacing w:after="0" w:line="240" w:lineRule="auto"/>
        <w:jc w:val="both"/>
        <w:rPr>
          <w:rFonts w:ascii="Arial" w:eastAsia="NimbusRomNo9L-Regu" w:hAnsi="Arial" w:cs="Arial"/>
          <w:color w:val="000000"/>
          <w:sz w:val="20"/>
          <w:szCs w:val="20"/>
        </w:rPr>
      </w:pPr>
    </w:p>
    <w:p w14:paraId="2EC8620C" w14:textId="370ADB1C" w:rsidR="00637741" w:rsidRPr="00637741" w:rsidRDefault="00637741" w:rsidP="005F76BD">
      <w:pPr>
        <w:autoSpaceDE w:val="0"/>
        <w:autoSpaceDN w:val="0"/>
        <w:adjustRightInd w:val="0"/>
        <w:spacing w:after="0" w:line="240" w:lineRule="auto"/>
        <w:jc w:val="both"/>
        <w:rPr>
          <w:rFonts w:ascii="Arial" w:eastAsia="NimbusRomNo9L-Regu" w:hAnsi="Arial" w:cs="Arial"/>
          <w:b/>
          <w:bCs/>
          <w:color w:val="000000"/>
          <w:sz w:val="20"/>
          <w:szCs w:val="20"/>
        </w:rPr>
      </w:pPr>
      <w:r w:rsidRPr="00637741">
        <w:rPr>
          <w:rFonts w:ascii="Arial" w:eastAsia="NimbusRomNo9L-Regu" w:hAnsi="Arial" w:cs="Arial"/>
          <w:b/>
          <w:bCs/>
          <w:color w:val="000000"/>
          <w:sz w:val="20"/>
          <w:szCs w:val="20"/>
        </w:rPr>
        <w:t>References</w:t>
      </w:r>
    </w:p>
    <w:p w14:paraId="368492B2" w14:textId="16FC821F" w:rsidR="00637741" w:rsidRDefault="00637741" w:rsidP="005F76BD">
      <w:pPr>
        <w:autoSpaceDE w:val="0"/>
        <w:autoSpaceDN w:val="0"/>
        <w:adjustRightInd w:val="0"/>
        <w:spacing w:after="0" w:line="240" w:lineRule="auto"/>
        <w:jc w:val="both"/>
        <w:rPr>
          <w:rFonts w:ascii="Arial" w:eastAsia="NimbusRomNo9L-Regu" w:hAnsi="Arial" w:cs="Arial"/>
          <w:color w:val="000000"/>
          <w:sz w:val="20"/>
          <w:szCs w:val="20"/>
        </w:rPr>
      </w:pPr>
    </w:p>
    <w:p w14:paraId="549B02F2" w14:textId="3DEA9840" w:rsidR="00EA0DDC" w:rsidRDefault="00637741" w:rsidP="005F76BD">
      <w:pPr>
        <w:jc w:val="both"/>
      </w:pPr>
      <w:r w:rsidRPr="00637741">
        <w:t xml:space="preserve">Chatterjee, A. et al. </w:t>
      </w:r>
      <w:r w:rsidR="00C90EEE" w:rsidRPr="00C90EEE">
        <w:t>Validation of prostate tissue composition by using hybrid multidimensional MRI: correlation with histologic findings</w:t>
      </w:r>
      <w:r w:rsidRPr="00637741">
        <w:t xml:space="preserve">. Radiology </w:t>
      </w:r>
      <w:r w:rsidR="00C90EEE">
        <w:t>302</w:t>
      </w:r>
      <w:r w:rsidRPr="00637741">
        <w:t xml:space="preserve">, </w:t>
      </w:r>
      <w:r w:rsidR="00C90EEE">
        <w:t>368</w:t>
      </w:r>
      <w:r w:rsidRPr="00637741">
        <w:t xml:space="preserve"> (20</w:t>
      </w:r>
      <w:r w:rsidR="00C90EEE">
        <w:t>22</w:t>
      </w:r>
      <w:r w:rsidRPr="00637741">
        <w:t>).</w:t>
      </w:r>
    </w:p>
    <w:p w14:paraId="7EAFB1C0" w14:textId="0428DAA0" w:rsidR="00E62D01" w:rsidRDefault="00E62D01" w:rsidP="005F76BD">
      <w:pPr>
        <w:jc w:val="both"/>
      </w:pPr>
      <w:r>
        <w:rPr>
          <w:shd w:val="clear" w:color="auto" w:fill="FFFFFF"/>
        </w:rPr>
        <w:t xml:space="preserve">Ellingson, et al. "Diffusion MRI quality control and functional diffusion map results in ACRIN 6677/RTOG 0625: a </w:t>
      </w:r>
      <w:proofErr w:type="spellStart"/>
      <w:r>
        <w:rPr>
          <w:shd w:val="clear" w:color="auto" w:fill="FFFFFF"/>
        </w:rPr>
        <w:t>multicenter</w:t>
      </w:r>
      <w:proofErr w:type="spellEnd"/>
      <w:r>
        <w:rPr>
          <w:shd w:val="clear" w:color="auto" w:fill="FFFFFF"/>
        </w:rPr>
        <w:t>, randomized, phase II trial of bevacizumab and chemotherapy in recurrent glioblastoma." </w:t>
      </w:r>
      <w:r>
        <w:rPr>
          <w:i/>
          <w:iCs/>
        </w:rPr>
        <w:t>International journal of oncology</w:t>
      </w:r>
      <w:r>
        <w:t> 46.5 (2015): 1883-1892.</w:t>
      </w:r>
    </w:p>
    <w:p w14:paraId="2538595C" w14:textId="56504BB1" w:rsidR="00EA0DDC" w:rsidRDefault="00EA0DDC" w:rsidP="005F76BD">
      <w:pPr>
        <w:jc w:val="both"/>
        <w:rPr>
          <w:shd w:val="clear" w:color="auto" w:fill="FFFFFF"/>
        </w:rPr>
      </w:pPr>
      <w:proofErr w:type="spellStart"/>
      <w:r w:rsidRPr="00EA0DDC">
        <w:rPr>
          <w:shd w:val="clear" w:color="auto" w:fill="FFFFFF"/>
        </w:rPr>
        <w:t>Gudbjartsson</w:t>
      </w:r>
      <w:proofErr w:type="spellEnd"/>
      <w:r w:rsidRPr="00EA0DDC">
        <w:rPr>
          <w:shd w:val="clear" w:color="auto" w:fill="FFFFFF"/>
        </w:rPr>
        <w:t xml:space="preserve">, H. &amp; Patz, S. The </w:t>
      </w:r>
      <w:proofErr w:type="spellStart"/>
      <w:r w:rsidRPr="00EA0DDC">
        <w:rPr>
          <w:shd w:val="clear" w:color="auto" w:fill="FFFFFF"/>
        </w:rPr>
        <w:t>rician</w:t>
      </w:r>
      <w:proofErr w:type="spellEnd"/>
      <w:r w:rsidRPr="00EA0DDC">
        <w:rPr>
          <w:shd w:val="clear" w:color="auto" w:fill="FFFFFF"/>
        </w:rPr>
        <w:t xml:space="preserve"> distribution of noisy </w:t>
      </w:r>
      <w:proofErr w:type="spellStart"/>
      <w:r w:rsidRPr="00EA0DDC">
        <w:rPr>
          <w:shd w:val="clear" w:color="auto" w:fill="FFFFFF"/>
        </w:rPr>
        <w:t>mri</w:t>
      </w:r>
      <w:proofErr w:type="spellEnd"/>
      <w:r w:rsidRPr="00EA0DDC">
        <w:rPr>
          <w:shd w:val="clear" w:color="auto" w:fill="FFFFFF"/>
        </w:rPr>
        <w:t xml:space="preserve"> data. </w:t>
      </w:r>
      <w:proofErr w:type="spellStart"/>
      <w:r w:rsidRPr="00EA0DDC">
        <w:rPr>
          <w:shd w:val="clear" w:color="auto" w:fill="FFFFFF"/>
        </w:rPr>
        <w:t>Magn</w:t>
      </w:r>
      <w:proofErr w:type="spellEnd"/>
      <w:r w:rsidRPr="00EA0DDC">
        <w:rPr>
          <w:shd w:val="clear" w:color="auto" w:fill="FFFFFF"/>
        </w:rPr>
        <w:t>. resonance medicine 34, 910–914 (1995)</w:t>
      </w:r>
    </w:p>
    <w:p w14:paraId="6174AA14" w14:textId="315F2A5B" w:rsidR="007A5566" w:rsidRDefault="007A5566" w:rsidP="005F76BD">
      <w:pPr>
        <w:jc w:val="both"/>
      </w:pPr>
      <w:proofErr w:type="spellStart"/>
      <w:r w:rsidRPr="007A5566">
        <w:t>Manetta</w:t>
      </w:r>
      <w:proofErr w:type="spellEnd"/>
      <w:r w:rsidRPr="007A5566">
        <w:t>, R, et al. "Correlation between ADC values and Gleason score in evaluation of prostate cancer: multicentre experience and review of the literature." Gland surgery 8.</w:t>
      </w:r>
      <w:r w:rsidR="005F76BD">
        <w:t xml:space="preserve"> </w:t>
      </w:r>
      <w:r w:rsidRPr="007A5566">
        <w:t>Suppl 3 (2019): S216.</w:t>
      </w:r>
    </w:p>
    <w:p w14:paraId="509BBA37" w14:textId="020AD6A5" w:rsidR="00E62D01" w:rsidRDefault="00E62D01" w:rsidP="005F76BD">
      <w:pPr>
        <w:jc w:val="both"/>
      </w:pPr>
      <w:proofErr w:type="spellStart"/>
      <w:r>
        <w:rPr>
          <w:shd w:val="clear" w:color="auto" w:fill="FFFFFF"/>
        </w:rPr>
        <w:t>Sener</w:t>
      </w:r>
      <w:proofErr w:type="spellEnd"/>
      <w:r>
        <w:rPr>
          <w:shd w:val="clear" w:color="auto" w:fill="FFFFFF"/>
        </w:rPr>
        <w:t>, R. N. "Diffusion MRI: apparent diffusion coefficient (ADC) values in the normal brain and a classification of brain disorders based on ADC values." </w:t>
      </w:r>
      <w:r>
        <w:rPr>
          <w:i/>
          <w:iCs/>
        </w:rPr>
        <w:t>Computerized medical imaging and graphics</w:t>
      </w:r>
      <w:r>
        <w:t> 25.4 (2001): 299-326.</w:t>
      </w:r>
    </w:p>
    <w:p w14:paraId="1143A86E" w14:textId="009EE6F3" w:rsidR="00E62D01" w:rsidRPr="00EA0DDC" w:rsidRDefault="00CA1414" w:rsidP="005F76BD">
      <w:pPr>
        <w:jc w:val="both"/>
      </w:pPr>
      <w:proofErr w:type="spellStart"/>
      <w:r>
        <w:t>Sabouri</w:t>
      </w:r>
      <w:proofErr w:type="spellEnd"/>
      <w:r>
        <w:t xml:space="preserve">, S. et al. MR measurement of luminal water in prostate gland: Quantitative correlation between MRI and histology. J. </w:t>
      </w:r>
      <w:proofErr w:type="spellStart"/>
      <w:r>
        <w:t>Magn</w:t>
      </w:r>
      <w:proofErr w:type="spellEnd"/>
      <w:r>
        <w:t xml:space="preserve">. </w:t>
      </w:r>
      <w:proofErr w:type="spellStart"/>
      <w:r>
        <w:t>Reson</w:t>
      </w:r>
      <w:proofErr w:type="spellEnd"/>
      <w:r>
        <w:t>. Imaging 46, 861–869 (2017).</w:t>
      </w:r>
    </w:p>
    <w:sectPr w:rsidR="00E62D01" w:rsidRPr="00EA0DDC">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BF864" w14:textId="77777777" w:rsidR="00D3552E" w:rsidRDefault="00D3552E" w:rsidP="00637741">
      <w:pPr>
        <w:spacing w:after="0" w:line="240" w:lineRule="auto"/>
      </w:pPr>
      <w:r>
        <w:separator/>
      </w:r>
    </w:p>
  </w:endnote>
  <w:endnote w:type="continuationSeparator" w:id="0">
    <w:p w14:paraId="10FE01C6" w14:textId="77777777" w:rsidR="00D3552E" w:rsidRDefault="00D3552E" w:rsidP="00637741">
      <w:pPr>
        <w:spacing w:after="0" w:line="240" w:lineRule="auto"/>
      </w:pPr>
      <w:r>
        <w:continuationSeparator/>
      </w:r>
    </w:p>
  </w:endnote>
  <w:endnote w:type="continuationNotice" w:id="1">
    <w:p w14:paraId="644A6AF9" w14:textId="77777777" w:rsidR="00D3552E" w:rsidRDefault="00D355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imbusSanL-Bold">
    <w:altName w:val="Yu Gothic"/>
    <w:panose1 w:val="020B0604020202020204"/>
    <w:charset w:val="80"/>
    <w:family w:val="auto"/>
    <w:notTrueType/>
    <w:pitch w:val="default"/>
    <w:sig w:usb0="00000001" w:usb1="08070000" w:usb2="00000010" w:usb3="00000000" w:csb0="00020000" w:csb1="00000000"/>
  </w:font>
  <w:font w:name="NimbusRomNo9L-Regu">
    <w:altName w:val="Yu Gothic"/>
    <w:panose1 w:val="020B0604020202020204"/>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NimbusRomNo9L-ReguItal">
    <w:altName w:val="Yu Gothic"/>
    <w:panose1 w:val="020B0604020202020204"/>
    <w:charset w:val="80"/>
    <w:family w:val="auto"/>
    <w:notTrueType/>
    <w:pitch w:val="default"/>
    <w:sig w:usb0="00000001" w:usb1="08070000" w:usb2="00000010" w:usb3="00000000" w:csb0="00020000" w:csb1="00000000"/>
  </w:font>
  <w:font w:name="CMMI10">
    <w:altName w:val="Malgun Gothic"/>
    <w:panose1 w:val="020B0604020202020204"/>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63ABE" w14:textId="77777777" w:rsidR="00D3552E" w:rsidRDefault="00D3552E" w:rsidP="00637741">
      <w:pPr>
        <w:spacing w:after="0" w:line="240" w:lineRule="auto"/>
      </w:pPr>
      <w:r>
        <w:separator/>
      </w:r>
    </w:p>
  </w:footnote>
  <w:footnote w:type="continuationSeparator" w:id="0">
    <w:p w14:paraId="4E3AA794" w14:textId="77777777" w:rsidR="00D3552E" w:rsidRDefault="00D3552E" w:rsidP="00637741">
      <w:pPr>
        <w:spacing w:after="0" w:line="240" w:lineRule="auto"/>
      </w:pPr>
      <w:r>
        <w:continuationSeparator/>
      </w:r>
    </w:p>
  </w:footnote>
  <w:footnote w:type="continuationNotice" w:id="1">
    <w:p w14:paraId="7F56326A" w14:textId="77777777" w:rsidR="00D3552E" w:rsidRDefault="00D355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90DB" w14:textId="7EE5DD15" w:rsidR="00CF1C0B" w:rsidRPr="00076815" w:rsidRDefault="00CF1C0B" w:rsidP="00CF1C0B">
    <w:pPr>
      <w:jc w:val="both"/>
      <w:rPr>
        <w:rFonts w:ascii="Arial" w:hAnsi="Arial" w:cs="Arial"/>
        <w:b/>
        <w:bCs/>
      </w:rPr>
    </w:pPr>
    <w:r w:rsidRPr="00457969">
      <w:rPr>
        <w:rFonts w:ascii="Arial" w:hAnsi="Arial" w:cs="Arial"/>
        <w:b/>
        <w:bCs/>
        <w:sz w:val="28"/>
        <w:szCs w:val="28"/>
        <w:lang w:val="en-US"/>
      </w:rPr>
      <w:t>Supplementary data</w:t>
    </w:r>
    <w:r w:rsidR="00DC5447">
      <w:rPr>
        <w:rFonts w:ascii="Arial" w:hAnsi="Arial" w:cs="Arial"/>
        <w:b/>
        <w:bCs/>
        <w:sz w:val="28"/>
        <w:szCs w:val="28"/>
        <w:lang w:val="en-US"/>
      </w:rPr>
      <w:t xml:space="preserve">.    </w:t>
    </w:r>
    <w:r w:rsidR="00DC5447" w:rsidRPr="00637741">
      <w:rPr>
        <w:rFonts w:ascii="Arial" w:hAnsi="Arial" w:cs="Arial"/>
        <w:b/>
        <w:bCs/>
        <w:lang w:val="en-US"/>
      </w:rPr>
      <w:t xml:space="preserve">Multi-model sequential analysis of MRI data for microstructure prediction in heterogeneous </w:t>
    </w:r>
    <w:r w:rsidR="00076815">
      <w:rPr>
        <w:rFonts w:ascii="Arial" w:hAnsi="Arial" w:cs="Arial"/>
        <w:b/>
        <w:bCs/>
        <w:lang w:val="en-US"/>
      </w:rPr>
      <w:t>tissue</w:t>
    </w:r>
    <w:r w:rsidR="00076815">
      <w:rPr>
        <w:rFonts w:ascii="Arial" w:hAnsi="Arial" w:cs="Arial"/>
        <w:b/>
        <w:bCs/>
      </w:rPr>
      <w:t xml:space="preserve">: </w:t>
    </w:r>
    <w:proofErr w:type="gramStart"/>
    <w:r w:rsidR="00076815">
      <w:rPr>
        <w:rFonts w:ascii="Arial" w:hAnsi="Arial" w:cs="Arial"/>
        <w:b/>
        <w:bCs/>
      </w:rPr>
      <w:t>An</w:t>
    </w:r>
    <w:proofErr w:type="gramEnd"/>
    <w:r w:rsidR="00076815">
      <w:rPr>
        <w:rFonts w:ascii="Arial" w:hAnsi="Arial" w:cs="Arial"/>
        <w:b/>
        <w:bCs/>
      </w:rPr>
      <w:t xml:space="preserve"> hypothesis</w:t>
    </w:r>
  </w:p>
  <w:p w14:paraId="0B77AEA0" w14:textId="77777777" w:rsidR="00637741" w:rsidRDefault="00637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6064B"/>
    <w:multiLevelType w:val="hybridMultilevel"/>
    <w:tmpl w:val="3A6E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850262"/>
    <w:multiLevelType w:val="hybridMultilevel"/>
    <w:tmpl w:val="2A28A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6323336">
    <w:abstractNumId w:val="0"/>
  </w:num>
  <w:num w:numId="2" w16cid:durableId="1617254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969"/>
    <w:rsid w:val="00012FC9"/>
    <w:rsid w:val="00027990"/>
    <w:rsid w:val="00027D58"/>
    <w:rsid w:val="000550CF"/>
    <w:rsid w:val="0006094F"/>
    <w:rsid w:val="00061DF2"/>
    <w:rsid w:val="00067F77"/>
    <w:rsid w:val="000700F5"/>
    <w:rsid w:val="00076815"/>
    <w:rsid w:val="00081BA0"/>
    <w:rsid w:val="000A70FF"/>
    <w:rsid w:val="000B3115"/>
    <w:rsid w:val="000B69AF"/>
    <w:rsid w:val="000C0A93"/>
    <w:rsid w:val="000E0C29"/>
    <w:rsid w:val="000F6166"/>
    <w:rsid w:val="001011DE"/>
    <w:rsid w:val="00111DF4"/>
    <w:rsid w:val="00131D4E"/>
    <w:rsid w:val="00134A6D"/>
    <w:rsid w:val="00153DCA"/>
    <w:rsid w:val="00172B1D"/>
    <w:rsid w:val="00182D94"/>
    <w:rsid w:val="00185C50"/>
    <w:rsid w:val="00187CE8"/>
    <w:rsid w:val="001D3229"/>
    <w:rsid w:val="00231A69"/>
    <w:rsid w:val="00244E81"/>
    <w:rsid w:val="00257476"/>
    <w:rsid w:val="0026166C"/>
    <w:rsid w:val="002632ED"/>
    <w:rsid w:val="00273750"/>
    <w:rsid w:val="002972B6"/>
    <w:rsid w:val="002A3263"/>
    <w:rsid w:val="002B6D5F"/>
    <w:rsid w:val="002B76A7"/>
    <w:rsid w:val="002C392A"/>
    <w:rsid w:val="002D1BF7"/>
    <w:rsid w:val="002D24D1"/>
    <w:rsid w:val="0030064D"/>
    <w:rsid w:val="00330F05"/>
    <w:rsid w:val="00335B0B"/>
    <w:rsid w:val="00336C92"/>
    <w:rsid w:val="00337A76"/>
    <w:rsid w:val="00343782"/>
    <w:rsid w:val="003570B3"/>
    <w:rsid w:val="0038430F"/>
    <w:rsid w:val="003A0DB7"/>
    <w:rsid w:val="003A1A8C"/>
    <w:rsid w:val="003A42E2"/>
    <w:rsid w:val="003A4954"/>
    <w:rsid w:val="003C74F4"/>
    <w:rsid w:val="003E3FF3"/>
    <w:rsid w:val="00401922"/>
    <w:rsid w:val="00420EE6"/>
    <w:rsid w:val="004329C4"/>
    <w:rsid w:val="00450956"/>
    <w:rsid w:val="00457969"/>
    <w:rsid w:val="00461EDF"/>
    <w:rsid w:val="004675EB"/>
    <w:rsid w:val="0047729E"/>
    <w:rsid w:val="004B5207"/>
    <w:rsid w:val="004C03B9"/>
    <w:rsid w:val="004C1EC6"/>
    <w:rsid w:val="004D45A9"/>
    <w:rsid w:val="004E5032"/>
    <w:rsid w:val="004E6077"/>
    <w:rsid w:val="00504E56"/>
    <w:rsid w:val="00513F17"/>
    <w:rsid w:val="00532F29"/>
    <w:rsid w:val="005354DA"/>
    <w:rsid w:val="00536621"/>
    <w:rsid w:val="00542853"/>
    <w:rsid w:val="00554775"/>
    <w:rsid w:val="00561600"/>
    <w:rsid w:val="005813F9"/>
    <w:rsid w:val="0059095E"/>
    <w:rsid w:val="00592FB7"/>
    <w:rsid w:val="005A7D42"/>
    <w:rsid w:val="005B2B31"/>
    <w:rsid w:val="005D109C"/>
    <w:rsid w:val="005E19DC"/>
    <w:rsid w:val="005E7CCB"/>
    <w:rsid w:val="005F76BD"/>
    <w:rsid w:val="00603CC4"/>
    <w:rsid w:val="0060561E"/>
    <w:rsid w:val="00611BF1"/>
    <w:rsid w:val="00617EB5"/>
    <w:rsid w:val="00637741"/>
    <w:rsid w:val="00640623"/>
    <w:rsid w:val="00641F0E"/>
    <w:rsid w:val="00653203"/>
    <w:rsid w:val="00672DF3"/>
    <w:rsid w:val="00685771"/>
    <w:rsid w:val="006866CC"/>
    <w:rsid w:val="00691C14"/>
    <w:rsid w:val="006A3B0C"/>
    <w:rsid w:val="006B7CC2"/>
    <w:rsid w:val="006C0367"/>
    <w:rsid w:val="006D75B9"/>
    <w:rsid w:val="006F34A5"/>
    <w:rsid w:val="006F4349"/>
    <w:rsid w:val="0070618A"/>
    <w:rsid w:val="00706560"/>
    <w:rsid w:val="0070673D"/>
    <w:rsid w:val="00706AAA"/>
    <w:rsid w:val="00714477"/>
    <w:rsid w:val="00724893"/>
    <w:rsid w:val="00726A1D"/>
    <w:rsid w:val="007305D9"/>
    <w:rsid w:val="00743E01"/>
    <w:rsid w:val="00754532"/>
    <w:rsid w:val="0078071C"/>
    <w:rsid w:val="0079288F"/>
    <w:rsid w:val="00793F29"/>
    <w:rsid w:val="00797738"/>
    <w:rsid w:val="007A5566"/>
    <w:rsid w:val="007A7C9C"/>
    <w:rsid w:val="007C6D1E"/>
    <w:rsid w:val="007D45B7"/>
    <w:rsid w:val="007D56F5"/>
    <w:rsid w:val="007F1827"/>
    <w:rsid w:val="007F75A5"/>
    <w:rsid w:val="0080182A"/>
    <w:rsid w:val="00810F5D"/>
    <w:rsid w:val="0081107B"/>
    <w:rsid w:val="008143FE"/>
    <w:rsid w:val="00821654"/>
    <w:rsid w:val="008378AE"/>
    <w:rsid w:val="0088525D"/>
    <w:rsid w:val="0089247E"/>
    <w:rsid w:val="008A3CF9"/>
    <w:rsid w:val="008A3D6D"/>
    <w:rsid w:val="008A5DA0"/>
    <w:rsid w:val="008B6B2F"/>
    <w:rsid w:val="008B7791"/>
    <w:rsid w:val="008C0735"/>
    <w:rsid w:val="008C74DA"/>
    <w:rsid w:val="008D2911"/>
    <w:rsid w:val="008E499A"/>
    <w:rsid w:val="008F327D"/>
    <w:rsid w:val="00906A89"/>
    <w:rsid w:val="0091528C"/>
    <w:rsid w:val="00915967"/>
    <w:rsid w:val="0092053B"/>
    <w:rsid w:val="00927A72"/>
    <w:rsid w:val="00930239"/>
    <w:rsid w:val="009317A4"/>
    <w:rsid w:val="009526EB"/>
    <w:rsid w:val="00952B4C"/>
    <w:rsid w:val="00977D4E"/>
    <w:rsid w:val="009950B3"/>
    <w:rsid w:val="009A7A9B"/>
    <w:rsid w:val="009D7F25"/>
    <w:rsid w:val="00A00B24"/>
    <w:rsid w:val="00A25CBC"/>
    <w:rsid w:val="00A42925"/>
    <w:rsid w:val="00A42D1B"/>
    <w:rsid w:val="00A5725B"/>
    <w:rsid w:val="00A8658A"/>
    <w:rsid w:val="00A919C7"/>
    <w:rsid w:val="00AA0951"/>
    <w:rsid w:val="00AA639A"/>
    <w:rsid w:val="00AD547C"/>
    <w:rsid w:val="00AE2643"/>
    <w:rsid w:val="00AE7DBA"/>
    <w:rsid w:val="00AF1244"/>
    <w:rsid w:val="00AF172C"/>
    <w:rsid w:val="00AF17BF"/>
    <w:rsid w:val="00B0507C"/>
    <w:rsid w:val="00B112EE"/>
    <w:rsid w:val="00B26815"/>
    <w:rsid w:val="00B30320"/>
    <w:rsid w:val="00B37089"/>
    <w:rsid w:val="00B4279D"/>
    <w:rsid w:val="00B51A86"/>
    <w:rsid w:val="00B66108"/>
    <w:rsid w:val="00B77105"/>
    <w:rsid w:val="00B9133D"/>
    <w:rsid w:val="00BA1BB1"/>
    <w:rsid w:val="00BB7BC8"/>
    <w:rsid w:val="00BD46F9"/>
    <w:rsid w:val="00BE12EB"/>
    <w:rsid w:val="00C0184F"/>
    <w:rsid w:val="00C03E33"/>
    <w:rsid w:val="00C04859"/>
    <w:rsid w:val="00C137EF"/>
    <w:rsid w:val="00C14564"/>
    <w:rsid w:val="00C22836"/>
    <w:rsid w:val="00C43195"/>
    <w:rsid w:val="00C6624C"/>
    <w:rsid w:val="00C80F10"/>
    <w:rsid w:val="00C8156A"/>
    <w:rsid w:val="00C81897"/>
    <w:rsid w:val="00C858E1"/>
    <w:rsid w:val="00C90EEE"/>
    <w:rsid w:val="00CA1414"/>
    <w:rsid w:val="00CA3D22"/>
    <w:rsid w:val="00CA44DB"/>
    <w:rsid w:val="00CB29EE"/>
    <w:rsid w:val="00CB42F4"/>
    <w:rsid w:val="00CB44C4"/>
    <w:rsid w:val="00CB521F"/>
    <w:rsid w:val="00CC1751"/>
    <w:rsid w:val="00CC24D6"/>
    <w:rsid w:val="00CE538C"/>
    <w:rsid w:val="00CF1C0B"/>
    <w:rsid w:val="00D01B82"/>
    <w:rsid w:val="00D14A55"/>
    <w:rsid w:val="00D25A8A"/>
    <w:rsid w:val="00D3476D"/>
    <w:rsid w:val="00D35045"/>
    <w:rsid w:val="00D3552E"/>
    <w:rsid w:val="00D45C2D"/>
    <w:rsid w:val="00D5135B"/>
    <w:rsid w:val="00D611D1"/>
    <w:rsid w:val="00D67418"/>
    <w:rsid w:val="00D820FD"/>
    <w:rsid w:val="00D90969"/>
    <w:rsid w:val="00D93532"/>
    <w:rsid w:val="00D9590D"/>
    <w:rsid w:val="00DA1BBA"/>
    <w:rsid w:val="00DA5165"/>
    <w:rsid w:val="00DC5447"/>
    <w:rsid w:val="00DD1E1F"/>
    <w:rsid w:val="00DD4592"/>
    <w:rsid w:val="00DD77DF"/>
    <w:rsid w:val="00DF087E"/>
    <w:rsid w:val="00DF3BED"/>
    <w:rsid w:val="00E01852"/>
    <w:rsid w:val="00E05009"/>
    <w:rsid w:val="00E114AB"/>
    <w:rsid w:val="00E154F5"/>
    <w:rsid w:val="00E2736A"/>
    <w:rsid w:val="00E40CA1"/>
    <w:rsid w:val="00E458A5"/>
    <w:rsid w:val="00E55FE4"/>
    <w:rsid w:val="00E62B45"/>
    <w:rsid w:val="00E62D01"/>
    <w:rsid w:val="00E663C3"/>
    <w:rsid w:val="00E76950"/>
    <w:rsid w:val="00E941FC"/>
    <w:rsid w:val="00E95A67"/>
    <w:rsid w:val="00EA0DDC"/>
    <w:rsid w:val="00EA33D1"/>
    <w:rsid w:val="00EA7353"/>
    <w:rsid w:val="00EB5665"/>
    <w:rsid w:val="00EE49F2"/>
    <w:rsid w:val="00F0560E"/>
    <w:rsid w:val="00F06E2D"/>
    <w:rsid w:val="00F16CD1"/>
    <w:rsid w:val="00F40B4C"/>
    <w:rsid w:val="00F606D9"/>
    <w:rsid w:val="00F6537E"/>
    <w:rsid w:val="00F7548A"/>
    <w:rsid w:val="00F7616B"/>
    <w:rsid w:val="00F83790"/>
    <w:rsid w:val="00FA2D70"/>
    <w:rsid w:val="00FC366C"/>
    <w:rsid w:val="00FC41FC"/>
    <w:rsid w:val="00FC4E51"/>
    <w:rsid w:val="00FD5F6E"/>
    <w:rsid w:val="00FE32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E81C5"/>
  <w15:chartTrackingRefBased/>
  <w15:docId w15:val="{66D342DF-156D-4797-AC55-0709BC07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DDC"/>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4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7F25"/>
    <w:rPr>
      <w:color w:val="808080"/>
    </w:rPr>
  </w:style>
  <w:style w:type="paragraph" w:styleId="ListParagraph">
    <w:name w:val="List Paragraph"/>
    <w:basedOn w:val="Normal"/>
    <w:uiPriority w:val="34"/>
    <w:qFormat/>
    <w:rsid w:val="005D109C"/>
    <w:pPr>
      <w:ind w:left="720"/>
      <w:contextualSpacing/>
    </w:pPr>
  </w:style>
  <w:style w:type="paragraph" w:styleId="Revision">
    <w:name w:val="Revision"/>
    <w:hidden/>
    <w:uiPriority w:val="99"/>
    <w:semiHidden/>
    <w:rsid w:val="00420EE6"/>
    <w:pPr>
      <w:spacing w:after="0" w:line="240" w:lineRule="auto"/>
    </w:pPr>
  </w:style>
  <w:style w:type="character" w:styleId="CommentReference">
    <w:name w:val="annotation reference"/>
    <w:basedOn w:val="DefaultParagraphFont"/>
    <w:uiPriority w:val="99"/>
    <w:semiHidden/>
    <w:unhideWhenUsed/>
    <w:rsid w:val="00420EE6"/>
    <w:rPr>
      <w:sz w:val="16"/>
      <w:szCs w:val="16"/>
    </w:rPr>
  </w:style>
  <w:style w:type="paragraph" w:styleId="CommentText">
    <w:name w:val="annotation text"/>
    <w:basedOn w:val="Normal"/>
    <w:link w:val="CommentTextChar"/>
    <w:uiPriority w:val="99"/>
    <w:unhideWhenUsed/>
    <w:rsid w:val="00420EE6"/>
    <w:pPr>
      <w:spacing w:line="240" w:lineRule="auto"/>
    </w:pPr>
    <w:rPr>
      <w:sz w:val="20"/>
      <w:szCs w:val="20"/>
    </w:rPr>
  </w:style>
  <w:style w:type="character" w:customStyle="1" w:styleId="CommentTextChar">
    <w:name w:val="Comment Text Char"/>
    <w:basedOn w:val="DefaultParagraphFont"/>
    <w:link w:val="CommentText"/>
    <w:uiPriority w:val="99"/>
    <w:rsid w:val="00420EE6"/>
    <w:rPr>
      <w:sz w:val="20"/>
      <w:szCs w:val="20"/>
    </w:rPr>
  </w:style>
  <w:style w:type="paragraph" w:styleId="CommentSubject">
    <w:name w:val="annotation subject"/>
    <w:basedOn w:val="CommentText"/>
    <w:next w:val="CommentText"/>
    <w:link w:val="CommentSubjectChar"/>
    <w:uiPriority w:val="99"/>
    <w:semiHidden/>
    <w:unhideWhenUsed/>
    <w:rsid w:val="00420EE6"/>
    <w:rPr>
      <w:b/>
      <w:bCs/>
    </w:rPr>
  </w:style>
  <w:style w:type="character" w:customStyle="1" w:styleId="CommentSubjectChar">
    <w:name w:val="Comment Subject Char"/>
    <w:basedOn w:val="CommentTextChar"/>
    <w:link w:val="CommentSubject"/>
    <w:uiPriority w:val="99"/>
    <w:semiHidden/>
    <w:rsid w:val="00420EE6"/>
    <w:rPr>
      <w:b/>
      <w:bCs/>
      <w:sz w:val="20"/>
      <w:szCs w:val="20"/>
    </w:rPr>
  </w:style>
  <w:style w:type="paragraph" w:styleId="Header">
    <w:name w:val="header"/>
    <w:basedOn w:val="Normal"/>
    <w:link w:val="HeaderChar"/>
    <w:uiPriority w:val="99"/>
    <w:unhideWhenUsed/>
    <w:rsid w:val="006377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741"/>
  </w:style>
  <w:style w:type="paragraph" w:styleId="Footer">
    <w:name w:val="footer"/>
    <w:basedOn w:val="Normal"/>
    <w:link w:val="FooterChar"/>
    <w:uiPriority w:val="99"/>
    <w:unhideWhenUsed/>
    <w:rsid w:val="006377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053">
      <w:bodyDiv w:val="1"/>
      <w:marLeft w:val="0"/>
      <w:marRight w:val="0"/>
      <w:marTop w:val="0"/>
      <w:marBottom w:val="0"/>
      <w:divBdr>
        <w:top w:val="none" w:sz="0" w:space="0" w:color="auto"/>
        <w:left w:val="none" w:sz="0" w:space="0" w:color="auto"/>
        <w:bottom w:val="none" w:sz="0" w:space="0" w:color="auto"/>
        <w:right w:val="none" w:sz="0" w:space="0" w:color="auto"/>
      </w:divBdr>
      <w:divsChild>
        <w:div w:id="1065108034">
          <w:marLeft w:val="0"/>
          <w:marRight w:val="0"/>
          <w:marTop w:val="0"/>
          <w:marBottom w:val="0"/>
          <w:divBdr>
            <w:top w:val="none" w:sz="0" w:space="0" w:color="auto"/>
            <w:left w:val="none" w:sz="0" w:space="0" w:color="auto"/>
            <w:bottom w:val="none" w:sz="0" w:space="0" w:color="auto"/>
            <w:right w:val="none" w:sz="0" w:space="0" w:color="auto"/>
          </w:divBdr>
        </w:div>
      </w:divsChild>
    </w:div>
    <w:div w:id="123352927">
      <w:bodyDiv w:val="1"/>
      <w:marLeft w:val="0"/>
      <w:marRight w:val="0"/>
      <w:marTop w:val="0"/>
      <w:marBottom w:val="0"/>
      <w:divBdr>
        <w:top w:val="none" w:sz="0" w:space="0" w:color="auto"/>
        <w:left w:val="none" w:sz="0" w:space="0" w:color="auto"/>
        <w:bottom w:val="none" w:sz="0" w:space="0" w:color="auto"/>
        <w:right w:val="none" w:sz="0" w:space="0" w:color="auto"/>
      </w:divBdr>
      <w:divsChild>
        <w:div w:id="224343644">
          <w:marLeft w:val="0"/>
          <w:marRight w:val="0"/>
          <w:marTop w:val="0"/>
          <w:marBottom w:val="0"/>
          <w:divBdr>
            <w:top w:val="none" w:sz="0" w:space="0" w:color="auto"/>
            <w:left w:val="none" w:sz="0" w:space="0" w:color="auto"/>
            <w:bottom w:val="none" w:sz="0" w:space="0" w:color="auto"/>
            <w:right w:val="none" w:sz="0" w:space="0" w:color="auto"/>
          </w:divBdr>
          <w:divsChild>
            <w:div w:id="207986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9102">
      <w:bodyDiv w:val="1"/>
      <w:marLeft w:val="0"/>
      <w:marRight w:val="0"/>
      <w:marTop w:val="0"/>
      <w:marBottom w:val="0"/>
      <w:divBdr>
        <w:top w:val="none" w:sz="0" w:space="0" w:color="auto"/>
        <w:left w:val="none" w:sz="0" w:space="0" w:color="auto"/>
        <w:bottom w:val="none" w:sz="0" w:space="0" w:color="auto"/>
        <w:right w:val="none" w:sz="0" w:space="0" w:color="auto"/>
      </w:divBdr>
      <w:divsChild>
        <w:div w:id="636764985">
          <w:marLeft w:val="0"/>
          <w:marRight w:val="0"/>
          <w:marTop w:val="0"/>
          <w:marBottom w:val="0"/>
          <w:divBdr>
            <w:top w:val="none" w:sz="0" w:space="0" w:color="auto"/>
            <w:left w:val="none" w:sz="0" w:space="0" w:color="auto"/>
            <w:bottom w:val="none" w:sz="0" w:space="0" w:color="auto"/>
            <w:right w:val="none" w:sz="0" w:space="0" w:color="auto"/>
          </w:divBdr>
          <w:divsChild>
            <w:div w:id="212587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8241">
      <w:bodyDiv w:val="1"/>
      <w:marLeft w:val="0"/>
      <w:marRight w:val="0"/>
      <w:marTop w:val="0"/>
      <w:marBottom w:val="0"/>
      <w:divBdr>
        <w:top w:val="none" w:sz="0" w:space="0" w:color="auto"/>
        <w:left w:val="none" w:sz="0" w:space="0" w:color="auto"/>
        <w:bottom w:val="none" w:sz="0" w:space="0" w:color="auto"/>
        <w:right w:val="none" w:sz="0" w:space="0" w:color="auto"/>
      </w:divBdr>
      <w:divsChild>
        <w:div w:id="191504557">
          <w:marLeft w:val="0"/>
          <w:marRight w:val="0"/>
          <w:marTop w:val="0"/>
          <w:marBottom w:val="0"/>
          <w:divBdr>
            <w:top w:val="none" w:sz="0" w:space="0" w:color="auto"/>
            <w:left w:val="none" w:sz="0" w:space="0" w:color="auto"/>
            <w:bottom w:val="none" w:sz="0" w:space="0" w:color="auto"/>
            <w:right w:val="none" w:sz="0" w:space="0" w:color="auto"/>
          </w:divBdr>
          <w:divsChild>
            <w:div w:id="12880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09965">
      <w:bodyDiv w:val="1"/>
      <w:marLeft w:val="0"/>
      <w:marRight w:val="0"/>
      <w:marTop w:val="0"/>
      <w:marBottom w:val="0"/>
      <w:divBdr>
        <w:top w:val="none" w:sz="0" w:space="0" w:color="auto"/>
        <w:left w:val="none" w:sz="0" w:space="0" w:color="auto"/>
        <w:bottom w:val="none" w:sz="0" w:space="0" w:color="auto"/>
        <w:right w:val="none" w:sz="0" w:space="0" w:color="auto"/>
      </w:divBdr>
    </w:div>
    <w:div w:id="1596862696">
      <w:bodyDiv w:val="1"/>
      <w:marLeft w:val="0"/>
      <w:marRight w:val="0"/>
      <w:marTop w:val="0"/>
      <w:marBottom w:val="0"/>
      <w:divBdr>
        <w:top w:val="none" w:sz="0" w:space="0" w:color="auto"/>
        <w:left w:val="none" w:sz="0" w:space="0" w:color="auto"/>
        <w:bottom w:val="none" w:sz="0" w:space="0" w:color="auto"/>
        <w:right w:val="none" w:sz="0" w:space="0" w:color="auto"/>
      </w:divBdr>
    </w:div>
    <w:div w:id="1607688222">
      <w:bodyDiv w:val="1"/>
      <w:marLeft w:val="0"/>
      <w:marRight w:val="0"/>
      <w:marTop w:val="0"/>
      <w:marBottom w:val="0"/>
      <w:divBdr>
        <w:top w:val="none" w:sz="0" w:space="0" w:color="auto"/>
        <w:left w:val="none" w:sz="0" w:space="0" w:color="auto"/>
        <w:bottom w:val="none" w:sz="0" w:space="0" w:color="auto"/>
        <w:right w:val="none" w:sz="0" w:space="0" w:color="auto"/>
      </w:divBdr>
    </w:div>
    <w:div w:id="17762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1424</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Bourne</dc:creator>
  <cp:keywords/>
  <dc:description/>
  <cp:lastModifiedBy>Francisco Enriquez Mier y Teran</cp:lastModifiedBy>
  <cp:revision>45</cp:revision>
  <dcterms:created xsi:type="dcterms:W3CDTF">2023-05-23T11:08:00Z</dcterms:created>
  <dcterms:modified xsi:type="dcterms:W3CDTF">2023-08-10T00:21:00Z</dcterms:modified>
</cp:coreProperties>
</file>