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9190A" w14:textId="77777777" w:rsidR="007022C5" w:rsidRDefault="007022C5">
      <w:pPr>
        <w:spacing w:line="240" w:lineRule="auto"/>
        <w:jc w:val="both"/>
        <w:rPr>
          <w:color w:val="1E497D"/>
          <w:sz w:val="22"/>
          <w:szCs w:val="22"/>
          <w:highlight w:val="white"/>
        </w:rPr>
      </w:pPr>
    </w:p>
    <w:p w14:paraId="33232BE8" w14:textId="65A9340C" w:rsidR="007022C5" w:rsidRPr="00BE74C7" w:rsidRDefault="00D473B2" w:rsidP="00BE74C7">
      <w:pPr>
        <w:rPr>
          <w:b/>
          <w:sz w:val="22"/>
          <w:szCs w:val="22"/>
        </w:rPr>
      </w:pPr>
      <w:bookmarkStart w:id="0" w:name="_26in1rg" w:colFirst="0" w:colLast="0"/>
      <w:bookmarkStart w:id="1" w:name="_lnxbz9" w:colFirst="0" w:colLast="0"/>
      <w:bookmarkEnd w:id="0"/>
      <w:bookmarkEnd w:id="1"/>
      <w:r>
        <w:rPr>
          <w:b/>
          <w:i/>
          <w:sz w:val="22"/>
          <w:szCs w:val="22"/>
        </w:rPr>
        <w:t xml:space="preserve">S1 Data. </w:t>
      </w:r>
      <w:r w:rsidR="00633CE0">
        <w:rPr>
          <w:b/>
          <w:i/>
          <w:sz w:val="22"/>
          <w:szCs w:val="22"/>
        </w:rPr>
        <w:t>Supplementary Materials</w:t>
      </w:r>
      <w:r>
        <w:rPr>
          <w:b/>
          <w:i/>
          <w:sz w:val="22"/>
          <w:szCs w:val="22"/>
        </w:rPr>
        <w:t>.</w:t>
      </w:r>
      <w:bookmarkStart w:id="2" w:name="_GoBack"/>
      <w:bookmarkEnd w:id="2"/>
    </w:p>
    <w:p w14:paraId="3E70B524" w14:textId="77777777" w:rsidR="00633CE0" w:rsidRDefault="00633CE0">
      <w:pPr>
        <w:pStyle w:val="Heading2"/>
        <w:jc w:val="both"/>
        <w:rPr>
          <w:b/>
          <w:sz w:val="22"/>
          <w:szCs w:val="22"/>
        </w:rPr>
      </w:pPr>
      <w:bookmarkStart w:id="3" w:name="_3fwokq0" w:colFirst="0" w:colLast="0"/>
      <w:bookmarkEnd w:id="3"/>
    </w:p>
    <w:p w14:paraId="3BA428AC" w14:textId="798D57DD" w:rsidR="007022C5" w:rsidRDefault="00AA4D5C">
      <w:pPr>
        <w:pStyle w:val="Heading2"/>
        <w:jc w:val="both"/>
        <w:rPr>
          <w:b/>
          <w:sz w:val="22"/>
          <w:szCs w:val="22"/>
        </w:rPr>
      </w:pPr>
      <w:r>
        <w:rPr>
          <w:b/>
          <w:sz w:val="22"/>
          <w:szCs w:val="22"/>
        </w:rPr>
        <w:t xml:space="preserve">SUPPLEMENTARY </w:t>
      </w:r>
      <w:r w:rsidR="00E16238">
        <w:rPr>
          <w:b/>
          <w:sz w:val="22"/>
          <w:szCs w:val="22"/>
        </w:rPr>
        <w:t>NOTES</w:t>
      </w:r>
    </w:p>
    <w:p w14:paraId="23B921A8" w14:textId="77777777" w:rsidR="007022C5" w:rsidRDefault="00AA4D5C">
      <w:pPr>
        <w:jc w:val="both"/>
        <w:rPr>
          <w:b/>
          <w:sz w:val="22"/>
          <w:szCs w:val="22"/>
        </w:rPr>
      </w:pPr>
      <w:r>
        <w:rPr>
          <w:b/>
          <w:sz w:val="22"/>
          <w:szCs w:val="22"/>
        </w:rPr>
        <w:t>1.1. Supplementary Results.</w:t>
      </w:r>
    </w:p>
    <w:p w14:paraId="104CF556" w14:textId="59A4AA98" w:rsidR="007022C5" w:rsidRDefault="00AA4D5C">
      <w:pPr>
        <w:jc w:val="both"/>
        <w:rPr>
          <w:sz w:val="22"/>
          <w:szCs w:val="22"/>
        </w:rPr>
      </w:pPr>
      <w:r>
        <w:rPr>
          <w:sz w:val="22"/>
          <w:szCs w:val="22"/>
        </w:rPr>
        <w:t xml:space="preserve">In addition to these 14 significant loci, there was suggestive evidence of a 15th signal, rs151212108, near </w:t>
      </w:r>
      <w:r>
        <w:rPr>
          <w:i/>
          <w:sz w:val="22"/>
          <w:szCs w:val="22"/>
        </w:rPr>
        <w:t>ARSD</w:t>
      </w:r>
      <w:r>
        <w:rPr>
          <w:sz w:val="22"/>
          <w:szCs w:val="22"/>
        </w:rPr>
        <w:t xml:space="preserve"> on the X chromosome. This SNP shows a relatively large effect size (OR:1.72, CI:1.43-2.07, P=8.35x10</w:t>
      </w:r>
      <w:r>
        <w:rPr>
          <w:sz w:val="22"/>
          <w:szCs w:val="22"/>
          <w:vertAlign w:val="superscript"/>
        </w:rPr>
        <w:t>-9</w:t>
      </w:r>
      <w:r>
        <w:rPr>
          <w:sz w:val="22"/>
          <w:szCs w:val="22"/>
        </w:rPr>
        <w:t xml:space="preserve">). However, the SNP had low sample number (overall minor allele frequency=0.0765) with </w:t>
      </w:r>
      <w:r w:rsidR="00F70177">
        <w:rPr>
          <w:sz w:val="22"/>
          <w:szCs w:val="22"/>
        </w:rPr>
        <w:t>poor</w:t>
      </w:r>
      <w:r>
        <w:rPr>
          <w:sz w:val="22"/>
          <w:szCs w:val="22"/>
        </w:rPr>
        <w:t xml:space="preserve"> imputation quality and it was present in only three studies; Oxford, </w:t>
      </w:r>
      <w:proofErr w:type="spellStart"/>
      <w:r>
        <w:rPr>
          <w:sz w:val="22"/>
          <w:szCs w:val="22"/>
        </w:rPr>
        <w:t>deCODE</w:t>
      </w:r>
      <w:proofErr w:type="spellEnd"/>
      <w:r>
        <w:rPr>
          <w:sz w:val="22"/>
          <w:szCs w:val="22"/>
        </w:rPr>
        <w:t xml:space="preserve">, and Chicago. Further, the signal showed nominally significant heterogeneity (P =0.028) in the direction of effect estimates between Oxford, where the effect allele had a protective effect, and </w:t>
      </w:r>
      <w:proofErr w:type="spellStart"/>
      <w:r>
        <w:rPr>
          <w:sz w:val="22"/>
          <w:szCs w:val="22"/>
        </w:rPr>
        <w:t>deCODE</w:t>
      </w:r>
      <w:proofErr w:type="spellEnd"/>
      <w:r>
        <w:rPr>
          <w:sz w:val="22"/>
          <w:szCs w:val="22"/>
        </w:rPr>
        <w:t xml:space="preserve"> and Chicago, where the effect allele increased risk of PCOS. Thus, this signal was less robust than our other signals and will require further confirmation. Accordingly, we have not included this locus in downstream analyses. A detailed review of genes within reported loci is included in the Supplementary </w:t>
      </w:r>
      <w:r w:rsidR="00F70177">
        <w:rPr>
          <w:sz w:val="22"/>
          <w:szCs w:val="22"/>
        </w:rPr>
        <w:t>Notes</w:t>
      </w:r>
      <w:r>
        <w:rPr>
          <w:sz w:val="22"/>
          <w:szCs w:val="22"/>
        </w:rPr>
        <w:t xml:space="preserve"> (Section 1.2).</w:t>
      </w:r>
    </w:p>
    <w:p w14:paraId="736CACC5" w14:textId="77777777" w:rsidR="007022C5" w:rsidRDefault="007022C5">
      <w:pPr>
        <w:jc w:val="both"/>
        <w:rPr>
          <w:b/>
          <w:sz w:val="22"/>
          <w:szCs w:val="22"/>
        </w:rPr>
      </w:pPr>
    </w:p>
    <w:p w14:paraId="2B2CFB2D" w14:textId="77777777" w:rsidR="007022C5" w:rsidRDefault="00AA4D5C">
      <w:pPr>
        <w:jc w:val="both"/>
        <w:rPr>
          <w:sz w:val="22"/>
          <w:szCs w:val="22"/>
        </w:rPr>
      </w:pPr>
      <w:r>
        <w:rPr>
          <w:b/>
          <w:sz w:val="22"/>
          <w:szCs w:val="22"/>
        </w:rPr>
        <w:t xml:space="preserve">1.2 Literature Lookup of genes at PCOS risk loci. </w:t>
      </w:r>
      <w:r>
        <w:rPr>
          <w:sz w:val="22"/>
          <w:szCs w:val="22"/>
        </w:rPr>
        <w:t>Summary of published literature on gene function of PCOS susceptibility loci.</w:t>
      </w:r>
    </w:p>
    <w:p w14:paraId="77ACBFB1" w14:textId="77777777" w:rsidR="007022C5" w:rsidRDefault="007022C5">
      <w:pPr>
        <w:jc w:val="both"/>
        <w:rPr>
          <w:sz w:val="22"/>
          <w:szCs w:val="22"/>
        </w:rPr>
      </w:pPr>
    </w:p>
    <w:p w14:paraId="3942DB0B" w14:textId="58BA586F" w:rsidR="007022C5" w:rsidRDefault="00AA4D5C">
      <w:pPr>
        <w:jc w:val="both"/>
        <w:rPr>
          <w:sz w:val="22"/>
          <w:szCs w:val="22"/>
        </w:rPr>
      </w:pPr>
      <w:r>
        <w:rPr>
          <w:b/>
          <w:sz w:val="22"/>
          <w:szCs w:val="22"/>
        </w:rPr>
        <w:t>1.</w:t>
      </w:r>
      <w:r>
        <w:rPr>
          <w:sz w:val="22"/>
          <w:szCs w:val="22"/>
        </w:rPr>
        <w:t xml:space="preserve"> </w:t>
      </w:r>
      <w:r>
        <w:rPr>
          <w:b/>
          <w:sz w:val="22"/>
          <w:szCs w:val="22"/>
        </w:rPr>
        <w:t>THADA (Thyroid Adenoma Associated)</w:t>
      </w:r>
      <w:r w:rsidR="008068DC">
        <w:rPr>
          <w:b/>
          <w:sz w:val="22"/>
          <w:szCs w:val="22"/>
        </w:rPr>
        <w:t>:</w:t>
      </w:r>
      <w:r>
        <w:rPr>
          <w:b/>
          <w:sz w:val="22"/>
          <w:szCs w:val="22"/>
        </w:rPr>
        <w:t xml:space="preserve"> Located at 2p21 (</w:t>
      </w:r>
      <w:proofErr w:type="spellStart"/>
      <w:r>
        <w:rPr>
          <w:b/>
          <w:sz w:val="22"/>
          <w:szCs w:val="22"/>
        </w:rPr>
        <w:t>Chr</w:t>
      </w:r>
      <w:proofErr w:type="spellEnd"/>
      <w:r>
        <w:rPr>
          <w:b/>
          <w:sz w:val="22"/>
          <w:szCs w:val="22"/>
        </w:rPr>
        <w:t xml:space="preserve"> 2: 43561780-43561780).</w:t>
      </w:r>
      <w:r>
        <w:rPr>
          <w:sz w:val="22"/>
          <w:szCs w:val="22"/>
        </w:rPr>
        <w:t xml:space="preserve"> Encodes a transcript of largely unknown function. THADA encodes thyroid adenoma-associated protein, which is expressed in pancreas, adrenal medulla, thyroid, adrenal cortex, testis, thymus, </w:t>
      </w:r>
      <w:r>
        <w:rPr>
          <w:sz w:val="22"/>
          <w:szCs w:val="22"/>
        </w:rPr>
        <w:lastRenderedPageBreak/>
        <w:t>small intestine, and stomach</w:t>
      </w:r>
      <w:r w:rsidR="00D65E6C">
        <w:rPr>
          <w:sz w:val="22"/>
          <w:szCs w:val="22"/>
        </w:rPr>
        <w:t>.</w:t>
      </w:r>
      <w:r>
        <w:rPr>
          <w:sz w:val="22"/>
          <w:szCs w:val="22"/>
          <w:vertAlign w:val="superscript"/>
        </w:rPr>
        <w:t>71</w:t>
      </w:r>
      <w:r>
        <w:rPr>
          <w:sz w:val="22"/>
          <w:szCs w:val="22"/>
        </w:rPr>
        <w:t xml:space="preserve"> This gene has been identified in GWAS for gestational weight gain, inflammatory bowel disease and PCOS and more specifically with the phenotype trait PCOM</w:t>
      </w:r>
      <w:r w:rsidR="004256E4">
        <w:rPr>
          <w:sz w:val="22"/>
          <w:szCs w:val="22"/>
        </w:rPr>
        <w:t>.</w:t>
      </w:r>
      <w:r w:rsidR="00EA628D" w:rsidRPr="00EA628D">
        <w:rPr>
          <w:sz w:val="22"/>
          <w:szCs w:val="22"/>
          <w:vertAlign w:val="superscript"/>
        </w:rPr>
        <w:t>14,</w:t>
      </w:r>
      <w:r w:rsidR="004256E4" w:rsidRPr="004256E4">
        <w:rPr>
          <w:sz w:val="22"/>
          <w:szCs w:val="22"/>
          <w:vertAlign w:val="superscript"/>
        </w:rPr>
        <w:t>71</w:t>
      </w:r>
      <w:r w:rsidR="004256E4">
        <w:rPr>
          <w:sz w:val="22"/>
          <w:szCs w:val="22"/>
          <w:vertAlign w:val="superscript"/>
        </w:rPr>
        <w:t>-</w:t>
      </w:r>
      <w:r>
        <w:rPr>
          <w:sz w:val="22"/>
          <w:szCs w:val="22"/>
          <w:vertAlign w:val="superscript"/>
        </w:rPr>
        <w:t>74</w:t>
      </w:r>
      <w:r>
        <w:rPr>
          <w:sz w:val="22"/>
          <w:szCs w:val="22"/>
        </w:rPr>
        <w:t xml:space="preserve"> THADA has been associated with endocrine and metabolic disturbances commonly found in PCOS, such as increased LH, testosterone and LDL levels and T2D</w:t>
      </w:r>
      <w:r w:rsidR="004256E4">
        <w:rPr>
          <w:sz w:val="22"/>
          <w:szCs w:val="22"/>
        </w:rPr>
        <w:t>.</w:t>
      </w:r>
      <w:r>
        <w:rPr>
          <w:sz w:val="22"/>
          <w:szCs w:val="22"/>
          <w:vertAlign w:val="superscript"/>
        </w:rPr>
        <w:t>75</w:t>
      </w:r>
      <w:r>
        <w:rPr>
          <w:sz w:val="22"/>
          <w:szCs w:val="22"/>
        </w:rPr>
        <w:t xml:space="preserve"> Proposed to modify PCOS risk through metabolic mechanisms</w:t>
      </w:r>
      <w:r w:rsidR="004256E4">
        <w:rPr>
          <w:sz w:val="22"/>
          <w:szCs w:val="22"/>
        </w:rPr>
        <w:t>.</w:t>
      </w:r>
      <w:r>
        <w:rPr>
          <w:sz w:val="22"/>
          <w:szCs w:val="22"/>
          <w:vertAlign w:val="superscript"/>
        </w:rPr>
        <w:t>76</w:t>
      </w:r>
    </w:p>
    <w:p w14:paraId="54DA04A5" w14:textId="77777777" w:rsidR="007022C5" w:rsidRDefault="007022C5">
      <w:pPr>
        <w:jc w:val="both"/>
        <w:rPr>
          <w:sz w:val="22"/>
          <w:szCs w:val="22"/>
        </w:rPr>
      </w:pPr>
    </w:p>
    <w:p w14:paraId="4AF10B01" w14:textId="3E6093ED" w:rsidR="007022C5" w:rsidRDefault="00AA4D5C">
      <w:pPr>
        <w:jc w:val="both"/>
        <w:rPr>
          <w:sz w:val="22"/>
          <w:szCs w:val="22"/>
        </w:rPr>
      </w:pPr>
      <w:r>
        <w:rPr>
          <w:sz w:val="22"/>
          <w:szCs w:val="22"/>
        </w:rPr>
        <w:t xml:space="preserve"> </w:t>
      </w:r>
      <w:r>
        <w:rPr>
          <w:b/>
          <w:sz w:val="22"/>
          <w:szCs w:val="22"/>
        </w:rPr>
        <w:t>2.</w:t>
      </w:r>
      <w:r>
        <w:rPr>
          <w:b/>
          <w:sz w:val="22"/>
          <w:szCs w:val="22"/>
        </w:rPr>
        <w:tab/>
        <w:t>ERBB4 (erb-b2 receptor tyrosine kinase 4; also known as HER4)</w:t>
      </w:r>
      <w:r w:rsidR="008068DC">
        <w:rPr>
          <w:b/>
          <w:sz w:val="22"/>
          <w:szCs w:val="22"/>
        </w:rPr>
        <w:t>:</w:t>
      </w:r>
      <w:r>
        <w:rPr>
          <w:b/>
          <w:sz w:val="22"/>
          <w:szCs w:val="22"/>
        </w:rPr>
        <w:t xml:space="preserve"> Located at 2q33.3-q34.</w:t>
      </w:r>
      <w:r>
        <w:rPr>
          <w:sz w:val="22"/>
          <w:szCs w:val="22"/>
        </w:rPr>
        <w:t xml:space="preserve"> Fourth member of the EGFR (epidermal growth factor </w:t>
      </w:r>
      <w:r>
        <w:rPr>
          <w:i/>
          <w:sz w:val="22"/>
          <w:szCs w:val="22"/>
        </w:rPr>
        <w:t>receptor</w:t>
      </w:r>
      <w:r>
        <w:rPr>
          <w:sz w:val="22"/>
          <w:szCs w:val="22"/>
        </w:rPr>
        <w:t xml:space="preserve">) family and the Tyr protein kinase family (USCS, </w:t>
      </w:r>
      <w:proofErr w:type="spellStart"/>
      <w:r>
        <w:rPr>
          <w:sz w:val="22"/>
          <w:szCs w:val="22"/>
        </w:rPr>
        <w:t>GeneNetwork</w:t>
      </w:r>
      <w:proofErr w:type="spellEnd"/>
      <w:r>
        <w:rPr>
          <w:sz w:val="22"/>
          <w:szCs w:val="22"/>
        </w:rPr>
        <w:t xml:space="preserve">, </w:t>
      </w:r>
      <w:proofErr w:type="spellStart"/>
      <w:r>
        <w:rPr>
          <w:sz w:val="22"/>
          <w:szCs w:val="22"/>
        </w:rPr>
        <w:t>RefSeq</w:t>
      </w:r>
      <w:proofErr w:type="spellEnd"/>
      <w:r>
        <w:rPr>
          <w:sz w:val="22"/>
          <w:szCs w:val="22"/>
        </w:rPr>
        <w:t xml:space="preserve">). Participates in the YAP/Hippo pathway, which regulates cell proliferation, differentiation and apoptosis and has been associated with the size of the primordial follicle pool in mice, female reproductive capacity in Drosophila, and it is hypothesized that disruption of Hippo </w:t>
      </w:r>
      <w:proofErr w:type="spellStart"/>
      <w:r>
        <w:rPr>
          <w:sz w:val="22"/>
          <w:szCs w:val="22"/>
        </w:rPr>
        <w:t>signaling</w:t>
      </w:r>
      <w:proofErr w:type="spellEnd"/>
      <w:r>
        <w:rPr>
          <w:sz w:val="22"/>
          <w:szCs w:val="22"/>
        </w:rPr>
        <w:t xml:space="preserve"> can promote follicle growth</w:t>
      </w:r>
      <w:r w:rsidR="00345CE5">
        <w:rPr>
          <w:sz w:val="22"/>
          <w:szCs w:val="22"/>
        </w:rPr>
        <w:t>.</w:t>
      </w:r>
      <w:r>
        <w:rPr>
          <w:sz w:val="22"/>
          <w:szCs w:val="22"/>
          <w:vertAlign w:val="superscript"/>
        </w:rPr>
        <w:t>77-81</w:t>
      </w:r>
      <w:r>
        <w:rPr>
          <w:sz w:val="22"/>
          <w:szCs w:val="22"/>
        </w:rPr>
        <w:t xml:space="preserve"> Tyrosine-protein kinase plays an essential role as cell surface receptor for </w:t>
      </w:r>
      <w:proofErr w:type="spellStart"/>
      <w:r>
        <w:rPr>
          <w:sz w:val="22"/>
          <w:szCs w:val="22"/>
        </w:rPr>
        <w:t>neuregulins</w:t>
      </w:r>
      <w:proofErr w:type="spellEnd"/>
      <w:r>
        <w:rPr>
          <w:sz w:val="22"/>
          <w:szCs w:val="22"/>
        </w:rPr>
        <w:t xml:space="preserve"> and EGF family members and regulates development of the heart, the central nervous system and the mammary gland</w:t>
      </w:r>
      <w:r w:rsidR="002A51FD">
        <w:rPr>
          <w:sz w:val="22"/>
          <w:szCs w:val="22"/>
        </w:rPr>
        <w:t>.</w:t>
      </w:r>
      <w:r>
        <w:rPr>
          <w:sz w:val="22"/>
          <w:szCs w:val="22"/>
          <w:vertAlign w:val="superscript"/>
        </w:rPr>
        <w:t>82</w:t>
      </w:r>
      <w:r>
        <w:rPr>
          <w:sz w:val="22"/>
          <w:szCs w:val="22"/>
        </w:rPr>
        <w:t xml:space="preserve"> HER4 is characterized by anti-proliferative and pro-apoptotic activity, is co-expressed in 90% of ER positive breast </w:t>
      </w:r>
      <w:proofErr w:type="spellStart"/>
      <w:r>
        <w:rPr>
          <w:sz w:val="22"/>
          <w:szCs w:val="22"/>
        </w:rPr>
        <w:t>tumors</w:t>
      </w:r>
      <w:proofErr w:type="spellEnd"/>
      <w:r>
        <w:rPr>
          <w:sz w:val="22"/>
          <w:szCs w:val="22"/>
        </w:rPr>
        <w:t>. Proposed to modify PCOS risk through metabolic mechanisms</w:t>
      </w:r>
      <w:r w:rsidR="002A51FD">
        <w:rPr>
          <w:sz w:val="22"/>
          <w:szCs w:val="22"/>
        </w:rPr>
        <w:t>.</w:t>
      </w:r>
      <w:r>
        <w:rPr>
          <w:sz w:val="22"/>
          <w:szCs w:val="22"/>
          <w:vertAlign w:val="superscript"/>
        </w:rPr>
        <w:t>76</w:t>
      </w:r>
      <w:r>
        <w:rPr>
          <w:sz w:val="22"/>
          <w:szCs w:val="22"/>
        </w:rPr>
        <w:t xml:space="preserve"> Suggested to have a pathogenic role in cystogenesis in polycystic kidney disease</w:t>
      </w:r>
      <w:r w:rsidR="002A51FD">
        <w:rPr>
          <w:sz w:val="22"/>
          <w:szCs w:val="22"/>
        </w:rPr>
        <w:t>.</w:t>
      </w:r>
      <w:r>
        <w:rPr>
          <w:sz w:val="22"/>
          <w:szCs w:val="22"/>
          <w:vertAlign w:val="superscript"/>
        </w:rPr>
        <w:t>83</w:t>
      </w:r>
    </w:p>
    <w:p w14:paraId="1C3FEFC5" w14:textId="77777777" w:rsidR="007022C5" w:rsidRDefault="00AA4D5C">
      <w:pPr>
        <w:ind w:hanging="420"/>
        <w:jc w:val="both"/>
        <w:rPr>
          <w:sz w:val="22"/>
          <w:szCs w:val="22"/>
        </w:rPr>
      </w:pPr>
      <w:r>
        <w:rPr>
          <w:sz w:val="22"/>
          <w:szCs w:val="22"/>
        </w:rPr>
        <w:t xml:space="preserve"> </w:t>
      </w:r>
    </w:p>
    <w:p w14:paraId="5BDE1A34" w14:textId="1AAC16BA" w:rsidR="007022C5" w:rsidRDefault="00AA4D5C">
      <w:pPr>
        <w:jc w:val="both"/>
        <w:rPr>
          <w:i/>
          <w:sz w:val="22"/>
          <w:szCs w:val="22"/>
        </w:rPr>
      </w:pPr>
      <w:r>
        <w:rPr>
          <w:b/>
          <w:sz w:val="22"/>
          <w:szCs w:val="22"/>
        </w:rPr>
        <w:t>3.</w:t>
      </w:r>
      <w:r>
        <w:rPr>
          <w:sz w:val="22"/>
          <w:szCs w:val="22"/>
        </w:rPr>
        <w:t xml:space="preserve"> </w:t>
      </w:r>
      <w:r>
        <w:rPr>
          <w:b/>
          <w:sz w:val="22"/>
          <w:szCs w:val="22"/>
        </w:rPr>
        <w:t>IRF1 (interferon regulatory factor 1): Located at 5q31.1 (Chr5: 131813204-131813204)</w:t>
      </w:r>
      <w:r w:rsidR="008068DC">
        <w:rPr>
          <w:b/>
          <w:sz w:val="22"/>
          <w:szCs w:val="22"/>
        </w:rPr>
        <w:t>.</w:t>
      </w:r>
      <w:r>
        <w:rPr>
          <w:b/>
          <w:sz w:val="22"/>
          <w:szCs w:val="22"/>
        </w:rPr>
        <w:t xml:space="preserve"> </w:t>
      </w:r>
      <w:r>
        <w:rPr>
          <w:sz w:val="22"/>
          <w:szCs w:val="22"/>
        </w:rPr>
        <w:t xml:space="preserve">Belongs to the interferon regulatory transcription factor (IRF) family. Activates the transcription of interferons alpha and beta, and genes induced by interferons alpha, beta and gamma (USCS, </w:t>
      </w:r>
      <w:proofErr w:type="spellStart"/>
      <w:r>
        <w:rPr>
          <w:sz w:val="22"/>
          <w:szCs w:val="22"/>
        </w:rPr>
        <w:t>GeneNetwork</w:t>
      </w:r>
      <w:proofErr w:type="spellEnd"/>
      <w:r>
        <w:rPr>
          <w:sz w:val="22"/>
          <w:szCs w:val="22"/>
        </w:rPr>
        <w:t xml:space="preserve">, NCBI gene database). IRF1 displays a functional diversity in the regulation of cellular responses including host response to viral and bacterial infections, inflammation, and cell proliferation and differentiation, regulation of the cell cycle and induction of growth arrest and </w:t>
      </w:r>
      <w:r>
        <w:rPr>
          <w:sz w:val="22"/>
          <w:szCs w:val="22"/>
        </w:rPr>
        <w:lastRenderedPageBreak/>
        <w:t>programmed cell death following DNA damage (</w:t>
      </w:r>
      <w:proofErr w:type="spellStart"/>
      <w:r>
        <w:rPr>
          <w:sz w:val="22"/>
          <w:szCs w:val="22"/>
        </w:rPr>
        <w:t>UniProtKB</w:t>
      </w:r>
      <w:proofErr w:type="spellEnd"/>
      <w:r>
        <w:rPr>
          <w:sz w:val="22"/>
          <w:szCs w:val="22"/>
        </w:rPr>
        <w:t xml:space="preserve">). Acts as a </w:t>
      </w:r>
      <w:proofErr w:type="spellStart"/>
      <w:r>
        <w:rPr>
          <w:sz w:val="22"/>
          <w:szCs w:val="22"/>
        </w:rPr>
        <w:t>tumor</w:t>
      </w:r>
      <w:proofErr w:type="spellEnd"/>
      <w:r>
        <w:rPr>
          <w:sz w:val="22"/>
          <w:szCs w:val="22"/>
        </w:rPr>
        <w:t xml:space="preserve"> suppressor and plays a role not only in antagonism of </w:t>
      </w:r>
      <w:proofErr w:type="spellStart"/>
      <w:r>
        <w:rPr>
          <w:sz w:val="22"/>
          <w:szCs w:val="22"/>
        </w:rPr>
        <w:t>tumor</w:t>
      </w:r>
      <w:proofErr w:type="spellEnd"/>
      <w:r>
        <w:rPr>
          <w:sz w:val="22"/>
          <w:szCs w:val="22"/>
        </w:rPr>
        <w:t xml:space="preserve"> cell growth but also in stimulating an immune response against </w:t>
      </w:r>
      <w:proofErr w:type="spellStart"/>
      <w:r>
        <w:rPr>
          <w:sz w:val="22"/>
          <w:szCs w:val="22"/>
        </w:rPr>
        <w:t>tumor</w:t>
      </w:r>
      <w:proofErr w:type="spellEnd"/>
      <w:r>
        <w:rPr>
          <w:sz w:val="22"/>
          <w:szCs w:val="22"/>
        </w:rPr>
        <w:t xml:space="preserve"> cells</w:t>
      </w:r>
      <w:r w:rsidR="002A51FD">
        <w:rPr>
          <w:sz w:val="22"/>
          <w:szCs w:val="22"/>
        </w:rPr>
        <w:t>.</w:t>
      </w:r>
      <w:r>
        <w:rPr>
          <w:sz w:val="22"/>
          <w:szCs w:val="22"/>
          <w:vertAlign w:val="superscript"/>
        </w:rPr>
        <w:t>84</w:t>
      </w:r>
      <w:r>
        <w:rPr>
          <w:sz w:val="22"/>
          <w:szCs w:val="22"/>
        </w:rPr>
        <w:t xml:space="preserve"> It has been shown in fathead minnow that IRF1 may function as early molecular switch to control phenotypic changes in ovary tissue architecture and function in response to androgen or antiandrogen exposure</w:t>
      </w:r>
      <w:r w:rsidR="00891006">
        <w:rPr>
          <w:sz w:val="22"/>
          <w:szCs w:val="22"/>
        </w:rPr>
        <w:t>.</w:t>
      </w:r>
      <w:r>
        <w:rPr>
          <w:sz w:val="22"/>
          <w:szCs w:val="22"/>
          <w:vertAlign w:val="superscript"/>
        </w:rPr>
        <w:t>85</w:t>
      </w:r>
    </w:p>
    <w:p w14:paraId="72A01B39" w14:textId="77777777" w:rsidR="007022C5" w:rsidRDefault="00AA4D5C">
      <w:pPr>
        <w:ind w:hanging="420"/>
        <w:jc w:val="both"/>
        <w:rPr>
          <w:sz w:val="22"/>
          <w:szCs w:val="22"/>
        </w:rPr>
      </w:pPr>
      <w:r>
        <w:rPr>
          <w:sz w:val="22"/>
          <w:szCs w:val="22"/>
        </w:rPr>
        <w:t xml:space="preserve"> </w:t>
      </w:r>
    </w:p>
    <w:p w14:paraId="03414DDA" w14:textId="665064D6" w:rsidR="007022C5" w:rsidRDefault="00AA4D5C">
      <w:pPr>
        <w:jc w:val="both"/>
        <w:rPr>
          <w:sz w:val="22"/>
          <w:szCs w:val="22"/>
        </w:rPr>
      </w:pPr>
      <w:r>
        <w:rPr>
          <w:sz w:val="22"/>
          <w:szCs w:val="22"/>
        </w:rPr>
        <w:t xml:space="preserve"> </w:t>
      </w:r>
      <w:r>
        <w:rPr>
          <w:b/>
          <w:sz w:val="22"/>
          <w:szCs w:val="22"/>
        </w:rPr>
        <w:t>4.  RAD50 (RAD50 homolog): Located at 5q31 (Chr5: 131892616-131980313)</w:t>
      </w:r>
      <w:r w:rsidR="008068DC">
        <w:rPr>
          <w:b/>
          <w:sz w:val="22"/>
          <w:szCs w:val="22"/>
        </w:rPr>
        <w:t>.</w:t>
      </w:r>
      <w:r>
        <w:rPr>
          <w:b/>
          <w:sz w:val="22"/>
          <w:szCs w:val="22"/>
        </w:rPr>
        <w:t xml:space="preserve"> </w:t>
      </w:r>
      <w:r>
        <w:rPr>
          <w:sz w:val="22"/>
          <w:szCs w:val="22"/>
        </w:rPr>
        <w:t>Rad50, a protein involved in DNA double-strand break repair</w:t>
      </w:r>
      <w:r w:rsidR="00891006">
        <w:rPr>
          <w:sz w:val="22"/>
          <w:szCs w:val="22"/>
        </w:rPr>
        <w:t>.</w:t>
      </w:r>
      <w:r>
        <w:rPr>
          <w:sz w:val="22"/>
          <w:szCs w:val="22"/>
          <w:vertAlign w:val="superscript"/>
        </w:rPr>
        <w:t>82</w:t>
      </w:r>
      <w:r>
        <w:rPr>
          <w:sz w:val="22"/>
          <w:szCs w:val="22"/>
        </w:rPr>
        <w:t xml:space="preserve"> This protein forms a complex with MRE11 and NBS1. The protein complex binds to DNA and displays numerous enzymatic activities that are required for non-homologous joining of DNA ends, and is important for DNA double-strand break repair</w:t>
      </w:r>
      <w:r w:rsidR="00891006">
        <w:rPr>
          <w:sz w:val="22"/>
          <w:szCs w:val="22"/>
        </w:rPr>
        <w:t>,</w:t>
      </w:r>
      <w:r>
        <w:rPr>
          <w:sz w:val="22"/>
          <w:szCs w:val="22"/>
          <w:vertAlign w:val="superscript"/>
        </w:rPr>
        <w:t>86</w:t>
      </w:r>
      <w:r>
        <w:rPr>
          <w:sz w:val="22"/>
          <w:szCs w:val="22"/>
        </w:rPr>
        <w:t xml:space="preserve"> telomere maintenance, and meiotic recombination</w:t>
      </w:r>
      <w:r w:rsidR="00891006">
        <w:rPr>
          <w:sz w:val="22"/>
          <w:szCs w:val="22"/>
        </w:rPr>
        <w:t>.</w:t>
      </w:r>
      <w:r>
        <w:rPr>
          <w:sz w:val="22"/>
          <w:szCs w:val="22"/>
          <w:vertAlign w:val="superscript"/>
        </w:rPr>
        <w:t>87</w:t>
      </w:r>
      <w:r>
        <w:rPr>
          <w:sz w:val="22"/>
          <w:szCs w:val="22"/>
        </w:rPr>
        <w:t xml:space="preserve"> Knockout studies of the mouse homolog suggest this gene is essential for cell growth and viability</w:t>
      </w:r>
      <w:r w:rsidR="00891006">
        <w:rPr>
          <w:sz w:val="22"/>
          <w:szCs w:val="22"/>
        </w:rPr>
        <w:t>.</w:t>
      </w:r>
      <w:r>
        <w:rPr>
          <w:sz w:val="22"/>
          <w:szCs w:val="22"/>
          <w:vertAlign w:val="superscript"/>
        </w:rPr>
        <w:t>88</w:t>
      </w:r>
    </w:p>
    <w:p w14:paraId="7B544649" w14:textId="77777777" w:rsidR="007022C5" w:rsidRDefault="007022C5">
      <w:pPr>
        <w:jc w:val="both"/>
        <w:rPr>
          <w:sz w:val="22"/>
          <w:szCs w:val="22"/>
        </w:rPr>
      </w:pPr>
    </w:p>
    <w:p w14:paraId="6B195129" w14:textId="06D0161F" w:rsidR="007022C5" w:rsidRDefault="00AA4D5C">
      <w:pPr>
        <w:jc w:val="both"/>
        <w:rPr>
          <w:sz w:val="22"/>
          <w:szCs w:val="22"/>
        </w:rPr>
      </w:pPr>
      <w:r>
        <w:rPr>
          <w:b/>
          <w:sz w:val="22"/>
          <w:szCs w:val="22"/>
        </w:rPr>
        <w:t>5.</w:t>
      </w:r>
      <w:r>
        <w:rPr>
          <w:sz w:val="22"/>
          <w:szCs w:val="22"/>
        </w:rPr>
        <w:t xml:space="preserve">  </w:t>
      </w:r>
      <w:r>
        <w:rPr>
          <w:b/>
          <w:sz w:val="22"/>
          <w:szCs w:val="22"/>
        </w:rPr>
        <w:t>GATA4 (GATA binding protein 4): Located at 8p23.1-p22 (</w:t>
      </w:r>
      <w:proofErr w:type="spellStart"/>
      <w:r>
        <w:rPr>
          <w:b/>
          <w:sz w:val="22"/>
          <w:szCs w:val="22"/>
        </w:rPr>
        <w:t>Chr</w:t>
      </w:r>
      <w:proofErr w:type="spellEnd"/>
      <w:r>
        <w:rPr>
          <w:b/>
          <w:sz w:val="22"/>
          <w:szCs w:val="22"/>
        </w:rPr>
        <w:t xml:space="preserve"> 8: 11623889-11623889).</w:t>
      </w:r>
      <w:r>
        <w:rPr>
          <w:sz w:val="22"/>
          <w:szCs w:val="22"/>
        </w:rPr>
        <w:t xml:space="preserve"> GATA4 encodes a zinc-finger transcription factor that recognizes the GATA motif in the promoters of various genes (</w:t>
      </w:r>
      <w:proofErr w:type="spellStart"/>
      <w:r>
        <w:rPr>
          <w:sz w:val="22"/>
          <w:szCs w:val="22"/>
        </w:rPr>
        <w:t>RefSeq</w:t>
      </w:r>
      <w:proofErr w:type="spellEnd"/>
      <w:r>
        <w:rPr>
          <w:sz w:val="22"/>
          <w:szCs w:val="22"/>
        </w:rPr>
        <w:t>). GATA4 is implicated in regulating granulosa cell differentiation, proliferation and function and is expressed in follicles, embryoid bodies and chorion of women with PCOS</w:t>
      </w:r>
      <w:r w:rsidR="00A4168B">
        <w:rPr>
          <w:sz w:val="22"/>
          <w:szCs w:val="22"/>
        </w:rPr>
        <w:t>.</w:t>
      </w:r>
      <w:r>
        <w:rPr>
          <w:sz w:val="22"/>
          <w:szCs w:val="22"/>
          <w:vertAlign w:val="superscript"/>
        </w:rPr>
        <w:t>89</w:t>
      </w:r>
      <w:r>
        <w:rPr>
          <w:sz w:val="22"/>
          <w:szCs w:val="22"/>
        </w:rPr>
        <w:t xml:space="preserve"> Knockdown of GATA4 and GATA6 impairs </w:t>
      </w:r>
      <w:proofErr w:type="spellStart"/>
      <w:r>
        <w:rPr>
          <w:sz w:val="22"/>
          <w:szCs w:val="22"/>
        </w:rPr>
        <w:t>folliculogenesis</w:t>
      </w:r>
      <w:proofErr w:type="spellEnd"/>
      <w:r>
        <w:rPr>
          <w:sz w:val="22"/>
          <w:szCs w:val="22"/>
        </w:rPr>
        <w:t xml:space="preserve"> and induces infertility</w:t>
      </w:r>
      <w:r w:rsidR="004A7FA8">
        <w:rPr>
          <w:sz w:val="22"/>
          <w:szCs w:val="22"/>
        </w:rPr>
        <w:t>.</w:t>
      </w:r>
      <w:r>
        <w:rPr>
          <w:sz w:val="22"/>
          <w:szCs w:val="22"/>
          <w:vertAlign w:val="superscript"/>
        </w:rPr>
        <w:t>30,90</w:t>
      </w:r>
      <w:r>
        <w:rPr>
          <w:sz w:val="22"/>
          <w:szCs w:val="22"/>
        </w:rPr>
        <w:t xml:space="preserve"> The loss of GATA4 within the ovary results in impaired granulosa cell proliferation and theca cell recruitment</w:t>
      </w:r>
      <w:r w:rsidR="0035595B">
        <w:rPr>
          <w:sz w:val="22"/>
          <w:szCs w:val="22"/>
        </w:rPr>
        <w:t>.</w:t>
      </w:r>
      <w:r>
        <w:rPr>
          <w:sz w:val="22"/>
          <w:szCs w:val="22"/>
          <w:vertAlign w:val="superscript"/>
        </w:rPr>
        <w:t>91</w:t>
      </w:r>
      <w:r>
        <w:rPr>
          <w:sz w:val="22"/>
          <w:szCs w:val="22"/>
        </w:rPr>
        <w:t xml:space="preserve"> Knockdown of both genes affects expression of FSH receptor, LH receptor, inhibin α and β</w:t>
      </w:r>
      <w:r w:rsidR="0035595B">
        <w:rPr>
          <w:sz w:val="22"/>
          <w:szCs w:val="22"/>
        </w:rPr>
        <w:t>.</w:t>
      </w:r>
      <w:r>
        <w:rPr>
          <w:sz w:val="22"/>
          <w:szCs w:val="22"/>
          <w:vertAlign w:val="superscript"/>
        </w:rPr>
        <w:t>30,89</w:t>
      </w:r>
      <w:r>
        <w:rPr>
          <w:sz w:val="22"/>
          <w:szCs w:val="22"/>
        </w:rPr>
        <w:t xml:space="preserve"> In rats with reproductive and metabolic abnormalities similar to PCOS, GATA4 has been associated with the biosynthesis and metabolism of steroids</w:t>
      </w:r>
      <w:r w:rsidR="0035595B">
        <w:rPr>
          <w:sz w:val="22"/>
          <w:szCs w:val="22"/>
        </w:rPr>
        <w:t>.</w:t>
      </w:r>
      <w:r>
        <w:rPr>
          <w:sz w:val="22"/>
          <w:szCs w:val="22"/>
          <w:vertAlign w:val="superscript"/>
        </w:rPr>
        <w:t>92</w:t>
      </w:r>
      <w:r>
        <w:rPr>
          <w:sz w:val="22"/>
          <w:szCs w:val="22"/>
        </w:rPr>
        <w:t xml:space="preserve"> It is also proposed to modify PCOS risk through metabolic and inflammatory mechanisms</w:t>
      </w:r>
      <w:r w:rsidR="0035595B">
        <w:rPr>
          <w:sz w:val="22"/>
          <w:szCs w:val="22"/>
        </w:rPr>
        <w:t>.</w:t>
      </w:r>
      <w:r>
        <w:rPr>
          <w:sz w:val="22"/>
          <w:szCs w:val="22"/>
          <w:vertAlign w:val="superscript"/>
        </w:rPr>
        <w:t>76</w:t>
      </w:r>
    </w:p>
    <w:p w14:paraId="454B7F5D" w14:textId="77777777" w:rsidR="007022C5" w:rsidRDefault="00AA4D5C">
      <w:pPr>
        <w:ind w:hanging="420"/>
        <w:jc w:val="both"/>
        <w:rPr>
          <w:b/>
          <w:sz w:val="22"/>
          <w:szCs w:val="22"/>
        </w:rPr>
      </w:pPr>
      <w:r>
        <w:rPr>
          <w:b/>
          <w:sz w:val="22"/>
          <w:szCs w:val="22"/>
        </w:rPr>
        <w:t xml:space="preserve"> </w:t>
      </w:r>
    </w:p>
    <w:p w14:paraId="7C61FB28" w14:textId="353941E8" w:rsidR="007022C5" w:rsidRDefault="00AA4D5C">
      <w:pPr>
        <w:jc w:val="both"/>
        <w:rPr>
          <w:sz w:val="22"/>
          <w:szCs w:val="22"/>
        </w:rPr>
      </w:pPr>
      <w:r>
        <w:rPr>
          <w:b/>
          <w:sz w:val="22"/>
          <w:szCs w:val="22"/>
        </w:rPr>
        <w:lastRenderedPageBreak/>
        <w:t>6.</w:t>
      </w:r>
      <w:r>
        <w:rPr>
          <w:sz w:val="22"/>
          <w:szCs w:val="22"/>
        </w:rPr>
        <w:t xml:space="preserve"> </w:t>
      </w:r>
      <w:r>
        <w:rPr>
          <w:b/>
          <w:sz w:val="22"/>
          <w:szCs w:val="22"/>
        </w:rPr>
        <w:t>PLGRKT (Plasminogen receptor, C-terminal lysine transmembrane protein): Located at 9p24.1 (</w:t>
      </w:r>
      <w:proofErr w:type="spellStart"/>
      <w:r>
        <w:rPr>
          <w:b/>
          <w:sz w:val="22"/>
          <w:szCs w:val="22"/>
        </w:rPr>
        <w:t>Chr</w:t>
      </w:r>
      <w:proofErr w:type="spellEnd"/>
      <w:r>
        <w:rPr>
          <w:b/>
          <w:sz w:val="22"/>
          <w:szCs w:val="22"/>
        </w:rPr>
        <w:t xml:space="preserve"> 9; 5440339-5440839). </w:t>
      </w:r>
      <w:r>
        <w:rPr>
          <w:sz w:val="22"/>
          <w:szCs w:val="22"/>
        </w:rPr>
        <w:t>PLGRKT encodes a plasminogen receptor involved in regulating macrophage migration and regulates catecholamine release</w:t>
      </w:r>
      <w:r w:rsidR="00D56017">
        <w:rPr>
          <w:sz w:val="22"/>
          <w:szCs w:val="22"/>
        </w:rPr>
        <w:t>.</w:t>
      </w:r>
      <w:r>
        <w:rPr>
          <w:sz w:val="22"/>
          <w:szCs w:val="22"/>
          <w:vertAlign w:val="superscript"/>
        </w:rPr>
        <w:t>93</w:t>
      </w:r>
      <w:r>
        <w:rPr>
          <w:sz w:val="22"/>
          <w:szCs w:val="22"/>
        </w:rPr>
        <w:t xml:space="preserve"> The region also includes genes for several members of the insulin superfamily (INSL6, INSL4, RLN1, RLN2), which have roles in spermatogenesis, follicle growth and ovulation</w:t>
      </w:r>
      <w:r w:rsidR="00D56017">
        <w:rPr>
          <w:sz w:val="22"/>
          <w:szCs w:val="22"/>
        </w:rPr>
        <w:t>.</w:t>
      </w:r>
      <w:r>
        <w:rPr>
          <w:sz w:val="22"/>
          <w:szCs w:val="22"/>
          <w:vertAlign w:val="superscript"/>
        </w:rPr>
        <w:t>22,94</w:t>
      </w:r>
    </w:p>
    <w:p w14:paraId="55ED2EB5" w14:textId="77777777" w:rsidR="007022C5" w:rsidRDefault="00AA4D5C">
      <w:pPr>
        <w:ind w:hanging="420"/>
        <w:jc w:val="both"/>
        <w:rPr>
          <w:b/>
          <w:sz w:val="22"/>
          <w:szCs w:val="22"/>
        </w:rPr>
      </w:pPr>
      <w:r>
        <w:rPr>
          <w:b/>
          <w:sz w:val="22"/>
          <w:szCs w:val="22"/>
        </w:rPr>
        <w:t xml:space="preserve"> </w:t>
      </w:r>
    </w:p>
    <w:p w14:paraId="0725B54B" w14:textId="6AF07737" w:rsidR="007022C5" w:rsidRDefault="00AA4D5C">
      <w:pPr>
        <w:jc w:val="both"/>
        <w:rPr>
          <w:sz w:val="22"/>
          <w:szCs w:val="22"/>
        </w:rPr>
      </w:pPr>
      <w:r>
        <w:rPr>
          <w:b/>
          <w:sz w:val="22"/>
          <w:szCs w:val="22"/>
        </w:rPr>
        <w:t>7.</w:t>
      </w:r>
      <w:r>
        <w:rPr>
          <w:sz w:val="22"/>
          <w:szCs w:val="22"/>
        </w:rPr>
        <w:t xml:space="preserve">  </w:t>
      </w:r>
      <w:r>
        <w:rPr>
          <w:b/>
          <w:sz w:val="22"/>
          <w:szCs w:val="22"/>
        </w:rPr>
        <w:t xml:space="preserve">FANCC (Fanconi </w:t>
      </w:r>
      <w:proofErr w:type="spellStart"/>
      <w:r>
        <w:rPr>
          <w:b/>
          <w:sz w:val="22"/>
          <w:szCs w:val="22"/>
        </w:rPr>
        <w:t>anemia</w:t>
      </w:r>
      <w:proofErr w:type="spellEnd"/>
      <w:r>
        <w:rPr>
          <w:b/>
          <w:sz w:val="22"/>
          <w:szCs w:val="22"/>
        </w:rPr>
        <w:t>, complementation group C): Located at: 9q22.3 (</w:t>
      </w:r>
      <w:proofErr w:type="spellStart"/>
      <w:r>
        <w:rPr>
          <w:b/>
          <w:sz w:val="22"/>
          <w:szCs w:val="22"/>
        </w:rPr>
        <w:t>Chr</w:t>
      </w:r>
      <w:proofErr w:type="spellEnd"/>
      <w:r>
        <w:rPr>
          <w:b/>
          <w:sz w:val="22"/>
          <w:szCs w:val="22"/>
        </w:rPr>
        <w:t xml:space="preserve"> 9: 97723266-97723266). </w:t>
      </w:r>
      <w:r>
        <w:rPr>
          <w:sz w:val="22"/>
          <w:szCs w:val="22"/>
        </w:rPr>
        <w:t xml:space="preserve">Member of the Fanconi </w:t>
      </w:r>
      <w:proofErr w:type="spellStart"/>
      <w:r>
        <w:rPr>
          <w:sz w:val="22"/>
          <w:szCs w:val="22"/>
        </w:rPr>
        <w:t>anemia</w:t>
      </w:r>
      <w:proofErr w:type="spellEnd"/>
      <w:r>
        <w:rPr>
          <w:sz w:val="22"/>
          <w:szCs w:val="22"/>
        </w:rPr>
        <w:t xml:space="preserve"> complementation group which, amongst others, includes FANCD1 (BRCA2). Members of the Fanconi </w:t>
      </w:r>
      <w:proofErr w:type="spellStart"/>
      <w:r>
        <w:rPr>
          <w:sz w:val="22"/>
          <w:szCs w:val="22"/>
        </w:rPr>
        <w:t>anemia</w:t>
      </w:r>
      <w:proofErr w:type="spellEnd"/>
      <w:r>
        <w:rPr>
          <w:sz w:val="22"/>
          <w:szCs w:val="22"/>
        </w:rPr>
        <w:t xml:space="preserve"> complementation group are related by their assembly into a common nuclear protein complex (</w:t>
      </w:r>
      <w:proofErr w:type="spellStart"/>
      <w:r>
        <w:rPr>
          <w:sz w:val="22"/>
          <w:szCs w:val="22"/>
        </w:rPr>
        <w:t>RefSeq</w:t>
      </w:r>
      <w:proofErr w:type="spellEnd"/>
      <w:r>
        <w:rPr>
          <w:sz w:val="22"/>
          <w:szCs w:val="22"/>
        </w:rPr>
        <w:t xml:space="preserve">). This gene encodes the protein for complementation group C. Fanconi </w:t>
      </w:r>
      <w:proofErr w:type="spellStart"/>
      <w:r>
        <w:rPr>
          <w:sz w:val="22"/>
          <w:szCs w:val="22"/>
        </w:rPr>
        <w:t>anemia</w:t>
      </w:r>
      <w:proofErr w:type="spellEnd"/>
      <w:r>
        <w:rPr>
          <w:sz w:val="22"/>
          <w:szCs w:val="22"/>
        </w:rPr>
        <w:t xml:space="preserve"> is a recessive repair deficiency disorder, characterized by cytogenetic instability, hypersensitivity to DNA crosslinking agents, chromosomal breakage and defective DNA repair (UCSC, </w:t>
      </w:r>
      <w:proofErr w:type="spellStart"/>
      <w:r>
        <w:rPr>
          <w:sz w:val="22"/>
          <w:szCs w:val="22"/>
        </w:rPr>
        <w:t>GeneNetwork</w:t>
      </w:r>
      <w:proofErr w:type="spellEnd"/>
      <w:r>
        <w:rPr>
          <w:sz w:val="22"/>
          <w:szCs w:val="22"/>
        </w:rPr>
        <w:t>). FANCC is a DNA repair protein that may operate in a post replication repair or a cell cycle checkpoint function</w:t>
      </w:r>
      <w:r w:rsidR="00D56017">
        <w:rPr>
          <w:sz w:val="22"/>
          <w:szCs w:val="22"/>
        </w:rPr>
        <w:t>.</w:t>
      </w:r>
      <w:r>
        <w:rPr>
          <w:sz w:val="22"/>
          <w:szCs w:val="22"/>
          <w:vertAlign w:val="superscript"/>
        </w:rPr>
        <w:t>82</w:t>
      </w:r>
      <w:r>
        <w:rPr>
          <w:sz w:val="22"/>
          <w:szCs w:val="22"/>
        </w:rPr>
        <w:t xml:space="preserve"> May be implicated in </w:t>
      </w:r>
      <w:proofErr w:type="spellStart"/>
      <w:r>
        <w:rPr>
          <w:sz w:val="22"/>
          <w:szCs w:val="22"/>
        </w:rPr>
        <w:t>interstrand</w:t>
      </w:r>
      <w:proofErr w:type="spellEnd"/>
      <w:r>
        <w:rPr>
          <w:sz w:val="22"/>
          <w:szCs w:val="22"/>
        </w:rPr>
        <w:t xml:space="preserve"> DNA cross-link repair and in the maintenance of normal chromosome stability. Was recently shown to have a mitophagy function as well, and is required for clearance of damaged mitochondria</w:t>
      </w:r>
      <w:r w:rsidR="00D56017">
        <w:rPr>
          <w:sz w:val="22"/>
          <w:szCs w:val="22"/>
        </w:rPr>
        <w:t>.</w:t>
      </w:r>
      <w:r>
        <w:rPr>
          <w:sz w:val="22"/>
          <w:szCs w:val="22"/>
          <w:vertAlign w:val="superscript"/>
        </w:rPr>
        <w:t>95</w:t>
      </w:r>
      <w:r>
        <w:rPr>
          <w:sz w:val="22"/>
          <w:szCs w:val="22"/>
        </w:rPr>
        <w:t xml:space="preserve"> </w:t>
      </w:r>
    </w:p>
    <w:p w14:paraId="4CA8A210" w14:textId="77777777" w:rsidR="007022C5" w:rsidRDefault="00AA4D5C">
      <w:pPr>
        <w:ind w:hanging="420"/>
        <w:jc w:val="both"/>
        <w:rPr>
          <w:b/>
          <w:sz w:val="22"/>
          <w:szCs w:val="22"/>
        </w:rPr>
      </w:pPr>
      <w:r>
        <w:rPr>
          <w:b/>
          <w:sz w:val="22"/>
          <w:szCs w:val="22"/>
        </w:rPr>
        <w:t xml:space="preserve"> </w:t>
      </w:r>
    </w:p>
    <w:p w14:paraId="7C5E12E8" w14:textId="3A0E1841" w:rsidR="007022C5" w:rsidRDefault="00AA4D5C">
      <w:pPr>
        <w:jc w:val="both"/>
        <w:rPr>
          <w:sz w:val="22"/>
          <w:szCs w:val="22"/>
        </w:rPr>
      </w:pPr>
      <w:r>
        <w:rPr>
          <w:b/>
          <w:sz w:val="22"/>
          <w:szCs w:val="22"/>
        </w:rPr>
        <w:t>8.</w:t>
      </w:r>
      <w:r>
        <w:rPr>
          <w:sz w:val="22"/>
          <w:szCs w:val="22"/>
        </w:rPr>
        <w:t xml:space="preserve">  </w:t>
      </w:r>
      <w:r>
        <w:rPr>
          <w:b/>
          <w:sz w:val="22"/>
          <w:szCs w:val="22"/>
        </w:rPr>
        <w:t xml:space="preserve">C9orf3. Located at 9q22.32. </w:t>
      </w:r>
      <w:r>
        <w:rPr>
          <w:sz w:val="22"/>
          <w:szCs w:val="22"/>
        </w:rPr>
        <w:t>Has been previously associated with PCOS</w:t>
      </w:r>
      <w:r w:rsidR="00D56017">
        <w:rPr>
          <w:sz w:val="22"/>
          <w:szCs w:val="22"/>
        </w:rPr>
        <w:t>.</w:t>
      </w:r>
      <w:r>
        <w:rPr>
          <w:sz w:val="22"/>
          <w:szCs w:val="22"/>
          <w:vertAlign w:val="superscript"/>
        </w:rPr>
        <w:t>15</w:t>
      </w:r>
      <w:r>
        <w:rPr>
          <w:sz w:val="22"/>
          <w:szCs w:val="22"/>
        </w:rPr>
        <w:t xml:space="preserve"> However, the region also includes genes for two hormones that regulate gluconeogenesis (FBP1, FBP2), and for PTCH1, which is a receptor for hedgehog proteins. In mice, the hedgehog </w:t>
      </w:r>
      <w:proofErr w:type="spellStart"/>
      <w:r>
        <w:rPr>
          <w:sz w:val="22"/>
          <w:szCs w:val="22"/>
        </w:rPr>
        <w:t>signaling</w:t>
      </w:r>
      <w:proofErr w:type="spellEnd"/>
      <w:r>
        <w:rPr>
          <w:sz w:val="22"/>
          <w:szCs w:val="22"/>
        </w:rPr>
        <w:t xml:space="preserve"> has been shown to be important for ovarian follicle development and is also implicated in the proliferation and steroidogenesis of theca cells</w:t>
      </w:r>
      <w:r w:rsidR="00D56017">
        <w:rPr>
          <w:sz w:val="22"/>
          <w:szCs w:val="22"/>
        </w:rPr>
        <w:t>.</w:t>
      </w:r>
      <w:r>
        <w:rPr>
          <w:sz w:val="22"/>
          <w:szCs w:val="22"/>
          <w:vertAlign w:val="superscript"/>
        </w:rPr>
        <w:t>96</w:t>
      </w:r>
      <w:r>
        <w:rPr>
          <w:sz w:val="22"/>
          <w:szCs w:val="22"/>
        </w:rPr>
        <w:t xml:space="preserve"> This is supported by the association between rs4385527 in C9orf3 and anovulation, HA and polycystic ovarian morphology (PCOM)</w:t>
      </w:r>
      <w:r w:rsidR="00D56017">
        <w:rPr>
          <w:sz w:val="22"/>
          <w:szCs w:val="22"/>
        </w:rPr>
        <w:t>.</w:t>
      </w:r>
      <w:r>
        <w:rPr>
          <w:sz w:val="22"/>
          <w:szCs w:val="22"/>
          <w:vertAlign w:val="superscript"/>
        </w:rPr>
        <w:t>73</w:t>
      </w:r>
    </w:p>
    <w:p w14:paraId="400838FB" w14:textId="77777777" w:rsidR="007022C5" w:rsidRDefault="00AA4D5C">
      <w:pPr>
        <w:ind w:hanging="420"/>
        <w:jc w:val="both"/>
        <w:rPr>
          <w:b/>
          <w:sz w:val="22"/>
          <w:szCs w:val="22"/>
        </w:rPr>
      </w:pPr>
      <w:r>
        <w:rPr>
          <w:b/>
          <w:sz w:val="22"/>
          <w:szCs w:val="22"/>
        </w:rPr>
        <w:lastRenderedPageBreak/>
        <w:t xml:space="preserve"> </w:t>
      </w:r>
    </w:p>
    <w:p w14:paraId="167EC1D7" w14:textId="6575AD99" w:rsidR="007022C5" w:rsidRDefault="00AA4D5C">
      <w:pPr>
        <w:jc w:val="both"/>
        <w:rPr>
          <w:sz w:val="22"/>
          <w:szCs w:val="22"/>
        </w:rPr>
      </w:pPr>
      <w:r>
        <w:rPr>
          <w:b/>
          <w:sz w:val="22"/>
          <w:szCs w:val="22"/>
        </w:rPr>
        <w:t>9.</w:t>
      </w:r>
      <w:r>
        <w:rPr>
          <w:sz w:val="22"/>
          <w:szCs w:val="22"/>
        </w:rPr>
        <w:t xml:space="preserve"> </w:t>
      </w:r>
      <w:r>
        <w:rPr>
          <w:b/>
          <w:sz w:val="22"/>
          <w:szCs w:val="22"/>
        </w:rPr>
        <w:t>DENND1A (DENN/MADD domain-containing protein 1A): Located at 9q33.3 (</w:t>
      </w:r>
      <w:proofErr w:type="spellStart"/>
      <w:r>
        <w:rPr>
          <w:b/>
          <w:sz w:val="22"/>
          <w:szCs w:val="22"/>
        </w:rPr>
        <w:t>Chr</w:t>
      </w:r>
      <w:proofErr w:type="spellEnd"/>
      <w:r>
        <w:rPr>
          <w:b/>
          <w:sz w:val="22"/>
          <w:szCs w:val="22"/>
        </w:rPr>
        <w:t xml:space="preserve"> 9: 126619233-126619233). </w:t>
      </w:r>
      <w:r>
        <w:rPr>
          <w:sz w:val="22"/>
          <w:szCs w:val="22"/>
        </w:rPr>
        <w:t xml:space="preserve">Member of the </w:t>
      </w:r>
      <w:proofErr w:type="spellStart"/>
      <w:r>
        <w:rPr>
          <w:sz w:val="22"/>
          <w:szCs w:val="22"/>
        </w:rPr>
        <w:t>connecdenn</w:t>
      </w:r>
      <w:proofErr w:type="spellEnd"/>
      <w:r>
        <w:rPr>
          <w:sz w:val="22"/>
          <w:szCs w:val="22"/>
        </w:rPr>
        <w:t xml:space="preserve"> family and functions as a guanine nucleotide exchange factor involved for the early endosomal small GTPase RAB35 (UCSC, </w:t>
      </w:r>
      <w:proofErr w:type="spellStart"/>
      <w:r>
        <w:rPr>
          <w:sz w:val="22"/>
          <w:szCs w:val="22"/>
        </w:rPr>
        <w:t>RefSeq</w:t>
      </w:r>
      <w:proofErr w:type="spellEnd"/>
      <w:r>
        <w:rPr>
          <w:sz w:val="22"/>
          <w:szCs w:val="22"/>
        </w:rPr>
        <w:t xml:space="preserve">). Regulates </w:t>
      </w:r>
      <w:proofErr w:type="spellStart"/>
      <w:r>
        <w:rPr>
          <w:sz w:val="22"/>
          <w:szCs w:val="22"/>
        </w:rPr>
        <w:t>clathrin</w:t>
      </w:r>
      <w:proofErr w:type="spellEnd"/>
      <w:r>
        <w:rPr>
          <w:sz w:val="22"/>
          <w:szCs w:val="22"/>
        </w:rPr>
        <w:t xml:space="preserve">-mediated endocytosis (a major mechanism for internalization of proteins and lipids) through RAB35 activation (USCS, </w:t>
      </w:r>
      <w:proofErr w:type="spellStart"/>
      <w:r>
        <w:rPr>
          <w:sz w:val="22"/>
          <w:szCs w:val="22"/>
        </w:rPr>
        <w:t>RefSeq</w:t>
      </w:r>
      <w:proofErr w:type="spellEnd"/>
      <w:r>
        <w:rPr>
          <w:sz w:val="22"/>
          <w:szCs w:val="22"/>
        </w:rPr>
        <w:t xml:space="preserve">). DENND1A variant 2 (DENND1A.V2) protein and mRNA levels are increased in PCOS theca cells and play a key role in the </w:t>
      </w:r>
      <w:proofErr w:type="spellStart"/>
      <w:r>
        <w:rPr>
          <w:sz w:val="22"/>
          <w:szCs w:val="22"/>
        </w:rPr>
        <w:t>hyperandrogenemia</w:t>
      </w:r>
      <w:proofErr w:type="spellEnd"/>
      <w:r>
        <w:rPr>
          <w:sz w:val="22"/>
          <w:szCs w:val="22"/>
        </w:rPr>
        <w:t xml:space="preserve"> associated with PCOS</w:t>
      </w:r>
      <w:r w:rsidR="00D56017">
        <w:rPr>
          <w:sz w:val="22"/>
          <w:szCs w:val="22"/>
        </w:rPr>
        <w:t>.</w:t>
      </w:r>
      <w:r>
        <w:rPr>
          <w:sz w:val="22"/>
          <w:szCs w:val="22"/>
          <w:vertAlign w:val="superscript"/>
        </w:rPr>
        <w:t>97</w:t>
      </w:r>
      <w:r>
        <w:rPr>
          <w:sz w:val="22"/>
          <w:szCs w:val="22"/>
        </w:rPr>
        <w:t xml:space="preserve"> The </w:t>
      </w:r>
      <w:r>
        <w:rPr>
          <w:i/>
          <w:sz w:val="22"/>
          <w:szCs w:val="22"/>
        </w:rPr>
        <w:t>DENND1A</w:t>
      </w:r>
      <w:r>
        <w:rPr>
          <w:sz w:val="22"/>
          <w:szCs w:val="22"/>
        </w:rPr>
        <w:t xml:space="preserve"> locus has also been associated with PCOM and elevated serum insulin levels in PCOS women</w:t>
      </w:r>
      <w:r w:rsidR="00D56017">
        <w:rPr>
          <w:sz w:val="22"/>
          <w:szCs w:val="22"/>
        </w:rPr>
        <w:t>.</w:t>
      </w:r>
      <w:r>
        <w:rPr>
          <w:sz w:val="22"/>
          <w:szCs w:val="22"/>
          <w:vertAlign w:val="superscript"/>
        </w:rPr>
        <w:t>73,75</w:t>
      </w:r>
      <w:r>
        <w:rPr>
          <w:sz w:val="22"/>
          <w:szCs w:val="22"/>
        </w:rPr>
        <w:t xml:space="preserve">  Some SNP’s in DENND1A have even been associated with endometrioid carcinoma. It has been suggested that </w:t>
      </w:r>
      <w:r>
        <w:rPr>
          <w:i/>
          <w:sz w:val="22"/>
          <w:szCs w:val="22"/>
        </w:rPr>
        <w:t>DENND1A, LHCGR, INSR</w:t>
      </w:r>
      <w:r>
        <w:rPr>
          <w:sz w:val="22"/>
          <w:szCs w:val="22"/>
        </w:rPr>
        <w:t xml:space="preserve">, and </w:t>
      </w:r>
      <w:r>
        <w:rPr>
          <w:i/>
          <w:sz w:val="22"/>
          <w:szCs w:val="22"/>
        </w:rPr>
        <w:t>RAB5B</w:t>
      </w:r>
      <w:r>
        <w:rPr>
          <w:sz w:val="22"/>
          <w:szCs w:val="22"/>
        </w:rPr>
        <w:t xml:space="preserve"> form a hierarchical signalling network that can influence androgen synthesis</w:t>
      </w:r>
      <w:r w:rsidR="00D56017">
        <w:rPr>
          <w:sz w:val="22"/>
          <w:szCs w:val="22"/>
        </w:rPr>
        <w:t>.</w:t>
      </w:r>
      <w:r>
        <w:rPr>
          <w:sz w:val="22"/>
          <w:szCs w:val="22"/>
          <w:vertAlign w:val="superscript"/>
        </w:rPr>
        <w:t>98</w:t>
      </w:r>
    </w:p>
    <w:p w14:paraId="17DF019E" w14:textId="77777777" w:rsidR="007022C5" w:rsidRDefault="00AA4D5C">
      <w:pPr>
        <w:ind w:hanging="420"/>
        <w:jc w:val="both"/>
        <w:rPr>
          <w:b/>
          <w:sz w:val="22"/>
          <w:szCs w:val="22"/>
        </w:rPr>
      </w:pPr>
      <w:r>
        <w:rPr>
          <w:b/>
          <w:sz w:val="22"/>
          <w:szCs w:val="22"/>
        </w:rPr>
        <w:t xml:space="preserve"> </w:t>
      </w:r>
    </w:p>
    <w:p w14:paraId="614DB9D4" w14:textId="77777777" w:rsidR="007022C5" w:rsidRDefault="00AA4D5C">
      <w:pPr>
        <w:jc w:val="both"/>
        <w:rPr>
          <w:sz w:val="22"/>
          <w:szCs w:val="22"/>
        </w:rPr>
      </w:pPr>
      <w:r>
        <w:rPr>
          <w:b/>
          <w:sz w:val="22"/>
          <w:szCs w:val="22"/>
        </w:rPr>
        <w:t>10.</w:t>
      </w:r>
      <w:r>
        <w:rPr>
          <w:sz w:val="22"/>
          <w:szCs w:val="22"/>
        </w:rPr>
        <w:tab/>
      </w:r>
      <w:r>
        <w:rPr>
          <w:b/>
          <w:sz w:val="22"/>
          <w:szCs w:val="22"/>
        </w:rPr>
        <w:t xml:space="preserve">ARL14EP (ADP-ribosylation factor-like 14 effector protein): Located at 11p14.1. </w:t>
      </w:r>
      <w:r>
        <w:rPr>
          <w:sz w:val="22"/>
          <w:szCs w:val="22"/>
        </w:rPr>
        <w:t>Encodes an</w:t>
      </w:r>
      <w:r>
        <w:rPr>
          <w:b/>
          <w:sz w:val="22"/>
          <w:szCs w:val="22"/>
        </w:rPr>
        <w:t xml:space="preserve"> </w:t>
      </w:r>
      <w:r>
        <w:rPr>
          <w:sz w:val="22"/>
          <w:szCs w:val="22"/>
        </w:rPr>
        <w:t xml:space="preserve">effector protein, which interacts with ADP-ribosylation factor-like 14 [ARL14], beta-actin and actin-based motor protein myosin 1E. ARL14 controls the export of major histocompatibility class II molecules by connecting to the </w:t>
      </w:r>
      <w:proofErr w:type="spellStart"/>
      <w:r>
        <w:rPr>
          <w:sz w:val="22"/>
          <w:szCs w:val="22"/>
        </w:rPr>
        <w:t>actin</w:t>
      </w:r>
      <w:proofErr w:type="spellEnd"/>
      <w:r>
        <w:rPr>
          <w:sz w:val="22"/>
          <w:szCs w:val="22"/>
        </w:rPr>
        <w:t xml:space="preserve"> network via this effector protein (</w:t>
      </w:r>
      <w:proofErr w:type="spellStart"/>
      <w:r>
        <w:rPr>
          <w:sz w:val="22"/>
          <w:szCs w:val="22"/>
        </w:rPr>
        <w:t>RefSeq</w:t>
      </w:r>
      <w:proofErr w:type="spellEnd"/>
      <w:r>
        <w:rPr>
          <w:sz w:val="22"/>
          <w:szCs w:val="22"/>
        </w:rPr>
        <w:t>).</w:t>
      </w:r>
    </w:p>
    <w:p w14:paraId="7DDED307" w14:textId="77777777" w:rsidR="007022C5" w:rsidRDefault="00AA4D5C">
      <w:pPr>
        <w:ind w:hanging="420"/>
        <w:jc w:val="both"/>
        <w:rPr>
          <w:b/>
          <w:sz w:val="22"/>
          <w:szCs w:val="22"/>
        </w:rPr>
      </w:pPr>
      <w:r>
        <w:rPr>
          <w:b/>
          <w:sz w:val="22"/>
          <w:szCs w:val="22"/>
        </w:rPr>
        <w:t xml:space="preserve"> </w:t>
      </w:r>
    </w:p>
    <w:p w14:paraId="6852ABA7" w14:textId="47D9669F" w:rsidR="007022C5" w:rsidRDefault="00AA4D5C">
      <w:pPr>
        <w:jc w:val="both"/>
        <w:rPr>
          <w:sz w:val="22"/>
          <w:szCs w:val="22"/>
        </w:rPr>
      </w:pPr>
      <w:r>
        <w:rPr>
          <w:b/>
          <w:sz w:val="22"/>
          <w:szCs w:val="22"/>
        </w:rPr>
        <w:t>11.</w:t>
      </w:r>
      <w:r>
        <w:rPr>
          <w:sz w:val="22"/>
          <w:szCs w:val="22"/>
        </w:rPr>
        <w:tab/>
      </w:r>
      <w:r>
        <w:rPr>
          <w:b/>
          <w:sz w:val="22"/>
          <w:szCs w:val="22"/>
        </w:rPr>
        <w:t>FSHB (Follicle stimulating hormone, beta polypeptide): Located at 11p14.1 (</w:t>
      </w:r>
      <w:proofErr w:type="spellStart"/>
      <w:r>
        <w:rPr>
          <w:b/>
          <w:sz w:val="22"/>
          <w:szCs w:val="22"/>
        </w:rPr>
        <w:t>Chr</w:t>
      </w:r>
      <w:proofErr w:type="spellEnd"/>
      <w:r>
        <w:rPr>
          <w:b/>
          <w:sz w:val="22"/>
          <w:szCs w:val="22"/>
        </w:rPr>
        <w:t xml:space="preserve"> 11; 30226356-30226356).  </w:t>
      </w:r>
      <w:r>
        <w:rPr>
          <w:sz w:val="22"/>
          <w:szCs w:val="22"/>
        </w:rPr>
        <w:t>FSHB is a member of the pituitary glycoprotein hormone family and encodes the β-subunit of the follicle-stimulating hormone (FSH) (</w:t>
      </w:r>
      <w:proofErr w:type="spellStart"/>
      <w:r>
        <w:rPr>
          <w:sz w:val="22"/>
          <w:szCs w:val="22"/>
        </w:rPr>
        <w:t>RefSeq</w:t>
      </w:r>
      <w:proofErr w:type="spellEnd"/>
      <w:r>
        <w:rPr>
          <w:sz w:val="22"/>
          <w:szCs w:val="22"/>
        </w:rPr>
        <w:t xml:space="preserve">). FSH regulates </w:t>
      </w:r>
      <w:proofErr w:type="spellStart"/>
      <w:r>
        <w:rPr>
          <w:sz w:val="22"/>
          <w:szCs w:val="22"/>
        </w:rPr>
        <w:t>folliculogenesis</w:t>
      </w:r>
      <w:proofErr w:type="spellEnd"/>
      <w:r>
        <w:rPr>
          <w:sz w:val="22"/>
          <w:szCs w:val="22"/>
        </w:rPr>
        <w:t>. FSHB polymorphisms influence early follicular phase FSH concentrations and IVF treatment outcome</w:t>
      </w:r>
      <w:r w:rsidR="00D56017">
        <w:rPr>
          <w:sz w:val="22"/>
          <w:szCs w:val="22"/>
        </w:rPr>
        <w:t>.</w:t>
      </w:r>
      <w:r>
        <w:rPr>
          <w:sz w:val="22"/>
          <w:szCs w:val="22"/>
          <w:vertAlign w:val="superscript"/>
        </w:rPr>
        <w:t>99</w:t>
      </w:r>
      <w:r>
        <w:rPr>
          <w:sz w:val="22"/>
          <w:szCs w:val="22"/>
        </w:rPr>
        <w:t xml:space="preserve"> SNPs in the FSHB region are known to be associated with circulating FSH, LH and AMH levels but also with PCOS</w:t>
      </w:r>
      <w:r w:rsidR="00D56017">
        <w:rPr>
          <w:sz w:val="22"/>
          <w:szCs w:val="22"/>
        </w:rPr>
        <w:t>.</w:t>
      </w:r>
      <w:r>
        <w:rPr>
          <w:sz w:val="22"/>
          <w:szCs w:val="22"/>
          <w:vertAlign w:val="superscript"/>
        </w:rPr>
        <w:t>99-105</w:t>
      </w:r>
      <w:r>
        <w:rPr>
          <w:sz w:val="22"/>
          <w:szCs w:val="22"/>
        </w:rPr>
        <w:t xml:space="preserve"> Overexpression of FSHB could cause </w:t>
      </w:r>
      <w:r>
        <w:rPr>
          <w:sz w:val="22"/>
          <w:szCs w:val="22"/>
        </w:rPr>
        <w:lastRenderedPageBreak/>
        <w:t>polycystic ovary syndrome in women, whereas inactivating mutations of the FSHB gene, encoding for the hormone's unique β-subunit, cause infertility by primary amenorrhea</w:t>
      </w:r>
      <w:r w:rsidR="00D56017">
        <w:rPr>
          <w:sz w:val="22"/>
          <w:szCs w:val="22"/>
        </w:rPr>
        <w:t>.</w:t>
      </w:r>
      <w:r>
        <w:rPr>
          <w:sz w:val="22"/>
          <w:szCs w:val="22"/>
          <w:vertAlign w:val="superscript"/>
        </w:rPr>
        <w:t>106,107</w:t>
      </w:r>
    </w:p>
    <w:p w14:paraId="4690061A" w14:textId="77777777" w:rsidR="007022C5" w:rsidRDefault="00AA4D5C">
      <w:pPr>
        <w:ind w:hanging="420"/>
        <w:jc w:val="both"/>
        <w:rPr>
          <w:b/>
          <w:sz w:val="22"/>
          <w:szCs w:val="22"/>
        </w:rPr>
      </w:pPr>
      <w:r>
        <w:rPr>
          <w:b/>
          <w:sz w:val="22"/>
          <w:szCs w:val="22"/>
        </w:rPr>
        <w:t xml:space="preserve"> </w:t>
      </w:r>
    </w:p>
    <w:p w14:paraId="1E46E485" w14:textId="03229A66" w:rsidR="007022C5" w:rsidRDefault="00AA4D5C">
      <w:pPr>
        <w:jc w:val="both"/>
        <w:rPr>
          <w:sz w:val="22"/>
          <w:szCs w:val="22"/>
        </w:rPr>
      </w:pPr>
      <w:r>
        <w:rPr>
          <w:b/>
          <w:sz w:val="22"/>
          <w:szCs w:val="22"/>
        </w:rPr>
        <w:t>12.</w:t>
      </w:r>
      <w:r>
        <w:rPr>
          <w:sz w:val="22"/>
          <w:szCs w:val="22"/>
        </w:rPr>
        <w:tab/>
      </w:r>
      <w:r>
        <w:rPr>
          <w:b/>
          <w:sz w:val="22"/>
          <w:szCs w:val="22"/>
        </w:rPr>
        <w:t>YAP1 (Yes-associated protein 1): Located at 11q13 (</w:t>
      </w:r>
      <w:proofErr w:type="spellStart"/>
      <w:r>
        <w:rPr>
          <w:b/>
          <w:sz w:val="22"/>
          <w:szCs w:val="22"/>
        </w:rPr>
        <w:t>Chr</w:t>
      </w:r>
      <w:proofErr w:type="spellEnd"/>
      <w:r>
        <w:rPr>
          <w:b/>
          <w:sz w:val="22"/>
          <w:szCs w:val="22"/>
        </w:rPr>
        <w:t xml:space="preserve"> 11; 102043240-102043240). </w:t>
      </w:r>
      <w:r>
        <w:rPr>
          <w:sz w:val="22"/>
          <w:szCs w:val="22"/>
        </w:rPr>
        <w:t>YAP1 is an effector protein in the Hippo pathway involved in development, growth, repair, and homeostasis (</w:t>
      </w:r>
      <w:proofErr w:type="spellStart"/>
      <w:r>
        <w:rPr>
          <w:sz w:val="22"/>
          <w:szCs w:val="22"/>
        </w:rPr>
        <w:t>RefSeq</w:t>
      </w:r>
      <w:proofErr w:type="spellEnd"/>
      <w:r>
        <w:rPr>
          <w:sz w:val="22"/>
          <w:szCs w:val="22"/>
        </w:rPr>
        <w:t xml:space="preserve">). This pathway also plays a pivotal role in organ size control and </w:t>
      </w:r>
      <w:proofErr w:type="spellStart"/>
      <w:r>
        <w:rPr>
          <w:sz w:val="22"/>
          <w:szCs w:val="22"/>
        </w:rPr>
        <w:t>tumor</w:t>
      </w:r>
      <w:proofErr w:type="spellEnd"/>
      <w:r>
        <w:rPr>
          <w:sz w:val="22"/>
          <w:szCs w:val="22"/>
        </w:rPr>
        <w:t xml:space="preserve"> suppression by restricting proliferation and promoting apoptosis</w:t>
      </w:r>
      <w:r w:rsidR="00D56017">
        <w:rPr>
          <w:sz w:val="22"/>
          <w:szCs w:val="22"/>
        </w:rPr>
        <w:t>.</w:t>
      </w:r>
      <w:r>
        <w:rPr>
          <w:sz w:val="22"/>
          <w:szCs w:val="22"/>
          <w:vertAlign w:val="superscript"/>
        </w:rPr>
        <w:t>82</w:t>
      </w:r>
      <w:r>
        <w:rPr>
          <w:sz w:val="22"/>
          <w:szCs w:val="22"/>
        </w:rPr>
        <w:t xml:space="preserve"> Has been associated with the size of the primordial follicle pool in mice, female reproductive capacity in </w:t>
      </w:r>
      <w:r>
        <w:rPr>
          <w:i/>
          <w:sz w:val="22"/>
          <w:szCs w:val="22"/>
        </w:rPr>
        <w:t>Drosophila</w:t>
      </w:r>
      <w:r>
        <w:rPr>
          <w:sz w:val="22"/>
          <w:szCs w:val="22"/>
        </w:rPr>
        <w:t xml:space="preserve">, and it is hypothesized that disruption of Hippo </w:t>
      </w:r>
      <w:proofErr w:type="spellStart"/>
      <w:r>
        <w:rPr>
          <w:sz w:val="22"/>
          <w:szCs w:val="22"/>
        </w:rPr>
        <w:t>signaling</w:t>
      </w:r>
      <w:proofErr w:type="spellEnd"/>
      <w:r>
        <w:rPr>
          <w:sz w:val="22"/>
          <w:szCs w:val="22"/>
        </w:rPr>
        <w:t xml:space="preserve"> can promote follicle growth</w:t>
      </w:r>
      <w:r w:rsidR="00D56017">
        <w:rPr>
          <w:sz w:val="22"/>
          <w:szCs w:val="22"/>
        </w:rPr>
        <w:t>.</w:t>
      </w:r>
      <w:r>
        <w:rPr>
          <w:sz w:val="22"/>
          <w:szCs w:val="22"/>
          <w:vertAlign w:val="superscript"/>
        </w:rPr>
        <w:t>79</w:t>
      </w:r>
      <w:r>
        <w:rPr>
          <w:sz w:val="22"/>
          <w:szCs w:val="22"/>
        </w:rPr>
        <w:t xml:space="preserve"> The candidacy of YAP1 as a susceptibility gene for PCOS has been highlighted in several studies</w:t>
      </w:r>
      <w:r w:rsidR="00D56017">
        <w:rPr>
          <w:sz w:val="22"/>
          <w:szCs w:val="22"/>
        </w:rPr>
        <w:t>.</w:t>
      </w:r>
      <w:r>
        <w:rPr>
          <w:sz w:val="22"/>
          <w:szCs w:val="22"/>
          <w:vertAlign w:val="superscript"/>
        </w:rPr>
        <w:t>15,108,109</w:t>
      </w:r>
    </w:p>
    <w:p w14:paraId="20B98A53" w14:textId="77777777" w:rsidR="007022C5" w:rsidRDefault="00AA4D5C">
      <w:pPr>
        <w:ind w:hanging="420"/>
        <w:jc w:val="both"/>
        <w:rPr>
          <w:b/>
          <w:sz w:val="22"/>
          <w:szCs w:val="22"/>
        </w:rPr>
      </w:pPr>
      <w:r>
        <w:rPr>
          <w:b/>
          <w:sz w:val="22"/>
          <w:szCs w:val="22"/>
        </w:rPr>
        <w:t xml:space="preserve"> </w:t>
      </w:r>
    </w:p>
    <w:p w14:paraId="08FC5AFD" w14:textId="176A4C7A" w:rsidR="007022C5" w:rsidRDefault="00AA4D5C">
      <w:pPr>
        <w:jc w:val="both"/>
        <w:rPr>
          <w:sz w:val="22"/>
          <w:szCs w:val="22"/>
        </w:rPr>
      </w:pPr>
      <w:r>
        <w:rPr>
          <w:b/>
          <w:sz w:val="22"/>
          <w:szCs w:val="22"/>
        </w:rPr>
        <w:t>13.</w:t>
      </w:r>
      <w:r>
        <w:rPr>
          <w:sz w:val="22"/>
          <w:szCs w:val="22"/>
        </w:rPr>
        <w:tab/>
      </w:r>
      <w:r>
        <w:rPr>
          <w:b/>
          <w:sz w:val="22"/>
          <w:szCs w:val="22"/>
        </w:rPr>
        <w:t>ZBTB16 (Zinc finger and BTB domain containing 16, also known as PLZF): Located at 11q23.1 (</w:t>
      </w:r>
      <w:proofErr w:type="spellStart"/>
      <w:r>
        <w:rPr>
          <w:b/>
          <w:sz w:val="22"/>
          <w:szCs w:val="22"/>
        </w:rPr>
        <w:t>Chr</w:t>
      </w:r>
      <w:proofErr w:type="spellEnd"/>
      <w:r>
        <w:rPr>
          <w:b/>
          <w:sz w:val="22"/>
          <w:szCs w:val="22"/>
        </w:rPr>
        <w:t xml:space="preserve"> 11; 113949232-113949232). </w:t>
      </w:r>
      <w:r>
        <w:rPr>
          <w:sz w:val="22"/>
          <w:szCs w:val="22"/>
        </w:rPr>
        <w:t xml:space="preserve">Member of the </w:t>
      </w:r>
      <w:proofErr w:type="spellStart"/>
      <w:r>
        <w:rPr>
          <w:sz w:val="22"/>
          <w:szCs w:val="22"/>
        </w:rPr>
        <w:t>Krueppel</w:t>
      </w:r>
      <w:proofErr w:type="spellEnd"/>
      <w:r>
        <w:rPr>
          <w:sz w:val="22"/>
          <w:szCs w:val="22"/>
        </w:rPr>
        <w:t xml:space="preserve"> C2H2-type zinc-finger protein family and encodes a zinc finger transcription factor that contains nine </w:t>
      </w:r>
      <w:proofErr w:type="spellStart"/>
      <w:r>
        <w:rPr>
          <w:sz w:val="22"/>
          <w:szCs w:val="22"/>
        </w:rPr>
        <w:t>Kruppel</w:t>
      </w:r>
      <w:proofErr w:type="spellEnd"/>
      <w:r>
        <w:rPr>
          <w:sz w:val="22"/>
          <w:szCs w:val="22"/>
        </w:rPr>
        <w:t>-type zinc finger domains at the carboxyl terminus. This protein is located in the nucleus and is involved in cell cycle progression. The zinc finger protein has a pro-apoptotic and anti-proliferative activity and has been marked as an androgen-responsive gene with anti-proliferative activity in prostate cancer cells</w:t>
      </w:r>
      <w:r w:rsidR="00D56017">
        <w:rPr>
          <w:sz w:val="22"/>
          <w:szCs w:val="22"/>
        </w:rPr>
        <w:t>.</w:t>
      </w:r>
      <w:r>
        <w:rPr>
          <w:sz w:val="22"/>
          <w:szCs w:val="22"/>
          <w:vertAlign w:val="superscript"/>
        </w:rPr>
        <w:t>23</w:t>
      </w:r>
      <w:r>
        <w:rPr>
          <w:sz w:val="22"/>
          <w:szCs w:val="22"/>
        </w:rPr>
        <w:t xml:space="preserve"> PLZF binds to the GATA4 gene regulatory region and activates GATA4 transcription and mediates cardiac hypertrophic </w:t>
      </w:r>
      <w:proofErr w:type="spellStart"/>
      <w:r>
        <w:rPr>
          <w:sz w:val="22"/>
          <w:szCs w:val="22"/>
        </w:rPr>
        <w:t>signaling</w:t>
      </w:r>
      <w:proofErr w:type="spellEnd"/>
      <w:r>
        <w:rPr>
          <w:sz w:val="22"/>
          <w:szCs w:val="22"/>
        </w:rPr>
        <w:t xml:space="preserve"> from angiotensin II receptor 2</w:t>
      </w:r>
      <w:r w:rsidR="00D56017">
        <w:rPr>
          <w:sz w:val="22"/>
          <w:szCs w:val="22"/>
        </w:rPr>
        <w:t>.</w:t>
      </w:r>
      <w:r>
        <w:rPr>
          <w:sz w:val="22"/>
          <w:szCs w:val="22"/>
          <w:vertAlign w:val="superscript"/>
        </w:rPr>
        <w:t>24</w:t>
      </w:r>
      <w:r>
        <w:rPr>
          <w:sz w:val="22"/>
          <w:szCs w:val="22"/>
        </w:rPr>
        <w:t xml:space="preserve"> The loss of PLZF has been related to increased proliferation, invasiveness and motility, and resistance to apoptosis in different cancer cell types</w:t>
      </w:r>
      <w:r w:rsidR="00D56017">
        <w:rPr>
          <w:sz w:val="22"/>
          <w:szCs w:val="22"/>
        </w:rPr>
        <w:t>.</w:t>
      </w:r>
      <w:r>
        <w:rPr>
          <w:sz w:val="22"/>
          <w:szCs w:val="22"/>
          <w:vertAlign w:val="superscript"/>
        </w:rPr>
        <w:t>110</w:t>
      </w:r>
      <w:r>
        <w:rPr>
          <w:sz w:val="22"/>
          <w:szCs w:val="22"/>
        </w:rPr>
        <w:t xml:space="preserve"> PLZF is considered a </w:t>
      </w:r>
      <w:proofErr w:type="spellStart"/>
      <w:r>
        <w:rPr>
          <w:sz w:val="22"/>
          <w:szCs w:val="22"/>
        </w:rPr>
        <w:t>tumor</w:t>
      </w:r>
      <w:proofErr w:type="spellEnd"/>
      <w:r>
        <w:rPr>
          <w:sz w:val="22"/>
          <w:szCs w:val="22"/>
        </w:rPr>
        <w:t xml:space="preserve"> suppressor gene in various cell types and tissues. Up-regulated during </w:t>
      </w:r>
      <w:r>
        <w:rPr>
          <w:sz w:val="22"/>
          <w:szCs w:val="22"/>
        </w:rPr>
        <w:lastRenderedPageBreak/>
        <w:t xml:space="preserve">adipocyte differentiation </w:t>
      </w:r>
      <w:r>
        <w:rPr>
          <w:i/>
          <w:sz w:val="22"/>
          <w:szCs w:val="22"/>
        </w:rPr>
        <w:t>in vitro</w:t>
      </w:r>
      <w:r w:rsidR="00D56017">
        <w:rPr>
          <w:i/>
          <w:sz w:val="22"/>
          <w:szCs w:val="22"/>
        </w:rPr>
        <w:t>.</w:t>
      </w:r>
      <w:r>
        <w:rPr>
          <w:sz w:val="22"/>
          <w:szCs w:val="22"/>
          <w:vertAlign w:val="superscript"/>
        </w:rPr>
        <w:t>25</w:t>
      </w:r>
      <w:r>
        <w:rPr>
          <w:sz w:val="22"/>
          <w:szCs w:val="22"/>
        </w:rPr>
        <w:t xml:space="preserve"> Involved in control of early stages of spermatogenesis</w:t>
      </w:r>
      <w:r w:rsidR="008068DC">
        <w:rPr>
          <w:sz w:val="22"/>
          <w:szCs w:val="22"/>
        </w:rPr>
        <w:t>,</w:t>
      </w:r>
      <w:r>
        <w:rPr>
          <w:sz w:val="22"/>
          <w:szCs w:val="22"/>
          <w:vertAlign w:val="superscript"/>
        </w:rPr>
        <w:t>26</w:t>
      </w:r>
      <w:r>
        <w:rPr>
          <w:sz w:val="22"/>
          <w:szCs w:val="22"/>
        </w:rPr>
        <w:t xml:space="preserve"> and critical for endometrial stromal cell decidualization</w:t>
      </w:r>
      <w:r w:rsidR="00D56017">
        <w:rPr>
          <w:sz w:val="22"/>
          <w:szCs w:val="22"/>
        </w:rPr>
        <w:t>.</w:t>
      </w:r>
      <w:r>
        <w:rPr>
          <w:sz w:val="22"/>
          <w:szCs w:val="22"/>
          <w:vertAlign w:val="superscript"/>
        </w:rPr>
        <w:t>27</w:t>
      </w:r>
    </w:p>
    <w:p w14:paraId="543B3E4D" w14:textId="77777777" w:rsidR="007022C5" w:rsidRDefault="00AA4D5C">
      <w:pPr>
        <w:ind w:hanging="420"/>
        <w:jc w:val="both"/>
        <w:rPr>
          <w:b/>
          <w:sz w:val="22"/>
          <w:szCs w:val="22"/>
        </w:rPr>
      </w:pPr>
      <w:r>
        <w:rPr>
          <w:b/>
          <w:sz w:val="22"/>
          <w:szCs w:val="22"/>
        </w:rPr>
        <w:t xml:space="preserve"> </w:t>
      </w:r>
    </w:p>
    <w:p w14:paraId="7FD1F81F" w14:textId="60444ED4" w:rsidR="007022C5" w:rsidRDefault="00AA4D5C">
      <w:pPr>
        <w:jc w:val="both"/>
        <w:rPr>
          <w:sz w:val="22"/>
          <w:szCs w:val="22"/>
        </w:rPr>
      </w:pPr>
      <w:r>
        <w:rPr>
          <w:b/>
          <w:sz w:val="22"/>
          <w:szCs w:val="22"/>
        </w:rPr>
        <w:t>14.</w:t>
      </w:r>
      <w:r>
        <w:rPr>
          <w:sz w:val="22"/>
          <w:szCs w:val="22"/>
        </w:rPr>
        <w:tab/>
      </w:r>
      <w:r>
        <w:rPr>
          <w:b/>
          <w:sz w:val="22"/>
          <w:szCs w:val="22"/>
        </w:rPr>
        <w:t xml:space="preserve">ERBB3 (erb-b2 receptor tyrosine kinase 3; also known as HER3): Located at 12q13. </w:t>
      </w:r>
      <w:r>
        <w:rPr>
          <w:sz w:val="22"/>
          <w:szCs w:val="22"/>
        </w:rPr>
        <w:t>A member of the EGFR family of receptor tyrosine kinases (</w:t>
      </w:r>
      <w:proofErr w:type="spellStart"/>
      <w:r>
        <w:rPr>
          <w:sz w:val="22"/>
          <w:szCs w:val="22"/>
        </w:rPr>
        <w:t>RefSeq</w:t>
      </w:r>
      <w:proofErr w:type="spellEnd"/>
      <w:r>
        <w:rPr>
          <w:sz w:val="22"/>
          <w:szCs w:val="22"/>
        </w:rPr>
        <w:t>). The ERBB3 gene is a potential susceptibility locus for T1D and has also been associated with PCOS</w:t>
      </w:r>
      <w:r w:rsidR="00D56017">
        <w:rPr>
          <w:sz w:val="22"/>
          <w:szCs w:val="22"/>
        </w:rPr>
        <w:t>.</w:t>
      </w:r>
      <w:r>
        <w:rPr>
          <w:color w:val="454545"/>
          <w:sz w:val="22"/>
          <w:szCs w:val="22"/>
          <w:vertAlign w:val="superscript"/>
        </w:rPr>
        <w:t>15,111</w:t>
      </w:r>
      <w:r>
        <w:rPr>
          <w:sz w:val="22"/>
          <w:szCs w:val="22"/>
        </w:rPr>
        <w:t xml:space="preserve"> ERBB4 together with ERBB3-binding protein 1 may modulate the protein cascade that leads to differentiation of ovarian somatic cells. ERBB3 interacts with the YAP protein in the Hippo pathway and is implicated in ovarian cell tumors</w:t>
      </w:r>
      <w:r w:rsidR="00D56017">
        <w:rPr>
          <w:sz w:val="22"/>
          <w:szCs w:val="22"/>
        </w:rPr>
        <w:t>.</w:t>
      </w:r>
      <w:r>
        <w:rPr>
          <w:sz w:val="22"/>
          <w:szCs w:val="22"/>
          <w:vertAlign w:val="superscript"/>
        </w:rPr>
        <w:t>112</w:t>
      </w:r>
      <w:r>
        <w:rPr>
          <w:sz w:val="22"/>
          <w:szCs w:val="22"/>
        </w:rPr>
        <w:t xml:space="preserve"> The same region also includes RAB5B and a SNP in this region has been associated with response to glycose stimulation</w:t>
      </w:r>
      <w:r w:rsidR="00D56017">
        <w:rPr>
          <w:sz w:val="22"/>
          <w:szCs w:val="22"/>
        </w:rPr>
        <w:t>.</w:t>
      </w:r>
      <w:r>
        <w:rPr>
          <w:color w:val="454545"/>
          <w:sz w:val="22"/>
          <w:szCs w:val="22"/>
          <w:vertAlign w:val="superscript"/>
        </w:rPr>
        <w:t>113</w:t>
      </w:r>
    </w:p>
    <w:p w14:paraId="3528A989" w14:textId="77777777" w:rsidR="007022C5" w:rsidRDefault="00AA4D5C">
      <w:pPr>
        <w:ind w:hanging="420"/>
        <w:jc w:val="both"/>
        <w:rPr>
          <w:b/>
          <w:sz w:val="22"/>
          <w:szCs w:val="22"/>
        </w:rPr>
      </w:pPr>
      <w:r>
        <w:rPr>
          <w:b/>
          <w:sz w:val="22"/>
          <w:szCs w:val="22"/>
        </w:rPr>
        <w:t xml:space="preserve"> </w:t>
      </w:r>
    </w:p>
    <w:p w14:paraId="73FCB260" w14:textId="20A7503F" w:rsidR="007022C5" w:rsidRDefault="00AA4D5C">
      <w:pPr>
        <w:jc w:val="both"/>
        <w:rPr>
          <w:sz w:val="22"/>
          <w:szCs w:val="22"/>
        </w:rPr>
      </w:pPr>
      <w:r>
        <w:rPr>
          <w:b/>
          <w:sz w:val="22"/>
          <w:szCs w:val="22"/>
        </w:rPr>
        <w:t>15.</w:t>
      </w:r>
      <w:r>
        <w:rPr>
          <w:sz w:val="22"/>
          <w:szCs w:val="22"/>
        </w:rPr>
        <w:tab/>
      </w:r>
      <w:r>
        <w:rPr>
          <w:b/>
          <w:sz w:val="22"/>
          <w:szCs w:val="22"/>
        </w:rPr>
        <w:t xml:space="preserve">RAB5B (Member of the RAS oncogene family): Located at 12q13. </w:t>
      </w:r>
      <w:r>
        <w:rPr>
          <w:sz w:val="22"/>
          <w:szCs w:val="22"/>
        </w:rPr>
        <w:t>Member of the RAS oncogene family. RAB5B is an isoform of RAB5, a member of the small G protein family. Rab5 regulates fusion and motility of early endosomes, and is a marker of the early endosome compartment</w:t>
      </w:r>
      <w:r w:rsidR="00D56017">
        <w:rPr>
          <w:sz w:val="22"/>
          <w:szCs w:val="22"/>
        </w:rPr>
        <w:t>.</w:t>
      </w:r>
      <w:r>
        <w:rPr>
          <w:sz w:val="22"/>
          <w:szCs w:val="22"/>
          <w:vertAlign w:val="superscript"/>
        </w:rPr>
        <w:t>114</w:t>
      </w:r>
      <w:r>
        <w:rPr>
          <w:sz w:val="22"/>
          <w:szCs w:val="22"/>
        </w:rPr>
        <w:t xml:space="preserve"> Endogenous Rab5B may work in conjunction or in sequence with Rab5A to facilitate the trafficking of EGFR</w:t>
      </w:r>
      <w:r w:rsidR="00D56017">
        <w:rPr>
          <w:sz w:val="22"/>
          <w:szCs w:val="22"/>
        </w:rPr>
        <w:t>.</w:t>
      </w:r>
      <w:r>
        <w:rPr>
          <w:sz w:val="22"/>
          <w:szCs w:val="22"/>
          <w:vertAlign w:val="superscript"/>
        </w:rPr>
        <w:t>115</w:t>
      </w:r>
      <w:r>
        <w:rPr>
          <w:sz w:val="22"/>
          <w:szCs w:val="22"/>
        </w:rPr>
        <w:t xml:space="preserve"> RAB5b has previously been identified in PCOS in women of Han Chinese and European descent</w:t>
      </w:r>
      <w:r w:rsidR="008068DC">
        <w:rPr>
          <w:sz w:val="22"/>
          <w:szCs w:val="22"/>
        </w:rPr>
        <w:t>.</w:t>
      </w:r>
      <w:r>
        <w:rPr>
          <w:sz w:val="22"/>
          <w:szCs w:val="22"/>
          <w:vertAlign w:val="superscript"/>
        </w:rPr>
        <w:t>109</w:t>
      </w:r>
      <w:r>
        <w:rPr>
          <w:sz w:val="22"/>
          <w:szCs w:val="22"/>
        </w:rPr>
        <w:t xml:space="preserve"> A variant near this gene has been associated with insulin and glucose levels</w:t>
      </w:r>
      <w:r w:rsidR="00D56017">
        <w:rPr>
          <w:sz w:val="22"/>
          <w:szCs w:val="22"/>
        </w:rPr>
        <w:t>.</w:t>
      </w:r>
      <w:r>
        <w:rPr>
          <w:sz w:val="22"/>
          <w:szCs w:val="22"/>
          <w:vertAlign w:val="superscript"/>
        </w:rPr>
        <w:t>113</w:t>
      </w:r>
      <w:r>
        <w:rPr>
          <w:sz w:val="22"/>
          <w:szCs w:val="22"/>
        </w:rPr>
        <w:t xml:space="preserve"> It has been suggested that </w:t>
      </w:r>
      <w:r>
        <w:rPr>
          <w:i/>
          <w:sz w:val="22"/>
          <w:szCs w:val="22"/>
        </w:rPr>
        <w:t>DENND1A, LHCGR, INSR</w:t>
      </w:r>
      <w:r>
        <w:rPr>
          <w:sz w:val="22"/>
          <w:szCs w:val="22"/>
        </w:rPr>
        <w:t xml:space="preserve">, and </w:t>
      </w:r>
      <w:r>
        <w:rPr>
          <w:i/>
          <w:sz w:val="22"/>
          <w:szCs w:val="22"/>
        </w:rPr>
        <w:t>RAB5B</w:t>
      </w:r>
      <w:r>
        <w:rPr>
          <w:sz w:val="22"/>
          <w:szCs w:val="22"/>
        </w:rPr>
        <w:t xml:space="preserve"> form a hierarchical </w:t>
      </w:r>
      <w:proofErr w:type="spellStart"/>
      <w:r>
        <w:rPr>
          <w:sz w:val="22"/>
          <w:szCs w:val="22"/>
        </w:rPr>
        <w:t>signaling</w:t>
      </w:r>
      <w:proofErr w:type="spellEnd"/>
      <w:r>
        <w:rPr>
          <w:sz w:val="22"/>
          <w:szCs w:val="22"/>
        </w:rPr>
        <w:t xml:space="preserve"> network that can influence androgen synthesis</w:t>
      </w:r>
      <w:r w:rsidR="00D56017">
        <w:rPr>
          <w:sz w:val="22"/>
          <w:szCs w:val="22"/>
        </w:rPr>
        <w:t>.</w:t>
      </w:r>
      <w:r>
        <w:rPr>
          <w:sz w:val="22"/>
          <w:szCs w:val="22"/>
          <w:vertAlign w:val="superscript"/>
        </w:rPr>
        <w:t>98</w:t>
      </w:r>
      <w:r>
        <w:rPr>
          <w:sz w:val="22"/>
          <w:szCs w:val="22"/>
        </w:rPr>
        <w:t xml:space="preserve"> Proposed to modify PCOS risk through metabolic mechanisms</w:t>
      </w:r>
      <w:r w:rsidR="008068DC">
        <w:rPr>
          <w:sz w:val="22"/>
          <w:szCs w:val="22"/>
        </w:rPr>
        <w:t>.</w:t>
      </w:r>
      <w:r>
        <w:rPr>
          <w:sz w:val="22"/>
          <w:szCs w:val="22"/>
          <w:vertAlign w:val="superscript"/>
        </w:rPr>
        <w:t>76</w:t>
      </w:r>
      <w:r>
        <w:rPr>
          <w:sz w:val="22"/>
          <w:szCs w:val="22"/>
        </w:rPr>
        <w:t xml:space="preserve"> RAB5B shows lower expression levels in adipose tissue from PCOS women compared to healthy controls</w:t>
      </w:r>
      <w:r w:rsidR="00D56017">
        <w:rPr>
          <w:sz w:val="22"/>
          <w:szCs w:val="22"/>
        </w:rPr>
        <w:t>.</w:t>
      </w:r>
      <w:r>
        <w:rPr>
          <w:sz w:val="22"/>
          <w:szCs w:val="22"/>
          <w:vertAlign w:val="superscript"/>
        </w:rPr>
        <w:t>116</w:t>
      </w:r>
    </w:p>
    <w:p w14:paraId="40540343" w14:textId="77777777" w:rsidR="007022C5" w:rsidRDefault="00AA4D5C">
      <w:pPr>
        <w:ind w:hanging="420"/>
        <w:jc w:val="both"/>
        <w:rPr>
          <w:b/>
          <w:sz w:val="22"/>
          <w:szCs w:val="22"/>
        </w:rPr>
      </w:pPr>
      <w:r>
        <w:rPr>
          <w:b/>
          <w:sz w:val="22"/>
          <w:szCs w:val="22"/>
        </w:rPr>
        <w:t xml:space="preserve"> </w:t>
      </w:r>
    </w:p>
    <w:p w14:paraId="720DFAE0" w14:textId="0023A4A3" w:rsidR="007022C5" w:rsidRDefault="00AA4D5C">
      <w:pPr>
        <w:jc w:val="both"/>
        <w:rPr>
          <w:sz w:val="22"/>
          <w:szCs w:val="22"/>
        </w:rPr>
      </w:pPr>
      <w:r>
        <w:rPr>
          <w:b/>
          <w:sz w:val="22"/>
          <w:szCs w:val="22"/>
        </w:rPr>
        <w:lastRenderedPageBreak/>
        <w:t>16.</w:t>
      </w:r>
      <w:r>
        <w:rPr>
          <w:sz w:val="22"/>
          <w:szCs w:val="22"/>
        </w:rPr>
        <w:t xml:space="preserve"> </w:t>
      </w:r>
      <w:r>
        <w:rPr>
          <w:b/>
          <w:sz w:val="22"/>
          <w:szCs w:val="22"/>
        </w:rPr>
        <w:t xml:space="preserve">KRR1 (KRR1, small subunit (SSU) </w:t>
      </w:r>
      <w:proofErr w:type="spellStart"/>
      <w:r>
        <w:rPr>
          <w:b/>
          <w:sz w:val="22"/>
          <w:szCs w:val="22"/>
        </w:rPr>
        <w:t>processome</w:t>
      </w:r>
      <w:proofErr w:type="spellEnd"/>
      <w:r>
        <w:rPr>
          <w:b/>
          <w:sz w:val="22"/>
          <w:szCs w:val="22"/>
        </w:rPr>
        <w:t xml:space="preserve"> component, homolog (yeast)): Located at 12q21.2 (</w:t>
      </w:r>
      <w:proofErr w:type="spellStart"/>
      <w:r>
        <w:rPr>
          <w:b/>
          <w:sz w:val="22"/>
          <w:szCs w:val="22"/>
        </w:rPr>
        <w:t>Chr</w:t>
      </w:r>
      <w:proofErr w:type="spellEnd"/>
      <w:r>
        <w:rPr>
          <w:b/>
          <w:sz w:val="22"/>
          <w:szCs w:val="22"/>
        </w:rPr>
        <w:t xml:space="preserve"> 12; 75941042-75941042). </w:t>
      </w:r>
      <w:r>
        <w:rPr>
          <w:sz w:val="22"/>
          <w:szCs w:val="22"/>
        </w:rPr>
        <w:t>Required for 40S ribosome biogenesis. Involved in nucleolar processing of pre-18S ribosomal RNA and ribosome assembly (inferred function based on sequence similarity)</w:t>
      </w:r>
      <w:r w:rsidR="004074B2">
        <w:rPr>
          <w:sz w:val="22"/>
          <w:szCs w:val="22"/>
        </w:rPr>
        <w:t>.</w:t>
      </w:r>
      <w:r>
        <w:rPr>
          <w:sz w:val="22"/>
          <w:szCs w:val="22"/>
          <w:vertAlign w:val="superscript"/>
        </w:rPr>
        <w:t>82</w:t>
      </w:r>
      <w:r>
        <w:rPr>
          <w:sz w:val="22"/>
          <w:szCs w:val="22"/>
        </w:rPr>
        <w:t xml:space="preserve"> The region also includes the testosterone- and </w:t>
      </w:r>
      <w:proofErr w:type="spellStart"/>
      <w:r>
        <w:rPr>
          <w:sz w:val="22"/>
          <w:szCs w:val="22"/>
        </w:rPr>
        <w:t>estrogen</w:t>
      </w:r>
      <w:proofErr w:type="spellEnd"/>
      <w:r>
        <w:rPr>
          <w:sz w:val="22"/>
          <w:szCs w:val="22"/>
        </w:rPr>
        <w:t>-sensitive GLIPR1, GLIPR1L1 and GLIPR1L2 genes, which encode proteins involved in male germ cell maturation and sperm-oocyte binding</w:t>
      </w:r>
      <w:r w:rsidR="001A234B">
        <w:rPr>
          <w:sz w:val="22"/>
          <w:szCs w:val="22"/>
        </w:rPr>
        <w:t>.</w:t>
      </w:r>
      <w:r>
        <w:rPr>
          <w:sz w:val="22"/>
          <w:szCs w:val="22"/>
          <w:vertAlign w:val="superscript"/>
        </w:rPr>
        <w:t>117-119</w:t>
      </w:r>
      <w:r>
        <w:rPr>
          <w:sz w:val="22"/>
          <w:szCs w:val="22"/>
        </w:rPr>
        <w:t xml:space="preserve"> Proposed to modify PCOS risk through metabolic mechanisms</w:t>
      </w:r>
      <w:r w:rsidR="001A234B">
        <w:rPr>
          <w:sz w:val="22"/>
          <w:szCs w:val="22"/>
        </w:rPr>
        <w:t>.</w:t>
      </w:r>
      <w:r>
        <w:rPr>
          <w:sz w:val="22"/>
          <w:szCs w:val="22"/>
          <w:vertAlign w:val="superscript"/>
        </w:rPr>
        <w:t>76</w:t>
      </w:r>
    </w:p>
    <w:p w14:paraId="1D5E65E7" w14:textId="77777777" w:rsidR="007022C5" w:rsidRDefault="007022C5">
      <w:pPr>
        <w:ind w:hanging="360"/>
        <w:jc w:val="both"/>
        <w:rPr>
          <w:sz w:val="22"/>
          <w:szCs w:val="22"/>
        </w:rPr>
      </w:pPr>
    </w:p>
    <w:p w14:paraId="49781294" w14:textId="041D337F" w:rsidR="007022C5" w:rsidRDefault="00AA4D5C">
      <w:pPr>
        <w:jc w:val="both"/>
        <w:rPr>
          <w:sz w:val="22"/>
          <w:szCs w:val="22"/>
        </w:rPr>
      </w:pPr>
      <w:r>
        <w:rPr>
          <w:b/>
          <w:sz w:val="22"/>
          <w:szCs w:val="22"/>
        </w:rPr>
        <w:t>17.</w:t>
      </w:r>
      <w:r>
        <w:rPr>
          <w:sz w:val="22"/>
          <w:szCs w:val="22"/>
        </w:rPr>
        <w:tab/>
      </w:r>
      <w:r>
        <w:rPr>
          <w:b/>
          <w:sz w:val="22"/>
          <w:szCs w:val="22"/>
        </w:rPr>
        <w:t xml:space="preserve">TOX3 (TOX high mobility group box family member 3): Located at 16q12.1. </w:t>
      </w:r>
      <w:r>
        <w:rPr>
          <w:sz w:val="22"/>
          <w:szCs w:val="22"/>
        </w:rPr>
        <w:t>This gene regulates Ca2+-dependent neuronal transcription through interaction with the cAMP-response-element-binding protein (CREB)</w:t>
      </w:r>
      <w:r w:rsidR="001A234B">
        <w:rPr>
          <w:sz w:val="22"/>
          <w:szCs w:val="22"/>
        </w:rPr>
        <w:t>.</w:t>
      </w:r>
      <w:r>
        <w:rPr>
          <w:sz w:val="22"/>
          <w:szCs w:val="22"/>
          <w:vertAlign w:val="superscript"/>
        </w:rPr>
        <w:t>120</w:t>
      </w:r>
      <w:r>
        <w:rPr>
          <w:sz w:val="22"/>
          <w:szCs w:val="22"/>
        </w:rPr>
        <w:t xml:space="preserve"> The protein encoded by this gene contains an HMG-box, indicating that it may be involved in bending and unwinding of DNA and alteration of chromatin structure (</w:t>
      </w:r>
      <w:proofErr w:type="spellStart"/>
      <w:r>
        <w:rPr>
          <w:sz w:val="22"/>
          <w:szCs w:val="22"/>
        </w:rPr>
        <w:t>RefSeq</w:t>
      </w:r>
      <w:proofErr w:type="spellEnd"/>
      <w:r>
        <w:rPr>
          <w:sz w:val="22"/>
          <w:szCs w:val="22"/>
        </w:rPr>
        <w:t xml:space="preserve">). The C-terminus of the encoded protein is glutamine-rich due to CAG repeats in the coding sequence. A minor allele of this gene has been implicated in an elevated risk of breast cancer. In normal human tissues, TOX3 is largely expressed in the central nervous system (CNS), in the ileum, and within the brain in the frontal and occipital lobe. TOX3 overexpression induces transcription involving isolated </w:t>
      </w:r>
      <w:proofErr w:type="spellStart"/>
      <w:r>
        <w:rPr>
          <w:sz w:val="22"/>
          <w:szCs w:val="22"/>
        </w:rPr>
        <w:t>estrogen</w:t>
      </w:r>
      <w:proofErr w:type="spellEnd"/>
      <w:r>
        <w:rPr>
          <w:sz w:val="22"/>
          <w:szCs w:val="22"/>
        </w:rPr>
        <w:t xml:space="preserve">-responsive elements and </w:t>
      </w:r>
      <w:proofErr w:type="spellStart"/>
      <w:r>
        <w:rPr>
          <w:sz w:val="22"/>
          <w:szCs w:val="22"/>
        </w:rPr>
        <w:t>estrogen</w:t>
      </w:r>
      <w:proofErr w:type="spellEnd"/>
      <w:r>
        <w:rPr>
          <w:sz w:val="22"/>
          <w:szCs w:val="22"/>
        </w:rPr>
        <w:t>-responsive promoters, and protects neuronal cells from cell death caused by endoplasmic reticulum stress or BAX overexpression</w:t>
      </w:r>
      <w:r w:rsidR="001A234B">
        <w:rPr>
          <w:sz w:val="22"/>
          <w:szCs w:val="22"/>
        </w:rPr>
        <w:t>.</w:t>
      </w:r>
      <w:r>
        <w:rPr>
          <w:sz w:val="22"/>
          <w:szCs w:val="22"/>
          <w:vertAlign w:val="superscript"/>
        </w:rPr>
        <w:t>120</w:t>
      </w:r>
      <w:r>
        <w:rPr>
          <w:sz w:val="22"/>
          <w:szCs w:val="22"/>
        </w:rPr>
        <w:t xml:space="preserve"> </w:t>
      </w:r>
      <w:r>
        <w:rPr>
          <w:i/>
          <w:sz w:val="22"/>
          <w:szCs w:val="22"/>
        </w:rPr>
        <w:t>TOX3</w:t>
      </w:r>
      <w:r>
        <w:rPr>
          <w:sz w:val="22"/>
          <w:szCs w:val="22"/>
        </w:rPr>
        <w:t xml:space="preserve"> has been highlighted as a potential PCOS susceptibility locus before and there is evidence it may modify the </w:t>
      </w:r>
      <w:proofErr w:type="spellStart"/>
      <w:r>
        <w:rPr>
          <w:sz w:val="22"/>
          <w:szCs w:val="22"/>
        </w:rPr>
        <w:t>hyperandrogenemic</w:t>
      </w:r>
      <w:proofErr w:type="spellEnd"/>
      <w:r>
        <w:rPr>
          <w:sz w:val="22"/>
          <w:szCs w:val="22"/>
        </w:rPr>
        <w:t xml:space="preserve"> aspects of the syndrome</w:t>
      </w:r>
      <w:r w:rsidR="001A234B">
        <w:rPr>
          <w:sz w:val="22"/>
          <w:szCs w:val="22"/>
        </w:rPr>
        <w:t>.</w:t>
      </w:r>
      <w:r>
        <w:rPr>
          <w:sz w:val="22"/>
          <w:szCs w:val="22"/>
          <w:vertAlign w:val="superscript"/>
        </w:rPr>
        <w:t>15,121</w:t>
      </w:r>
      <w:r>
        <w:rPr>
          <w:sz w:val="22"/>
          <w:szCs w:val="22"/>
        </w:rPr>
        <w:t xml:space="preserve"> Proposed to modify PCOS risk through inflammatory mechanisms</w:t>
      </w:r>
      <w:r w:rsidR="001A234B">
        <w:rPr>
          <w:sz w:val="22"/>
          <w:szCs w:val="22"/>
        </w:rPr>
        <w:t>.</w:t>
      </w:r>
      <w:r>
        <w:rPr>
          <w:sz w:val="22"/>
          <w:szCs w:val="22"/>
          <w:vertAlign w:val="superscript"/>
        </w:rPr>
        <w:t>76</w:t>
      </w:r>
    </w:p>
    <w:p w14:paraId="1E6D926E" w14:textId="77777777" w:rsidR="007022C5" w:rsidRDefault="00AA4D5C">
      <w:pPr>
        <w:ind w:hanging="420"/>
        <w:jc w:val="both"/>
        <w:rPr>
          <w:b/>
          <w:sz w:val="22"/>
          <w:szCs w:val="22"/>
        </w:rPr>
      </w:pPr>
      <w:r>
        <w:rPr>
          <w:b/>
          <w:sz w:val="22"/>
          <w:szCs w:val="22"/>
        </w:rPr>
        <w:t xml:space="preserve"> </w:t>
      </w:r>
    </w:p>
    <w:p w14:paraId="6C97578E" w14:textId="7C9C2E7D" w:rsidR="007022C5" w:rsidRDefault="00AA4D5C">
      <w:pPr>
        <w:jc w:val="both"/>
        <w:rPr>
          <w:sz w:val="22"/>
          <w:szCs w:val="22"/>
        </w:rPr>
      </w:pPr>
      <w:r>
        <w:rPr>
          <w:b/>
          <w:sz w:val="22"/>
          <w:szCs w:val="22"/>
        </w:rPr>
        <w:lastRenderedPageBreak/>
        <w:t>18.</w:t>
      </w:r>
      <w:r>
        <w:rPr>
          <w:sz w:val="22"/>
          <w:szCs w:val="22"/>
        </w:rPr>
        <w:tab/>
      </w:r>
      <w:r>
        <w:rPr>
          <w:b/>
          <w:sz w:val="22"/>
          <w:szCs w:val="22"/>
        </w:rPr>
        <w:t>MAPRE1 (Microtubule-associated protein, RP/EB family, member 1, also known as EB1): Located at 20q11.1-q11.23 (</w:t>
      </w:r>
      <w:proofErr w:type="spellStart"/>
      <w:r>
        <w:rPr>
          <w:b/>
          <w:sz w:val="22"/>
          <w:szCs w:val="22"/>
        </w:rPr>
        <w:t>Chr</w:t>
      </w:r>
      <w:proofErr w:type="spellEnd"/>
      <w:r>
        <w:rPr>
          <w:b/>
          <w:sz w:val="22"/>
          <w:szCs w:val="22"/>
        </w:rPr>
        <w:t xml:space="preserve"> 20; 31420757-31420757).</w:t>
      </w:r>
      <w:r>
        <w:rPr>
          <w:sz w:val="22"/>
          <w:szCs w:val="22"/>
        </w:rPr>
        <w:t xml:space="preserve"> EB1 interacts with the low-density lipoprotein receptor related protein 1 (LRP1), which controls adipogenesis</w:t>
      </w:r>
      <w:r>
        <w:rPr>
          <w:sz w:val="22"/>
          <w:szCs w:val="22"/>
          <w:vertAlign w:val="superscript"/>
        </w:rPr>
        <w:t>28</w:t>
      </w:r>
      <w:r>
        <w:rPr>
          <w:sz w:val="22"/>
          <w:szCs w:val="22"/>
        </w:rPr>
        <w:t xml:space="preserve"> and may additionally mediate ovarian angiogenesis and follicle development</w:t>
      </w:r>
      <w:r w:rsidR="001A234B">
        <w:rPr>
          <w:sz w:val="22"/>
          <w:szCs w:val="22"/>
        </w:rPr>
        <w:t>.</w:t>
      </w:r>
      <w:r>
        <w:rPr>
          <w:sz w:val="22"/>
          <w:szCs w:val="22"/>
          <w:vertAlign w:val="superscript"/>
        </w:rPr>
        <w:t>29</w:t>
      </w:r>
      <w:r>
        <w:rPr>
          <w:sz w:val="22"/>
          <w:szCs w:val="22"/>
        </w:rPr>
        <w:t xml:space="preserve"> EB1 binds to the plus end of microtubules and regulates the dynamics of the microtubule cytoskeleton</w:t>
      </w:r>
      <w:r w:rsidR="001A234B">
        <w:rPr>
          <w:sz w:val="22"/>
          <w:szCs w:val="22"/>
        </w:rPr>
        <w:t>.</w:t>
      </w:r>
      <w:r>
        <w:rPr>
          <w:sz w:val="22"/>
          <w:szCs w:val="22"/>
          <w:vertAlign w:val="superscript"/>
        </w:rPr>
        <w:t>82</w:t>
      </w:r>
      <w:r>
        <w:rPr>
          <w:sz w:val="22"/>
          <w:szCs w:val="22"/>
        </w:rPr>
        <w:t xml:space="preserve"> It is thought that this protein is involved in suppression of microtubule dynamic instability, regulation of microtubule polymerization and spindle function, and chromosome stability (</w:t>
      </w:r>
      <w:proofErr w:type="spellStart"/>
      <w:r>
        <w:rPr>
          <w:sz w:val="22"/>
          <w:szCs w:val="22"/>
        </w:rPr>
        <w:t>RefSeq</w:t>
      </w:r>
      <w:proofErr w:type="spellEnd"/>
      <w:r>
        <w:rPr>
          <w:sz w:val="22"/>
          <w:szCs w:val="22"/>
        </w:rPr>
        <w:t>).</w:t>
      </w:r>
    </w:p>
    <w:p w14:paraId="0506DB60" w14:textId="77777777" w:rsidR="007022C5" w:rsidRDefault="00AA4D5C">
      <w:pPr>
        <w:ind w:hanging="420"/>
        <w:jc w:val="both"/>
        <w:rPr>
          <w:b/>
          <w:sz w:val="22"/>
          <w:szCs w:val="22"/>
        </w:rPr>
      </w:pPr>
      <w:r>
        <w:rPr>
          <w:b/>
          <w:sz w:val="22"/>
          <w:szCs w:val="22"/>
        </w:rPr>
        <w:t xml:space="preserve"> </w:t>
      </w:r>
    </w:p>
    <w:p w14:paraId="731A9DDB" w14:textId="74CC0B23" w:rsidR="007022C5" w:rsidRDefault="00AA4D5C">
      <w:pPr>
        <w:jc w:val="both"/>
        <w:rPr>
          <w:sz w:val="22"/>
          <w:szCs w:val="22"/>
        </w:rPr>
      </w:pPr>
      <w:r>
        <w:rPr>
          <w:b/>
          <w:sz w:val="22"/>
          <w:szCs w:val="22"/>
        </w:rPr>
        <w:t>19.</w:t>
      </w:r>
      <w:r>
        <w:rPr>
          <w:b/>
          <w:sz w:val="22"/>
          <w:szCs w:val="22"/>
        </w:rPr>
        <w:tab/>
        <w:t>ARSD (arylsulfatase D): Located at Xp22.3 (X-chromosome; 2846021-2846021).</w:t>
      </w:r>
      <w:r>
        <w:rPr>
          <w:sz w:val="22"/>
          <w:szCs w:val="22"/>
        </w:rPr>
        <w:t xml:space="preserve"> ARSD is a member of the sulfatase family and located within a cluster of similar arylsulfatase genes on chromosome X. The encoded proteins are essential for the correct composition of bone and cartilage matrix (</w:t>
      </w:r>
      <w:proofErr w:type="spellStart"/>
      <w:r>
        <w:rPr>
          <w:sz w:val="22"/>
          <w:szCs w:val="22"/>
        </w:rPr>
        <w:t>RefSeq</w:t>
      </w:r>
      <w:proofErr w:type="spellEnd"/>
      <w:r>
        <w:rPr>
          <w:sz w:val="22"/>
          <w:szCs w:val="22"/>
        </w:rPr>
        <w:t xml:space="preserve">, </w:t>
      </w:r>
      <w:proofErr w:type="spellStart"/>
      <w:r>
        <w:rPr>
          <w:sz w:val="22"/>
          <w:szCs w:val="22"/>
        </w:rPr>
        <w:t>GeneNetwork</w:t>
      </w:r>
      <w:proofErr w:type="spellEnd"/>
      <w:r>
        <w:rPr>
          <w:sz w:val="22"/>
          <w:szCs w:val="22"/>
        </w:rPr>
        <w:t xml:space="preserve">, USCS). This gene has been marked as a prognostic marker in chronic lymphocytic </w:t>
      </w:r>
      <w:proofErr w:type="spellStart"/>
      <w:r>
        <w:rPr>
          <w:sz w:val="22"/>
          <w:szCs w:val="22"/>
        </w:rPr>
        <w:t>leukemia</w:t>
      </w:r>
      <w:proofErr w:type="spellEnd"/>
      <w:r>
        <w:rPr>
          <w:sz w:val="22"/>
          <w:szCs w:val="22"/>
        </w:rPr>
        <w:t xml:space="preserve"> and has been suggested as a biological mechanism in </w:t>
      </w:r>
      <w:proofErr w:type="spellStart"/>
      <w:r>
        <w:rPr>
          <w:sz w:val="22"/>
          <w:szCs w:val="22"/>
        </w:rPr>
        <w:t>chroinic</w:t>
      </w:r>
      <w:proofErr w:type="spellEnd"/>
      <w:r>
        <w:rPr>
          <w:sz w:val="22"/>
          <w:szCs w:val="22"/>
        </w:rPr>
        <w:t xml:space="preserve"> lymphocytic </w:t>
      </w:r>
      <w:proofErr w:type="spellStart"/>
      <w:r>
        <w:rPr>
          <w:sz w:val="22"/>
          <w:szCs w:val="22"/>
        </w:rPr>
        <w:t>leukemia</w:t>
      </w:r>
      <w:proofErr w:type="spellEnd"/>
      <w:r>
        <w:rPr>
          <w:sz w:val="22"/>
          <w:szCs w:val="22"/>
        </w:rPr>
        <w:t xml:space="preserve"> </w:t>
      </w:r>
      <w:r w:rsidR="001A234B">
        <w:rPr>
          <w:sz w:val="22"/>
          <w:szCs w:val="22"/>
        </w:rPr>
        <w:t>–</w:t>
      </w:r>
      <w:r>
        <w:rPr>
          <w:sz w:val="22"/>
          <w:szCs w:val="22"/>
        </w:rPr>
        <w:t xml:space="preserve"> CLL</w:t>
      </w:r>
      <w:r w:rsidR="001A234B">
        <w:rPr>
          <w:sz w:val="22"/>
          <w:szCs w:val="22"/>
        </w:rPr>
        <w:t>.</w:t>
      </w:r>
      <w:r>
        <w:rPr>
          <w:sz w:val="22"/>
          <w:szCs w:val="22"/>
          <w:vertAlign w:val="superscript"/>
        </w:rPr>
        <w:t>122</w:t>
      </w:r>
      <w:r>
        <w:rPr>
          <w:sz w:val="22"/>
          <w:szCs w:val="22"/>
        </w:rPr>
        <w:t xml:space="preserve"> The Xp22.3 region also includes the gene for </w:t>
      </w:r>
      <w:proofErr w:type="spellStart"/>
      <w:r>
        <w:rPr>
          <w:sz w:val="22"/>
          <w:szCs w:val="22"/>
        </w:rPr>
        <w:t>glycogenin</w:t>
      </w:r>
      <w:proofErr w:type="spellEnd"/>
      <w:r>
        <w:rPr>
          <w:sz w:val="22"/>
          <w:szCs w:val="22"/>
        </w:rPr>
        <w:t xml:space="preserve"> 2 (GYG2), which is involved in glycogen biosynthesis and blood glucose homeostasis. It has been shown that glycogen biosynthesis pathways are impaired in PCOS</w:t>
      </w:r>
      <w:r w:rsidR="001A234B">
        <w:rPr>
          <w:sz w:val="22"/>
          <w:szCs w:val="22"/>
        </w:rPr>
        <w:t>.</w:t>
      </w:r>
      <w:r>
        <w:rPr>
          <w:sz w:val="22"/>
          <w:szCs w:val="22"/>
          <w:vertAlign w:val="superscript"/>
        </w:rPr>
        <w:t>123,124</w:t>
      </w:r>
      <w:r>
        <w:rPr>
          <w:sz w:val="22"/>
          <w:szCs w:val="22"/>
        </w:rPr>
        <w:t xml:space="preserve"> </w:t>
      </w:r>
    </w:p>
    <w:p w14:paraId="5F26CC4C" w14:textId="77777777" w:rsidR="007022C5" w:rsidRDefault="00AA4D5C">
      <w:pPr>
        <w:pStyle w:val="Heading3"/>
        <w:jc w:val="both"/>
        <w:rPr>
          <w:b/>
          <w:sz w:val="22"/>
          <w:szCs w:val="22"/>
        </w:rPr>
      </w:pPr>
      <w:bookmarkStart w:id="4" w:name="_1v1yuxt" w:colFirst="0" w:colLast="0"/>
      <w:bookmarkEnd w:id="4"/>
      <w:r>
        <w:rPr>
          <w:b/>
          <w:sz w:val="22"/>
          <w:szCs w:val="22"/>
        </w:rPr>
        <w:t>Supplementary note on gene enrichment analysis.</w:t>
      </w:r>
    </w:p>
    <w:p w14:paraId="6E78759E" w14:textId="5D5EEA7F" w:rsidR="007022C5" w:rsidRDefault="00AA4D5C">
      <w:pPr>
        <w:jc w:val="both"/>
        <w:rPr>
          <w:sz w:val="22"/>
          <w:szCs w:val="22"/>
        </w:rPr>
      </w:pPr>
      <w:r>
        <w:rPr>
          <w:sz w:val="22"/>
          <w:szCs w:val="22"/>
        </w:rPr>
        <w:t>We used MAGENTA (Meta-analysis Gene-set Enrichment of Variant Associations; version 2.4;</w:t>
      </w:r>
      <w:r>
        <w:rPr>
          <w:sz w:val="22"/>
          <w:szCs w:val="22"/>
          <w:vertAlign w:val="superscript"/>
        </w:rPr>
        <w:t>125</w:t>
      </w:r>
      <w:r>
        <w:rPr>
          <w:sz w:val="22"/>
          <w:szCs w:val="22"/>
        </w:rPr>
        <w:t xml:space="preserve"> and DEPICT (Data-driven Expression-Prioritized Integration for Complex Traits; release 142 for 1000 Genomes imputed data;</w:t>
      </w:r>
      <w:r>
        <w:rPr>
          <w:sz w:val="22"/>
          <w:szCs w:val="22"/>
          <w:vertAlign w:val="superscript"/>
        </w:rPr>
        <w:t>126</w:t>
      </w:r>
      <w:r>
        <w:rPr>
          <w:sz w:val="22"/>
          <w:szCs w:val="22"/>
        </w:rPr>
        <w:t xml:space="preserve"> </w:t>
      </w:r>
      <w:r>
        <w:rPr>
          <w:sz w:val="22"/>
          <w:szCs w:val="22"/>
          <w:vertAlign w:val="superscript"/>
        </w:rPr>
        <w:t>127</w:t>
      </w:r>
      <w:r>
        <w:rPr>
          <w:sz w:val="22"/>
          <w:szCs w:val="22"/>
        </w:rPr>
        <w:t xml:space="preserve"> methods to specifically prioritize genes, pathways and tissues enriched in the genome-wide results of the PCOS meta-analysis. In brief, MAGENTA assesses the over-representation of genes with </w:t>
      </w:r>
      <w:r>
        <w:rPr>
          <w:sz w:val="22"/>
          <w:szCs w:val="22"/>
        </w:rPr>
        <w:lastRenderedPageBreak/>
        <w:t>low P-values in their locus across manually curated databases. For the MAGENTA analysis, curated gene-sets and Gene Ontology (GO) gene-sets were obtained from the Molecular Signatures Database (</w:t>
      </w:r>
      <w:proofErr w:type="spellStart"/>
      <w:r>
        <w:rPr>
          <w:sz w:val="22"/>
          <w:szCs w:val="22"/>
        </w:rPr>
        <w:t>MSigDB</w:t>
      </w:r>
      <w:proofErr w:type="spellEnd"/>
      <w:r>
        <w:rPr>
          <w:sz w:val="22"/>
          <w:szCs w:val="22"/>
        </w:rPr>
        <w:t xml:space="preserve"> release v4.0;</w:t>
      </w:r>
      <w:r>
        <w:rPr>
          <w:sz w:val="22"/>
          <w:szCs w:val="22"/>
          <w:vertAlign w:val="superscript"/>
        </w:rPr>
        <w:t>128</w:t>
      </w:r>
      <w:r>
        <w:rPr>
          <w:sz w:val="22"/>
          <w:szCs w:val="22"/>
        </w:rPr>
        <w:t xml:space="preserve">). DEPICT prioritizes genes in the associated loci, detects enriched pathways and tissues based on derived data sets based on patterns of co-expression and the expression levels of the genes at associated loci. Further, we performed functional annotation enrichment analysis using </w:t>
      </w:r>
      <w:proofErr w:type="spellStart"/>
      <w:r>
        <w:rPr>
          <w:sz w:val="22"/>
          <w:szCs w:val="22"/>
        </w:rPr>
        <w:t>GoShifter</w:t>
      </w:r>
      <w:proofErr w:type="spellEnd"/>
      <w:r>
        <w:rPr>
          <w:sz w:val="22"/>
          <w:szCs w:val="22"/>
        </w:rPr>
        <w:t xml:space="preserve"> (Genomic Annotation Shifter;</w:t>
      </w:r>
      <w:r>
        <w:rPr>
          <w:sz w:val="22"/>
          <w:szCs w:val="22"/>
          <w:vertAlign w:val="superscript"/>
        </w:rPr>
        <w:t>129</w:t>
      </w:r>
      <w:r>
        <w:rPr>
          <w:sz w:val="22"/>
          <w:szCs w:val="22"/>
        </w:rPr>
        <w:t>). Functional annotations used in these analyses were transcription factor binding sites (172 transcription factors)</w:t>
      </w:r>
      <w:r>
        <w:rPr>
          <w:sz w:val="22"/>
          <w:szCs w:val="22"/>
          <w:vertAlign w:val="superscript"/>
        </w:rPr>
        <w:t>130</w:t>
      </w:r>
      <w:r>
        <w:rPr>
          <w:sz w:val="22"/>
          <w:szCs w:val="22"/>
        </w:rPr>
        <w:t xml:space="preserve"> and chromatin states in different tissues (n=196)</w:t>
      </w:r>
      <w:r w:rsidR="001A234B">
        <w:rPr>
          <w:sz w:val="22"/>
          <w:szCs w:val="22"/>
        </w:rPr>
        <w:t>.</w:t>
      </w:r>
      <w:r>
        <w:rPr>
          <w:sz w:val="22"/>
          <w:szCs w:val="22"/>
          <w:vertAlign w:val="superscript"/>
        </w:rPr>
        <w:t>131</w:t>
      </w:r>
      <w:r>
        <w:rPr>
          <w:sz w:val="22"/>
          <w:szCs w:val="22"/>
        </w:rPr>
        <w:t xml:space="preserve"> We investigated whether the 14 PCOS-associated susceptibility variants detected in this study and the variants in LD with them (r</w:t>
      </w:r>
      <w:r>
        <w:rPr>
          <w:sz w:val="22"/>
          <w:szCs w:val="22"/>
          <w:vertAlign w:val="superscript"/>
        </w:rPr>
        <w:t>2</w:t>
      </w:r>
      <w:r>
        <w:rPr>
          <w:sz w:val="22"/>
          <w:szCs w:val="22"/>
        </w:rPr>
        <w:t xml:space="preserve">&gt;0.6) co-localized with specific functional annotations. The results from gene set analysis did not show results that we found particularly trustworthy, and the methods of MAGENTA have been criticized elsewhere so these are only reported in the supplement. No individual pathway appeared to be significant. </w:t>
      </w:r>
      <w:proofErr w:type="spellStart"/>
      <w:r>
        <w:rPr>
          <w:sz w:val="22"/>
          <w:szCs w:val="22"/>
        </w:rPr>
        <w:t>GoShifter</w:t>
      </w:r>
      <w:proofErr w:type="spellEnd"/>
      <w:r>
        <w:rPr>
          <w:sz w:val="22"/>
          <w:szCs w:val="22"/>
        </w:rPr>
        <w:t xml:space="preserve"> analyses for identification of enriched functional annotations did not reveal any statistically significant finding (all p-value&gt;0.05). DEPICT tissue identification approach reinforced the importance of ovarian morphology, with ovarian follicle, ovum, oocytes, ovary, granulosa cells, fallopian tubes and cumulus cells all showing nominally significant p-values (p-value&lt;0.05). This is alongside the more general enrichment at endocrine cells and adipocytes.</w:t>
      </w:r>
    </w:p>
    <w:p w14:paraId="1E4531D3" w14:textId="77777777" w:rsidR="007022C5" w:rsidRDefault="007022C5">
      <w:pPr>
        <w:jc w:val="both"/>
        <w:rPr>
          <w:sz w:val="22"/>
          <w:szCs w:val="22"/>
        </w:rPr>
      </w:pPr>
    </w:p>
    <w:p w14:paraId="5F953634" w14:textId="007AC987" w:rsidR="007022C5" w:rsidRDefault="00AA4D5C">
      <w:pPr>
        <w:jc w:val="both"/>
        <w:rPr>
          <w:sz w:val="22"/>
          <w:szCs w:val="22"/>
        </w:rPr>
      </w:pPr>
      <w:r>
        <w:rPr>
          <w:sz w:val="22"/>
          <w:szCs w:val="22"/>
        </w:rPr>
        <w:t xml:space="preserve">The nominally significant findings for ovaries in the tissue identification analysis suggested the importance of ovarian morphology in PCOS pathogenesis. However, no individual pathway appeared to be significant in gene-set enrichment and gene prioritization analyses. A potential explanation for the lack of significant findings is that these methods are limited by the functional data available for the tissues relevant to PCOS </w:t>
      </w:r>
      <w:r>
        <w:rPr>
          <w:sz w:val="22"/>
          <w:szCs w:val="22"/>
        </w:rPr>
        <w:lastRenderedPageBreak/>
        <w:t xml:space="preserve">and its related traits, e.g. ovary. In addition, DEPICT and </w:t>
      </w:r>
      <w:proofErr w:type="spellStart"/>
      <w:r>
        <w:rPr>
          <w:sz w:val="22"/>
          <w:szCs w:val="22"/>
        </w:rPr>
        <w:t>GoShifter</w:t>
      </w:r>
      <w:proofErr w:type="spellEnd"/>
      <w:r>
        <w:rPr>
          <w:sz w:val="22"/>
          <w:szCs w:val="22"/>
        </w:rPr>
        <w:t xml:space="preserve"> analyses were based on the 14 PCOS GWAS meta-analysis susceptibility variants, which may limit the power of these approaches to detect significant enrichments</w:t>
      </w:r>
      <w:r w:rsidR="001A234B">
        <w:rPr>
          <w:sz w:val="22"/>
          <w:szCs w:val="22"/>
        </w:rPr>
        <w:t>.</w:t>
      </w:r>
      <w:r>
        <w:rPr>
          <w:sz w:val="22"/>
          <w:szCs w:val="22"/>
          <w:vertAlign w:val="superscript"/>
        </w:rPr>
        <w:t>129</w:t>
      </w:r>
    </w:p>
    <w:p w14:paraId="32513630" w14:textId="616FF724" w:rsidR="009D7AFD" w:rsidRDefault="00995643">
      <w:pPr>
        <w:rPr>
          <w:sz w:val="22"/>
          <w:szCs w:val="22"/>
        </w:rPr>
      </w:pPr>
      <w:bookmarkStart w:id="5" w:name="_4f1mdlm" w:colFirst="0" w:colLast="0"/>
      <w:bookmarkStart w:id="6" w:name="_2u6wntf" w:colFirst="0" w:colLast="0"/>
      <w:bookmarkEnd w:id="5"/>
      <w:bookmarkEnd w:id="6"/>
      <w:r>
        <w:rPr>
          <w:sz w:val="22"/>
          <w:szCs w:val="22"/>
        </w:rPr>
        <w:br w:type="page"/>
      </w:r>
    </w:p>
    <w:p w14:paraId="6E995B3A" w14:textId="7D196501" w:rsidR="00633CE0" w:rsidRPr="00633CE0" w:rsidRDefault="00633CE0" w:rsidP="009D7AFD">
      <w:pPr>
        <w:spacing w:line="240" w:lineRule="auto"/>
        <w:ind w:left="720" w:hanging="720"/>
        <w:jc w:val="both"/>
        <w:rPr>
          <w:b/>
          <w:sz w:val="22"/>
          <w:szCs w:val="22"/>
        </w:rPr>
      </w:pPr>
      <w:r w:rsidRPr="00633CE0">
        <w:rPr>
          <w:b/>
          <w:sz w:val="22"/>
          <w:szCs w:val="22"/>
        </w:rPr>
        <w:lastRenderedPageBreak/>
        <w:t>References</w:t>
      </w:r>
    </w:p>
    <w:p w14:paraId="5244E367" w14:textId="77777777" w:rsidR="00633CE0" w:rsidRPr="00633CE0" w:rsidRDefault="00633CE0" w:rsidP="009D7AFD">
      <w:pPr>
        <w:spacing w:line="240" w:lineRule="auto"/>
        <w:ind w:left="720" w:hanging="720"/>
        <w:jc w:val="both"/>
        <w:rPr>
          <w:sz w:val="22"/>
          <w:szCs w:val="22"/>
        </w:rPr>
      </w:pPr>
    </w:p>
    <w:p w14:paraId="646632F8" w14:textId="04E209A9" w:rsidR="009D7AFD" w:rsidRPr="00633CE0" w:rsidRDefault="009D7AFD" w:rsidP="009D7AFD">
      <w:pPr>
        <w:spacing w:line="240" w:lineRule="auto"/>
        <w:ind w:left="720" w:hanging="720"/>
        <w:jc w:val="both"/>
        <w:rPr>
          <w:sz w:val="22"/>
          <w:szCs w:val="22"/>
        </w:rPr>
      </w:pPr>
      <w:r w:rsidRPr="00633CE0">
        <w:rPr>
          <w:sz w:val="22"/>
          <w:szCs w:val="22"/>
        </w:rPr>
        <w:t>71.</w:t>
      </w:r>
      <w:r w:rsidRPr="00633CE0">
        <w:rPr>
          <w:sz w:val="22"/>
          <w:szCs w:val="22"/>
        </w:rPr>
        <w:tab/>
      </w:r>
      <w:proofErr w:type="spellStart"/>
      <w:r w:rsidRPr="00633CE0">
        <w:rPr>
          <w:sz w:val="22"/>
          <w:szCs w:val="22"/>
        </w:rPr>
        <w:t>Goodarzi</w:t>
      </w:r>
      <w:proofErr w:type="spellEnd"/>
      <w:r w:rsidRPr="00633CE0">
        <w:rPr>
          <w:sz w:val="22"/>
          <w:szCs w:val="22"/>
        </w:rPr>
        <w:t>, M.O.</w:t>
      </w:r>
      <w:r w:rsidRPr="00633CE0">
        <w:rPr>
          <w:i/>
          <w:sz w:val="22"/>
          <w:szCs w:val="22"/>
        </w:rPr>
        <w:t xml:space="preserve"> et al.</w:t>
      </w:r>
      <w:r w:rsidRPr="00633CE0">
        <w:rPr>
          <w:sz w:val="22"/>
          <w:szCs w:val="22"/>
        </w:rPr>
        <w:t xml:space="preserve"> Replication of association of DENND1A and THADA variants with polycystic ovary syndrome in European cohorts. </w:t>
      </w:r>
      <w:r w:rsidRPr="00633CE0">
        <w:rPr>
          <w:i/>
          <w:sz w:val="22"/>
          <w:szCs w:val="22"/>
        </w:rPr>
        <w:t>J Med Genet</w:t>
      </w:r>
      <w:r w:rsidRPr="00633CE0">
        <w:rPr>
          <w:sz w:val="22"/>
          <w:szCs w:val="22"/>
        </w:rPr>
        <w:t xml:space="preserve"> </w:t>
      </w:r>
      <w:r w:rsidRPr="00633CE0">
        <w:rPr>
          <w:b/>
          <w:sz w:val="22"/>
          <w:szCs w:val="22"/>
        </w:rPr>
        <w:t>49</w:t>
      </w:r>
      <w:r w:rsidRPr="00633CE0">
        <w:rPr>
          <w:sz w:val="22"/>
          <w:szCs w:val="22"/>
        </w:rPr>
        <w:t>, 90-5 (2012).</w:t>
      </w:r>
    </w:p>
    <w:p w14:paraId="3FBE5199" w14:textId="77777777" w:rsidR="009D7AFD" w:rsidRPr="00633CE0" w:rsidRDefault="009D7AFD" w:rsidP="009D7AFD">
      <w:pPr>
        <w:spacing w:line="240" w:lineRule="auto"/>
        <w:ind w:left="720" w:hanging="720"/>
        <w:jc w:val="both"/>
        <w:rPr>
          <w:sz w:val="22"/>
          <w:szCs w:val="22"/>
        </w:rPr>
      </w:pPr>
      <w:r w:rsidRPr="00633CE0">
        <w:rPr>
          <w:sz w:val="22"/>
          <w:szCs w:val="22"/>
        </w:rPr>
        <w:t>72.</w:t>
      </w:r>
      <w:r w:rsidRPr="00633CE0">
        <w:rPr>
          <w:sz w:val="22"/>
          <w:szCs w:val="22"/>
        </w:rPr>
        <w:tab/>
      </w:r>
      <w:proofErr w:type="spellStart"/>
      <w:r w:rsidRPr="00633CE0">
        <w:rPr>
          <w:sz w:val="22"/>
          <w:szCs w:val="22"/>
        </w:rPr>
        <w:t>Stuebe</w:t>
      </w:r>
      <w:proofErr w:type="spellEnd"/>
      <w:r w:rsidRPr="00633CE0">
        <w:rPr>
          <w:sz w:val="22"/>
          <w:szCs w:val="22"/>
        </w:rPr>
        <w:t>, A.M.</w:t>
      </w:r>
      <w:r w:rsidRPr="00633CE0">
        <w:rPr>
          <w:i/>
          <w:sz w:val="22"/>
          <w:szCs w:val="22"/>
        </w:rPr>
        <w:t xml:space="preserve"> et al.</w:t>
      </w:r>
      <w:r w:rsidRPr="00633CE0">
        <w:rPr>
          <w:sz w:val="22"/>
          <w:szCs w:val="22"/>
        </w:rPr>
        <w:t xml:space="preserve"> Obesity and diabetes genetic variants associated with gestational weight gain. </w:t>
      </w:r>
      <w:r w:rsidRPr="00633CE0">
        <w:rPr>
          <w:i/>
          <w:sz w:val="22"/>
          <w:szCs w:val="22"/>
        </w:rPr>
        <w:t xml:space="preserve">Am J </w:t>
      </w:r>
      <w:proofErr w:type="spellStart"/>
      <w:r w:rsidRPr="00633CE0">
        <w:rPr>
          <w:i/>
          <w:sz w:val="22"/>
          <w:szCs w:val="22"/>
        </w:rPr>
        <w:t>Obstet</w:t>
      </w:r>
      <w:proofErr w:type="spellEnd"/>
      <w:r w:rsidRPr="00633CE0">
        <w:rPr>
          <w:i/>
          <w:sz w:val="22"/>
          <w:szCs w:val="22"/>
        </w:rPr>
        <w:t xml:space="preserve"> </w:t>
      </w:r>
      <w:proofErr w:type="spellStart"/>
      <w:r w:rsidRPr="00633CE0">
        <w:rPr>
          <w:i/>
          <w:sz w:val="22"/>
          <w:szCs w:val="22"/>
        </w:rPr>
        <w:t>Gynecol</w:t>
      </w:r>
      <w:proofErr w:type="spellEnd"/>
      <w:r w:rsidRPr="00633CE0">
        <w:rPr>
          <w:sz w:val="22"/>
          <w:szCs w:val="22"/>
        </w:rPr>
        <w:t xml:space="preserve"> </w:t>
      </w:r>
      <w:r w:rsidRPr="00633CE0">
        <w:rPr>
          <w:b/>
          <w:sz w:val="22"/>
          <w:szCs w:val="22"/>
        </w:rPr>
        <w:t>203</w:t>
      </w:r>
      <w:r w:rsidRPr="00633CE0">
        <w:rPr>
          <w:sz w:val="22"/>
          <w:szCs w:val="22"/>
        </w:rPr>
        <w:t>, 283 e1-17 (2010).</w:t>
      </w:r>
    </w:p>
    <w:p w14:paraId="034D3DF1" w14:textId="77777777" w:rsidR="009D7AFD" w:rsidRPr="00633CE0" w:rsidRDefault="009D7AFD" w:rsidP="009D7AFD">
      <w:pPr>
        <w:spacing w:line="240" w:lineRule="auto"/>
        <w:ind w:left="720" w:hanging="720"/>
        <w:jc w:val="both"/>
        <w:rPr>
          <w:sz w:val="22"/>
          <w:szCs w:val="22"/>
        </w:rPr>
      </w:pPr>
      <w:r w:rsidRPr="00633CE0">
        <w:rPr>
          <w:sz w:val="22"/>
          <w:szCs w:val="22"/>
        </w:rPr>
        <w:t>73.</w:t>
      </w:r>
      <w:r w:rsidRPr="00633CE0">
        <w:rPr>
          <w:sz w:val="22"/>
          <w:szCs w:val="22"/>
        </w:rPr>
        <w:tab/>
        <w:t>Cui, L.</w:t>
      </w:r>
      <w:r w:rsidRPr="00633CE0">
        <w:rPr>
          <w:i/>
          <w:sz w:val="22"/>
          <w:szCs w:val="22"/>
        </w:rPr>
        <w:t xml:space="preserve"> et al.</w:t>
      </w:r>
      <w:r w:rsidRPr="00633CE0">
        <w:rPr>
          <w:sz w:val="22"/>
          <w:szCs w:val="22"/>
        </w:rPr>
        <w:t xml:space="preserve"> Polycystic ovary syndrome susceptibility single nucleotide polymorphisms in women with a single PCOS clinical feature. </w:t>
      </w:r>
      <w:r w:rsidRPr="00633CE0">
        <w:rPr>
          <w:i/>
          <w:sz w:val="22"/>
          <w:szCs w:val="22"/>
        </w:rPr>
        <w:t xml:space="preserve">Hum </w:t>
      </w:r>
      <w:proofErr w:type="spellStart"/>
      <w:r w:rsidRPr="00633CE0">
        <w:rPr>
          <w:i/>
          <w:sz w:val="22"/>
          <w:szCs w:val="22"/>
        </w:rPr>
        <w:t>Reprod</w:t>
      </w:r>
      <w:proofErr w:type="spellEnd"/>
      <w:r w:rsidRPr="00633CE0">
        <w:rPr>
          <w:sz w:val="22"/>
          <w:szCs w:val="22"/>
        </w:rPr>
        <w:t xml:space="preserve"> </w:t>
      </w:r>
      <w:r w:rsidRPr="00633CE0">
        <w:rPr>
          <w:b/>
          <w:sz w:val="22"/>
          <w:szCs w:val="22"/>
        </w:rPr>
        <w:t>30</w:t>
      </w:r>
      <w:r w:rsidRPr="00633CE0">
        <w:rPr>
          <w:sz w:val="22"/>
          <w:szCs w:val="22"/>
        </w:rPr>
        <w:t>, 732-6 (2015).</w:t>
      </w:r>
    </w:p>
    <w:p w14:paraId="454DF47B" w14:textId="77777777" w:rsidR="009D7AFD" w:rsidRPr="00633CE0" w:rsidRDefault="009D7AFD" w:rsidP="009D7AFD">
      <w:pPr>
        <w:spacing w:line="240" w:lineRule="auto"/>
        <w:ind w:left="720" w:hanging="720"/>
        <w:jc w:val="both"/>
        <w:rPr>
          <w:sz w:val="22"/>
          <w:szCs w:val="22"/>
        </w:rPr>
      </w:pPr>
      <w:r w:rsidRPr="00633CE0">
        <w:rPr>
          <w:sz w:val="22"/>
          <w:szCs w:val="22"/>
        </w:rPr>
        <w:t>74.</w:t>
      </w:r>
      <w:r w:rsidRPr="00633CE0">
        <w:rPr>
          <w:sz w:val="22"/>
          <w:szCs w:val="22"/>
        </w:rPr>
        <w:tab/>
        <w:t>Brower, M.A.</w:t>
      </w:r>
      <w:r w:rsidRPr="00633CE0">
        <w:rPr>
          <w:i/>
          <w:sz w:val="22"/>
          <w:szCs w:val="22"/>
        </w:rPr>
        <w:t xml:space="preserve"> et al.</w:t>
      </w:r>
      <w:r w:rsidRPr="00633CE0">
        <w:rPr>
          <w:sz w:val="22"/>
          <w:szCs w:val="22"/>
        </w:rPr>
        <w:t xml:space="preserve"> Further investigation in </w:t>
      </w:r>
      <w:proofErr w:type="spellStart"/>
      <w:r w:rsidRPr="00633CE0">
        <w:rPr>
          <w:sz w:val="22"/>
          <w:szCs w:val="22"/>
        </w:rPr>
        <w:t>europeans</w:t>
      </w:r>
      <w:proofErr w:type="spellEnd"/>
      <w:r w:rsidRPr="00633CE0">
        <w:rPr>
          <w:sz w:val="22"/>
          <w:szCs w:val="22"/>
        </w:rPr>
        <w:t xml:space="preserve"> of susceptibility variants for polycystic ovary syndrome discovered in genome-wide association studies of Chinese individuals. </w:t>
      </w:r>
      <w:r w:rsidRPr="00633CE0">
        <w:rPr>
          <w:i/>
          <w:sz w:val="22"/>
          <w:szCs w:val="22"/>
        </w:rPr>
        <w:t xml:space="preserve">J Clin Endocrinol </w:t>
      </w:r>
      <w:proofErr w:type="spellStart"/>
      <w:r w:rsidRPr="00633CE0">
        <w:rPr>
          <w:i/>
          <w:sz w:val="22"/>
          <w:szCs w:val="22"/>
        </w:rPr>
        <w:t>Metab</w:t>
      </w:r>
      <w:proofErr w:type="spellEnd"/>
      <w:r w:rsidRPr="00633CE0">
        <w:rPr>
          <w:sz w:val="22"/>
          <w:szCs w:val="22"/>
        </w:rPr>
        <w:t xml:space="preserve"> </w:t>
      </w:r>
      <w:r w:rsidRPr="00633CE0">
        <w:rPr>
          <w:b/>
          <w:sz w:val="22"/>
          <w:szCs w:val="22"/>
        </w:rPr>
        <w:t>100</w:t>
      </w:r>
      <w:r w:rsidRPr="00633CE0">
        <w:rPr>
          <w:sz w:val="22"/>
          <w:szCs w:val="22"/>
        </w:rPr>
        <w:t>, E182-6 (2015).</w:t>
      </w:r>
    </w:p>
    <w:p w14:paraId="5AA8F9C9" w14:textId="77777777" w:rsidR="009D7AFD" w:rsidRPr="00633CE0" w:rsidRDefault="009D7AFD" w:rsidP="009D7AFD">
      <w:pPr>
        <w:spacing w:line="240" w:lineRule="auto"/>
        <w:ind w:left="720" w:hanging="720"/>
        <w:jc w:val="both"/>
        <w:rPr>
          <w:sz w:val="22"/>
          <w:szCs w:val="22"/>
        </w:rPr>
      </w:pPr>
      <w:r w:rsidRPr="00633CE0">
        <w:rPr>
          <w:sz w:val="22"/>
          <w:szCs w:val="22"/>
        </w:rPr>
        <w:t>75.</w:t>
      </w:r>
      <w:r w:rsidRPr="00633CE0">
        <w:rPr>
          <w:sz w:val="22"/>
          <w:szCs w:val="22"/>
        </w:rPr>
        <w:tab/>
        <w:t>Cui, L.</w:t>
      </w:r>
      <w:r w:rsidRPr="00633CE0">
        <w:rPr>
          <w:i/>
          <w:sz w:val="22"/>
          <w:szCs w:val="22"/>
        </w:rPr>
        <w:t xml:space="preserve"> et al.</w:t>
      </w:r>
      <w:r w:rsidRPr="00633CE0">
        <w:rPr>
          <w:sz w:val="22"/>
          <w:szCs w:val="22"/>
        </w:rPr>
        <w:t xml:space="preserve"> Genotype-phenotype correlations of PCOS susceptibility SNPs identified by GWAS in a large cohort of Han Chinese women. </w:t>
      </w:r>
      <w:r w:rsidRPr="00633CE0">
        <w:rPr>
          <w:i/>
          <w:sz w:val="22"/>
          <w:szCs w:val="22"/>
        </w:rPr>
        <w:t xml:space="preserve">Hum </w:t>
      </w:r>
      <w:proofErr w:type="spellStart"/>
      <w:r w:rsidRPr="00633CE0">
        <w:rPr>
          <w:i/>
          <w:sz w:val="22"/>
          <w:szCs w:val="22"/>
        </w:rPr>
        <w:t>Reprod</w:t>
      </w:r>
      <w:proofErr w:type="spellEnd"/>
      <w:r w:rsidRPr="00633CE0">
        <w:rPr>
          <w:sz w:val="22"/>
          <w:szCs w:val="22"/>
        </w:rPr>
        <w:t xml:space="preserve"> </w:t>
      </w:r>
      <w:r w:rsidRPr="00633CE0">
        <w:rPr>
          <w:b/>
          <w:sz w:val="22"/>
          <w:szCs w:val="22"/>
        </w:rPr>
        <w:t>28</w:t>
      </w:r>
      <w:r w:rsidRPr="00633CE0">
        <w:rPr>
          <w:sz w:val="22"/>
          <w:szCs w:val="22"/>
        </w:rPr>
        <w:t>, 538-44 (2013).</w:t>
      </w:r>
    </w:p>
    <w:p w14:paraId="1F838277" w14:textId="77777777" w:rsidR="009D7AFD" w:rsidRPr="00633CE0" w:rsidRDefault="009D7AFD" w:rsidP="009D7AFD">
      <w:pPr>
        <w:spacing w:line="240" w:lineRule="auto"/>
        <w:ind w:left="720" w:hanging="720"/>
        <w:jc w:val="both"/>
        <w:rPr>
          <w:sz w:val="22"/>
          <w:szCs w:val="22"/>
        </w:rPr>
      </w:pPr>
      <w:r w:rsidRPr="00633CE0">
        <w:rPr>
          <w:sz w:val="22"/>
          <w:szCs w:val="22"/>
        </w:rPr>
        <w:t>76.</w:t>
      </w:r>
      <w:r w:rsidRPr="00633CE0">
        <w:rPr>
          <w:sz w:val="22"/>
          <w:szCs w:val="22"/>
        </w:rPr>
        <w:tab/>
        <w:t xml:space="preserve">Pau, C.T., </w:t>
      </w:r>
      <w:proofErr w:type="spellStart"/>
      <w:r w:rsidRPr="00633CE0">
        <w:rPr>
          <w:sz w:val="22"/>
          <w:szCs w:val="22"/>
        </w:rPr>
        <w:t>Mosbruger</w:t>
      </w:r>
      <w:proofErr w:type="spellEnd"/>
      <w:r w:rsidRPr="00633CE0">
        <w:rPr>
          <w:sz w:val="22"/>
          <w:szCs w:val="22"/>
        </w:rPr>
        <w:t xml:space="preserve">, T., Saxena, R. &amp; Welt, C.K. Phenotype and Tissue Expression as a Function of Genetic Risk in Polycystic Ovary Syndrome. </w:t>
      </w:r>
      <w:proofErr w:type="spellStart"/>
      <w:r w:rsidRPr="00633CE0">
        <w:rPr>
          <w:i/>
          <w:sz w:val="22"/>
          <w:szCs w:val="22"/>
        </w:rPr>
        <w:t>PLoS</w:t>
      </w:r>
      <w:proofErr w:type="spellEnd"/>
      <w:r w:rsidRPr="00633CE0">
        <w:rPr>
          <w:i/>
          <w:sz w:val="22"/>
          <w:szCs w:val="22"/>
        </w:rPr>
        <w:t xml:space="preserve"> One</w:t>
      </w:r>
      <w:r w:rsidRPr="00633CE0">
        <w:rPr>
          <w:sz w:val="22"/>
          <w:szCs w:val="22"/>
        </w:rPr>
        <w:t xml:space="preserve"> </w:t>
      </w:r>
      <w:r w:rsidRPr="00633CE0">
        <w:rPr>
          <w:b/>
          <w:sz w:val="22"/>
          <w:szCs w:val="22"/>
        </w:rPr>
        <w:t>12</w:t>
      </w:r>
      <w:r w:rsidRPr="00633CE0">
        <w:rPr>
          <w:sz w:val="22"/>
          <w:szCs w:val="22"/>
        </w:rPr>
        <w:t>, e0168870 (2017).</w:t>
      </w:r>
    </w:p>
    <w:p w14:paraId="1330DF08" w14:textId="77777777" w:rsidR="009D7AFD" w:rsidRPr="00633CE0" w:rsidRDefault="009D7AFD" w:rsidP="009D7AFD">
      <w:pPr>
        <w:spacing w:line="240" w:lineRule="auto"/>
        <w:ind w:left="720" w:hanging="720"/>
        <w:jc w:val="both"/>
        <w:rPr>
          <w:sz w:val="22"/>
          <w:szCs w:val="22"/>
        </w:rPr>
      </w:pPr>
      <w:r w:rsidRPr="00633CE0">
        <w:rPr>
          <w:sz w:val="22"/>
          <w:szCs w:val="22"/>
        </w:rPr>
        <w:t>77.</w:t>
      </w:r>
      <w:r w:rsidRPr="00633CE0">
        <w:rPr>
          <w:sz w:val="22"/>
          <w:szCs w:val="22"/>
        </w:rPr>
        <w:tab/>
        <w:t xml:space="preserve">Haskins, J.W., Nguyen, D.X. &amp; Stern, D.F. Neuregulin 1-activated ERBB4 interacts with YAP to induce Hippo pathway target genes and promote cell migration. </w:t>
      </w:r>
      <w:r w:rsidRPr="00633CE0">
        <w:rPr>
          <w:i/>
          <w:sz w:val="22"/>
          <w:szCs w:val="22"/>
        </w:rPr>
        <w:t>Sci Signal</w:t>
      </w:r>
      <w:r w:rsidRPr="00633CE0">
        <w:rPr>
          <w:sz w:val="22"/>
          <w:szCs w:val="22"/>
        </w:rPr>
        <w:t xml:space="preserve"> </w:t>
      </w:r>
      <w:r w:rsidRPr="00633CE0">
        <w:rPr>
          <w:b/>
          <w:sz w:val="22"/>
          <w:szCs w:val="22"/>
        </w:rPr>
        <w:t>7</w:t>
      </w:r>
      <w:r w:rsidRPr="00633CE0">
        <w:rPr>
          <w:sz w:val="22"/>
          <w:szCs w:val="22"/>
        </w:rPr>
        <w:t>, ra116 (2014).</w:t>
      </w:r>
    </w:p>
    <w:p w14:paraId="54E8FA8A" w14:textId="77777777" w:rsidR="009D7AFD" w:rsidRPr="00633CE0" w:rsidRDefault="009D7AFD" w:rsidP="009D7AFD">
      <w:pPr>
        <w:spacing w:line="240" w:lineRule="auto"/>
        <w:ind w:left="720" w:hanging="720"/>
        <w:jc w:val="both"/>
        <w:rPr>
          <w:sz w:val="22"/>
          <w:szCs w:val="22"/>
        </w:rPr>
      </w:pPr>
      <w:r w:rsidRPr="00633CE0">
        <w:rPr>
          <w:sz w:val="22"/>
          <w:szCs w:val="22"/>
        </w:rPr>
        <w:t>78.</w:t>
      </w:r>
      <w:r w:rsidRPr="00633CE0">
        <w:rPr>
          <w:sz w:val="22"/>
          <w:szCs w:val="22"/>
        </w:rPr>
        <w:tab/>
      </w:r>
      <w:proofErr w:type="spellStart"/>
      <w:r w:rsidRPr="00633CE0">
        <w:rPr>
          <w:sz w:val="22"/>
          <w:szCs w:val="22"/>
        </w:rPr>
        <w:t>Sudol</w:t>
      </w:r>
      <w:proofErr w:type="spellEnd"/>
      <w:r w:rsidRPr="00633CE0">
        <w:rPr>
          <w:sz w:val="22"/>
          <w:szCs w:val="22"/>
        </w:rPr>
        <w:t xml:space="preserve">, M. Neuregulin 1-activated ERBB4 as a "dedicated" receptor for the Hippo-YAP pathway. </w:t>
      </w:r>
      <w:r w:rsidRPr="00633CE0">
        <w:rPr>
          <w:i/>
          <w:sz w:val="22"/>
          <w:szCs w:val="22"/>
        </w:rPr>
        <w:t>Sci Signal</w:t>
      </w:r>
      <w:r w:rsidRPr="00633CE0">
        <w:rPr>
          <w:sz w:val="22"/>
          <w:szCs w:val="22"/>
        </w:rPr>
        <w:t xml:space="preserve"> </w:t>
      </w:r>
      <w:r w:rsidRPr="00633CE0">
        <w:rPr>
          <w:b/>
          <w:sz w:val="22"/>
          <w:szCs w:val="22"/>
        </w:rPr>
        <w:t>7</w:t>
      </w:r>
      <w:r w:rsidRPr="00633CE0">
        <w:rPr>
          <w:sz w:val="22"/>
          <w:szCs w:val="22"/>
        </w:rPr>
        <w:t>, pe29 (2014).</w:t>
      </w:r>
    </w:p>
    <w:p w14:paraId="08E068A9" w14:textId="77777777" w:rsidR="009D7AFD" w:rsidRPr="00633CE0" w:rsidRDefault="009D7AFD" w:rsidP="009D7AFD">
      <w:pPr>
        <w:spacing w:line="240" w:lineRule="auto"/>
        <w:ind w:left="720" w:hanging="720"/>
        <w:jc w:val="both"/>
        <w:rPr>
          <w:sz w:val="22"/>
          <w:szCs w:val="22"/>
        </w:rPr>
      </w:pPr>
      <w:r w:rsidRPr="00633CE0">
        <w:rPr>
          <w:sz w:val="22"/>
          <w:szCs w:val="22"/>
        </w:rPr>
        <w:t>79.</w:t>
      </w:r>
      <w:r w:rsidRPr="00633CE0">
        <w:rPr>
          <w:sz w:val="22"/>
          <w:szCs w:val="22"/>
        </w:rPr>
        <w:tab/>
        <w:t>Xiang, C.</w:t>
      </w:r>
      <w:r w:rsidRPr="00633CE0">
        <w:rPr>
          <w:i/>
          <w:sz w:val="22"/>
          <w:szCs w:val="22"/>
        </w:rPr>
        <w:t xml:space="preserve"> et al.</w:t>
      </w:r>
      <w:r w:rsidRPr="00633CE0">
        <w:rPr>
          <w:sz w:val="22"/>
          <w:szCs w:val="22"/>
        </w:rPr>
        <w:t xml:space="preserve"> Hippo </w:t>
      </w:r>
      <w:proofErr w:type="spellStart"/>
      <w:r w:rsidRPr="00633CE0">
        <w:rPr>
          <w:sz w:val="22"/>
          <w:szCs w:val="22"/>
        </w:rPr>
        <w:t>signaling</w:t>
      </w:r>
      <w:proofErr w:type="spellEnd"/>
      <w:r w:rsidRPr="00633CE0">
        <w:rPr>
          <w:sz w:val="22"/>
          <w:szCs w:val="22"/>
        </w:rPr>
        <w:t xml:space="preserve"> pathway reveals a </w:t>
      </w:r>
      <w:proofErr w:type="spellStart"/>
      <w:r w:rsidRPr="00633CE0">
        <w:rPr>
          <w:sz w:val="22"/>
          <w:szCs w:val="22"/>
        </w:rPr>
        <w:t>spatio</w:t>
      </w:r>
      <w:proofErr w:type="spellEnd"/>
      <w:r w:rsidRPr="00633CE0">
        <w:rPr>
          <w:sz w:val="22"/>
          <w:szCs w:val="22"/>
        </w:rPr>
        <w:t xml:space="preserve">-temporal correlation with the size of primordial follicle pool in mice. </w:t>
      </w:r>
      <w:r w:rsidRPr="00633CE0">
        <w:rPr>
          <w:i/>
          <w:sz w:val="22"/>
          <w:szCs w:val="22"/>
        </w:rPr>
        <w:t xml:space="preserve">Cell </w:t>
      </w:r>
      <w:proofErr w:type="spellStart"/>
      <w:r w:rsidRPr="00633CE0">
        <w:rPr>
          <w:i/>
          <w:sz w:val="22"/>
          <w:szCs w:val="22"/>
        </w:rPr>
        <w:t>Physiol</w:t>
      </w:r>
      <w:proofErr w:type="spellEnd"/>
      <w:r w:rsidRPr="00633CE0">
        <w:rPr>
          <w:i/>
          <w:sz w:val="22"/>
          <w:szCs w:val="22"/>
        </w:rPr>
        <w:t xml:space="preserve"> </w:t>
      </w:r>
      <w:proofErr w:type="spellStart"/>
      <w:r w:rsidRPr="00633CE0">
        <w:rPr>
          <w:i/>
          <w:sz w:val="22"/>
          <w:szCs w:val="22"/>
        </w:rPr>
        <w:t>Biochem</w:t>
      </w:r>
      <w:proofErr w:type="spellEnd"/>
      <w:r w:rsidRPr="00633CE0">
        <w:rPr>
          <w:sz w:val="22"/>
          <w:szCs w:val="22"/>
        </w:rPr>
        <w:t xml:space="preserve"> </w:t>
      </w:r>
      <w:r w:rsidRPr="00633CE0">
        <w:rPr>
          <w:b/>
          <w:sz w:val="22"/>
          <w:szCs w:val="22"/>
        </w:rPr>
        <w:t>35</w:t>
      </w:r>
      <w:r w:rsidRPr="00633CE0">
        <w:rPr>
          <w:sz w:val="22"/>
          <w:szCs w:val="22"/>
        </w:rPr>
        <w:t>, 957-68 (2015).</w:t>
      </w:r>
    </w:p>
    <w:p w14:paraId="241BDDC8" w14:textId="77777777" w:rsidR="009D7AFD" w:rsidRPr="00633CE0" w:rsidRDefault="009D7AFD" w:rsidP="009D7AFD">
      <w:pPr>
        <w:spacing w:line="240" w:lineRule="auto"/>
        <w:ind w:left="720" w:hanging="720"/>
        <w:jc w:val="both"/>
        <w:rPr>
          <w:sz w:val="22"/>
          <w:szCs w:val="22"/>
        </w:rPr>
      </w:pPr>
      <w:r w:rsidRPr="00633CE0">
        <w:rPr>
          <w:sz w:val="22"/>
          <w:szCs w:val="22"/>
        </w:rPr>
        <w:t>80.</w:t>
      </w:r>
      <w:r w:rsidRPr="00633CE0">
        <w:rPr>
          <w:sz w:val="22"/>
          <w:szCs w:val="22"/>
        </w:rPr>
        <w:tab/>
      </w:r>
      <w:proofErr w:type="spellStart"/>
      <w:r w:rsidRPr="00633CE0">
        <w:rPr>
          <w:sz w:val="22"/>
          <w:szCs w:val="22"/>
        </w:rPr>
        <w:t>Sarikaya</w:t>
      </w:r>
      <w:proofErr w:type="spellEnd"/>
      <w:r w:rsidRPr="00633CE0">
        <w:rPr>
          <w:sz w:val="22"/>
          <w:szCs w:val="22"/>
        </w:rPr>
        <w:t xml:space="preserve">, D.P. &amp; </w:t>
      </w:r>
      <w:proofErr w:type="spellStart"/>
      <w:r w:rsidRPr="00633CE0">
        <w:rPr>
          <w:sz w:val="22"/>
          <w:szCs w:val="22"/>
        </w:rPr>
        <w:t>Extavour</w:t>
      </w:r>
      <w:proofErr w:type="spellEnd"/>
      <w:r w:rsidRPr="00633CE0">
        <w:rPr>
          <w:sz w:val="22"/>
          <w:szCs w:val="22"/>
        </w:rPr>
        <w:t xml:space="preserve">, C.G. The Hippo pathway regulates homeostatic growth of stem cell niche precursors in the Drosophila ovary. </w:t>
      </w:r>
      <w:proofErr w:type="spellStart"/>
      <w:r w:rsidRPr="00633CE0">
        <w:rPr>
          <w:i/>
          <w:sz w:val="22"/>
          <w:szCs w:val="22"/>
        </w:rPr>
        <w:t>PLoS</w:t>
      </w:r>
      <w:proofErr w:type="spellEnd"/>
      <w:r w:rsidRPr="00633CE0">
        <w:rPr>
          <w:i/>
          <w:sz w:val="22"/>
          <w:szCs w:val="22"/>
        </w:rPr>
        <w:t xml:space="preserve"> Genet</w:t>
      </w:r>
      <w:r w:rsidRPr="00633CE0">
        <w:rPr>
          <w:sz w:val="22"/>
          <w:szCs w:val="22"/>
        </w:rPr>
        <w:t xml:space="preserve"> </w:t>
      </w:r>
      <w:r w:rsidRPr="00633CE0">
        <w:rPr>
          <w:b/>
          <w:sz w:val="22"/>
          <w:szCs w:val="22"/>
        </w:rPr>
        <w:t>11</w:t>
      </w:r>
      <w:r w:rsidRPr="00633CE0">
        <w:rPr>
          <w:sz w:val="22"/>
          <w:szCs w:val="22"/>
        </w:rPr>
        <w:t>, e1004962 (2015).</w:t>
      </w:r>
    </w:p>
    <w:p w14:paraId="5C1818F2" w14:textId="77777777" w:rsidR="009D7AFD" w:rsidRPr="00633CE0" w:rsidRDefault="009D7AFD" w:rsidP="009D7AFD">
      <w:pPr>
        <w:spacing w:line="240" w:lineRule="auto"/>
        <w:ind w:left="720" w:hanging="720"/>
        <w:jc w:val="both"/>
        <w:rPr>
          <w:sz w:val="22"/>
          <w:szCs w:val="22"/>
        </w:rPr>
      </w:pPr>
      <w:r w:rsidRPr="00633CE0">
        <w:rPr>
          <w:sz w:val="22"/>
          <w:szCs w:val="22"/>
        </w:rPr>
        <w:t>81.</w:t>
      </w:r>
      <w:r w:rsidRPr="00633CE0">
        <w:rPr>
          <w:sz w:val="22"/>
          <w:szCs w:val="22"/>
        </w:rPr>
        <w:tab/>
        <w:t xml:space="preserve">Hsueh, A.J., Kawamura, K., Cheng, Y. &amp; </w:t>
      </w:r>
      <w:proofErr w:type="spellStart"/>
      <w:r w:rsidRPr="00633CE0">
        <w:rPr>
          <w:sz w:val="22"/>
          <w:szCs w:val="22"/>
        </w:rPr>
        <w:t>Fauser</w:t>
      </w:r>
      <w:proofErr w:type="spellEnd"/>
      <w:r w:rsidRPr="00633CE0">
        <w:rPr>
          <w:sz w:val="22"/>
          <w:szCs w:val="22"/>
        </w:rPr>
        <w:t xml:space="preserve">, B.C. Intraovarian control of early </w:t>
      </w:r>
      <w:proofErr w:type="spellStart"/>
      <w:r w:rsidRPr="00633CE0">
        <w:rPr>
          <w:sz w:val="22"/>
          <w:szCs w:val="22"/>
        </w:rPr>
        <w:t>folliculogenesis</w:t>
      </w:r>
      <w:proofErr w:type="spellEnd"/>
      <w:r w:rsidRPr="00633CE0">
        <w:rPr>
          <w:sz w:val="22"/>
          <w:szCs w:val="22"/>
        </w:rPr>
        <w:t xml:space="preserve">. </w:t>
      </w:r>
      <w:proofErr w:type="spellStart"/>
      <w:r w:rsidRPr="00633CE0">
        <w:rPr>
          <w:i/>
          <w:sz w:val="22"/>
          <w:szCs w:val="22"/>
        </w:rPr>
        <w:t>Endocr</w:t>
      </w:r>
      <w:proofErr w:type="spellEnd"/>
      <w:r w:rsidRPr="00633CE0">
        <w:rPr>
          <w:i/>
          <w:sz w:val="22"/>
          <w:szCs w:val="22"/>
        </w:rPr>
        <w:t xml:space="preserve"> Rev</w:t>
      </w:r>
      <w:r w:rsidRPr="00633CE0">
        <w:rPr>
          <w:sz w:val="22"/>
          <w:szCs w:val="22"/>
        </w:rPr>
        <w:t xml:space="preserve"> </w:t>
      </w:r>
      <w:r w:rsidRPr="00633CE0">
        <w:rPr>
          <w:b/>
          <w:sz w:val="22"/>
          <w:szCs w:val="22"/>
        </w:rPr>
        <w:t>36</w:t>
      </w:r>
      <w:r w:rsidRPr="00633CE0">
        <w:rPr>
          <w:sz w:val="22"/>
          <w:szCs w:val="22"/>
        </w:rPr>
        <w:t>, 1-24 (2015).</w:t>
      </w:r>
    </w:p>
    <w:p w14:paraId="2381ED35" w14:textId="77777777" w:rsidR="009D7AFD" w:rsidRPr="00633CE0" w:rsidRDefault="009D7AFD" w:rsidP="009D7AFD">
      <w:pPr>
        <w:spacing w:line="240" w:lineRule="auto"/>
        <w:ind w:left="720" w:hanging="720"/>
        <w:jc w:val="both"/>
        <w:rPr>
          <w:sz w:val="22"/>
          <w:szCs w:val="22"/>
        </w:rPr>
      </w:pPr>
      <w:r w:rsidRPr="00633CE0">
        <w:rPr>
          <w:sz w:val="22"/>
          <w:szCs w:val="22"/>
        </w:rPr>
        <w:t>82.</w:t>
      </w:r>
      <w:r w:rsidRPr="00633CE0">
        <w:rPr>
          <w:sz w:val="22"/>
          <w:szCs w:val="22"/>
        </w:rPr>
        <w:tab/>
        <w:t xml:space="preserve">The </w:t>
      </w:r>
      <w:proofErr w:type="spellStart"/>
      <w:r w:rsidRPr="00633CE0">
        <w:rPr>
          <w:sz w:val="22"/>
          <w:szCs w:val="22"/>
        </w:rPr>
        <w:t>UniProt</w:t>
      </w:r>
      <w:proofErr w:type="spellEnd"/>
      <w:r w:rsidRPr="00633CE0">
        <w:rPr>
          <w:sz w:val="22"/>
          <w:szCs w:val="22"/>
        </w:rPr>
        <w:t xml:space="preserve">, C. </w:t>
      </w:r>
      <w:proofErr w:type="spellStart"/>
      <w:r w:rsidRPr="00633CE0">
        <w:rPr>
          <w:sz w:val="22"/>
          <w:szCs w:val="22"/>
        </w:rPr>
        <w:t>UniProt</w:t>
      </w:r>
      <w:proofErr w:type="spellEnd"/>
      <w:r w:rsidRPr="00633CE0">
        <w:rPr>
          <w:sz w:val="22"/>
          <w:szCs w:val="22"/>
        </w:rPr>
        <w:t xml:space="preserve">: the universal protein knowledgebase. </w:t>
      </w:r>
      <w:r w:rsidRPr="00633CE0">
        <w:rPr>
          <w:i/>
          <w:sz w:val="22"/>
          <w:szCs w:val="22"/>
        </w:rPr>
        <w:t>Nucleic Acids Res</w:t>
      </w:r>
      <w:r w:rsidRPr="00633CE0">
        <w:rPr>
          <w:sz w:val="22"/>
          <w:szCs w:val="22"/>
        </w:rPr>
        <w:t xml:space="preserve"> </w:t>
      </w:r>
      <w:r w:rsidRPr="00633CE0">
        <w:rPr>
          <w:b/>
          <w:sz w:val="22"/>
          <w:szCs w:val="22"/>
        </w:rPr>
        <w:t>45</w:t>
      </w:r>
      <w:r w:rsidRPr="00633CE0">
        <w:rPr>
          <w:sz w:val="22"/>
          <w:szCs w:val="22"/>
        </w:rPr>
        <w:t>, D158-D169 (2017).</w:t>
      </w:r>
    </w:p>
    <w:p w14:paraId="4A75D64E" w14:textId="77777777" w:rsidR="009D7AFD" w:rsidRPr="00633CE0" w:rsidRDefault="009D7AFD" w:rsidP="009D7AFD">
      <w:pPr>
        <w:spacing w:line="240" w:lineRule="auto"/>
        <w:ind w:left="720" w:hanging="720"/>
        <w:jc w:val="both"/>
        <w:rPr>
          <w:sz w:val="22"/>
          <w:szCs w:val="22"/>
        </w:rPr>
      </w:pPr>
      <w:r w:rsidRPr="00633CE0">
        <w:rPr>
          <w:sz w:val="22"/>
          <w:szCs w:val="22"/>
        </w:rPr>
        <w:t>83.</w:t>
      </w:r>
      <w:r w:rsidRPr="00633CE0">
        <w:rPr>
          <w:sz w:val="22"/>
          <w:szCs w:val="22"/>
        </w:rPr>
        <w:tab/>
        <w:t>Streets, A.J.</w:t>
      </w:r>
      <w:r w:rsidRPr="00633CE0">
        <w:rPr>
          <w:i/>
          <w:sz w:val="22"/>
          <w:szCs w:val="22"/>
        </w:rPr>
        <w:t xml:space="preserve"> et al.</w:t>
      </w:r>
      <w:r w:rsidRPr="00633CE0">
        <w:rPr>
          <w:sz w:val="22"/>
          <w:szCs w:val="22"/>
        </w:rPr>
        <w:t xml:space="preserve"> Parallel microarray profiling identifies ErbB4 as a determinant of cyst growth in ADPKD and a prognostic biomarker for disease progression. </w:t>
      </w:r>
      <w:r w:rsidRPr="00633CE0">
        <w:rPr>
          <w:i/>
          <w:sz w:val="22"/>
          <w:szCs w:val="22"/>
        </w:rPr>
        <w:t xml:space="preserve">Am J </w:t>
      </w:r>
      <w:proofErr w:type="spellStart"/>
      <w:r w:rsidRPr="00633CE0">
        <w:rPr>
          <w:i/>
          <w:sz w:val="22"/>
          <w:szCs w:val="22"/>
        </w:rPr>
        <w:t>Physiol</w:t>
      </w:r>
      <w:proofErr w:type="spellEnd"/>
      <w:r w:rsidRPr="00633CE0">
        <w:rPr>
          <w:i/>
          <w:sz w:val="22"/>
          <w:szCs w:val="22"/>
        </w:rPr>
        <w:t xml:space="preserve"> Renal </w:t>
      </w:r>
      <w:proofErr w:type="spellStart"/>
      <w:r w:rsidRPr="00633CE0">
        <w:rPr>
          <w:i/>
          <w:sz w:val="22"/>
          <w:szCs w:val="22"/>
        </w:rPr>
        <w:t>Physiol</w:t>
      </w:r>
      <w:proofErr w:type="spellEnd"/>
      <w:r w:rsidRPr="00633CE0">
        <w:rPr>
          <w:sz w:val="22"/>
          <w:szCs w:val="22"/>
        </w:rPr>
        <w:t xml:space="preserve"> </w:t>
      </w:r>
      <w:r w:rsidRPr="00633CE0">
        <w:rPr>
          <w:b/>
          <w:sz w:val="22"/>
          <w:szCs w:val="22"/>
        </w:rPr>
        <w:t>312</w:t>
      </w:r>
      <w:r w:rsidRPr="00633CE0">
        <w:rPr>
          <w:sz w:val="22"/>
          <w:szCs w:val="22"/>
        </w:rPr>
        <w:t>, F577-F588 (2017).</w:t>
      </w:r>
    </w:p>
    <w:p w14:paraId="25AB5630" w14:textId="77777777" w:rsidR="009D7AFD" w:rsidRPr="00633CE0" w:rsidRDefault="009D7AFD" w:rsidP="009D7AFD">
      <w:pPr>
        <w:spacing w:line="240" w:lineRule="auto"/>
        <w:ind w:left="720" w:hanging="720"/>
        <w:jc w:val="both"/>
        <w:rPr>
          <w:sz w:val="22"/>
          <w:szCs w:val="22"/>
        </w:rPr>
      </w:pPr>
      <w:r w:rsidRPr="00633CE0">
        <w:rPr>
          <w:sz w:val="22"/>
          <w:szCs w:val="22"/>
        </w:rPr>
        <w:t>84.</w:t>
      </w:r>
      <w:r w:rsidRPr="00633CE0">
        <w:rPr>
          <w:sz w:val="22"/>
          <w:szCs w:val="22"/>
        </w:rPr>
        <w:tab/>
        <w:t>Cohen, S.</w:t>
      </w:r>
      <w:r w:rsidRPr="00633CE0">
        <w:rPr>
          <w:i/>
          <w:sz w:val="22"/>
          <w:szCs w:val="22"/>
        </w:rPr>
        <w:t xml:space="preserve"> et al.</w:t>
      </w:r>
      <w:r w:rsidRPr="00633CE0">
        <w:rPr>
          <w:sz w:val="22"/>
          <w:szCs w:val="22"/>
        </w:rPr>
        <w:t xml:space="preserve"> Interferon regulatory factor 1 is an independent predictor of platinum resistance and survival in high-grade serous ovarian carcinoma. </w:t>
      </w:r>
      <w:proofErr w:type="spellStart"/>
      <w:r w:rsidRPr="00633CE0">
        <w:rPr>
          <w:i/>
          <w:sz w:val="22"/>
          <w:szCs w:val="22"/>
        </w:rPr>
        <w:t>Gynecol</w:t>
      </w:r>
      <w:proofErr w:type="spellEnd"/>
      <w:r w:rsidRPr="00633CE0">
        <w:rPr>
          <w:i/>
          <w:sz w:val="22"/>
          <w:szCs w:val="22"/>
        </w:rPr>
        <w:t xml:space="preserve"> Oncol</w:t>
      </w:r>
      <w:r w:rsidRPr="00633CE0">
        <w:rPr>
          <w:sz w:val="22"/>
          <w:szCs w:val="22"/>
        </w:rPr>
        <w:t xml:space="preserve"> </w:t>
      </w:r>
      <w:r w:rsidRPr="00633CE0">
        <w:rPr>
          <w:b/>
          <w:sz w:val="22"/>
          <w:szCs w:val="22"/>
        </w:rPr>
        <w:t>134</w:t>
      </w:r>
      <w:r w:rsidRPr="00633CE0">
        <w:rPr>
          <w:sz w:val="22"/>
          <w:szCs w:val="22"/>
        </w:rPr>
        <w:t>, 591-8 (2014).</w:t>
      </w:r>
    </w:p>
    <w:p w14:paraId="39163FD6" w14:textId="77777777" w:rsidR="009D7AFD" w:rsidRPr="00633CE0" w:rsidRDefault="009D7AFD" w:rsidP="009D7AFD">
      <w:pPr>
        <w:spacing w:line="240" w:lineRule="auto"/>
        <w:ind w:left="720" w:hanging="720"/>
        <w:jc w:val="both"/>
        <w:rPr>
          <w:sz w:val="22"/>
          <w:szCs w:val="22"/>
        </w:rPr>
      </w:pPr>
      <w:r w:rsidRPr="00633CE0">
        <w:rPr>
          <w:sz w:val="22"/>
          <w:szCs w:val="22"/>
        </w:rPr>
        <w:t>85.</w:t>
      </w:r>
      <w:r w:rsidRPr="00633CE0">
        <w:rPr>
          <w:sz w:val="22"/>
          <w:szCs w:val="22"/>
        </w:rPr>
        <w:tab/>
        <w:t>Garcia-</w:t>
      </w:r>
      <w:proofErr w:type="spellStart"/>
      <w:r w:rsidRPr="00633CE0">
        <w:rPr>
          <w:sz w:val="22"/>
          <w:szCs w:val="22"/>
        </w:rPr>
        <w:t>Reyero</w:t>
      </w:r>
      <w:proofErr w:type="spellEnd"/>
      <w:r w:rsidRPr="00633CE0">
        <w:rPr>
          <w:sz w:val="22"/>
          <w:szCs w:val="22"/>
        </w:rPr>
        <w:t>, N.</w:t>
      </w:r>
      <w:r w:rsidRPr="00633CE0">
        <w:rPr>
          <w:i/>
          <w:sz w:val="22"/>
          <w:szCs w:val="22"/>
        </w:rPr>
        <w:t xml:space="preserve"> et al.</w:t>
      </w:r>
      <w:r w:rsidRPr="00633CE0">
        <w:rPr>
          <w:sz w:val="22"/>
          <w:szCs w:val="22"/>
        </w:rPr>
        <w:t xml:space="preserve"> Expression signatures for a model androgen and antiandrogen in the fathead minnow (</w:t>
      </w:r>
      <w:proofErr w:type="spellStart"/>
      <w:r w:rsidRPr="00633CE0">
        <w:rPr>
          <w:sz w:val="22"/>
          <w:szCs w:val="22"/>
        </w:rPr>
        <w:t>Pimephales</w:t>
      </w:r>
      <w:proofErr w:type="spellEnd"/>
      <w:r w:rsidRPr="00633CE0">
        <w:rPr>
          <w:sz w:val="22"/>
          <w:szCs w:val="22"/>
        </w:rPr>
        <w:t xml:space="preserve"> </w:t>
      </w:r>
      <w:proofErr w:type="spellStart"/>
      <w:r w:rsidRPr="00633CE0">
        <w:rPr>
          <w:sz w:val="22"/>
          <w:szCs w:val="22"/>
        </w:rPr>
        <w:t>promelas</w:t>
      </w:r>
      <w:proofErr w:type="spellEnd"/>
      <w:r w:rsidRPr="00633CE0">
        <w:rPr>
          <w:sz w:val="22"/>
          <w:szCs w:val="22"/>
        </w:rPr>
        <w:t xml:space="preserve">) ovary. </w:t>
      </w:r>
      <w:r w:rsidRPr="00633CE0">
        <w:rPr>
          <w:i/>
          <w:sz w:val="22"/>
          <w:szCs w:val="22"/>
        </w:rPr>
        <w:t xml:space="preserve">Environ Sci </w:t>
      </w:r>
      <w:proofErr w:type="spellStart"/>
      <w:r w:rsidRPr="00633CE0">
        <w:rPr>
          <w:i/>
          <w:sz w:val="22"/>
          <w:szCs w:val="22"/>
        </w:rPr>
        <w:t>Technol</w:t>
      </w:r>
      <w:proofErr w:type="spellEnd"/>
      <w:r w:rsidRPr="00633CE0">
        <w:rPr>
          <w:sz w:val="22"/>
          <w:szCs w:val="22"/>
        </w:rPr>
        <w:t xml:space="preserve"> </w:t>
      </w:r>
      <w:r w:rsidRPr="00633CE0">
        <w:rPr>
          <w:b/>
          <w:sz w:val="22"/>
          <w:szCs w:val="22"/>
        </w:rPr>
        <w:t>43</w:t>
      </w:r>
      <w:r w:rsidRPr="00633CE0">
        <w:rPr>
          <w:sz w:val="22"/>
          <w:szCs w:val="22"/>
        </w:rPr>
        <w:t>, 2614-9 (2009).</w:t>
      </w:r>
    </w:p>
    <w:p w14:paraId="259BCAC3" w14:textId="77777777" w:rsidR="009D7AFD" w:rsidRPr="00633CE0" w:rsidRDefault="009D7AFD" w:rsidP="009D7AFD">
      <w:pPr>
        <w:spacing w:line="240" w:lineRule="auto"/>
        <w:ind w:left="720" w:hanging="720"/>
        <w:jc w:val="both"/>
        <w:rPr>
          <w:sz w:val="22"/>
          <w:szCs w:val="22"/>
        </w:rPr>
      </w:pPr>
      <w:r w:rsidRPr="00633CE0">
        <w:rPr>
          <w:sz w:val="22"/>
          <w:szCs w:val="22"/>
        </w:rPr>
        <w:t>86.</w:t>
      </w:r>
      <w:r w:rsidRPr="00633CE0">
        <w:rPr>
          <w:sz w:val="22"/>
          <w:szCs w:val="22"/>
        </w:rPr>
        <w:tab/>
      </w:r>
      <w:proofErr w:type="spellStart"/>
      <w:r w:rsidRPr="00633CE0">
        <w:rPr>
          <w:sz w:val="22"/>
          <w:szCs w:val="22"/>
        </w:rPr>
        <w:t>Grenon</w:t>
      </w:r>
      <w:proofErr w:type="spellEnd"/>
      <w:r w:rsidRPr="00633CE0">
        <w:rPr>
          <w:sz w:val="22"/>
          <w:szCs w:val="22"/>
        </w:rPr>
        <w:t xml:space="preserve">, M., Gilbert, C. &amp; Lowndes, N.F. Checkpoint activation in response to double-strand breaks requires the Mre11/Rad50/Xrs2 complex. </w:t>
      </w:r>
      <w:r w:rsidRPr="00633CE0">
        <w:rPr>
          <w:i/>
          <w:sz w:val="22"/>
          <w:szCs w:val="22"/>
        </w:rPr>
        <w:t xml:space="preserve">Nat Cell </w:t>
      </w:r>
      <w:proofErr w:type="spellStart"/>
      <w:r w:rsidRPr="00633CE0">
        <w:rPr>
          <w:i/>
          <w:sz w:val="22"/>
          <w:szCs w:val="22"/>
        </w:rPr>
        <w:t>Biol</w:t>
      </w:r>
      <w:proofErr w:type="spellEnd"/>
      <w:r w:rsidRPr="00633CE0">
        <w:rPr>
          <w:sz w:val="22"/>
          <w:szCs w:val="22"/>
        </w:rPr>
        <w:t xml:space="preserve"> </w:t>
      </w:r>
      <w:r w:rsidRPr="00633CE0">
        <w:rPr>
          <w:b/>
          <w:sz w:val="22"/>
          <w:szCs w:val="22"/>
        </w:rPr>
        <w:t>3</w:t>
      </w:r>
      <w:r w:rsidRPr="00633CE0">
        <w:rPr>
          <w:sz w:val="22"/>
          <w:szCs w:val="22"/>
        </w:rPr>
        <w:t>, 844-7 (2001).</w:t>
      </w:r>
    </w:p>
    <w:p w14:paraId="64BE6265" w14:textId="77777777" w:rsidR="009D7AFD" w:rsidRPr="00633CE0" w:rsidRDefault="009D7AFD" w:rsidP="009D7AFD">
      <w:pPr>
        <w:spacing w:line="240" w:lineRule="auto"/>
        <w:ind w:left="720" w:hanging="720"/>
        <w:jc w:val="both"/>
        <w:rPr>
          <w:sz w:val="22"/>
          <w:szCs w:val="22"/>
        </w:rPr>
      </w:pPr>
      <w:r w:rsidRPr="00633CE0">
        <w:rPr>
          <w:sz w:val="22"/>
          <w:szCs w:val="22"/>
        </w:rPr>
        <w:t>87.</w:t>
      </w:r>
      <w:r w:rsidRPr="00633CE0">
        <w:rPr>
          <w:sz w:val="22"/>
          <w:szCs w:val="22"/>
        </w:rPr>
        <w:tab/>
        <w:t xml:space="preserve">Zhang, Y., Zhou, J. &amp; Lim, C.U. The role of NBS1 in DNA double strand break repair, telomere stability, and cell cycle checkpoint control. </w:t>
      </w:r>
      <w:r w:rsidRPr="00633CE0">
        <w:rPr>
          <w:i/>
          <w:sz w:val="22"/>
          <w:szCs w:val="22"/>
        </w:rPr>
        <w:t>Cell Res</w:t>
      </w:r>
      <w:r w:rsidRPr="00633CE0">
        <w:rPr>
          <w:sz w:val="22"/>
          <w:szCs w:val="22"/>
        </w:rPr>
        <w:t xml:space="preserve"> </w:t>
      </w:r>
      <w:r w:rsidRPr="00633CE0">
        <w:rPr>
          <w:b/>
          <w:sz w:val="22"/>
          <w:szCs w:val="22"/>
        </w:rPr>
        <w:t>16</w:t>
      </w:r>
      <w:r w:rsidRPr="00633CE0">
        <w:rPr>
          <w:sz w:val="22"/>
          <w:szCs w:val="22"/>
        </w:rPr>
        <w:t>, 45-54 (2006).</w:t>
      </w:r>
    </w:p>
    <w:p w14:paraId="76D1A86F" w14:textId="77777777" w:rsidR="009D7AFD" w:rsidRPr="00633CE0" w:rsidRDefault="009D7AFD" w:rsidP="009D7AFD">
      <w:pPr>
        <w:spacing w:line="240" w:lineRule="auto"/>
        <w:ind w:left="720" w:hanging="720"/>
        <w:jc w:val="both"/>
        <w:rPr>
          <w:sz w:val="22"/>
          <w:szCs w:val="22"/>
        </w:rPr>
      </w:pPr>
      <w:r w:rsidRPr="00633CE0">
        <w:rPr>
          <w:sz w:val="22"/>
          <w:szCs w:val="22"/>
        </w:rPr>
        <w:lastRenderedPageBreak/>
        <w:t>88.</w:t>
      </w:r>
      <w:r w:rsidRPr="00633CE0">
        <w:rPr>
          <w:sz w:val="22"/>
          <w:szCs w:val="22"/>
        </w:rPr>
        <w:tab/>
        <w:t xml:space="preserve">Adelman, C.A., De, S. &amp; </w:t>
      </w:r>
      <w:proofErr w:type="spellStart"/>
      <w:r w:rsidRPr="00633CE0">
        <w:rPr>
          <w:sz w:val="22"/>
          <w:szCs w:val="22"/>
        </w:rPr>
        <w:t>Petrini</w:t>
      </w:r>
      <w:proofErr w:type="spellEnd"/>
      <w:r w:rsidRPr="00633CE0">
        <w:rPr>
          <w:sz w:val="22"/>
          <w:szCs w:val="22"/>
        </w:rPr>
        <w:t xml:space="preserve">, J.H. Rad50 is dispensable for the maintenance and viability of postmitotic tissues. </w:t>
      </w:r>
      <w:r w:rsidRPr="00633CE0">
        <w:rPr>
          <w:i/>
          <w:sz w:val="22"/>
          <w:szCs w:val="22"/>
        </w:rPr>
        <w:t xml:space="preserve">Mol Cell </w:t>
      </w:r>
      <w:proofErr w:type="spellStart"/>
      <w:r w:rsidRPr="00633CE0">
        <w:rPr>
          <w:i/>
          <w:sz w:val="22"/>
          <w:szCs w:val="22"/>
        </w:rPr>
        <w:t>Biol</w:t>
      </w:r>
      <w:proofErr w:type="spellEnd"/>
      <w:r w:rsidRPr="00633CE0">
        <w:rPr>
          <w:sz w:val="22"/>
          <w:szCs w:val="22"/>
        </w:rPr>
        <w:t xml:space="preserve"> </w:t>
      </w:r>
      <w:r w:rsidRPr="00633CE0">
        <w:rPr>
          <w:b/>
          <w:sz w:val="22"/>
          <w:szCs w:val="22"/>
        </w:rPr>
        <w:t>29</w:t>
      </w:r>
      <w:r w:rsidRPr="00633CE0">
        <w:rPr>
          <w:sz w:val="22"/>
          <w:szCs w:val="22"/>
        </w:rPr>
        <w:t>, 483-92 (2009).</w:t>
      </w:r>
    </w:p>
    <w:p w14:paraId="6437B22B" w14:textId="77777777" w:rsidR="009D7AFD" w:rsidRPr="00633CE0" w:rsidRDefault="009D7AFD" w:rsidP="009D7AFD">
      <w:pPr>
        <w:spacing w:line="240" w:lineRule="auto"/>
        <w:ind w:left="720" w:hanging="720"/>
        <w:jc w:val="both"/>
        <w:rPr>
          <w:sz w:val="22"/>
          <w:szCs w:val="22"/>
        </w:rPr>
      </w:pPr>
      <w:r w:rsidRPr="00633CE0">
        <w:rPr>
          <w:sz w:val="22"/>
          <w:szCs w:val="22"/>
        </w:rPr>
        <w:t>89.</w:t>
      </w:r>
      <w:r w:rsidRPr="00633CE0">
        <w:rPr>
          <w:sz w:val="22"/>
          <w:szCs w:val="22"/>
        </w:rPr>
        <w:tab/>
        <w:t xml:space="preserve">Bennett, J., Baumgarten, S.C. &amp; </w:t>
      </w:r>
      <w:proofErr w:type="spellStart"/>
      <w:r w:rsidRPr="00633CE0">
        <w:rPr>
          <w:sz w:val="22"/>
          <w:szCs w:val="22"/>
        </w:rPr>
        <w:t>Stocco</w:t>
      </w:r>
      <w:proofErr w:type="spellEnd"/>
      <w:r w:rsidRPr="00633CE0">
        <w:rPr>
          <w:sz w:val="22"/>
          <w:szCs w:val="22"/>
        </w:rPr>
        <w:t xml:space="preserve">, C. GATA4 and GATA6 silencing in ovarian granulosa cells affects levels of mRNAs involved in steroidogenesis, extracellular structure organization, IGF-I activity, and apoptosis. </w:t>
      </w:r>
      <w:r w:rsidRPr="00633CE0">
        <w:rPr>
          <w:i/>
          <w:sz w:val="22"/>
          <w:szCs w:val="22"/>
        </w:rPr>
        <w:t>Endocrinology</w:t>
      </w:r>
      <w:r w:rsidRPr="00633CE0">
        <w:rPr>
          <w:sz w:val="22"/>
          <w:szCs w:val="22"/>
        </w:rPr>
        <w:t xml:space="preserve"> </w:t>
      </w:r>
      <w:r w:rsidRPr="00633CE0">
        <w:rPr>
          <w:b/>
          <w:sz w:val="22"/>
          <w:szCs w:val="22"/>
        </w:rPr>
        <w:t>154</w:t>
      </w:r>
      <w:r w:rsidRPr="00633CE0">
        <w:rPr>
          <w:sz w:val="22"/>
          <w:szCs w:val="22"/>
        </w:rPr>
        <w:t>, 4845-58 (2013).</w:t>
      </w:r>
    </w:p>
    <w:p w14:paraId="47BB0199" w14:textId="77777777" w:rsidR="009D7AFD" w:rsidRPr="00633CE0" w:rsidRDefault="009D7AFD" w:rsidP="009D7AFD">
      <w:pPr>
        <w:spacing w:line="240" w:lineRule="auto"/>
        <w:ind w:left="720" w:hanging="720"/>
        <w:jc w:val="both"/>
        <w:rPr>
          <w:sz w:val="22"/>
          <w:szCs w:val="22"/>
        </w:rPr>
      </w:pPr>
      <w:r w:rsidRPr="00633CE0">
        <w:rPr>
          <w:sz w:val="22"/>
          <w:szCs w:val="22"/>
        </w:rPr>
        <w:t>90.</w:t>
      </w:r>
      <w:r w:rsidRPr="00633CE0">
        <w:rPr>
          <w:sz w:val="22"/>
          <w:szCs w:val="22"/>
        </w:rPr>
        <w:tab/>
        <w:t xml:space="preserve">Bennett, J., Wu, Y.G., </w:t>
      </w:r>
      <w:proofErr w:type="spellStart"/>
      <w:r w:rsidRPr="00633CE0">
        <w:rPr>
          <w:sz w:val="22"/>
          <w:szCs w:val="22"/>
        </w:rPr>
        <w:t>Gossen</w:t>
      </w:r>
      <w:proofErr w:type="spellEnd"/>
      <w:r w:rsidRPr="00633CE0">
        <w:rPr>
          <w:sz w:val="22"/>
          <w:szCs w:val="22"/>
        </w:rPr>
        <w:t xml:space="preserve">, J., Zhou, P. &amp; </w:t>
      </w:r>
      <w:proofErr w:type="spellStart"/>
      <w:r w:rsidRPr="00633CE0">
        <w:rPr>
          <w:sz w:val="22"/>
          <w:szCs w:val="22"/>
        </w:rPr>
        <w:t>Stocco</w:t>
      </w:r>
      <w:proofErr w:type="spellEnd"/>
      <w:r w:rsidRPr="00633CE0">
        <w:rPr>
          <w:sz w:val="22"/>
          <w:szCs w:val="22"/>
        </w:rPr>
        <w:t xml:space="preserve">, C. Loss of GATA-6 and GATA-4 in granulosa cells blocks </w:t>
      </w:r>
      <w:proofErr w:type="spellStart"/>
      <w:r w:rsidRPr="00633CE0">
        <w:rPr>
          <w:sz w:val="22"/>
          <w:szCs w:val="22"/>
        </w:rPr>
        <w:t>folliculogenesis</w:t>
      </w:r>
      <w:proofErr w:type="spellEnd"/>
      <w:r w:rsidRPr="00633CE0">
        <w:rPr>
          <w:sz w:val="22"/>
          <w:szCs w:val="22"/>
        </w:rPr>
        <w:t xml:space="preserve">, ovulation, and follicle stimulating hormone receptor expression leading to female infertility. </w:t>
      </w:r>
      <w:r w:rsidRPr="00633CE0">
        <w:rPr>
          <w:i/>
          <w:sz w:val="22"/>
          <w:szCs w:val="22"/>
        </w:rPr>
        <w:t>Endocrinology</w:t>
      </w:r>
      <w:r w:rsidRPr="00633CE0">
        <w:rPr>
          <w:sz w:val="22"/>
          <w:szCs w:val="22"/>
        </w:rPr>
        <w:t xml:space="preserve"> </w:t>
      </w:r>
      <w:r w:rsidRPr="00633CE0">
        <w:rPr>
          <w:b/>
          <w:sz w:val="22"/>
          <w:szCs w:val="22"/>
        </w:rPr>
        <w:t>153</w:t>
      </w:r>
      <w:r w:rsidRPr="00633CE0">
        <w:rPr>
          <w:sz w:val="22"/>
          <w:szCs w:val="22"/>
        </w:rPr>
        <w:t>, 2474-85 (2012).</w:t>
      </w:r>
    </w:p>
    <w:p w14:paraId="6C392C96" w14:textId="77777777" w:rsidR="009D7AFD" w:rsidRPr="00633CE0" w:rsidRDefault="009D7AFD" w:rsidP="009D7AFD">
      <w:pPr>
        <w:spacing w:line="240" w:lineRule="auto"/>
        <w:ind w:left="720" w:hanging="720"/>
        <w:jc w:val="both"/>
        <w:rPr>
          <w:sz w:val="22"/>
          <w:szCs w:val="22"/>
        </w:rPr>
      </w:pPr>
      <w:r w:rsidRPr="00633CE0">
        <w:rPr>
          <w:sz w:val="22"/>
          <w:szCs w:val="22"/>
        </w:rPr>
        <w:t>91.</w:t>
      </w:r>
      <w:r w:rsidRPr="00633CE0">
        <w:rPr>
          <w:sz w:val="22"/>
          <w:szCs w:val="22"/>
        </w:rPr>
        <w:tab/>
        <w:t xml:space="preserve">Padua, M.B., Fox, S.C., Jiang, T., Morse, D.A. &amp; </w:t>
      </w:r>
      <w:proofErr w:type="spellStart"/>
      <w:r w:rsidRPr="00633CE0">
        <w:rPr>
          <w:sz w:val="22"/>
          <w:szCs w:val="22"/>
        </w:rPr>
        <w:t>Tevosian</w:t>
      </w:r>
      <w:proofErr w:type="spellEnd"/>
      <w:r w:rsidRPr="00633CE0">
        <w:rPr>
          <w:sz w:val="22"/>
          <w:szCs w:val="22"/>
        </w:rPr>
        <w:t xml:space="preserve">, S.G. Simultaneous gene deletion of gata4 and gata6 leads to early disruption of follicular development and germ cell loss in the murine ovary. </w:t>
      </w:r>
      <w:proofErr w:type="spellStart"/>
      <w:r w:rsidRPr="00633CE0">
        <w:rPr>
          <w:i/>
          <w:sz w:val="22"/>
          <w:szCs w:val="22"/>
        </w:rPr>
        <w:t>Biol</w:t>
      </w:r>
      <w:proofErr w:type="spellEnd"/>
      <w:r w:rsidRPr="00633CE0">
        <w:rPr>
          <w:i/>
          <w:sz w:val="22"/>
          <w:szCs w:val="22"/>
        </w:rPr>
        <w:t xml:space="preserve"> </w:t>
      </w:r>
      <w:proofErr w:type="spellStart"/>
      <w:r w:rsidRPr="00633CE0">
        <w:rPr>
          <w:i/>
          <w:sz w:val="22"/>
          <w:szCs w:val="22"/>
        </w:rPr>
        <w:t>Reprod</w:t>
      </w:r>
      <w:proofErr w:type="spellEnd"/>
      <w:r w:rsidRPr="00633CE0">
        <w:rPr>
          <w:sz w:val="22"/>
          <w:szCs w:val="22"/>
        </w:rPr>
        <w:t xml:space="preserve"> </w:t>
      </w:r>
      <w:r w:rsidRPr="00633CE0">
        <w:rPr>
          <w:b/>
          <w:sz w:val="22"/>
          <w:szCs w:val="22"/>
        </w:rPr>
        <w:t>91</w:t>
      </w:r>
      <w:r w:rsidRPr="00633CE0">
        <w:rPr>
          <w:sz w:val="22"/>
          <w:szCs w:val="22"/>
        </w:rPr>
        <w:t>, 24 (2014).</w:t>
      </w:r>
    </w:p>
    <w:p w14:paraId="687066CF" w14:textId="77777777" w:rsidR="009D7AFD" w:rsidRPr="00633CE0" w:rsidRDefault="009D7AFD" w:rsidP="009D7AFD">
      <w:pPr>
        <w:spacing w:line="240" w:lineRule="auto"/>
        <w:ind w:left="720" w:hanging="720"/>
        <w:jc w:val="both"/>
        <w:rPr>
          <w:sz w:val="22"/>
          <w:szCs w:val="22"/>
        </w:rPr>
      </w:pPr>
      <w:r w:rsidRPr="00633CE0">
        <w:rPr>
          <w:sz w:val="22"/>
          <w:szCs w:val="22"/>
        </w:rPr>
        <w:t>92.</w:t>
      </w:r>
      <w:r w:rsidRPr="00633CE0">
        <w:rPr>
          <w:sz w:val="22"/>
          <w:szCs w:val="22"/>
        </w:rPr>
        <w:tab/>
      </w:r>
      <w:proofErr w:type="spellStart"/>
      <w:r w:rsidRPr="00633CE0">
        <w:rPr>
          <w:sz w:val="22"/>
          <w:szCs w:val="22"/>
        </w:rPr>
        <w:t>Salilew-Wondim</w:t>
      </w:r>
      <w:proofErr w:type="spellEnd"/>
      <w:r w:rsidRPr="00633CE0">
        <w:rPr>
          <w:sz w:val="22"/>
          <w:szCs w:val="22"/>
        </w:rPr>
        <w:t>, D.</w:t>
      </w:r>
      <w:r w:rsidRPr="00633CE0">
        <w:rPr>
          <w:i/>
          <w:sz w:val="22"/>
          <w:szCs w:val="22"/>
        </w:rPr>
        <w:t xml:space="preserve"> et al.</w:t>
      </w:r>
      <w:r w:rsidRPr="00633CE0">
        <w:rPr>
          <w:sz w:val="22"/>
          <w:szCs w:val="22"/>
        </w:rPr>
        <w:t xml:space="preserve"> Polycystic ovarian syndrome is accompanied by repression of gene signatures associated with biosynthesis and metabolism of steroids, cholesterol and lipids. </w:t>
      </w:r>
      <w:r w:rsidRPr="00633CE0">
        <w:rPr>
          <w:i/>
          <w:sz w:val="22"/>
          <w:szCs w:val="22"/>
        </w:rPr>
        <w:t>J Ovarian Res</w:t>
      </w:r>
      <w:r w:rsidRPr="00633CE0">
        <w:rPr>
          <w:sz w:val="22"/>
          <w:szCs w:val="22"/>
        </w:rPr>
        <w:t xml:space="preserve"> </w:t>
      </w:r>
      <w:r w:rsidRPr="00633CE0">
        <w:rPr>
          <w:b/>
          <w:sz w:val="22"/>
          <w:szCs w:val="22"/>
        </w:rPr>
        <w:t>8</w:t>
      </w:r>
      <w:r w:rsidRPr="00633CE0">
        <w:rPr>
          <w:sz w:val="22"/>
          <w:szCs w:val="22"/>
        </w:rPr>
        <w:t>, 24 (2015).</w:t>
      </w:r>
    </w:p>
    <w:p w14:paraId="3B24F7D4" w14:textId="77777777" w:rsidR="009D7AFD" w:rsidRPr="00633CE0" w:rsidRDefault="009D7AFD" w:rsidP="009D7AFD">
      <w:pPr>
        <w:spacing w:line="240" w:lineRule="auto"/>
        <w:ind w:left="720" w:hanging="720"/>
        <w:jc w:val="both"/>
        <w:rPr>
          <w:sz w:val="22"/>
          <w:szCs w:val="22"/>
        </w:rPr>
      </w:pPr>
      <w:r w:rsidRPr="00633CE0">
        <w:rPr>
          <w:sz w:val="22"/>
          <w:szCs w:val="22"/>
        </w:rPr>
        <w:t>93.</w:t>
      </w:r>
      <w:r w:rsidRPr="00633CE0">
        <w:rPr>
          <w:sz w:val="22"/>
          <w:szCs w:val="22"/>
        </w:rPr>
        <w:tab/>
      </w:r>
      <w:proofErr w:type="spellStart"/>
      <w:r w:rsidRPr="00633CE0">
        <w:rPr>
          <w:sz w:val="22"/>
          <w:szCs w:val="22"/>
        </w:rPr>
        <w:t>Lighvani</w:t>
      </w:r>
      <w:proofErr w:type="spellEnd"/>
      <w:r w:rsidRPr="00633CE0">
        <w:rPr>
          <w:sz w:val="22"/>
          <w:szCs w:val="22"/>
        </w:rPr>
        <w:t>, S.</w:t>
      </w:r>
      <w:r w:rsidRPr="00633CE0">
        <w:rPr>
          <w:i/>
          <w:sz w:val="22"/>
          <w:szCs w:val="22"/>
        </w:rPr>
        <w:t xml:space="preserve"> et al.</w:t>
      </w:r>
      <w:r w:rsidRPr="00633CE0">
        <w:rPr>
          <w:sz w:val="22"/>
          <w:szCs w:val="22"/>
        </w:rPr>
        <w:t xml:space="preserve"> Regulation of macrophage migration by a novel plasminogen receptor </w:t>
      </w:r>
      <w:proofErr w:type="spellStart"/>
      <w:r w:rsidRPr="00633CE0">
        <w:rPr>
          <w:sz w:val="22"/>
          <w:szCs w:val="22"/>
        </w:rPr>
        <w:t>Plg</w:t>
      </w:r>
      <w:proofErr w:type="spellEnd"/>
      <w:r w:rsidRPr="00633CE0">
        <w:rPr>
          <w:sz w:val="22"/>
          <w:szCs w:val="22"/>
        </w:rPr>
        <w:t xml:space="preserve">-R KT. </w:t>
      </w:r>
      <w:r w:rsidRPr="00633CE0">
        <w:rPr>
          <w:i/>
          <w:sz w:val="22"/>
          <w:szCs w:val="22"/>
        </w:rPr>
        <w:t>Blood</w:t>
      </w:r>
      <w:r w:rsidRPr="00633CE0">
        <w:rPr>
          <w:sz w:val="22"/>
          <w:szCs w:val="22"/>
        </w:rPr>
        <w:t xml:space="preserve"> </w:t>
      </w:r>
      <w:r w:rsidRPr="00633CE0">
        <w:rPr>
          <w:b/>
          <w:sz w:val="22"/>
          <w:szCs w:val="22"/>
        </w:rPr>
        <w:t>118</w:t>
      </w:r>
      <w:r w:rsidRPr="00633CE0">
        <w:rPr>
          <w:sz w:val="22"/>
          <w:szCs w:val="22"/>
        </w:rPr>
        <w:t>, 5622-30 (2011).</w:t>
      </w:r>
    </w:p>
    <w:p w14:paraId="144457AF" w14:textId="77777777" w:rsidR="009D7AFD" w:rsidRPr="00633CE0" w:rsidRDefault="009D7AFD" w:rsidP="009D7AFD">
      <w:pPr>
        <w:spacing w:line="240" w:lineRule="auto"/>
        <w:ind w:left="720" w:hanging="720"/>
        <w:jc w:val="both"/>
        <w:rPr>
          <w:sz w:val="22"/>
          <w:szCs w:val="22"/>
        </w:rPr>
      </w:pPr>
      <w:r w:rsidRPr="00633CE0">
        <w:rPr>
          <w:sz w:val="22"/>
          <w:szCs w:val="22"/>
        </w:rPr>
        <w:t>94.</w:t>
      </w:r>
      <w:r w:rsidRPr="00633CE0">
        <w:rPr>
          <w:sz w:val="22"/>
          <w:szCs w:val="22"/>
        </w:rPr>
        <w:tab/>
      </w:r>
      <w:proofErr w:type="spellStart"/>
      <w:r w:rsidRPr="00633CE0">
        <w:rPr>
          <w:sz w:val="22"/>
          <w:szCs w:val="22"/>
        </w:rPr>
        <w:t>Burnicka-Turek</w:t>
      </w:r>
      <w:proofErr w:type="spellEnd"/>
      <w:r w:rsidRPr="00633CE0">
        <w:rPr>
          <w:sz w:val="22"/>
          <w:szCs w:val="22"/>
        </w:rPr>
        <w:t>, O.</w:t>
      </w:r>
      <w:r w:rsidRPr="00633CE0">
        <w:rPr>
          <w:i/>
          <w:sz w:val="22"/>
          <w:szCs w:val="22"/>
        </w:rPr>
        <w:t xml:space="preserve"> et al.</w:t>
      </w:r>
      <w:r w:rsidRPr="00633CE0">
        <w:rPr>
          <w:sz w:val="22"/>
          <w:szCs w:val="22"/>
        </w:rPr>
        <w:t xml:space="preserve"> Inactivation of insulin-like factor 6 disrupts the progression of spermatogenesis at late meiotic prophase. </w:t>
      </w:r>
      <w:r w:rsidRPr="00633CE0">
        <w:rPr>
          <w:i/>
          <w:sz w:val="22"/>
          <w:szCs w:val="22"/>
        </w:rPr>
        <w:t>Endocrinology</w:t>
      </w:r>
      <w:r w:rsidRPr="00633CE0">
        <w:rPr>
          <w:sz w:val="22"/>
          <w:szCs w:val="22"/>
        </w:rPr>
        <w:t xml:space="preserve"> </w:t>
      </w:r>
      <w:r w:rsidRPr="00633CE0">
        <w:rPr>
          <w:b/>
          <w:sz w:val="22"/>
          <w:szCs w:val="22"/>
        </w:rPr>
        <w:t>150</w:t>
      </w:r>
      <w:r w:rsidRPr="00633CE0">
        <w:rPr>
          <w:sz w:val="22"/>
          <w:szCs w:val="22"/>
        </w:rPr>
        <w:t>, 4348-57 (2009).</w:t>
      </w:r>
    </w:p>
    <w:p w14:paraId="1CE49BFC" w14:textId="77777777" w:rsidR="009D7AFD" w:rsidRPr="00633CE0" w:rsidRDefault="009D7AFD" w:rsidP="009D7AFD">
      <w:pPr>
        <w:spacing w:line="240" w:lineRule="auto"/>
        <w:ind w:left="720" w:hanging="720"/>
        <w:jc w:val="both"/>
        <w:rPr>
          <w:sz w:val="22"/>
          <w:szCs w:val="22"/>
        </w:rPr>
      </w:pPr>
      <w:r w:rsidRPr="00633CE0">
        <w:rPr>
          <w:sz w:val="22"/>
          <w:szCs w:val="22"/>
        </w:rPr>
        <w:t>95.</w:t>
      </w:r>
      <w:r w:rsidRPr="00633CE0">
        <w:rPr>
          <w:sz w:val="22"/>
          <w:szCs w:val="22"/>
        </w:rPr>
        <w:tab/>
        <w:t>Sumpter, R., Jr.</w:t>
      </w:r>
      <w:r w:rsidRPr="00633CE0">
        <w:rPr>
          <w:i/>
          <w:sz w:val="22"/>
          <w:szCs w:val="22"/>
        </w:rPr>
        <w:t xml:space="preserve"> et al.</w:t>
      </w:r>
      <w:r w:rsidRPr="00633CE0">
        <w:rPr>
          <w:sz w:val="22"/>
          <w:szCs w:val="22"/>
        </w:rPr>
        <w:t xml:space="preserve"> Fanconi </w:t>
      </w:r>
      <w:proofErr w:type="spellStart"/>
      <w:r w:rsidRPr="00633CE0">
        <w:rPr>
          <w:sz w:val="22"/>
          <w:szCs w:val="22"/>
        </w:rPr>
        <w:t>Anemia</w:t>
      </w:r>
      <w:proofErr w:type="spellEnd"/>
      <w:r w:rsidRPr="00633CE0">
        <w:rPr>
          <w:sz w:val="22"/>
          <w:szCs w:val="22"/>
        </w:rPr>
        <w:t xml:space="preserve"> Proteins Function in Mitophagy and Immunity. </w:t>
      </w:r>
      <w:r w:rsidRPr="00633CE0">
        <w:rPr>
          <w:i/>
          <w:sz w:val="22"/>
          <w:szCs w:val="22"/>
        </w:rPr>
        <w:t>Cell</w:t>
      </w:r>
      <w:r w:rsidRPr="00633CE0">
        <w:rPr>
          <w:sz w:val="22"/>
          <w:szCs w:val="22"/>
        </w:rPr>
        <w:t xml:space="preserve"> </w:t>
      </w:r>
      <w:r w:rsidRPr="00633CE0">
        <w:rPr>
          <w:b/>
          <w:sz w:val="22"/>
          <w:szCs w:val="22"/>
        </w:rPr>
        <w:t>165</w:t>
      </w:r>
      <w:r w:rsidRPr="00633CE0">
        <w:rPr>
          <w:sz w:val="22"/>
          <w:szCs w:val="22"/>
        </w:rPr>
        <w:t>, 867-81 (2016).</w:t>
      </w:r>
    </w:p>
    <w:p w14:paraId="0940C9FF" w14:textId="77777777" w:rsidR="009D7AFD" w:rsidRPr="00633CE0" w:rsidRDefault="009D7AFD" w:rsidP="009D7AFD">
      <w:pPr>
        <w:spacing w:line="240" w:lineRule="auto"/>
        <w:ind w:left="720" w:hanging="720"/>
        <w:jc w:val="both"/>
        <w:rPr>
          <w:sz w:val="22"/>
          <w:szCs w:val="22"/>
        </w:rPr>
      </w:pPr>
      <w:r w:rsidRPr="00633CE0">
        <w:rPr>
          <w:sz w:val="22"/>
          <w:szCs w:val="22"/>
        </w:rPr>
        <w:t>96.</w:t>
      </w:r>
      <w:r w:rsidRPr="00633CE0">
        <w:rPr>
          <w:sz w:val="22"/>
          <w:szCs w:val="22"/>
        </w:rPr>
        <w:tab/>
        <w:t>Spicer, L.J.</w:t>
      </w:r>
      <w:r w:rsidRPr="00633CE0">
        <w:rPr>
          <w:i/>
          <w:sz w:val="22"/>
          <w:szCs w:val="22"/>
        </w:rPr>
        <w:t xml:space="preserve"> et al.</w:t>
      </w:r>
      <w:r w:rsidRPr="00633CE0">
        <w:rPr>
          <w:sz w:val="22"/>
          <w:szCs w:val="22"/>
        </w:rPr>
        <w:t xml:space="preserve"> The hedgehog-patched </w:t>
      </w:r>
      <w:proofErr w:type="spellStart"/>
      <w:r w:rsidRPr="00633CE0">
        <w:rPr>
          <w:sz w:val="22"/>
          <w:szCs w:val="22"/>
        </w:rPr>
        <w:t>signaling</w:t>
      </w:r>
      <w:proofErr w:type="spellEnd"/>
      <w:r w:rsidRPr="00633CE0">
        <w:rPr>
          <w:sz w:val="22"/>
          <w:szCs w:val="22"/>
        </w:rPr>
        <w:t xml:space="preserve"> pathway and function in the mammalian ovary: a novel role for hedgehog proteins in stimulating proliferation and steroidogenesis of theca cells. </w:t>
      </w:r>
      <w:r w:rsidRPr="00633CE0">
        <w:rPr>
          <w:i/>
          <w:sz w:val="22"/>
          <w:szCs w:val="22"/>
        </w:rPr>
        <w:t>Reproduction</w:t>
      </w:r>
      <w:r w:rsidRPr="00633CE0">
        <w:rPr>
          <w:sz w:val="22"/>
          <w:szCs w:val="22"/>
        </w:rPr>
        <w:t xml:space="preserve"> </w:t>
      </w:r>
      <w:r w:rsidRPr="00633CE0">
        <w:rPr>
          <w:b/>
          <w:sz w:val="22"/>
          <w:szCs w:val="22"/>
        </w:rPr>
        <w:t>138</w:t>
      </w:r>
      <w:r w:rsidRPr="00633CE0">
        <w:rPr>
          <w:sz w:val="22"/>
          <w:szCs w:val="22"/>
        </w:rPr>
        <w:t>, 329-39 (2009).</w:t>
      </w:r>
    </w:p>
    <w:p w14:paraId="1591FF00" w14:textId="77777777" w:rsidR="009D7AFD" w:rsidRPr="00633CE0" w:rsidRDefault="009D7AFD" w:rsidP="009D7AFD">
      <w:pPr>
        <w:spacing w:line="240" w:lineRule="auto"/>
        <w:ind w:left="720" w:hanging="720"/>
        <w:jc w:val="both"/>
        <w:rPr>
          <w:sz w:val="22"/>
          <w:szCs w:val="22"/>
        </w:rPr>
      </w:pPr>
      <w:r w:rsidRPr="00633CE0">
        <w:rPr>
          <w:sz w:val="22"/>
          <w:szCs w:val="22"/>
        </w:rPr>
        <w:t>97.</w:t>
      </w:r>
      <w:r w:rsidRPr="00633CE0">
        <w:rPr>
          <w:sz w:val="22"/>
          <w:szCs w:val="22"/>
        </w:rPr>
        <w:tab/>
        <w:t>McAllister, J.M.</w:t>
      </w:r>
      <w:r w:rsidRPr="00633CE0">
        <w:rPr>
          <w:i/>
          <w:sz w:val="22"/>
          <w:szCs w:val="22"/>
        </w:rPr>
        <w:t xml:space="preserve"> et al.</w:t>
      </w:r>
      <w:r w:rsidRPr="00633CE0">
        <w:rPr>
          <w:sz w:val="22"/>
          <w:szCs w:val="22"/>
        </w:rPr>
        <w:t xml:space="preserve"> Overexpression of a DENND1A isoform produces a polycystic ovary syndrome theca phenotype. </w:t>
      </w:r>
      <w:r w:rsidRPr="00633CE0">
        <w:rPr>
          <w:i/>
          <w:sz w:val="22"/>
          <w:szCs w:val="22"/>
        </w:rPr>
        <w:t xml:space="preserve">Proc Natl </w:t>
      </w:r>
      <w:proofErr w:type="spellStart"/>
      <w:r w:rsidRPr="00633CE0">
        <w:rPr>
          <w:i/>
          <w:sz w:val="22"/>
          <w:szCs w:val="22"/>
        </w:rPr>
        <w:t>Acad</w:t>
      </w:r>
      <w:proofErr w:type="spellEnd"/>
      <w:r w:rsidRPr="00633CE0">
        <w:rPr>
          <w:i/>
          <w:sz w:val="22"/>
          <w:szCs w:val="22"/>
        </w:rPr>
        <w:t xml:space="preserve"> Sci U S A</w:t>
      </w:r>
      <w:r w:rsidRPr="00633CE0">
        <w:rPr>
          <w:sz w:val="22"/>
          <w:szCs w:val="22"/>
        </w:rPr>
        <w:t xml:space="preserve"> </w:t>
      </w:r>
      <w:r w:rsidRPr="00633CE0">
        <w:rPr>
          <w:b/>
          <w:sz w:val="22"/>
          <w:szCs w:val="22"/>
        </w:rPr>
        <w:t>111</w:t>
      </w:r>
      <w:r w:rsidRPr="00633CE0">
        <w:rPr>
          <w:sz w:val="22"/>
          <w:szCs w:val="22"/>
        </w:rPr>
        <w:t>, E1519-27 (2014).</w:t>
      </w:r>
    </w:p>
    <w:p w14:paraId="1CF061CB" w14:textId="77777777" w:rsidR="009D7AFD" w:rsidRPr="00633CE0" w:rsidRDefault="009D7AFD" w:rsidP="009D7AFD">
      <w:pPr>
        <w:spacing w:line="240" w:lineRule="auto"/>
        <w:ind w:left="720" w:hanging="720"/>
        <w:jc w:val="both"/>
        <w:rPr>
          <w:sz w:val="22"/>
          <w:szCs w:val="22"/>
        </w:rPr>
      </w:pPr>
      <w:r w:rsidRPr="00633CE0">
        <w:rPr>
          <w:sz w:val="22"/>
          <w:szCs w:val="22"/>
        </w:rPr>
        <w:t>98.</w:t>
      </w:r>
      <w:r w:rsidRPr="00633CE0">
        <w:rPr>
          <w:sz w:val="22"/>
          <w:szCs w:val="22"/>
        </w:rPr>
        <w:tab/>
        <w:t xml:space="preserve">McAllister, J.M., </w:t>
      </w:r>
      <w:proofErr w:type="spellStart"/>
      <w:r w:rsidRPr="00633CE0">
        <w:rPr>
          <w:sz w:val="22"/>
          <w:szCs w:val="22"/>
        </w:rPr>
        <w:t>Legro</w:t>
      </w:r>
      <w:proofErr w:type="spellEnd"/>
      <w:r w:rsidRPr="00633CE0">
        <w:rPr>
          <w:sz w:val="22"/>
          <w:szCs w:val="22"/>
        </w:rPr>
        <w:t xml:space="preserve">, R.S., Modi, B.P. &amp; Strauss, J.F., 3rd. Functional genomics of PCOS: from GWAS to molecular mechanisms. </w:t>
      </w:r>
      <w:r w:rsidRPr="00633CE0">
        <w:rPr>
          <w:i/>
          <w:sz w:val="22"/>
          <w:szCs w:val="22"/>
        </w:rPr>
        <w:t xml:space="preserve">Trends Endocrinol </w:t>
      </w:r>
      <w:proofErr w:type="spellStart"/>
      <w:r w:rsidRPr="00633CE0">
        <w:rPr>
          <w:i/>
          <w:sz w:val="22"/>
          <w:szCs w:val="22"/>
        </w:rPr>
        <w:t>Metab</w:t>
      </w:r>
      <w:proofErr w:type="spellEnd"/>
      <w:r w:rsidRPr="00633CE0">
        <w:rPr>
          <w:sz w:val="22"/>
          <w:szCs w:val="22"/>
        </w:rPr>
        <w:t xml:space="preserve"> </w:t>
      </w:r>
      <w:r w:rsidRPr="00633CE0">
        <w:rPr>
          <w:b/>
          <w:sz w:val="22"/>
          <w:szCs w:val="22"/>
        </w:rPr>
        <w:t>26</w:t>
      </w:r>
      <w:r w:rsidRPr="00633CE0">
        <w:rPr>
          <w:sz w:val="22"/>
          <w:szCs w:val="22"/>
        </w:rPr>
        <w:t>, 118-24 (2015).</w:t>
      </w:r>
    </w:p>
    <w:p w14:paraId="4CE46477" w14:textId="77777777" w:rsidR="009D7AFD" w:rsidRPr="00633CE0" w:rsidRDefault="009D7AFD" w:rsidP="009D7AFD">
      <w:pPr>
        <w:spacing w:line="240" w:lineRule="auto"/>
        <w:ind w:left="720" w:hanging="720"/>
        <w:jc w:val="both"/>
        <w:rPr>
          <w:sz w:val="22"/>
          <w:szCs w:val="22"/>
        </w:rPr>
      </w:pPr>
      <w:r w:rsidRPr="00633CE0">
        <w:rPr>
          <w:sz w:val="22"/>
          <w:szCs w:val="22"/>
        </w:rPr>
        <w:t>99.</w:t>
      </w:r>
      <w:r w:rsidRPr="00633CE0">
        <w:rPr>
          <w:sz w:val="22"/>
          <w:szCs w:val="22"/>
        </w:rPr>
        <w:tab/>
        <w:t xml:space="preserve">Laisk-Podar, T., </w:t>
      </w:r>
      <w:proofErr w:type="spellStart"/>
      <w:r w:rsidRPr="00633CE0">
        <w:rPr>
          <w:sz w:val="22"/>
          <w:szCs w:val="22"/>
        </w:rPr>
        <w:t>Kaart</w:t>
      </w:r>
      <w:proofErr w:type="spellEnd"/>
      <w:r w:rsidRPr="00633CE0">
        <w:rPr>
          <w:sz w:val="22"/>
          <w:szCs w:val="22"/>
        </w:rPr>
        <w:t xml:space="preserve">, T., Peters, M. &amp; Salumets, A. Genetic variants associated with female reproductive ageing--potential markers for assessing ovarian function and ovarian stimulation outcome. </w:t>
      </w:r>
      <w:proofErr w:type="spellStart"/>
      <w:r w:rsidRPr="00633CE0">
        <w:rPr>
          <w:i/>
          <w:sz w:val="22"/>
          <w:szCs w:val="22"/>
        </w:rPr>
        <w:t>Reprod</w:t>
      </w:r>
      <w:proofErr w:type="spellEnd"/>
      <w:r w:rsidRPr="00633CE0">
        <w:rPr>
          <w:i/>
          <w:sz w:val="22"/>
          <w:szCs w:val="22"/>
        </w:rPr>
        <w:t xml:space="preserve"> Biomed Online</w:t>
      </w:r>
      <w:r w:rsidRPr="00633CE0">
        <w:rPr>
          <w:sz w:val="22"/>
          <w:szCs w:val="22"/>
        </w:rPr>
        <w:t xml:space="preserve"> </w:t>
      </w:r>
      <w:r w:rsidRPr="00633CE0">
        <w:rPr>
          <w:b/>
          <w:sz w:val="22"/>
          <w:szCs w:val="22"/>
        </w:rPr>
        <w:t>31</w:t>
      </w:r>
      <w:r w:rsidRPr="00633CE0">
        <w:rPr>
          <w:sz w:val="22"/>
          <w:szCs w:val="22"/>
        </w:rPr>
        <w:t>, 199-209 (2015).</w:t>
      </w:r>
    </w:p>
    <w:p w14:paraId="70EEFA26" w14:textId="77777777" w:rsidR="009D7AFD" w:rsidRPr="00633CE0" w:rsidRDefault="009D7AFD" w:rsidP="009D7AFD">
      <w:pPr>
        <w:spacing w:line="240" w:lineRule="auto"/>
        <w:ind w:left="720" w:hanging="720"/>
        <w:jc w:val="both"/>
        <w:rPr>
          <w:sz w:val="22"/>
          <w:szCs w:val="22"/>
        </w:rPr>
      </w:pPr>
      <w:r w:rsidRPr="00633CE0">
        <w:rPr>
          <w:sz w:val="22"/>
          <w:szCs w:val="22"/>
        </w:rPr>
        <w:t>100.</w:t>
      </w:r>
      <w:r w:rsidRPr="00633CE0">
        <w:rPr>
          <w:sz w:val="22"/>
          <w:szCs w:val="22"/>
        </w:rPr>
        <w:tab/>
        <w:t>Ruth, K.S.</w:t>
      </w:r>
      <w:r w:rsidRPr="00633CE0">
        <w:rPr>
          <w:i/>
          <w:sz w:val="22"/>
          <w:szCs w:val="22"/>
        </w:rPr>
        <w:t xml:space="preserve"> et al.</w:t>
      </w:r>
      <w:r w:rsidRPr="00633CE0">
        <w:rPr>
          <w:sz w:val="22"/>
          <w:szCs w:val="22"/>
        </w:rPr>
        <w:t xml:space="preserve"> Genome-wide association study with 1000 genomes imputation identifies signals for nine sex hormone-related phenotypes. </w:t>
      </w:r>
      <w:r w:rsidRPr="00633CE0">
        <w:rPr>
          <w:i/>
          <w:sz w:val="22"/>
          <w:szCs w:val="22"/>
        </w:rPr>
        <w:t>Eur J Hum Genet</w:t>
      </w:r>
      <w:r w:rsidRPr="00633CE0">
        <w:rPr>
          <w:sz w:val="22"/>
          <w:szCs w:val="22"/>
        </w:rPr>
        <w:t xml:space="preserve"> </w:t>
      </w:r>
      <w:r w:rsidRPr="00633CE0">
        <w:rPr>
          <w:b/>
          <w:sz w:val="22"/>
          <w:szCs w:val="22"/>
        </w:rPr>
        <w:t>24</w:t>
      </w:r>
      <w:r w:rsidRPr="00633CE0">
        <w:rPr>
          <w:sz w:val="22"/>
          <w:szCs w:val="22"/>
        </w:rPr>
        <w:t>, 284-90 (2016).</w:t>
      </w:r>
    </w:p>
    <w:p w14:paraId="1AFF8A9A" w14:textId="77777777" w:rsidR="009D7AFD" w:rsidRPr="00633CE0" w:rsidRDefault="009D7AFD" w:rsidP="009D7AFD">
      <w:pPr>
        <w:spacing w:line="240" w:lineRule="auto"/>
        <w:ind w:left="720" w:hanging="720"/>
        <w:jc w:val="both"/>
        <w:rPr>
          <w:sz w:val="22"/>
          <w:szCs w:val="22"/>
        </w:rPr>
      </w:pPr>
      <w:r w:rsidRPr="00633CE0">
        <w:rPr>
          <w:sz w:val="22"/>
          <w:szCs w:val="22"/>
        </w:rPr>
        <w:t>101.</w:t>
      </w:r>
      <w:r w:rsidRPr="00633CE0">
        <w:rPr>
          <w:sz w:val="22"/>
          <w:szCs w:val="22"/>
        </w:rPr>
        <w:tab/>
        <w:t>Grigorova, M.</w:t>
      </w:r>
      <w:r w:rsidRPr="00633CE0">
        <w:rPr>
          <w:i/>
          <w:sz w:val="22"/>
          <w:szCs w:val="22"/>
        </w:rPr>
        <w:t xml:space="preserve"> et al.</w:t>
      </w:r>
      <w:r w:rsidRPr="00633CE0">
        <w:rPr>
          <w:sz w:val="22"/>
          <w:szCs w:val="22"/>
        </w:rPr>
        <w:t xml:space="preserve"> Reproductive physiology in young men is cumulatively affected by FSH-action modulating genetic variants: FSHR -29G/A and c.2039 A/G, FSHB -211G/T. </w:t>
      </w:r>
      <w:proofErr w:type="spellStart"/>
      <w:r w:rsidRPr="00633CE0">
        <w:rPr>
          <w:i/>
          <w:sz w:val="22"/>
          <w:szCs w:val="22"/>
        </w:rPr>
        <w:t>PLoS</w:t>
      </w:r>
      <w:proofErr w:type="spellEnd"/>
      <w:r w:rsidRPr="00633CE0">
        <w:rPr>
          <w:i/>
          <w:sz w:val="22"/>
          <w:szCs w:val="22"/>
        </w:rPr>
        <w:t xml:space="preserve"> One</w:t>
      </w:r>
      <w:r w:rsidRPr="00633CE0">
        <w:rPr>
          <w:sz w:val="22"/>
          <w:szCs w:val="22"/>
        </w:rPr>
        <w:t xml:space="preserve"> </w:t>
      </w:r>
      <w:r w:rsidRPr="00633CE0">
        <w:rPr>
          <w:b/>
          <w:sz w:val="22"/>
          <w:szCs w:val="22"/>
        </w:rPr>
        <w:t>9</w:t>
      </w:r>
      <w:r w:rsidRPr="00633CE0">
        <w:rPr>
          <w:sz w:val="22"/>
          <w:szCs w:val="22"/>
        </w:rPr>
        <w:t>, e94244 (2014).</w:t>
      </w:r>
    </w:p>
    <w:p w14:paraId="58750717" w14:textId="77777777" w:rsidR="009D7AFD" w:rsidRPr="00633CE0" w:rsidRDefault="009D7AFD" w:rsidP="009D7AFD">
      <w:pPr>
        <w:spacing w:line="240" w:lineRule="auto"/>
        <w:ind w:left="720" w:hanging="720"/>
        <w:jc w:val="both"/>
        <w:rPr>
          <w:sz w:val="22"/>
          <w:szCs w:val="22"/>
        </w:rPr>
      </w:pPr>
      <w:r w:rsidRPr="00633CE0">
        <w:rPr>
          <w:sz w:val="22"/>
          <w:szCs w:val="22"/>
        </w:rPr>
        <w:t>102.</w:t>
      </w:r>
      <w:r w:rsidRPr="00633CE0">
        <w:rPr>
          <w:sz w:val="22"/>
          <w:szCs w:val="22"/>
        </w:rPr>
        <w:tab/>
        <w:t>Hagen, C.P.</w:t>
      </w:r>
      <w:r w:rsidRPr="00633CE0">
        <w:rPr>
          <w:i/>
          <w:sz w:val="22"/>
          <w:szCs w:val="22"/>
        </w:rPr>
        <w:t xml:space="preserve"> et al.</w:t>
      </w:r>
      <w:r w:rsidRPr="00633CE0">
        <w:rPr>
          <w:sz w:val="22"/>
          <w:szCs w:val="22"/>
        </w:rPr>
        <w:t xml:space="preserve"> FSHB-211 and FSHR 2039 are associated with serum levels of follicle-stimulating hormone and </w:t>
      </w:r>
      <w:proofErr w:type="spellStart"/>
      <w:r w:rsidRPr="00633CE0">
        <w:rPr>
          <w:sz w:val="22"/>
          <w:szCs w:val="22"/>
        </w:rPr>
        <w:t>antimullerian</w:t>
      </w:r>
      <w:proofErr w:type="spellEnd"/>
      <w:r w:rsidRPr="00633CE0">
        <w:rPr>
          <w:sz w:val="22"/>
          <w:szCs w:val="22"/>
        </w:rPr>
        <w:t xml:space="preserve"> hormone in healthy girls: a longitudinal cohort study. </w:t>
      </w:r>
      <w:proofErr w:type="spellStart"/>
      <w:r w:rsidRPr="00633CE0">
        <w:rPr>
          <w:i/>
          <w:sz w:val="22"/>
          <w:szCs w:val="22"/>
        </w:rPr>
        <w:t>Fertil</w:t>
      </w:r>
      <w:proofErr w:type="spellEnd"/>
      <w:r w:rsidRPr="00633CE0">
        <w:rPr>
          <w:i/>
          <w:sz w:val="22"/>
          <w:szCs w:val="22"/>
        </w:rPr>
        <w:t xml:space="preserve"> </w:t>
      </w:r>
      <w:proofErr w:type="spellStart"/>
      <w:r w:rsidRPr="00633CE0">
        <w:rPr>
          <w:i/>
          <w:sz w:val="22"/>
          <w:szCs w:val="22"/>
        </w:rPr>
        <w:t>Steril</w:t>
      </w:r>
      <w:proofErr w:type="spellEnd"/>
      <w:r w:rsidRPr="00633CE0">
        <w:rPr>
          <w:sz w:val="22"/>
          <w:szCs w:val="22"/>
        </w:rPr>
        <w:t xml:space="preserve"> </w:t>
      </w:r>
      <w:r w:rsidRPr="00633CE0">
        <w:rPr>
          <w:b/>
          <w:sz w:val="22"/>
          <w:szCs w:val="22"/>
        </w:rPr>
        <w:t>100</w:t>
      </w:r>
      <w:r w:rsidRPr="00633CE0">
        <w:rPr>
          <w:sz w:val="22"/>
          <w:szCs w:val="22"/>
        </w:rPr>
        <w:t>, 1089-95 (2013).</w:t>
      </w:r>
    </w:p>
    <w:p w14:paraId="1C9DF2B2" w14:textId="77777777" w:rsidR="009D7AFD" w:rsidRPr="00633CE0" w:rsidRDefault="009D7AFD" w:rsidP="009D7AFD">
      <w:pPr>
        <w:spacing w:line="240" w:lineRule="auto"/>
        <w:ind w:left="720" w:hanging="720"/>
        <w:jc w:val="both"/>
        <w:rPr>
          <w:sz w:val="22"/>
          <w:szCs w:val="22"/>
        </w:rPr>
      </w:pPr>
      <w:r w:rsidRPr="00633CE0">
        <w:rPr>
          <w:sz w:val="22"/>
          <w:szCs w:val="22"/>
        </w:rPr>
        <w:t>103.</w:t>
      </w:r>
      <w:r w:rsidRPr="00633CE0">
        <w:rPr>
          <w:sz w:val="22"/>
          <w:szCs w:val="22"/>
        </w:rPr>
        <w:tab/>
      </w:r>
      <w:proofErr w:type="spellStart"/>
      <w:r w:rsidRPr="00633CE0">
        <w:rPr>
          <w:sz w:val="22"/>
          <w:szCs w:val="22"/>
        </w:rPr>
        <w:t>Schuring</w:t>
      </w:r>
      <w:proofErr w:type="spellEnd"/>
      <w:r w:rsidRPr="00633CE0">
        <w:rPr>
          <w:sz w:val="22"/>
          <w:szCs w:val="22"/>
        </w:rPr>
        <w:t xml:space="preserve">, A.N., Busch, A.S., </w:t>
      </w:r>
      <w:proofErr w:type="spellStart"/>
      <w:r w:rsidRPr="00633CE0">
        <w:rPr>
          <w:sz w:val="22"/>
          <w:szCs w:val="22"/>
        </w:rPr>
        <w:t>Bogdanova</w:t>
      </w:r>
      <w:proofErr w:type="spellEnd"/>
      <w:r w:rsidRPr="00633CE0">
        <w:rPr>
          <w:sz w:val="22"/>
          <w:szCs w:val="22"/>
        </w:rPr>
        <w:t xml:space="preserve">, N., </w:t>
      </w:r>
      <w:proofErr w:type="spellStart"/>
      <w:r w:rsidRPr="00633CE0">
        <w:rPr>
          <w:sz w:val="22"/>
          <w:szCs w:val="22"/>
        </w:rPr>
        <w:t>Gromoll</w:t>
      </w:r>
      <w:proofErr w:type="spellEnd"/>
      <w:r w:rsidRPr="00633CE0">
        <w:rPr>
          <w:sz w:val="22"/>
          <w:szCs w:val="22"/>
        </w:rPr>
        <w:t xml:space="preserve">, J. &amp; </w:t>
      </w:r>
      <w:proofErr w:type="spellStart"/>
      <w:r w:rsidRPr="00633CE0">
        <w:rPr>
          <w:sz w:val="22"/>
          <w:szCs w:val="22"/>
        </w:rPr>
        <w:t>Tuttelmann</w:t>
      </w:r>
      <w:proofErr w:type="spellEnd"/>
      <w:r w:rsidRPr="00633CE0">
        <w:rPr>
          <w:sz w:val="22"/>
          <w:szCs w:val="22"/>
        </w:rPr>
        <w:t xml:space="preserve">, F. Effects of the FSH-beta-subunit promoter polymorphism -211G-&gt;T on the hypothalamic-pituitary-ovarian axis in normally cycling women indicate a gender-specific regulation of gonadotropin secretion. </w:t>
      </w:r>
      <w:r w:rsidRPr="00633CE0">
        <w:rPr>
          <w:i/>
          <w:sz w:val="22"/>
          <w:szCs w:val="22"/>
        </w:rPr>
        <w:t xml:space="preserve">J Clin Endocrinol </w:t>
      </w:r>
      <w:proofErr w:type="spellStart"/>
      <w:r w:rsidRPr="00633CE0">
        <w:rPr>
          <w:i/>
          <w:sz w:val="22"/>
          <w:szCs w:val="22"/>
        </w:rPr>
        <w:t>Metab</w:t>
      </w:r>
      <w:proofErr w:type="spellEnd"/>
      <w:r w:rsidRPr="00633CE0">
        <w:rPr>
          <w:sz w:val="22"/>
          <w:szCs w:val="22"/>
        </w:rPr>
        <w:t xml:space="preserve"> </w:t>
      </w:r>
      <w:r w:rsidRPr="00633CE0">
        <w:rPr>
          <w:b/>
          <w:sz w:val="22"/>
          <w:szCs w:val="22"/>
        </w:rPr>
        <w:t>98</w:t>
      </w:r>
      <w:r w:rsidRPr="00633CE0">
        <w:rPr>
          <w:sz w:val="22"/>
          <w:szCs w:val="22"/>
        </w:rPr>
        <w:t>, E82-6 (2013).</w:t>
      </w:r>
    </w:p>
    <w:p w14:paraId="72745B5F" w14:textId="77777777" w:rsidR="009D7AFD" w:rsidRPr="00633CE0" w:rsidRDefault="009D7AFD" w:rsidP="009D7AFD">
      <w:pPr>
        <w:spacing w:line="240" w:lineRule="auto"/>
        <w:ind w:left="720" w:hanging="720"/>
        <w:jc w:val="both"/>
        <w:rPr>
          <w:sz w:val="22"/>
          <w:szCs w:val="22"/>
        </w:rPr>
      </w:pPr>
      <w:r w:rsidRPr="00633CE0">
        <w:rPr>
          <w:sz w:val="22"/>
          <w:szCs w:val="22"/>
        </w:rPr>
        <w:t>104.</w:t>
      </w:r>
      <w:r w:rsidRPr="00633CE0">
        <w:rPr>
          <w:sz w:val="22"/>
          <w:szCs w:val="22"/>
        </w:rPr>
        <w:tab/>
        <w:t xml:space="preserve">Tong, Y., Liao, W.X., Roy, A.C. &amp; Ng, S.C. Association of </w:t>
      </w:r>
      <w:proofErr w:type="spellStart"/>
      <w:r w:rsidRPr="00633CE0">
        <w:rPr>
          <w:sz w:val="22"/>
          <w:szCs w:val="22"/>
        </w:rPr>
        <w:t>AccI</w:t>
      </w:r>
      <w:proofErr w:type="spellEnd"/>
      <w:r w:rsidRPr="00633CE0">
        <w:rPr>
          <w:sz w:val="22"/>
          <w:szCs w:val="22"/>
        </w:rPr>
        <w:t xml:space="preserve"> polymorphism in the follicle-stimulating hormone beta gene with polycystic ovary syndrome. </w:t>
      </w:r>
      <w:proofErr w:type="spellStart"/>
      <w:r w:rsidRPr="00633CE0">
        <w:rPr>
          <w:i/>
          <w:sz w:val="22"/>
          <w:szCs w:val="22"/>
        </w:rPr>
        <w:t>Fertil</w:t>
      </w:r>
      <w:proofErr w:type="spellEnd"/>
      <w:r w:rsidRPr="00633CE0">
        <w:rPr>
          <w:i/>
          <w:sz w:val="22"/>
          <w:szCs w:val="22"/>
        </w:rPr>
        <w:t xml:space="preserve"> </w:t>
      </w:r>
      <w:proofErr w:type="spellStart"/>
      <w:r w:rsidRPr="00633CE0">
        <w:rPr>
          <w:i/>
          <w:sz w:val="22"/>
          <w:szCs w:val="22"/>
        </w:rPr>
        <w:t>Steril</w:t>
      </w:r>
      <w:proofErr w:type="spellEnd"/>
      <w:r w:rsidRPr="00633CE0">
        <w:rPr>
          <w:sz w:val="22"/>
          <w:szCs w:val="22"/>
        </w:rPr>
        <w:t xml:space="preserve"> </w:t>
      </w:r>
      <w:r w:rsidRPr="00633CE0">
        <w:rPr>
          <w:b/>
          <w:sz w:val="22"/>
          <w:szCs w:val="22"/>
        </w:rPr>
        <w:t>74</w:t>
      </w:r>
      <w:r w:rsidRPr="00633CE0">
        <w:rPr>
          <w:sz w:val="22"/>
          <w:szCs w:val="22"/>
        </w:rPr>
        <w:t>, 1233-6 (2000).</w:t>
      </w:r>
    </w:p>
    <w:p w14:paraId="74E23B01" w14:textId="77777777" w:rsidR="009D7AFD" w:rsidRPr="00633CE0" w:rsidRDefault="009D7AFD" w:rsidP="009D7AFD">
      <w:pPr>
        <w:spacing w:line="240" w:lineRule="auto"/>
        <w:ind w:left="720" w:hanging="720"/>
        <w:jc w:val="both"/>
        <w:rPr>
          <w:sz w:val="22"/>
          <w:szCs w:val="22"/>
        </w:rPr>
      </w:pPr>
      <w:r w:rsidRPr="00633CE0">
        <w:rPr>
          <w:sz w:val="22"/>
          <w:szCs w:val="22"/>
        </w:rPr>
        <w:lastRenderedPageBreak/>
        <w:t>105.</w:t>
      </w:r>
      <w:r w:rsidRPr="00633CE0">
        <w:rPr>
          <w:sz w:val="22"/>
          <w:szCs w:val="22"/>
        </w:rPr>
        <w:tab/>
        <w:t>Lee, H.</w:t>
      </w:r>
      <w:r w:rsidRPr="00633CE0">
        <w:rPr>
          <w:i/>
          <w:sz w:val="22"/>
          <w:szCs w:val="22"/>
        </w:rPr>
        <w:t xml:space="preserve"> et al.</w:t>
      </w:r>
      <w:r w:rsidRPr="00633CE0">
        <w:rPr>
          <w:sz w:val="22"/>
          <w:szCs w:val="22"/>
        </w:rPr>
        <w:t xml:space="preserve"> Genome-wide association study identified new susceptibility loci for polycystic ovary syndrome. </w:t>
      </w:r>
      <w:r w:rsidRPr="00633CE0">
        <w:rPr>
          <w:i/>
          <w:sz w:val="22"/>
          <w:szCs w:val="22"/>
        </w:rPr>
        <w:t xml:space="preserve">Hum </w:t>
      </w:r>
      <w:proofErr w:type="spellStart"/>
      <w:r w:rsidRPr="00633CE0">
        <w:rPr>
          <w:i/>
          <w:sz w:val="22"/>
          <w:szCs w:val="22"/>
        </w:rPr>
        <w:t>Reprod</w:t>
      </w:r>
      <w:proofErr w:type="spellEnd"/>
      <w:r w:rsidRPr="00633CE0">
        <w:rPr>
          <w:sz w:val="22"/>
          <w:szCs w:val="22"/>
        </w:rPr>
        <w:t xml:space="preserve"> </w:t>
      </w:r>
      <w:r w:rsidRPr="00633CE0">
        <w:rPr>
          <w:b/>
          <w:sz w:val="22"/>
          <w:szCs w:val="22"/>
        </w:rPr>
        <w:t>30</w:t>
      </w:r>
      <w:r w:rsidRPr="00633CE0">
        <w:rPr>
          <w:sz w:val="22"/>
          <w:szCs w:val="22"/>
        </w:rPr>
        <w:t>, 723-31 (2015).</w:t>
      </w:r>
    </w:p>
    <w:p w14:paraId="25FE79FE" w14:textId="77777777" w:rsidR="009D7AFD" w:rsidRPr="00633CE0" w:rsidRDefault="009D7AFD" w:rsidP="009D7AFD">
      <w:pPr>
        <w:spacing w:line="240" w:lineRule="auto"/>
        <w:ind w:left="720" w:hanging="720"/>
        <w:jc w:val="both"/>
        <w:rPr>
          <w:sz w:val="22"/>
          <w:szCs w:val="22"/>
        </w:rPr>
      </w:pPr>
      <w:r w:rsidRPr="00633CE0">
        <w:rPr>
          <w:sz w:val="22"/>
          <w:szCs w:val="22"/>
        </w:rPr>
        <w:t>106.</w:t>
      </w:r>
      <w:r w:rsidRPr="00633CE0">
        <w:rPr>
          <w:sz w:val="22"/>
          <w:szCs w:val="22"/>
        </w:rPr>
        <w:tab/>
        <w:t>Matthews, C.H.</w:t>
      </w:r>
      <w:r w:rsidRPr="00633CE0">
        <w:rPr>
          <w:i/>
          <w:sz w:val="22"/>
          <w:szCs w:val="22"/>
        </w:rPr>
        <w:t xml:space="preserve"> et al.</w:t>
      </w:r>
      <w:r w:rsidRPr="00633CE0">
        <w:rPr>
          <w:sz w:val="22"/>
          <w:szCs w:val="22"/>
        </w:rPr>
        <w:t xml:space="preserve"> Primary amenorrhoea and infertility due to a mutation in the beta-subunit of follicle-stimulating hormone. </w:t>
      </w:r>
      <w:r w:rsidRPr="00633CE0">
        <w:rPr>
          <w:i/>
          <w:sz w:val="22"/>
          <w:szCs w:val="22"/>
        </w:rPr>
        <w:t>Nat Genet</w:t>
      </w:r>
      <w:r w:rsidRPr="00633CE0">
        <w:rPr>
          <w:sz w:val="22"/>
          <w:szCs w:val="22"/>
        </w:rPr>
        <w:t xml:space="preserve"> </w:t>
      </w:r>
      <w:r w:rsidRPr="00633CE0">
        <w:rPr>
          <w:b/>
          <w:sz w:val="22"/>
          <w:szCs w:val="22"/>
        </w:rPr>
        <w:t>5</w:t>
      </w:r>
      <w:r w:rsidRPr="00633CE0">
        <w:rPr>
          <w:sz w:val="22"/>
          <w:szCs w:val="22"/>
        </w:rPr>
        <w:t>, 83-6 (1993).</w:t>
      </w:r>
    </w:p>
    <w:p w14:paraId="2E9ADD04" w14:textId="77777777" w:rsidR="009D7AFD" w:rsidRPr="00633CE0" w:rsidRDefault="009D7AFD" w:rsidP="009D7AFD">
      <w:pPr>
        <w:spacing w:line="240" w:lineRule="auto"/>
        <w:ind w:left="720" w:hanging="720"/>
        <w:jc w:val="both"/>
        <w:rPr>
          <w:sz w:val="22"/>
          <w:szCs w:val="22"/>
        </w:rPr>
      </w:pPr>
      <w:r w:rsidRPr="00633CE0">
        <w:rPr>
          <w:sz w:val="22"/>
          <w:szCs w:val="22"/>
        </w:rPr>
        <w:t>107.</w:t>
      </w:r>
      <w:r w:rsidRPr="00633CE0">
        <w:rPr>
          <w:sz w:val="22"/>
          <w:szCs w:val="22"/>
        </w:rPr>
        <w:tab/>
        <w:t xml:space="preserve">Kumar, T.R., Wang, Y., Lu, N. &amp; </w:t>
      </w:r>
      <w:proofErr w:type="spellStart"/>
      <w:r w:rsidRPr="00633CE0">
        <w:rPr>
          <w:sz w:val="22"/>
          <w:szCs w:val="22"/>
        </w:rPr>
        <w:t>Matzuk</w:t>
      </w:r>
      <w:proofErr w:type="spellEnd"/>
      <w:r w:rsidRPr="00633CE0">
        <w:rPr>
          <w:sz w:val="22"/>
          <w:szCs w:val="22"/>
        </w:rPr>
        <w:t xml:space="preserve">, M.M. Follicle stimulating hormone is required for ovarian follicle maturation but not male fertility. </w:t>
      </w:r>
      <w:r w:rsidRPr="00633CE0">
        <w:rPr>
          <w:i/>
          <w:sz w:val="22"/>
          <w:szCs w:val="22"/>
        </w:rPr>
        <w:t>Nat Genet</w:t>
      </w:r>
      <w:r w:rsidRPr="00633CE0">
        <w:rPr>
          <w:sz w:val="22"/>
          <w:szCs w:val="22"/>
        </w:rPr>
        <w:t xml:space="preserve"> </w:t>
      </w:r>
      <w:r w:rsidRPr="00633CE0">
        <w:rPr>
          <w:b/>
          <w:sz w:val="22"/>
          <w:szCs w:val="22"/>
        </w:rPr>
        <w:t>15</w:t>
      </w:r>
      <w:r w:rsidRPr="00633CE0">
        <w:rPr>
          <w:sz w:val="22"/>
          <w:szCs w:val="22"/>
        </w:rPr>
        <w:t>, 201-4 (1997).</w:t>
      </w:r>
    </w:p>
    <w:p w14:paraId="061DB0D5" w14:textId="77777777" w:rsidR="009D7AFD" w:rsidRPr="00633CE0" w:rsidRDefault="009D7AFD" w:rsidP="009D7AFD">
      <w:pPr>
        <w:spacing w:line="240" w:lineRule="auto"/>
        <w:ind w:left="720" w:hanging="720"/>
        <w:jc w:val="both"/>
        <w:rPr>
          <w:sz w:val="22"/>
          <w:szCs w:val="22"/>
        </w:rPr>
      </w:pPr>
      <w:r w:rsidRPr="00633CE0">
        <w:rPr>
          <w:sz w:val="22"/>
          <w:szCs w:val="22"/>
        </w:rPr>
        <w:t>108.</w:t>
      </w:r>
      <w:r w:rsidRPr="00633CE0">
        <w:rPr>
          <w:sz w:val="22"/>
          <w:szCs w:val="22"/>
        </w:rPr>
        <w:tab/>
        <w:t>Li, T.</w:t>
      </w:r>
      <w:r w:rsidRPr="00633CE0">
        <w:rPr>
          <w:i/>
          <w:sz w:val="22"/>
          <w:szCs w:val="22"/>
        </w:rPr>
        <w:t xml:space="preserve"> et al.</w:t>
      </w:r>
      <w:r w:rsidRPr="00633CE0">
        <w:rPr>
          <w:sz w:val="22"/>
          <w:szCs w:val="22"/>
        </w:rPr>
        <w:t xml:space="preserve"> Identification of YAP1 as a novel susceptibility gene for polycystic ovary syndrome. </w:t>
      </w:r>
      <w:r w:rsidRPr="00633CE0">
        <w:rPr>
          <w:i/>
          <w:sz w:val="22"/>
          <w:szCs w:val="22"/>
        </w:rPr>
        <w:t>J Med Genet</w:t>
      </w:r>
      <w:r w:rsidRPr="00633CE0">
        <w:rPr>
          <w:sz w:val="22"/>
          <w:szCs w:val="22"/>
        </w:rPr>
        <w:t xml:space="preserve"> </w:t>
      </w:r>
      <w:r w:rsidRPr="00633CE0">
        <w:rPr>
          <w:b/>
          <w:sz w:val="22"/>
          <w:szCs w:val="22"/>
        </w:rPr>
        <w:t>49</w:t>
      </w:r>
      <w:r w:rsidRPr="00633CE0">
        <w:rPr>
          <w:sz w:val="22"/>
          <w:szCs w:val="22"/>
        </w:rPr>
        <w:t>, 254-7 (2012).</w:t>
      </w:r>
    </w:p>
    <w:p w14:paraId="3C158EB5" w14:textId="77777777" w:rsidR="009D7AFD" w:rsidRPr="00633CE0" w:rsidRDefault="009D7AFD" w:rsidP="009D7AFD">
      <w:pPr>
        <w:spacing w:line="240" w:lineRule="auto"/>
        <w:ind w:left="720" w:hanging="720"/>
        <w:jc w:val="both"/>
        <w:rPr>
          <w:sz w:val="22"/>
          <w:szCs w:val="22"/>
        </w:rPr>
      </w:pPr>
      <w:r w:rsidRPr="00633CE0">
        <w:rPr>
          <w:sz w:val="22"/>
          <w:szCs w:val="22"/>
        </w:rPr>
        <w:t>109.</w:t>
      </w:r>
      <w:r w:rsidRPr="00633CE0">
        <w:rPr>
          <w:sz w:val="22"/>
          <w:szCs w:val="22"/>
        </w:rPr>
        <w:tab/>
      </w:r>
      <w:proofErr w:type="spellStart"/>
      <w:r w:rsidRPr="00633CE0">
        <w:rPr>
          <w:sz w:val="22"/>
          <w:szCs w:val="22"/>
        </w:rPr>
        <w:t>Louwers</w:t>
      </w:r>
      <w:proofErr w:type="spellEnd"/>
      <w:r w:rsidRPr="00633CE0">
        <w:rPr>
          <w:sz w:val="22"/>
          <w:szCs w:val="22"/>
        </w:rPr>
        <w:t xml:space="preserve">, Y.V., </w:t>
      </w:r>
      <w:proofErr w:type="spellStart"/>
      <w:r w:rsidRPr="00633CE0">
        <w:rPr>
          <w:sz w:val="22"/>
          <w:szCs w:val="22"/>
        </w:rPr>
        <w:t>Stolk</w:t>
      </w:r>
      <w:proofErr w:type="spellEnd"/>
      <w:r w:rsidRPr="00633CE0">
        <w:rPr>
          <w:sz w:val="22"/>
          <w:szCs w:val="22"/>
        </w:rPr>
        <w:t xml:space="preserve">, L., Uitterlinden, A.G. &amp; Laven, J.S. Cross-ethnic meta-analysis of genetic variants for polycystic ovary syndrome. </w:t>
      </w:r>
      <w:r w:rsidRPr="00633CE0">
        <w:rPr>
          <w:i/>
          <w:sz w:val="22"/>
          <w:szCs w:val="22"/>
        </w:rPr>
        <w:t xml:space="preserve">J Clin Endocrinol </w:t>
      </w:r>
      <w:proofErr w:type="spellStart"/>
      <w:r w:rsidRPr="00633CE0">
        <w:rPr>
          <w:i/>
          <w:sz w:val="22"/>
          <w:szCs w:val="22"/>
        </w:rPr>
        <w:t>Metab</w:t>
      </w:r>
      <w:proofErr w:type="spellEnd"/>
      <w:r w:rsidRPr="00633CE0">
        <w:rPr>
          <w:sz w:val="22"/>
          <w:szCs w:val="22"/>
        </w:rPr>
        <w:t xml:space="preserve"> </w:t>
      </w:r>
      <w:r w:rsidRPr="00633CE0">
        <w:rPr>
          <w:b/>
          <w:sz w:val="22"/>
          <w:szCs w:val="22"/>
        </w:rPr>
        <w:t>98</w:t>
      </w:r>
      <w:r w:rsidRPr="00633CE0">
        <w:rPr>
          <w:sz w:val="22"/>
          <w:szCs w:val="22"/>
        </w:rPr>
        <w:t>, E2006-12 (2013).</w:t>
      </w:r>
    </w:p>
    <w:p w14:paraId="2210797E" w14:textId="77777777" w:rsidR="009D7AFD" w:rsidRPr="00633CE0" w:rsidRDefault="009D7AFD" w:rsidP="009D7AFD">
      <w:pPr>
        <w:spacing w:line="240" w:lineRule="auto"/>
        <w:ind w:left="720" w:hanging="720"/>
        <w:jc w:val="both"/>
        <w:rPr>
          <w:sz w:val="22"/>
          <w:szCs w:val="22"/>
        </w:rPr>
      </w:pPr>
      <w:r w:rsidRPr="00633CE0">
        <w:rPr>
          <w:sz w:val="22"/>
          <w:szCs w:val="22"/>
        </w:rPr>
        <w:t>110.</w:t>
      </w:r>
      <w:r w:rsidRPr="00633CE0">
        <w:rPr>
          <w:sz w:val="22"/>
          <w:szCs w:val="22"/>
        </w:rPr>
        <w:tab/>
      </w:r>
      <w:proofErr w:type="spellStart"/>
      <w:r w:rsidRPr="00633CE0">
        <w:rPr>
          <w:sz w:val="22"/>
          <w:szCs w:val="22"/>
        </w:rPr>
        <w:t>Mariani</w:t>
      </w:r>
      <w:proofErr w:type="spellEnd"/>
      <w:r w:rsidRPr="00633CE0">
        <w:rPr>
          <w:sz w:val="22"/>
          <w:szCs w:val="22"/>
        </w:rPr>
        <w:t>, F.</w:t>
      </w:r>
      <w:r w:rsidRPr="00633CE0">
        <w:rPr>
          <w:i/>
          <w:sz w:val="22"/>
          <w:szCs w:val="22"/>
        </w:rPr>
        <w:t xml:space="preserve"> et al.</w:t>
      </w:r>
      <w:r w:rsidRPr="00633CE0">
        <w:rPr>
          <w:sz w:val="22"/>
          <w:szCs w:val="22"/>
        </w:rPr>
        <w:t xml:space="preserve"> PLZF expression during colorectal cancer development and in normal colorectal mucosa according to body size, as marker of colorectal cancer risk. </w:t>
      </w:r>
      <w:proofErr w:type="spellStart"/>
      <w:r w:rsidRPr="00633CE0">
        <w:rPr>
          <w:i/>
          <w:sz w:val="22"/>
          <w:szCs w:val="22"/>
        </w:rPr>
        <w:t>ScientificWorldJournal</w:t>
      </w:r>
      <w:proofErr w:type="spellEnd"/>
      <w:r w:rsidRPr="00633CE0">
        <w:rPr>
          <w:sz w:val="22"/>
          <w:szCs w:val="22"/>
        </w:rPr>
        <w:t xml:space="preserve"> </w:t>
      </w:r>
      <w:r w:rsidRPr="00633CE0">
        <w:rPr>
          <w:b/>
          <w:sz w:val="22"/>
          <w:szCs w:val="22"/>
        </w:rPr>
        <w:t>2013</w:t>
      </w:r>
      <w:r w:rsidRPr="00633CE0">
        <w:rPr>
          <w:sz w:val="22"/>
          <w:szCs w:val="22"/>
        </w:rPr>
        <w:t>, 630869 (2013).</w:t>
      </w:r>
    </w:p>
    <w:p w14:paraId="6D11920A" w14:textId="77777777" w:rsidR="009D7AFD" w:rsidRPr="00633CE0" w:rsidRDefault="009D7AFD" w:rsidP="009D7AFD">
      <w:pPr>
        <w:spacing w:line="240" w:lineRule="auto"/>
        <w:ind w:left="720" w:hanging="720"/>
        <w:jc w:val="both"/>
        <w:rPr>
          <w:sz w:val="22"/>
          <w:szCs w:val="22"/>
        </w:rPr>
      </w:pPr>
      <w:r w:rsidRPr="00633CE0">
        <w:rPr>
          <w:sz w:val="22"/>
          <w:szCs w:val="22"/>
        </w:rPr>
        <w:t>111.</w:t>
      </w:r>
      <w:r w:rsidRPr="00633CE0">
        <w:rPr>
          <w:sz w:val="22"/>
          <w:szCs w:val="22"/>
        </w:rPr>
        <w:tab/>
        <w:t>Todd, J.A.</w:t>
      </w:r>
      <w:r w:rsidRPr="00633CE0">
        <w:rPr>
          <w:i/>
          <w:sz w:val="22"/>
          <w:szCs w:val="22"/>
        </w:rPr>
        <w:t xml:space="preserve"> et al.</w:t>
      </w:r>
      <w:r w:rsidRPr="00633CE0">
        <w:rPr>
          <w:sz w:val="22"/>
          <w:szCs w:val="22"/>
        </w:rPr>
        <w:t xml:space="preserve"> Robust associations of four new chromosome regions from genome-wide analyses of type 1 diabetes. </w:t>
      </w:r>
      <w:r w:rsidRPr="00633CE0">
        <w:rPr>
          <w:i/>
          <w:sz w:val="22"/>
          <w:szCs w:val="22"/>
        </w:rPr>
        <w:t>Nat Genet</w:t>
      </w:r>
      <w:r w:rsidRPr="00633CE0">
        <w:rPr>
          <w:sz w:val="22"/>
          <w:szCs w:val="22"/>
        </w:rPr>
        <w:t xml:space="preserve"> </w:t>
      </w:r>
      <w:r w:rsidRPr="00633CE0">
        <w:rPr>
          <w:b/>
          <w:sz w:val="22"/>
          <w:szCs w:val="22"/>
        </w:rPr>
        <w:t>39</w:t>
      </w:r>
      <w:r w:rsidRPr="00633CE0">
        <w:rPr>
          <w:sz w:val="22"/>
          <w:szCs w:val="22"/>
        </w:rPr>
        <w:t>, 857-64 (2007).</w:t>
      </w:r>
    </w:p>
    <w:p w14:paraId="561C7D79" w14:textId="77777777" w:rsidR="009D7AFD" w:rsidRPr="00633CE0" w:rsidRDefault="009D7AFD" w:rsidP="009D7AFD">
      <w:pPr>
        <w:spacing w:line="240" w:lineRule="auto"/>
        <w:ind w:left="720" w:hanging="720"/>
        <w:jc w:val="both"/>
        <w:rPr>
          <w:sz w:val="22"/>
          <w:szCs w:val="22"/>
        </w:rPr>
      </w:pPr>
      <w:r w:rsidRPr="00633CE0">
        <w:rPr>
          <w:sz w:val="22"/>
          <w:szCs w:val="22"/>
        </w:rPr>
        <w:t>112.</w:t>
      </w:r>
      <w:r w:rsidRPr="00633CE0">
        <w:rPr>
          <w:sz w:val="22"/>
          <w:szCs w:val="22"/>
        </w:rPr>
        <w:tab/>
        <w:t xml:space="preserve">Mukherjee, A. &amp; Roy, S.K. Expression of ErbB3-binding protein-1 (EBP1) during primordial follicle formation: role of estradiol-17ss. </w:t>
      </w:r>
      <w:proofErr w:type="spellStart"/>
      <w:r w:rsidRPr="00633CE0">
        <w:rPr>
          <w:i/>
          <w:sz w:val="22"/>
          <w:szCs w:val="22"/>
        </w:rPr>
        <w:t>PLoS</w:t>
      </w:r>
      <w:proofErr w:type="spellEnd"/>
      <w:r w:rsidRPr="00633CE0">
        <w:rPr>
          <w:i/>
          <w:sz w:val="22"/>
          <w:szCs w:val="22"/>
        </w:rPr>
        <w:t xml:space="preserve"> One</w:t>
      </w:r>
      <w:r w:rsidRPr="00633CE0">
        <w:rPr>
          <w:sz w:val="22"/>
          <w:szCs w:val="22"/>
        </w:rPr>
        <w:t xml:space="preserve"> </w:t>
      </w:r>
      <w:r w:rsidRPr="00633CE0">
        <w:rPr>
          <w:b/>
          <w:sz w:val="22"/>
          <w:szCs w:val="22"/>
        </w:rPr>
        <w:t>8</w:t>
      </w:r>
      <w:r w:rsidRPr="00633CE0">
        <w:rPr>
          <w:sz w:val="22"/>
          <w:szCs w:val="22"/>
        </w:rPr>
        <w:t>, e67068 (2013).</w:t>
      </w:r>
    </w:p>
    <w:p w14:paraId="1E065DE8" w14:textId="77777777" w:rsidR="009D7AFD" w:rsidRPr="00633CE0" w:rsidRDefault="009D7AFD" w:rsidP="009D7AFD">
      <w:pPr>
        <w:spacing w:line="240" w:lineRule="auto"/>
        <w:ind w:left="720" w:hanging="720"/>
        <w:jc w:val="both"/>
        <w:rPr>
          <w:sz w:val="22"/>
          <w:szCs w:val="22"/>
        </w:rPr>
      </w:pPr>
      <w:r w:rsidRPr="00633CE0">
        <w:rPr>
          <w:sz w:val="22"/>
          <w:szCs w:val="22"/>
        </w:rPr>
        <w:t>113.</w:t>
      </w:r>
      <w:r w:rsidRPr="00633CE0">
        <w:rPr>
          <w:sz w:val="22"/>
          <w:szCs w:val="22"/>
        </w:rPr>
        <w:tab/>
        <w:t>Saxena, R.</w:t>
      </w:r>
      <w:r w:rsidRPr="00633CE0">
        <w:rPr>
          <w:i/>
          <w:sz w:val="22"/>
          <w:szCs w:val="22"/>
        </w:rPr>
        <w:t xml:space="preserve"> et al.</w:t>
      </w:r>
      <w:r w:rsidRPr="00633CE0">
        <w:rPr>
          <w:sz w:val="22"/>
          <w:szCs w:val="22"/>
        </w:rPr>
        <w:t xml:space="preserve"> Han Chinese polycystic ovary syndrome risk variants in women of European ancestry: relationship to FSH levels and glucose tolerance. </w:t>
      </w:r>
      <w:r w:rsidRPr="00633CE0">
        <w:rPr>
          <w:i/>
          <w:sz w:val="22"/>
          <w:szCs w:val="22"/>
        </w:rPr>
        <w:t xml:space="preserve">Hum </w:t>
      </w:r>
      <w:proofErr w:type="spellStart"/>
      <w:r w:rsidRPr="00633CE0">
        <w:rPr>
          <w:i/>
          <w:sz w:val="22"/>
          <w:szCs w:val="22"/>
        </w:rPr>
        <w:t>Reprod</w:t>
      </w:r>
      <w:proofErr w:type="spellEnd"/>
      <w:r w:rsidRPr="00633CE0">
        <w:rPr>
          <w:sz w:val="22"/>
          <w:szCs w:val="22"/>
        </w:rPr>
        <w:t xml:space="preserve"> </w:t>
      </w:r>
      <w:r w:rsidRPr="00633CE0">
        <w:rPr>
          <w:b/>
          <w:sz w:val="22"/>
          <w:szCs w:val="22"/>
        </w:rPr>
        <w:t>30</w:t>
      </w:r>
      <w:r w:rsidRPr="00633CE0">
        <w:rPr>
          <w:sz w:val="22"/>
          <w:szCs w:val="22"/>
        </w:rPr>
        <w:t>, 1454-9 (2015).</w:t>
      </w:r>
    </w:p>
    <w:p w14:paraId="754D43AD" w14:textId="77777777" w:rsidR="009D7AFD" w:rsidRPr="00633CE0" w:rsidRDefault="009D7AFD" w:rsidP="009D7AFD">
      <w:pPr>
        <w:spacing w:line="240" w:lineRule="auto"/>
        <w:ind w:left="720" w:hanging="720"/>
        <w:jc w:val="both"/>
        <w:rPr>
          <w:sz w:val="22"/>
          <w:szCs w:val="22"/>
        </w:rPr>
      </w:pPr>
      <w:r w:rsidRPr="00633CE0">
        <w:rPr>
          <w:sz w:val="22"/>
          <w:szCs w:val="22"/>
        </w:rPr>
        <w:t>114.</w:t>
      </w:r>
      <w:r w:rsidRPr="00633CE0">
        <w:rPr>
          <w:sz w:val="22"/>
          <w:szCs w:val="22"/>
        </w:rPr>
        <w:tab/>
        <w:t>Yun, H.J.</w:t>
      </w:r>
      <w:r w:rsidRPr="00633CE0">
        <w:rPr>
          <w:i/>
          <w:sz w:val="22"/>
          <w:szCs w:val="22"/>
        </w:rPr>
        <w:t xml:space="preserve"> et al.</w:t>
      </w:r>
      <w:r w:rsidRPr="00633CE0">
        <w:rPr>
          <w:sz w:val="22"/>
          <w:szCs w:val="22"/>
        </w:rPr>
        <w:t xml:space="preserve"> An early endosome regulator, Rab5b, is an LRRK2 kinase substrate. </w:t>
      </w:r>
      <w:r w:rsidRPr="00633CE0">
        <w:rPr>
          <w:i/>
          <w:sz w:val="22"/>
          <w:szCs w:val="22"/>
        </w:rPr>
        <w:t xml:space="preserve">J </w:t>
      </w:r>
      <w:proofErr w:type="spellStart"/>
      <w:r w:rsidRPr="00633CE0">
        <w:rPr>
          <w:i/>
          <w:sz w:val="22"/>
          <w:szCs w:val="22"/>
        </w:rPr>
        <w:t>Biochem</w:t>
      </w:r>
      <w:proofErr w:type="spellEnd"/>
      <w:r w:rsidRPr="00633CE0">
        <w:rPr>
          <w:sz w:val="22"/>
          <w:szCs w:val="22"/>
        </w:rPr>
        <w:t xml:space="preserve"> </w:t>
      </w:r>
      <w:r w:rsidRPr="00633CE0">
        <w:rPr>
          <w:b/>
          <w:sz w:val="22"/>
          <w:szCs w:val="22"/>
        </w:rPr>
        <w:t>157</w:t>
      </w:r>
      <w:r w:rsidRPr="00633CE0">
        <w:rPr>
          <w:sz w:val="22"/>
          <w:szCs w:val="22"/>
        </w:rPr>
        <w:t>, 485-95 (2015).</w:t>
      </w:r>
    </w:p>
    <w:p w14:paraId="302A3F1B" w14:textId="77777777" w:rsidR="009D7AFD" w:rsidRPr="00633CE0" w:rsidRDefault="009D7AFD" w:rsidP="009D7AFD">
      <w:pPr>
        <w:spacing w:line="240" w:lineRule="auto"/>
        <w:ind w:left="720" w:hanging="720"/>
        <w:jc w:val="both"/>
        <w:rPr>
          <w:sz w:val="22"/>
          <w:szCs w:val="22"/>
        </w:rPr>
      </w:pPr>
      <w:r w:rsidRPr="00633CE0">
        <w:rPr>
          <w:sz w:val="22"/>
          <w:szCs w:val="22"/>
        </w:rPr>
        <w:t>115.</w:t>
      </w:r>
      <w:r w:rsidRPr="00633CE0">
        <w:rPr>
          <w:sz w:val="22"/>
          <w:szCs w:val="22"/>
        </w:rPr>
        <w:tab/>
        <w:t xml:space="preserve">Chen, P.I., Kong, C., Su, X. &amp; Stahl, P.D. Rab5 isoforms differentially regulate the trafficking and degradation of epidermal growth factor receptors. </w:t>
      </w:r>
      <w:r w:rsidRPr="00633CE0">
        <w:rPr>
          <w:i/>
          <w:sz w:val="22"/>
          <w:szCs w:val="22"/>
        </w:rPr>
        <w:t xml:space="preserve">J </w:t>
      </w:r>
      <w:proofErr w:type="spellStart"/>
      <w:r w:rsidRPr="00633CE0">
        <w:rPr>
          <w:i/>
          <w:sz w:val="22"/>
          <w:szCs w:val="22"/>
        </w:rPr>
        <w:t>Biol</w:t>
      </w:r>
      <w:proofErr w:type="spellEnd"/>
      <w:r w:rsidRPr="00633CE0">
        <w:rPr>
          <w:i/>
          <w:sz w:val="22"/>
          <w:szCs w:val="22"/>
        </w:rPr>
        <w:t xml:space="preserve"> Chem</w:t>
      </w:r>
      <w:r w:rsidRPr="00633CE0">
        <w:rPr>
          <w:sz w:val="22"/>
          <w:szCs w:val="22"/>
        </w:rPr>
        <w:t xml:space="preserve"> </w:t>
      </w:r>
      <w:r w:rsidRPr="00633CE0">
        <w:rPr>
          <w:b/>
          <w:sz w:val="22"/>
          <w:szCs w:val="22"/>
        </w:rPr>
        <w:t>284</w:t>
      </w:r>
      <w:r w:rsidRPr="00633CE0">
        <w:rPr>
          <w:sz w:val="22"/>
          <w:szCs w:val="22"/>
        </w:rPr>
        <w:t>, 30328-38 (2009).</w:t>
      </w:r>
    </w:p>
    <w:p w14:paraId="5FC3C101" w14:textId="77777777" w:rsidR="009D7AFD" w:rsidRPr="00633CE0" w:rsidRDefault="009D7AFD" w:rsidP="009D7AFD">
      <w:pPr>
        <w:spacing w:line="240" w:lineRule="auto"/>
        <w:ind w:left="720" w:hanging="720"/>
        <w:jc w:val="both"/>
        <w:rPr>
          <w:sz w:val="22"/>
          <w:szCs w:val="22"/>
        </w:rPr>
      </w:pPr>
      <w:r w:rsidRPr="00633CE0">
        <w:rPr>
          <w:sz w:val="22"/>
          <w:szCs w:val="22"/>
        </w:rPr>
        <w:t>116.</w:t>
      </w:r>
      <w:r w:rsidRPr="00633CE0">
        <w:rPr>
          <w:sz w:val="22"/>
          <w:szCs w:val="22"/>
        </w:rPr>
        <w:tab/>
        <w:t>Jones, M.R.</w:t>
      </w:r>
      <w:r w:rsidRPr="00633CE0">
        <w:rPr>
          <w:i/>
          <w:sz w:val="22"/>
          <w:szCs w:val="22"/>
        </w:rPr>
        <w:t xml:space="preserve"> et al.</w:t>
      </w:r>
      <w:r w:rsidRPr="00633CE0">
        <w:rPr>
          <w:sz w:val="22"/>
          <w:szCs w:val="22"/>
        </w:rPr>
        <w:t xml:space="preserve"> Systems genetics reveals the functional context of PCOS loci and identifies genetic and molecular mechanisms of disease heterogeneity. </w:t>
      </w:r>
      <w:proofErr w:type="spellStart"/>
      <w:r w:rsidRPr="00633CE0">
        <w:rPr>
          <w:i/>
          <w:sz w:val="22"/>
          <w:szCs w:val="22"/>
        </w:rPr>
        <w:t>PLoS</w:t>
      </w:r>
      <w:proofErr w:type="spellEnd"/>
      <w:r w:rsidRPr="00633CE0">
        <w:rPr>
          <w:i/>
          <w:sz w:val="22"/>
          <w:szCs w:val="22"/>
        </w:rPr>
        <w:t xml:space="preserve"> Genet</w:t>
      </w:r>
      <w:r w:rsidRPr="00633CE0">
        <w:rPr>
          <w:sz w:val="22"/>
          <w:szCs w:val="22"/>
        </w:rPr>
        <w:t xml:space="preserve"> </w:t>
      </w:r>
      <w:r w:rsidRPr="00633CE0">
        <w:rPr>
          <w:b/>
          <w:sz w:val="22"/>
          <w:szCs w:val="22"/>
        </w:rPr>
        <w:t>11</w:t>
      </w:r>
      <w:r w:rsidRPr="00633CE0">
        <w:rPr>
          <w:sz w:val="22"/>
          <w:szCs w:val="22"/>
        </w:rPr>
        <w:t>, e1005455 (2015).</w:t>
      </w:r>
    </w:p>
    <w:p w14:paraId="73D0272A" w14:textId="77777777" w:rsidR="009D7AFD" w:rsidRPr="00633CE0" w:rsidRDefault="009D7AFD" w:rsidP="009D7AFD">
      <w:pPr>
        <w:spacing w:line="240" w:lineRule="auto"/>
        <w:ind w:left="720" w:hanging="720"/>
        <w:jc w:val="both"/>
        <w:rPr>
          <w:sz w:val="22"/>
          <w:szCs w:val="22"/>
        </w:rPr>
      </w:pPr>
      <w:r w:rsidRPr="00633CE0">
        <w:rPr>
          <w:sz w:val="22"/>
          <w:szCs w:val="22"/>
        </w:rPr>
        <w:t>117.</w:t>
      </w:r>
      <w:r w:rsidRPr="00633CE0">
        <w:rPr>
          <w:sz w:val="22"/>
          <w:szCs w:val="22"/>
        </w:rPr>
        <w:tab/>
        <w:t>Zhang, L.J.</w:t>
      </w:r>
      <w:r w:rsidRPr="00633CE0">
        <w:rPr>
          <w:i/>
          <w:sz w:val="22"/>
          <w:szCs w:val="22"/>
        </w:rPr>
        <w:t xml:space="preserve"> et al.</w:t>
      </w:r>
      <w:r w:rsidRPr="00633CE0">
        <w:rPr>
          <w:sz w:val="22"/>
          <w:szCs w:val="22"/>
        </w:rPr>
        <w:t xml:space="preserve"> Testosterone regulates thyroid cancer progression by modifying </w:t>
      </w:r>
      <w:proofErr w:type="spellStart"/>
      <w:r w:rsidRPr="00633CE0">
        <w:rPr>
          <w:sz w:val="22"/>
          <w:szCs w:val="22"/>
        </w:rPr>
        <w:t>tumor</w:t>
      </w:r>
      <w:proofErr w:type="spellEnd"/>
      <w:r w:rsidRPr="00633CE0">
        <w:rPr>
          <w:sz w:val="22"/>
          <w:szCs w:val="22"/>
        </w:rPr>
        <w:t xml:space="preserve"> suppressor genes and </w:t>
      </w:r>
      <w:proofErr w:type="spellStart"/>
      <w:r w:rsidRPr="00633CE0">
        <w:rPr>
          <w:sz w:val="22"/>
          <w:szCs w:val="22"/>
        </w:rPr>
        <w:t>tumor</w:t>
      </w:r>
      <w:proofErr w:type="spellEnd"/>
      <w:r w:rsidRPr="00633CE0">
        <w:rPr>
          <w:sz w:val="22"/>
          <w:szCs w:val="22"/>
        </w:rPr>
        <w:t xml:space="preserve"> immunity. </w:t>
      </w:r>
      <w:r w:rsidRPr="00633CE0">
        <w:rPr>
          <w:i/>
          <w:sz w:val="22"/>
          <w:szCs w:val="22"/>
        </w:rPr>
        <w:t>Carcinogenesis</w:t>
      </w:r>
      <w:r w:rsidRPr="00633CE0">
        <w:rPr>
          <w:sz w:val="22"/>
          <w:szCs w:val="22"/>
        </w:rPr>
        <w:t xml:space="preserve"> </w:t>
      </w:r>
      <w:r w:rsidRPr="00633CE0">
        <w:rPr>
          <w:b/>
          <w:sz w:val="22"/>
          <w:szCs w:val="22"/>
        </w:rPr>
        <w:t>36</w:t>
      </w:r>
      <w:r w:rsidRPr="00633CE0">
        <w:rPr>
          <w:sz w:val="22"/>
          <w:szCs w:val="22"/>
        </w:rPr>
        <w:t>, 420-8 (2015).</w:t>
      </w:r>
    </w:p>
    <w:p w14:paraId="137B745D" w14:textId="77777777" w:rsidR="009D7AFD" w:rsidRPr="00633CE0" w:rsidRDefault="009D7AFD" w:rsidP="009D7AFD">
      <w:pPr>
        <w:spacing w:line="240" w:lineRule="auto"/>
        <w:ind w:left="720" w:hanging="720"/>
        <w:jc w:val="both"/>
        <w:rPr>
          <w:sz w:val="22"/>
          <w:szCs w:val="22"/>
        </w:rPr>
      </w:pPr>
      <w:r w:rsidRPr="00633CE0">
        <w:rPr>
          <w:sz w:val="22"/>
          <w:szCs w:val="22"/>
        </w:rPr>
        <w:t>118.</w:t>
      </w:r>
      <w:r w:rsidRPr="00633CE0">
        <w:rPr>
          <w:sz w:val="22"/>
          <w:szCs w:val="22"/>
        </w:rPr>
        <w:tab/>
        <w:t>Rasmussen, L.M.</w:t>
      </w:r>
      <w:r w:rsidRPr="00633CE0">
        <w:rPr>
          <w:i/>
          <w:sz w:val="22"/>
          <w:szCs w:val="22"/>
        </w:rPr>
        <w:t xml:space="preserve"> et al.</w:t>
      </w:r>
      <w:r w:rsidRPr="00633CE0">
        <w:rPr>
          <w:sz w:val="22"/>
          <w:szCs w:val="22"/>
        </w:rPr>
        <w:t xml:space="preserve"> Prolactin and oestrogen synergistically regulate gene expression and proliferation of breast cancer cells. </w:t>
      </w:r>
      <w:proofErr w:type="spellStart"/>
      <w:r w:rsidRPr="00633CE0">
        <w:rPr>
          <w:i/>
          <w:sz w:val="22"/>
          <w:szCs w:val="22"/>
        </w:rPr>
        <w:t>Endocr</w:t>
      </w:r>
      <w:proofErr w:type="spellEnd"/>
      <w:r w:rsidRPr="00633CE0">
        <w:rPr>
          <w:i/>
          <w:sz w:val="22"/>
          <w:szCs w:val="22"/>
        </w:rPr>
        <w:t xml:space="preserve"> </w:t>
      </w:r>
      <w:proofErr w:type="spellStart"/>
      <w:r w:rsidRPr="00633CE0">
        <w:rPr>
          <w:i/>
          <w:sz w:val="22"/>
          <w:szCs w:val="22"/>
        </w:rPr>
        <w:t>Relat</w:t>
      </w:r>
      <w:proofErr w:type="spellEnd"/>
      <w:r w:rsidRPr="00633CE0">
        <w:rPr>
          <w:i/>
          <w:sz w:val="22"/>
          <w:szCs w:val="22"/>
        </w:rPr>
        <w:t xml:space="preserve"> Cancer</w:t>
      </w:r>
      <w:r w:rsidRPr="00633CE0">
        <w:rPr>
          <w:sz w:val="22"/>
          <w:szCs w:val="22"/>
        </w:rPr>
        <w:t xml:space="preserve"> </w:t>
      </w:r>
      <w:r w:rsidRPr="00633CE0">
        <w:rPr>
          <w:b/>
          <w:sz w:val="22"/>
          <w:szCs w:val="22"/>
        </w:rPr>
        <w:t>17</w:t>
      </w:r>
      <w:r w:rsidRPr="00633CE0">
        <w:rPr>
          <w:sz w:val="22"/>
          <w:szCs w:val="22"/>
        </w:rPr>
        <w:t>, 809-22 (2010).</w:t>
      </w:r>
    </w:p>
    <w:p w14:paraId="022BE23D" w14:textId="77777777" w:rsidR="009D7AFD" w:rsidRPr="00633CE0" w:rsidRDefault="009D7AFD" w:rsidP="009D7AFD">
      <w:pPr>
        <w:spacing w:line="240" w:lineRule="auto"/>
        <w:ind w:left="720" w:hanging="720"/>
        <w:jc w:val="both"/>
        <w:rPr>
          <w:sz w:val="22"/>
          <w:szCs w:val="22"/>
        </w:rPr>
      </w:pPr>
      <w:r w:rsidRPr="00633CE0">
        <w:rPr>
          <w:sz w:val="22"/>
          <w:szCs w:val="22"/>
        </w:rPr>
        <w:t>119.</w:t>
      </w:r>
      <w:r w:rsidRPr="00633CE0">
        <w:rPr>
          <w:sz w:val="22"/>
          <w:szCs w:val="22"/>
        </w:rPr>
        <w:tab/>
        <w:t>Gibbs, G.M.</w:t>
      </w:r>
      <w:r w:rsidRPr="00633CE0">
        <w:rPr>
          <w:i/>
          <w:sz w:val="22"/>
          <w:szCs w:val="22"/>
        </w:rPr>
        <w:t xml:space="preserve"> et al.</w:t>
      </w:r>
      <w:r w:rsidRPr="00633CE0">
        <w:rPr>
          <w:sz w:val="22"/>
          <w:szCs w:val="22"/>
        </w:rPr>
        <w:t xml:space="preserve"> Glioma pathogenesis-related 1-like 1 is testis enriched, dynamically modified, and redistributed during male germ cell maturation and has a potential role in sperm-oocyte binding. </w:t>
      </w:r>
      <w:r w:rsidRPr="00633CE0">
        <w:rPr>
          <w:i/>
          <w:sz w:val="22"/>
          <w:szCs w:val="22"/>
        </w:rPr>
        <w:t>Endocrinology</w:t>
      </w:r>
      <w:r w:rsidRPr="00633CE0">
        <w:rPr>
          <w:sz w:val="22"/>
          <w:szCs w:val="22"/>
        </w:rPr>
        <w:t xml:space="preserve"> </w:t>
      </w:r>
      <w:r w:rsidRPr="00633CE0">
        <w:rPr>
          <w:b/>
          <w:sz w:val="22"/>
          <w:szCs w:val="22"/>
        </w:rPr>
        <w:t>151</w:t>
      </w:r>
      <w:r w:rsidRPr="00633CE0">
        <w:rPr>
          <w:sz w:val="22"/>
          <w:szCs w:val="22"/>
        </w:rPr>
        <w:t>, 2331-42 (2010).</w:t>
      </w:r>
    </w:p>
    <w:p w14:paraId="6892F874" w14:textId="77777777" w:rsidR="009D7AFD" w:rsidRPr="00633CE0" w:rsidRDefault="009D7AFD" w:rsidP="009D7AFD">
      <w:pPr>
        <w:spacing w:line="240" w:lineRule="auto"/>
        <w:ind w:left="720" w:hanging="720"/>
        <w:jc w:val="both"/>
        <w:rPr>
          <w:sz w:val="22"/>
          <w:szCs w:val="22"/>
        </w:rPr>
      </w:pPr>
      <w:r w:rsidRPr="00633CE0">
        <w:rPr>
          <w:sz w:val="22"/>
          <w:szCs w:val="22"/>
        </w:rPr>
        <w:t>120.</w:t>
      </w:r>
      <w:r w:rsidRPr="00633CE0">
        <w:rPr>
          <w:sz w:val="22"/>
          <w:szCs w:val="22"/>
        </w:rPr>
        <w:tab/>
        <w:t>Zhang, X.</w:t>
      </w:r>
      <w:r w:rsidRPr="00633CE0">
        <w:rPr>
          <w:i/>
          <w:sz w:val="22"/>
          <w:szCs w:val="22"/>
        </w:rPr>
        <w:t xml:space="preserve"> et al.</w:t>
      </w:r>
      <w:r w:rsidRPr="00633CE0">
        <w:rPr>
          <w:sz w:val="22"/>
          <w:szCs w:val="22"/>
        </w:rPr>
        <w:t xml:space="preserve"> A genetic polymorphism in TOX3 is associated with survival of gastric cancer in a Chinese population. </w:t>
      </w:r>
      <w:proofErr w:type="spellStart"/>
      <w:r w:rsidRPr="00633CE0">
        <w:rPr>
          <w:i/>
          <w:sz w:val="22"/>
          <w:szCs w:val="22"/>
        </w:rPr>
        <w:t>PLoS</w:t>
      </w:r>
      <w:proofErr w:type="spellEnd"/>
      <w:r w:rsidRPr="00633CE0">
        <w:rPr>
          <w:i/>
          <w:sz w:val="22"/>
          <w:szCs w:val="22"/>
        </w:rPr>
        <w:t xml:space="preserve"> One</w:t>
      </w:r>
      <w:r w:rsidRPr="00633CE0">
        <w:rPr>
          <w:sz w:val="22"/>
          <w:szCs w:val="22"/>
        </w:rPr>
        <w:t xml:space="preserve"> </w:t>
      </w:r>
      <w:r w:rsidRPr="00633CE0">
        <w:rPr>
          <w:b/>
          <w:sz w:val="22"/>
          <w:szCs w:val="22"/>
        </w:rPr>
        <w:t>8</w:t>
      </w:r>
      <w:r w:rsidRPr="00633CE0">
        <w:rPr>
          <w:sz w:val="22"/>
          <w:szCs w:val="22"/>
        </w:rPr>
        <w:t>, e72186 (2013).</w:t>
      </w:r>
    </w:p>
    <w:p w14:paraId="6952601E" w14:textId="77777777" w:rsidR="009D7AFD" w:rsidRPr="00633CE0" w:rsidRDefault="009D7AFD" w:rsidP="009D7AFD">
      <w:pPr>
        <w:spacing w:line="240" w:lineRule="auto"/>
        <w:ind w:left="720" w:hanging="720"/>
        <w:jc w:val="both"/>
        <w:rPr>
          <w:sz w:val="22"/>
          <w:szCs w:val="22"/>
        </w:rPr>
      </w:pPr>
      <w:r w:rsidRPr="00633CE0">
        <w:rPr>
          <w:sz w:val="22"/>
          <w:szCs w:val="22"/>
        </w:rPr>
        <w:t>121.</w:t>
      </w:r>
      <w:r w:rsidRPr="00633CE0">
        <w:rPr>
          <w:sz w:val="22"/>
          <w:szCs w:val="22"/>
        </w:rPr>
        <w:tab/>
        <w:t>Cui, Y.</w:t>
      </w:r>
      <w:r w:rsidRPr="00633CE0">
        <w:rPr>
          <w:i/>
          <w:sz w:val="22"/>
          <w:szCs w:val="22"/>
        </w:rPr>
        <w:t xml:space="preserve"> et al.</w:t>
      </w:r>
      <w:r w:rsidRPr="00633CE0">
        <w:rPr>
          <w:sz w:val="22"/>
          <w:szCs w:val="22"/>
        </w:rPr>
        <w:t xml:space="preserve"> Mutational analysis of TOX3 in Chinese Han women with polycystic ovary syndrome. </w:t>
      </w:r>
      <w:proofErr w:type="spellStart"/>
      <w:r w:rsidRPr="00633CE0">
        <w:rPr>
          <w:i/>
          <w:sz w:val="22"/>
          <w:szCs w:val="22"/>
        </w:rPr>
        <w:t>Reprod</w:t>
      </w:r>
      <w:proofErr w:type="spellEnd"/>
      <w:r w:rsidRPr="00633CE0">
        <w:rPr>
          <w:i/>
          <w:sz w:val="22"/>
          <w:szCs w:val="22"/>
        </w:rPr>
        <w:t xml:space="preserve"> Biomed Online</w:t>
      </w:r>
      <w:r w:rsidRPr="00633CE0">
        <w:rPr>
          <w:sz w:val="22"/>
          <w:szCs w:val="22"/>
        </w:rPr>
        <w:t xml:space="preserve"> </w:t>
      </w:r>
      <w:r w:rsidRPr="00633CE0">
        <w:rPr>
          <w:b/>
          <w:sz w:val="22"/>
          <w:szCs w:val="22"/>
        </w:rPr>
        <w:t>29</w:t>
      </w:r>
      <w:r w:rsidRPr="00633CE0">
        <w:rPr>
          <w:sz w:val="22"/>
          <w:szCs w:val="22"/>
        </w:rPr>
        <w:t>, 752-5 (2014).</w:t>
      </w:r>
    </w:p>
    <w:p w14:paraId="183E57E9" w14:textId="77777777" w:rsidR="009D7AFD" w:rsidRPr="00633CE0" w:rsidRDefault="009D7AFD" w:rsidP="009D7AFD">
      <w:pPr>
        <w:spacing w:line="240" w:lineRule="auto"/>
        <w:ind w:left="720" w:hanging="720"/>
        <w:jc w:val="both"/>
        <w:rPr>
          <w:sz w:val="22"/>
          <w:szCs w:val="22"/>
        </w:rPr>
      </w:pPr>
      <w:r w:rsidRPr="00633CE0">
        <w:rPr>
          <w:sz w:val="22"/>
          <w:szCs w:val="22"/>
        </w:rPr>
        <w:lastRenderedPageBreak/>
        <w:t>122.</w:t>
      </w:r>
      <w:r w:rsidRPr="00633CE0">
        <w:rPr>
          <w:sz w:val="22"/>
          <w:szCs w:val="22"/>
        </w:rPr>
        <w:tab/>
      </w:r>
      <w:proofErr w:type="spellStart"/>
      <w:r w:rsidRPr="00633CE0">
        <w:rPr>
          <w:sz w:val="22"/>
          <w:szCs w:val="22"/>
        </w:rPr>
        <w:t>Trojani</w:t>
      </w:r>
      <w:proofErr w:type="spellEnd"/>
      <w:r w:rsidRPr="00633CE0">
        <w:rPr>
          <w:sz w:val="22"/>
          <w:szCs w:val="22"/>
        </w:rPr>
        <w:t>, A.</w:t>
      </w:r>
      <w:r w:rsidRPr="00633CE0">
        <w:rPr>
          <w:i/>
          <w:sz w:val="22"/>
          <w:szCs w:val="22"/>
        </w:rPr>
        <w:t xml:space="preserve"> et al.</w:t>
      </w:r>
      <w:r w:rsidRPr="00633CE0">
        <w:rPr>
          <w:sz w:val="22"/>
          <w:szCs w:val="22"/>
        </w:rPr>
        <w:t xml:space="preserve"> Gene expression profiling identifies ARSD as a new marker of disease progression and the sphingolipid metabolism as a potential novel metabolism in chronic lymphocytic </w:t>
      </w:r>
      <w:proofErr w:type="spellStart"/>
      <w:r w:rsidRPr="00633CE0">
        <w:rPr>
          <w:sz w:val="22"/>
          <w:szCs w:val="22"/>
        </w:rPr>
        <w:t>leukemia</w:t>
      </w:r>
      <w:proofErr w:type="spellEnd"/>
      <w:r w:rsidRPr="00633CE0">
        <w:rPr>
          <w:sz w:val="22"/>
          <w:szCs w:val="22"/>
        </w:rPr>
        <w:t xml:space="preserve">. </w:t>
      </w:r>
      <w:r w:rsidRPr="00633CE0">
        <w:rPr>
          <w:i/>
          <w:sz w:val="22"/>
          <w:szCs w:val="22"/>
        </w:rPr>
        <w:t xml:space="preserve">Cancer </w:t>
      </w:r>
      <w:proofErr w:type="spellStart"/>
      <w:r w:rsidRPr="00633CE0">
        <w:rPr>
          <w:i/>
          <w:sz w:val="22"/>
          <w:szCs w:val="22"/>
        </w:rPr>
        <w:t>Biomark</w:t>
      </w:r>
      <w:proofErr w:type="spellEnd"/>
      <w:r w:rsidRPr="00633CE0">
        <w:rPr>
          <w:sz w:val="22"/>
          <w:szCs w:val="22"/>
        </w:rPr>
        <w:t xml:space="preserve"> </w:t>
      </w:r>
      <w:r w:rsidRPr="00633CE0">
        <w:rPr>
          <w:b/>
          <w:sz w:val="22"/>
          <w:szCs w:val="22"/>
        </w:rPr>
        <w:t>11</w:t>
      </w:r>
      <w:r w:rsidRPr="00633CE0">
        <w:rPr>
          <w:sz w:val="22"/>
          <w:szCs w:val="22"/>
        </w:rPr>
        <w:t>, 15-28 (2011).</w:t>
      </w:r>
    </w:p>
    <w:p w14:paraId="2ABF4689" w14:textId="77777777" w:rsidR="009D7AFD" w:rsidRPr="00633CE0" w:rsidRDefault="009D7AFD" w:rsidP="009D7AFD">
      <w:pPr>
        <w:spacing w:line="240" w:lineRule="auto"/>
        <w:ind w:left="720" w:hanging="720"/>
        <w:jc w:val="both"/>
        <w:rPr>
          <w:sz w:val="22"/>
          <w:szCs w:val="22"/>
        </w:rPr>
      </w:pPr>
      <w:r w:rsidRPr="00633CE0">
        <w:rPr>
          <w:sz w:val="22"/>
          <w:szCs w:val="22"/>
        </w:rPr>
        <w:t>123.</w:t>
      </w:r>
      <w:r w:rsidRPr="00633CE0">
        <w:rPr>
          <w:sz w:val="22"/>
          <w:szCs w:val="22"/>
        </w:rPr>
        <w:tab/>
        <w:t xml:space="preserve">Book, C.B. &amp; Dunaif, A. Selective insulin resistance in the polycystic ovary syndrome. </w:t>
      </w:r>
      <w:r w:rsidRPr="00633CE0">
        <w:rPr>
          <w:i/>
          <w:sz w:val="22"/>
          <w:szCs w:val="22"/>
        </w:rPr>
        <w:t xml:space="preserve">J Clin Endocrinol </w:t>
      </w:r>
      <w:proofErr w:type="spellStart"/>
      <w:r w:rsidRPr="00633CE0">
        <w:rPr>
          <w:i/>
          <w:sz w:val="22"/>
          <w:szCs w:val="22"/>
        </w:rPr>
        <w:t>Metab</w:t>
      </w:r>
      <w:proofErr w:type="spellEnd"/>
      <w:r w:rsidRPr="00633CE0">
        <w:rPr>
          <w:sz w:val="22"/>
          <w:szCs w:val="22"/>
        </w:rPr>
        <w:t xml:space="preserve"> </w:t>
      </w:r>
      <w:r w:rsidRPr="00633CE0">
        <w:rPr>
          <w:b/>
          <w:sz w:val="22"/>
          <w:szCs w:val="22"/>
        </w:rPr>
        <w:t>84</w:t>
      </w:r>
      <w:r w:rsidRPr="00633CE0">
        <w:rPr>
          <w:sz w:val="22"/>
          <w:szCs w:val="22"/>
        </w:rPr>
        <w:t>, 3110-6 (1999).</w:t>
      </w:r>
    </w:p>
    <w:p w14:paraId="0701B4CA" w14:textId="77777777" w:rsidR="009D7AFD" w:rsidRPr="00633CE0" w:rsidRDefault="009D7AFD" w:rsidP="009D7AFD">
      <w:pPr>
        <w:spacing w:line="240" w:lineRule="auto"/>
        <w:ind w:left="720" w:hanging="720"/>
        <w:jc w:val="both"/>
        <w:rPr>
          <w:sz w:val="22"/>
          <w:szCs w:val="22"/>
        </w:rPr>
      </w:pPr>
      <w:r w:rsidRPr="00633CE0">
        <w:rPr>
          <w:sz w:val="22"/>
          <w:szCs w:val="22"/>
        </w:rPr>
        <w:t>124.</w:t>
      </w:r>
      <w:r w:rsidRPr="00633CE0">
        <w:rPr>
          <w:sz w:val="22"/>
          <w:szCs w:val="22"/>
        </w:rPr>
        <w:tab/>
        <w:t>Wu, X.K.</w:t>
      </w:r>
      <w:r w:rsidRPr="00633CE0">
        <w:rPr>
          <w:i/>
          <w:sz w:val="22"/>
          <w:szCs w:val="22"/>
        </w:rPr>
        <w:t xml:space="preserve"> et al.</w:t>
      </w:r>
      <w:r w:rsidRPr="00633CE0">
        <w:rPr>
          <w:sz w:val="22"/>
          <w:szCs w:val="22"/>
        </w:rPr>
        <w:t xml:space="preserve"> Selective ovary resistance to insulin </w:t>
      </w:r>
      <w:proofErr w:type="spellStart"/>
      <w:r w:rsidRPr="00633CE0">
        <w:rPr>
          <w:sz w:val="22"/>
          <w:szCs w:val="22"/>
        </w:rPr>
        <w:t>signaling</w:t>
      </w:r>
      <w:proofErr w:type="spellEnd"/>
      <w:r w:rsidRPr="00633CE0">
        <w:rPr>
          <w:sz w:val="22"/>
          <w:szCs w:val="22"/>
        </w:rPr>
        <w:t xml:space="preserve"> in women with polycystic ovary syndrome. </w:t>
      </w:r>
      <w:proofErr w:type="spellStart"/>
      <w:r w:rsidRPr="00633CE0">
        <w:rPr>
          <w:i/>
          <w:sz w:val="22"/>
          <w:szCs w:val="22"/>
        </w:rPr>
        <w:t>Fertil</w:t>
      </w:r>
      <w:proofErr w:type="spellEnd"/>
      <w:r w:rsidRPr="00633CE0">
        <w:rPr>
          <w:i/>
          <w:sz w:val="22"/>
          <w:szCs w:val="22"/>
        </w:rPr>
        <w:t xml:space="preserve"> </w:t>
      </w:r>
      <w:proofErr w:type="spellStart"/>
      <w:r w:rsidRPr="00633CE0">
        <w:rPr>
          <w:i/>
          <w:sz w:val="22"/>
          <w:szCs w:val="22"/>
        </w:rPr>
        <w:t>Steril</w:t>
      </w:r>
      <w:proofErr w:type="spellEnd"/>
      <w:r w:rsidRPr="00633CE0">
        <w:rPr>
          <w:sz w:val="22"/>
          <w:szCs w:val="22"/>
        </w:rPr>
        <w:t xml:space="preserve"> </w:t>
      </w:r>
      <w:r w:rsidRPr="00633CE0">
        <w:rPr>
          <w:b/>
          <w:sz w:val="22"/>
          <w:szCs w:val="22"/>
        </w:rPr>
        <w:t>80</w:t>
      </w:r>
      <w:r w:rsidRPr="00633CE0">
        <w:rPr>
          <w:sz w:val="22"/>
          <w:szCs w:val="22"/>
        </w:rPr>
        <w:t>, 954-65 (2003).</w:t>
      </w:r>
    </w:p>
    <w:p w14:paraId="678153A4" w14:textId="77777777" w:rsidR="009D7AFD" w:rsidRPr="00633CE0" w:rsidRDefault="009D7AFD" w:rsidP="009D7AFD">
      <w:pPr>
        <w:spacing w:line="240" w:lineRule="auto"/>
        <w:ind w:left="720" w:hanging="720"/>
        <w:jc w:val="both"/>
        <w:rPr>
          <w:sz w:val="22"/>
          <w:szCs w:val="22"/>
        </w:rPr>
      </w:pPr>
      <w:r w:rsidRPr="00633CE0">
        <w:rPr>
          <w:sz w:val="22"/>
          <w:szCs w:val="22"/>
        </w:rPr>
        <w:t>125.</w:t>
      </w:r>
      <w:r w:rsidRPr="00633CE0">
        <w:rPr>
          <w:sz w:val="22"/>
          <w:szCs w:val="22"/>
        </w:rPr>
        <w:tab/>
        <w:t>Segre, A.V.</w:t>
      </w:r>
      <w:r w:rsidRPr="00633CE0">
        <w:rPr>
          <w:i/>
          <w:sz w:val="22"/>
          <w:szCs w:val="22"/>
        </w:rPr>
        <w:t xml:space="preserve"> et al.</w:t>
      </w:r>
      <w:r w:rsidRPr="00633CE0">
        <w:rPr>
          <w:sz w:val="22"/>
          <w:szCs w:val="22"/>
        </w:rPr>
        <w:t xml:space="preserve"> Common inherited variation in mitochondrial genes is not enriched for associations with type 2 diabetes or related </w:t>
      </w:r>
      <w:proofErr w:type="spellStart"/>
      <w:r w:rsidRPr="00633CE0">
        <w:rPr>
          <w:sz w:val="22"/>
          <w:szCs w:val="22"/>
        </w:rPr>
        <w:t>glycemic</w:t>
      </w:r>
      <w:proofErr w:type="spellEnd"/>
      <w:r w:rsidRPr="00633CE0">
        <w:rPr>
          <w:sz w:val="22"/>
          <w:szCs w:val="22"/>
        </w:rPr>
        <w:t xml:space="preserve"> traits. </w:t>
      </w:r>
      <w:proofErr w:type="spellStart"/>
      <w:r w:rsidRPr="00633CE0">
        <w:rPr>
          <w:i/>
          <w:sz w:val="22"/>
          <w:szCs w:val="22"/>
        </w:rPr>
        <w:t>PLoS</w:t>
      </w:r>
      <w:proofErr w:type="spellEnd"/>
      <w:r w:rsidRPr="00633CE0">
        <w:rPr>
          <w:i/>
          <w:sz w:val="22"/>
          <w:szCs w:val="22"/>
        </w:rPr>
        <w:t xml:space="preserve"> Genet</w:t>
      </w:r>
      <w:r w:rsidRPr="00633CE0">
        <w:rPr>
          <w:sz w:val="22"/>
          <w:szCs w:val="22"/>
        </w:rPr>
        <w:t xml:space="preserve"> </w:t>
      </w:r>
      <w:r w:rsidRPr="00633CE0">
        <w:rPr>
          <w:b/>
          <w:sz w:val="22"/>
          <w:szCs w:val="22"/>
        </w:rPr>
        <w:t>6</w:t>
      </w:r>
      <w:r w:rsidRPr="00633CE0">
        <w:rPr>
          <w:sz w:val="22"/>
          <w:szCs w:val="22"/>
        </w:rPr>
        <w:t>(2010).</w:t>
      </w:r>
    </w:p>
    <w:p w14:paraId="6772A580" w14:textId="77777777" w:rsidR="009D7AFD" w:rsidRPr="00633CE0" w:rsidRDefault="009D7AFD" w:rsidP="009D7AFD">
      <w:pPr>
        <w:spacing w:line="240" w:lineRule="auto"/>
        <w:ind w:left="720" w:hanging="720"/>
        <w:jc w:val="both"/>
        <w:rPr>
          <w:sz w:val="22"/>
          <w:szCs w:val="22"/>
        </w:rPr>
      </w:pPr>
      <w:r w:rsidRPr="00633CE0">
        <w:rPr>
          <w:sz w:val="22"/>
          <w:szCs w:val="22"/>
        </w:rPr>
        <w:t>126.</w:t>
      </w:r>
      <w:r w:rsidRPr="00633CE0">
        <w:rPr>
          <w:sz w:val="22"/>
          <w:szCs w:val="22"/>
        </w:rPr>
        <w:tab/>
      </w:r>
      <w:proofErr w:type="spellStart"/>
      <w:r w:rsidRPr="00633CE0">
        <w:rPr>
          <w:sz w:val="22"/>
          <w:szCs w:val="22"/>
        </w:rPr>
        <w:t>Pers</w:t>
      </w:r>
      <w:proofErr w:type="spellEnd"/>
      <w:r w:rsidRPr="00633CE0">
        <w:rPr>
          <w:sz w:val="22"/>
          <w:szCs w:val="22"/>
        </w:rPr>
        <w:t>, T.H.</w:t>
      </w:r>
      <w:r w:rsidRPr="00633CE0">
        <w:rPr>
          <w:i/>
          <w:sz w:val="22"/>
          <w:szCs w:val="22"/>
        </w:rPr>
        <w:t xml:space="preserve"> et al.</w:t>
      </w:r>
      <w:r w:rsidRPr="00633CE0">
        <w:rPr>
          <w:sz w:val="22"/>
          <w:szCs w:val="22"/>
        </w:rPr>
        <w:t xml:space="preserve"> Biological interpretation of genome-wide association studies using predicted gene functions. </w:t>
      </w:r>
      <w:r w:rsidRPr="00633CE0">
        <w:rPr>
          <w:i/>
          <w:sz w:val="22"/>
          <w:szCs w:val="22"/>
        </w:rPr>
        <w:t xml:space="preserve">Nat </w:t>
      </w:r>
      <w:proofErr w:type="spellStart"/>
      <w:r w:rsidRPr="00633CE0">
        <w:rPr>
          <w:i/>
          <w:sz w:val="22"/>
          <w:szCs w:val="22"/>
        </w:rPr>
        <w:t>Commun</w:t>
      </w:r>
      <w:proofErr w:type="spellEnd"/>
      <w:r w:rsidRPr="00633CE0">
        <w:rPr>
          <w:sz w:val="22"/>
          <w:szCs w:val="22"/>
        </w:rPr>
        <w:t xml:space="preserve"> </w:t>
      </w:r>
      <w:r w:rsidRPr="00633CE0">
        <w:rPr>
          <w:b/>
          <w:sz w:val="22"/>
          <w:szCs w:val="22"/>
        </w:rPr>
        <w:t>6</w:t>
      </w:r>
      <w:r w:rsidRPr="00633CE0">
        <w:rPr>
          <w:sz w:val="22"/>
          <w:szCs w:val="22"/>
        </w:rPr>
        <w:t>, 5890 (2015).</w:t>
      </w:r>
    </w:p>
    <w:p w14:paraId="3444010F" w14:textId="77777777" w:rsidR="009D7AFD" w:rsidRPr="00633CE0" w:rsidRDefault="009D7AFD" w:rsidP="009D7AFD">
      <w:pPr>
        <w:spacing w:line="240" w:lineRule="auto"/>
        <w:ind w:left="720" w:hanging="720"/>
        <w:jc w:val="both"/>
        <w:rPr>
          <w:sz w:val="22"/>
          <w:szCs w:val="22"/>
        </w:rPr>
      </w:pPr>
      <w:r w:rsidRPr="00633CE0">
        <w:rPr>
          <w:sz w:val="22"/>
          <w:szCs w:val="22"/>
        </w:rPr>
        <w:t>127.</w:t>
      </w:r>
      <w:r w:rsidRPr="00633CE0">
        <w:rPr>
          <w:sz w:val="22"/>
          <w:szCs w:val="22"/>
        </w:rPr>
        <w:tab/>
        <w:t>Genomes Project, C.</w:t>
      </w:r>
      <w:r w:rsidRPr="00633CE0">
        <w:rPr>
          <w:i/>
          <w:sz w:val="22"/>
          <w:szCs w:val="22"/>
        </w:rPr>
        <w:t xml:space="preserve"> et al.</w:t>
      </w:r>
      <w:r w:rsidRPr="00633CE0">
        <w:rPr>
          <w:sz w:val="22"/>
          <w:szCs w:val="22"/>
        </w:rPr>
        <w:t xml:space="preserve"> A map of human genome variation from population-scale sequencing. </w:t>
      </w:r>
      <w:r w:rsidRPr="00633CE0">
        <w:rPr>
          <w:i/>
          <w:sz w:val="22"/>
          <w:szCs w:val="22"/>
        </w:rPr>
        <w:t>Nature</w:t>
      </w:r>
      <w:r w:rsidRPr="00633CE0">
        <w:rPr>
          <w:sz w:val="22"/>
          <w:szCs w:val="22"/>
        </w:rPr>
        <w:t xml:space="preserve"> </w:t>
      </w:r>
      <w:r w:rsidRPr="00633CE0">
        <w:rPr>
          <w:b/>
          <w:sz w:val="22"/>
          <w:szCs w:val="22"/>
        </w:rPr>
        <w:t>467</w:t>
      </w:r>
      <w:r w:rsidRPr="00633CE0">
        <w:rPr>
          <w:sz w:val="22"/>
          <w:szCs w:val="22"/>
        </w:rPr>
        <w:t>, 1061-73 (2010).</w:t>
      </w:r>
    </w:p>
    <w:p w14:paraId="2FE962F5" w14:textId="77777777" w:rsidR="009D7AFD" w:rsidRPr="00633CE0" w:rsidRDefault="009D7AFD" w:rsidP="009D7AFD">
      <w:pPr>
        <w:spacing w:line="240" w:lineRule="auto"/>
        <w:ind w:left="720" w:hanging="720"/>
        <w:jc w:val="both"/>
        <w:rPr>
          <w:sz w:val="22"/>
          <w:szCs w:val="22"/>
        </w:rPr>
      </w:pPr>
      <w:r w:rsidRPr="00633CE0">
        <w:rPr>
          <w:sz w:val="22"/>
          <w:szCs w:val="22"/>
        </w:rPr>
        <w:t>128.</w:t>
      </w:r>
      <w:r w:rsidRPr="00633CE0">
        <w:rPr>
          <w:sz w:val="22"/>
          <w:szCs w:val="22"/>
        </w:rPr>
        <w:tab/>
        <w:t>Subramanian, A.</w:t>
      </w:r>
      <w:r w:rsidRPr="00633CE0">
        <w:rPr>
          <w:i/>
          <w:sz w:val="22"/>
          <w:szCs w:val="22"/>
        </w:rPr>
        <w:t xml:space="preserve"> et al.</w:t>
      </w:r>
      <w:r w:rsidRPr="00633CE0">
        <w:rPr>
          <w:sz w:val="22"/>
          <w:szCs w:val="22"/>
        </w:rPr>
        <w:t xml:space="preserve"> Gene set enrichment analysis: a knowledge-based approach for interpreting genome-wide expression profiles. </w:t>
      </w:r>
      <w:r w:rsidRPr="00633CE0">
        <w:rPr>
          <w:i/>
          <w:sz w:val="22"/>
          <w:szCs w:val="22"/>
        </w:rPr>
        <w:t xml:space="preserve">Proc Natl </w:t>
      </w:r>
      <w:proofErr w:type="spellStart"/>
      <w:r w:rsidRPr="00633CE0">
        <w:rPr>
          <w:i/>
          <w:sz w:val="22"/>
          <w:szCs w:val="22"/>
        </w:rPr>
        <w:t>Acad</w:t>
      </w:r>
      <w:proofErr w:type="spellEnd"/>
      <w:r w:rsidRPr="00633CE0">
        <w:rPr>
          <w:i/>
          <w:sz w:val="22"/>
          <w:szCs w:val="22"/>
        </w:rPr>
        <w:t xml:space="preserve"> Sci U S A</w:t>
      </w:r>
      <w:r w:rsidRPr="00633CE0">
        <w:rPr>
          <w:sz w:val="22"/>
          <w:szCs w:val="22"/>
        </w:rPr>
        <w:t xml:space="preserve"> </w:t>
      </w:r>
      <w:r w:rsidRPr="00633CE0">
        <w:rPr>
          <w:b/>
          <w:sz w:val="22"/>
          <w:szCs w:val="22"/>
        </w:rPr>
        <w:t>102</w:t>
      </w:r>
      <w:r w:rsidRPr="00633CE0">
        <w:rPr>
          <w:sz w:val="22"/>
          <w:szCs w:val="22"/>
        </w:rPr>
        <w:t>, 15545-50 (2005).</w:t>
      </w:r>
    </w:p>
    <w:p w14:paraId="278627EC" w14:textId="77777777" w:rsidR="009D7AFD" w:rsidRPr="00633CE0" w:rsidRDefault="009D7AFD" w:rsidP="009D7AFD">
      <w:pPr>
        <w:spacing w:line="240" w:lineRule="auto"/>
        <w:ind w:left="720" w:hanging="720"/>
        <w:jc w:val="both"/>
        <w:rPr>
          <w:sz w:val="22"/>
          <w:szCs w:val="22"/>
        </w:rPr>
      </w:pPr>
      <w:r w:rsidRPr="00633CE0">
        <w:rPr>
          <w:sz w:val="22"/>
          <w:szCs w:val="22"/>
        </w:rPr>
        <w:t>129.</w:t>
      </w:r>
      <w:r w:rsidRPr="00633CE0">
        <w:rPr>
          <w:sz w:val="22"/>
          <w:szCs w:val="22"/>
        </w:rPr>
        <w:tab/>
      </w:r>
      <w:proofErr w:type="spellStart"/>
      <w:r w:rsidRPr="00633CE0">
        <w:rPr>
          <w:sz w:val="22"/>
          <w:szCs w:val="22"/>
        </w:rPr>
        <w:t>Trynka</w:t>
      </w:r>
      <w:proofErr w:type="spellEnd"/>
      <w:r w:rsidRPr="00633CE0">
        <w:rPr>
          <w:sz w:val="22"/>
          <w:szCs w:val="22"/>
        </w:rPr>
        <w:t>, G.</w:t>
      </w:r>
      <w:r w:rsidRPr="00633CE0">
        <w:rPr>
          <w:i/>
          <w:sz w:val="22"/>
          <w:szCs w:val="22"/>
        </w:rPr>
        <w:t xml:space="preserve"> et al.</w:t>
      </w:r>
      <w:r w:rsidRPr="00633CE0">
        <w:rPr>
          <w:sz w:val="22"/>
          <w:szCs w:val="22"/>
        </w:rPr>
        <w:t xml:space="preserve"> Disentangling the Effects of Colocalizing Genomic Annotations to Functionally Prioritize Non-coding Variants within Complex-Trait Loci. </w:t>
      </w:r>
      <w:r w:rsidRPr="00633CE0">
        <w:rPr>
          <w:i/>
          <w:sz w:val="22"/>
          <w:szCs w:val="22"/>
        </w:rPr>
        <w:t>Am J Hum Genet</w:t>
      </w:r>
      <w:r w:rsidRPr="00633CE0">
        <w:rPr>
          <w:sz w:val="22"/>
          <w:szCs w:val="22"/>
        </w:rPr>
        <w:t xml:space="preserve"> </w:t>
      </w:r>
      <w:r w:rsidRPr="00633CE0">
        <w:rPr>
          <w:b/>
          <w:sz w:val="22"/>
          <w:szCs w:val="22"/>
        </w:rPr>
        <w:t>97</w:t>
      </w:r>
      <w:r w:rsidRPr="00633CE0">
        <w:rPr>
          <w:sz w:val="22"/>
          <w:szCs w:val="22"/>
        </w:rPr>
        <w:t>, 139-52 (2015).</w:t>
      </w:r>
    </w:p>
    <w:p w14:paraId="60B6572F" w14:textId="77777777" w:rsidR="009D7AFD" w:rsidRPr="00633CE0" w:rsidRDefault="009D7AFD" w:rsidP="009D7AFD">
      <w:pPr>
        <w:spacing w:line="240" w:lineRule="auto"/>
        <w:ind w:left="720" w:hanging="720"/>
        <w:jc w:val="both"/>
        <w:rPr>
          <w:sz w:val="22"/>
          <w:szCs w:val="22"/>
        </w:rPr>
      </w:pPr>
      <w:r w:rsidRPr="00633CE0">
        <w:rPr>
          <w:sz w:val="22"/>
          <w:szCs w:val="22"/>
        </w:rPr>
        <w:t>130.</w:t>
      </w:r>
      <w:r w:rsidRPr="00633CE0">
        <w:rPr>
          <w:sz w:val="22"/>
          <w:szCs w:val="22"/>
        </w:rPr>
        <w:tab/>
        <w:t xml:space="preserve">Consortium, E.P. An integrated </w:t>
      </w:r>
      <w:proofErr w:type="spellStart"/>
      <w:r w:rsidRPr="00633CE0">
        <w:rPr>
          <w:sz w:val="22"/>
          <w:szCs w:val="22"/>
        </w:rPr>
        <w:t>encyclopedia</w:t>
      </w:r>
      <w:proofErr w:type="spellEnd"/>
      <w:r w:rsidRPr="00633CE0">
        <w:rPr>
          <w:sz w:val="22"/>
          <w:szCs w:val="22"/>
        </w:rPr>
        <w:t xml:space="preserve"> of DNA elements in the human genome. </w:t>
      </w:r>
      <w:r w:rsidRPr="00633CE0">
        <w:rPr>
          <w:i/>
          <w:sz w:val="22"/>
          <w:szCs w:val="22"/>
        </w:rPr>
        <w:t>Nature</w:t>
      </w:r>
      <w:r w:rsidRPr="00633CE0">
        <w:rPr>
          <w:sz w:val="22"/>
          <w:szCs w:val="22"/>
        </w:rPr>
        <w:t xml:space="preserve"> </w:t>
      </w:r>
      <w:r w:rsidRPr="00633CE0">
        <w:rPr>
          <w:b/>
          <w:sz w:val="22"/>
          <w:szCs w:val="22"/>
        </w:rPr>
        <w:t>489</w:t>
      </w:r>
      <w:r w:rsidRPr="00633CE0">
        <w:rPr>
          <w:sz w:val="22"/>
          <w:szCs w:val="22"/>
        </w:rPr>
        <w:t>, 57-74 (2012).</w:t>
      </w:r>
    </w:p>
    <w:p w14:paraId="4E3B86BB" w14:textId="77777777" w:rsidR="009D7AFD" w:rsidRPr="00633CE0" w:rsidRDefault="009D7AFD" w:rsidP="009D7AFD">
      <w:pPr>
        <w:spacing w:line="240" w:lineRule="auto"/>
        <w:ind w:left="720" w:hanging="720"/>
        <w:jc w:val="both"/>
        <w:rPr>
          <w:sz w:val="22"/>
          <w:szCs w:val="22"/>
        </w:rPr>
      </w:pPr>
      <w:r w:rsidRPr="00633CE0">
        <w:rPr>
          <w:sz w:val="22"/>
          <w:szCs w:val="22"/>
        </w:rPr>
        <w:t>131.</w:t>
      </w:r>
      <w:r w:rsidRPr="00633CE0">
        <w:rPr>
          <w:sz w:val="22"/>
          <w:szCs w:val="22"/>
        </w:rPr>
        <w:tab/>
        <w:t>Roadmap Epigenomics Consortium</w:t>
      </w:r>
      <w:r w:rsidRPr="00633CE0">
        <w:rPr>
          <w:i/>
          <w:sz w:val="22"/>
          <w:szCs w:val="22"/>
        </w:rPr>
        <w:t xml:space="preserve"> et al.</w:t>
      </w:r>
      <w:r w:rsidRPr="00633CE0">
        <w:rPr>
          <w:sz w:val="22"/>
          <w:szCs w:val="22"/>
        </w:rPr>
        <w:t xml:space="preserve"> Integrative analysis of 111 reference human epigenomes. </w:t>
      </w:r>
      <w:r w:rsidRPr="00633CE0">
        <w:rPr>
          <w:i/>
          <w:sz w:val="22"/>
          <w:szCs w:val="22"/>
        </w:rPr>
        <w:t>Nature</w:t>
      </w:r>
      <w:r w:rsidRPr="00633CE0">
        <w:rPr>
          <w:sz w:val="22"/>
          <w:szCs w:val="22"/>
        </w:rPr>
        <w:t xml:space="preserve"> </w:t>
      </w:r>
      <w:r w:rsidRPr="00633CE0">
        <w:rPr>
          <w:b/>
          <w:sz w:val="22"/>
          <w:szCs w:val="22"/>
        </w:rPr>
        <w:t>518</w:t>
      </w:r>
      <w:r w:rsidRPr="00633CE0">
        <w:rPr>
          <w:sz w:val="22"/>
          <w:szCs w:val="22"/>
        </w:rPr>
        <w:t>, 317-30 (2015).</w:t>
      </w:r>
    </w:p>
    <w:p w14:paraId="5CAC99E9" w14:textId="77777777" w:rsidR="009D7AFD" w:rsidRPr="00633CE0" w:rsidRDefault="009D7AFD" w:rsidP="009D7AFD">
      <w:pPr>
        <w:jc w:val="both"/>
        <w:rPr>
          <w:sz w:val="22"/>
          <w:szCs w:val="22"/>
        </w:rPr>
      </w:pPr>
    </w:p>
    <w:p w14:paraId="407C3049" w14:textId="23AA47A7" w:rsidR="007022C5" w:rsidRPr="00CE1F7B" w:rsidRDefault="007022C5" w:rsidP="008851E5">
      <w:pPr>
        <w:rPr>
          <w:b/>
          <w:sz w:val="22"/>
          <w:szCs w:val="22"/>
        </w:rPr>
      </w:pPr>
    </w:p>
    <w:sectPr w:rsidR="007022C5" w:rsidRPr="00CE1F7B" w:rsidSect="00FF433E">
      <w:headerReference w:type="default" r:id="rId7"/>
      <w:headerReference w:type="first" r:id="rId8"/>
      <w:pgSz w:w="16834" w:h="11894" w:orient="landscape"/>
      <w:pgMar w:top="1411" w:right="1440" w:bottom="2102" w:left="1440"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A5931" w14:textId="77777777" w:rsidR="00714C02" w:rsidRDefault="00714C02">
      <w:pPr>
        <w:spacing w:line="240" w:lineRule="auto"/>
      </w:pPr>
      <w:r>
        <w:separator/>
      </w:r>
    </w:p>
  </w:endnote>
  <w:endnote w:type="continuationSeparator" w:id="0">
    <w:p w14:paraId="2FCC44F8" w14:textId="77777777" w:rsidR="00714C02" w:rsidRDefault="00714C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C2FBB" w14:textId="77777777" w:rsidR="00714C02" w:rsidRDefault="00714C02">
      <w:pPr>
        <w:spacing w:line="240" w:lineRule="auto"/>
      </w:pPr>
      <w:r>
        <w:separator/>
      </w:r>
    </w:p>
  </w:footnote>
  <w:footnote w:type="continuationSeparator" w:id="0">
    <w:p w14:paraId="7BC23098" w14:textId="77777777" w:rsidR="00714C02" w:rsidRDefault="00714C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D6271" w14:textId="62A4F943" w:rsidR="00C030B5" w:rsidRDefault="00C030B5">
    <w:pPr>
      <w:jc w:val="right"/>
    </w:pPr>
    <w:r>
      <w:fldChar w:fldCharType="begin"/>
    </w:r>
    <w:r>
      <w:instrText>PAGE</w:instrText>
    </w:r>
    <w:r>
      <w:fldChar w:fldCharType="separate"/>
    </w:r>
    <w:r w:rsidR="0083416B">
      <w:rPr>
        <w:noProof/>
      </w:rPr>
      <w:t>19</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013DC" w14:textId="77777777" w:rsidR="00C030B5" w:rsidRDefault="00C030B5">
    <w:pPr>
      <w:jc w:val="right"/>
    </w:pPr>
  </w:p>
  <w:p w14:paraId="43E6A0C9" w14:textId="77777777" w:rsidR="00C030B5" w:rsidRDefault="00C030B5">
    <w:pPr>
      <w:jc w:val="right"/>
    </w:pPr>
    <w:r>
      <w:fldChar w:fldCharType="begin"/>
    </w:r>
    <w:r>
      <w:instrText>PAGE</w:instrTex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992"/>
    <w:multiLevelType w:val="hybridMultilevel"/>
    <w:tmpl w:val="22124D3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C4B74E8"/>
    <w:multiLevelType w:val="multilevel"/>
    <w:tmpl w:val="5ED22C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C5"/>
    <w:rsid w:val="00065182"/>
    <w:rsid w:val="00065FEE"/>
    <w:rsid w:val="000874F8"/>
    <w:rsid w:val="000A2338"/>
    <w:rsid w:val="000A5666"/>
    <w:rsid w:val="000D04C9"/>
    <w:rsid w:val="000F3AFE"/>
    <w:rsid w:val="00107617"/>
    <w:rsid w:val="00140B80"/>
    <w:rsid w:val="00195436"/>
    <w:rsid w:val="001A234B"/>
    <w:rsid w:val="001A3E9D"/>
    <w:rsid w:val="001B6FBA"/>
    <w:rsid w:val="001C3CA4"/>
    <w:rsid w:val="001F3250"/>
    <w:rsid w:val="00216F19"/>
    <w:rsid w:val="00235FB0"/>
    <w:rsid w:val="00273B92"/>
    <w:rsid w:val="00286BC6"/>
    <w:rsid w:val="00293335"/>
    <w:rsid w:val="002A51FD"/>
    <w:rsid w:val="002B0E74"/>
    <w:rsid w:val="002B6089"/>
    <w:rsid w:val="002D7A32"/>
    <w:rsid w:val="00321D99"/>
    <w:rsid w:val="003315F3"/>
    <w:rsid w:val="00345CE5"/>
    <w:rsid w:val="0035595B"/>
    <w:rsid w:val="003651CF"/>
    <w:rsid w:val="00373424"/>
    <w:rsid w:val="00374AB8"/>
    <w:rsid w:val="003A492B"/>
    <w:rsid w:val="003A6D99"/>
    <w:rsid w:val="003B16A9"/>
    <w:rsid w:val="004074B2"/>
    <w:rsid w:val="004161FF"/>
    <w:rsid w:val="00417B98"/>
    <w:rsid w:val="004256E4"/>
    <w:rsid w:val="00437163"/>
    <w:rsid w:val="00440486"/>
    <w:rsid w:val="0045066E"/>
    <w:rsid w:val="00452BC4"/>
    <w:rsid w:val="00487DD3"/>
    <w:rsid w:val="004A4984"/>
    <w:rsid w:val="004A7FA8"/>
    <w:rsid w:val="004C3DD0"/>
    <w:rsid w:val="004E7AD3"/>
    <w:rsid w:val="0050463C"/>
    <w:rsid w:val="00554A05"/>
    <w:rsid w:val="0057450A"/>
    <w:rsid w:val="00577143"/>
    <w:rsid w:val="005C61A4"/>
    <w:rsid w:val="005E0E99"/>
    <w:rsid w:val="00633CE0"/>
    <w:rsid w:val="00657E80"/>
    <w:rsid w:val="006A7C32"/>
    <w:rsid w:val="006E03AA"/>
    <w:rsid w:val="007022C5"/>
    <w:rsid w:val="00714C02"/>
    <w:rsid w:val="00720C1F"/>
    <w:rsid w:val="007212D0"/>
    <w:rsid w:val="00796B50"/>
    <w:rsid w:val="007A1A06"/>
    <w:rsid w:val="007B7BBB"/>
    <w:rsid w:val="007C451F"/>
    <w:rsid w:val="007C49EE"/>
    <w:rsid w:val="007D404C"/>
    <w:rsid w:val="007D46F4"/>
    <w:rsid w:val="007E4D4F"/>
    <w:rsid w:val="008068DC"/>
    <w:rsid w:val="008220F5"/>
    <w:rsid w:val="0083244E"/>
    <w:rsid w:val="00834080"/>
    <w:rsid w:val="0083416B"/>
    <w:rsid w:val="00840744"/>
    <w:rsid w:val="00845DC7"/>
    <w:rsid w:val="00875D82"/>
    <w:rsid w:val="008851E5"/>
    <w:rsid w:val="00891006"/>
    <w:rsid w:val="0089248F"/>
    <w:rsid w:val="008A1BC8"/>
    <w:rsid w:val="008B4AED"/>
    <w:rsid w:val="008C3D32"/>
    <w:rsid w:val="008C46FE"/>
    <w:rsid w:val="008F5A28"/>
    <w:rsid w:val="00900196"/>
    <w:rsid w:val="00903BD3"/>
    <w:rsid w:val="009575A8"/>
    <w:rsid w:val="009613AA"/>
    <w:rsid w:val="00995643"/>
    <w:rsid w:val="009A49A9"/>
    <w:rsid w:val="009A5183"/>
    <w:rsid w:val="009B40EE"/>
    <w:rsid w:val="009C27C9"/>
    <w:rsid w:val="009D7AFD"/>
    <w:rsid w:val="009E106D"/>
    <w:rsid w:val="009E2CDA"/>
    <w:rsid w:val="009F371A"/>
    <w:rsid w:val="009F3FD3"/>
    <w:rsid w:val="009F495B"/>
    <w:rsid w:val="00A40745"/>
    <w:rsid w:val="00A4168B"/>
    <w:rsid w:val="00A56A44"/>
    <w:rsid w:val="00A634FB"/>
    <w:rsid w:val="00A63EB2"/>
    <w:rsid w:val="00A726DB"/>
    <w:rsid w:val="00A84187"/>
    <w:rsid w:val="00A903A8"/>
    <w:rsid w:val="00A92F74"/>
    <w:rsid w:val="00AA4D5C"/>
    <w:rsid w:val="00AC1CF6"/>
    <w:rsid w:val="00AD4F67"/>
    <w:rsid w:val="00AF1193"/>
    <w:rsid w:val="00B0546F"/>
    <w:rsid w:val="00B05B3E"/>
    <w:rsid w:val="00B175FD"/>
    <w:rsid w:val="00B335C9"/>
    <w:rsid w:val="00B708B0"/>
    <w:rsid w:val="00B76322"/>
    <w:rsid w:val="00BA09C3"/>
    <w:rsid w:val="00BC06FA"/>
    <w:rsid w:val="00BE16BD"/>
    <w:rsid w:val="00BE74C7"/>
    <w:rsid w:val="00C030B5"/>
    <w:rsid w:val="00C2765E"/>
    <w:rsid w:val="00C30443"/>
    <w:rsid w:val="00C41367"/>
    <w:rsid w:val="00CA359C"/>
    <w:rsid w:val="00CA59CC"/>
    <w:rsid w:val="00CC051D"/>
    <w:rsid w:val="00CC1FCC"/>
    <w:rsid w:val="00CC5DD6"/>
    <w:rsid w:val="00CE1F7B"/>
    <w:rsid w:val="00D230AF"/>
    <w:rsid w:val="00D333B1"/>
    <w:rsid w:val="00D45BE9"/>
    <w:rsid w:val="00D473B2"/>
    <w:rsid w:val="00D56017"/>
    <w:rsid w:val="00D65E6C"/>
    <w:rsid w:val="00D66A87"/>
    <w:rsid w:val="00DB05FF"/>
    <w:rsid w:val="00DE2EA0"/>
    <w:rsid w:val="00E06D2E"/>
    <w:rsid w:val="00E13D2E"/>
    <w:rsid w:val="00E16238"/>
    <w:rsid w:val="00E17119"/>
    <w:rsid w:val="00E35390"/>
    <w:rsid w:val="00E359A5"/>
    <w:rsid w:val="00E43462"/>
    <w:rsid w:val="00E57978"/>
    <w:rsid w:val="00EA0FE9"/>
    <w:rsid w:val="00EA1FDE"/>
    <w:rsid w:val="00EA628D"/>
    <w:rsid w:val="00EB79F4"/>
    <w:rsid w:val="00ED1389"/>
    <w:rsid w:val="00ED3E37"/>
    <w:rsid w:val="00EE24EB"/>
    <w:rsid w:val="00F13CBF"/>
    <w:rsid w:val="00F2223D"/>
    <w:rsid w:val="00F574C4"/>
    <w:rsid w:val="00F70177"/>
    <w:rsid w:val="00F77EBE"/>
    <w:rsid w:val="00FA2AF2"/>
    <w:rsid w:val="00FA4BBE"/>
    <w:rsid w:val="00FD17BF"/>
    <w:rsid w:val="00FF4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7BD2"/>
  <w15:docId w15:val="{CC1A9DBE-61C5-41AA-A55A-618EE8E2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n-GB" w:eastAsia="en-US" w:bidi="ar-SA"/>
      </w:rPr>
    </w:rPrDefault>
    <w:pPrDefault>
      <w:pPr>
        <w:pBdr>
          <w:top w:val="nil"/>
          <w:left w:val="nil"/>
          <w:bottom w:val="nil"/>
          <w:right w:val="nil"/>
          <w:between w:val="nil"/>
        </w:pBdr>
        <w:spacing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outlineLvl w:val="0"/>
    </w:pPr>
    <w:rPr>
      <w:b/>
      <w:i/>
    </w:rPr>
  </w:style>
  <w:style w:type="paragraph" w:styleId="Heading2">
    <w:name w:val="heading 2"/>
    <w:basedOn w:val="Normal"/>
    <w:next w:val="Normal"/>
    <w:pPr>
      <w:keepNext/>
      <w:keepLines/>
      <w:outlineLvl w:val="1"/>
    </w:pPr>
    <w:rPr>
      <w:i/>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220F5"/>
    <w:pPr>
      <w:spacing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8220F5"/>
    <w:rPr>
      <w:rFonts w:ascii="Times New Roman" w:hAnsi="Times New Roman"/>
      <w:sz w:val="18"/>
      <w:szCs w:val="18"/>
    </w:rPr>
  </w:style>
  <w:style w:type="paragraph" w:styleId="Header">
    <w:name w:val="header"/>
    <w:basedOn w:val="Normal"/>
    <w:link w:val="HeaderChar"/>
    <w:uiPriority w:val="99"/>
    <w:unhideWhenUsed/>
    <w:rsid w:val="00B175FD"/>
    <w:pPr>
      <w:tabs>
        <w:tab w:val="center" w:pos="4680"/>
        <w:tab w:val="right" w:pos="9360"/>
      </w:tabs>
      <w:spacing w:line="240" w:lineRule="auto"/>
    </w:pPr>
  </w:style>
  <w:style w:type="character" w:customStyle="1" w:styleId="HeaderChar">
    <w:name w:val="Header Char"/>
    <w:basedOn w:val="DefaultParagraphFont"/>
    <w:link w:val="Header"/>
    <w:uiPriority w:val="99"/>
    <w:rsid w:val="00B175FD"/>
  </w:style>
  <w:style w:type="paragraph" w:styleId="Footer">
    <w:name w:val="footer"/>
    <w:basedOn w:val="Normal"/>
    <w:link w:val="FooterChar"/>
    <w:uiPriority w:val="99"/>
    <w:unhideWhenUsed/>
    <w:rsid w:val="00B175FD"/>
    <w:pPr>
      <w:tabs>
        <w:tab w:val="center" w:pos="4680"/>
        <w:tab w:val="right" w:pos="9360"/>
      </w:tabs>
      <w:spacing w:line="240" w:lineRule="auto"/>
    </w:pPr>
  </w:style>
  <w:style w:type="character" w:customStyle="1" w:styleId="FooterChar">
    <w:name w:val="Footer Char"/>
    <w:basedOn w:val="DefaultParagraphFont"/>
    <w:link w:val="Footer"/>
    <w:uiPriority w:val="99"/>
    <w:rsid w:val="00B175FD"/>
  </w:style>
  <w:style w:type="paragraph" w:styleId="CommentSubject">
    <w:name w:val="annotation subject"/>
    <w:basedOn w:val="CommentText"/>
    <w:next w:val="CommentText"/>
    <w:link w:val="CommentSubjectChar"/>
    <w:uiPriority w:val="99"/>
    <w:semiHidden/>
    <w:unhideWhenUsed/>
    <w:rsid w:val="00796B50"/>
    <w:rPr>
      <w:b/>
      <w:bCs/>
    </w:rPr>
  </w:style>
  <w:style w:type="character" w:customStyle="1" w:styleId="CommentSubjectChar">
    <w:name w:val="Comment Subject Char"/>
    <w:basedOn w:val="CommentTextChar"/>
    <w:link w:val="CommentSubject"/>
    <w:uiPriority w:val="99"/>
    <w:semiHidden/>
    <w:rsid w:val="00796B50"/>
    <w:rPr>
      <w:b/>
      <w:bCs/>
    </w:rPr>
  </w:style>
  <w:style w:type="paragraph" w:styleId="Revision">
    <w:name w:val="Revision"/>
    <w:hidden/>
    <w:uiPriority w:val="99"/>
    <w:semiHidden/>
    <w:rsid w:val="0089248F"/>
    <w:pPr>
      <w:pBdr>
        <w:top w:val="none" w:sz="0" w:space="0" w:color="auto"/>
        <w:left w:val="none" w:sz="0" w:space="0" w:color="auto"/>
        <w:bottom w:val="none" w:sz="0" w:space="0" w:color="auto"/>
        <w:right w:val="none" w:sz="0" w:space="0" w:color="auto"/>
        <w:between w:val="none" w:sz="0" w:space="0" w:color="auto"/>
      </w:pBdr>
      <w:spacing w:line="240" w:lineRule="auto"/>
    </w:pPr>
  </w:style>
  <w:style w:type="character" w:styleId="Hyperlink">
    <w:name w:val="Hyperlink"/>
    <w:basedOn w:val="DefaultParagraphFont"/>
    <w:uiPriority w:val="99"/>
    <w:unhideWhenUsed/>
    <w:rsid w:val="006A7C32"/>
    <w:rPr>
      <w:color w:val="0000FF" w:themeColor="hyperlink"/>
      <w:u w:val="single"/>
    </w:rPr>
  </w:style>
  <w:style w:type="character" w:customStyle="1" w:styleId="UnresolvedMention1">
    <w:name w:val="Unresolved Mention1"/>
    <w:basedOn w:val="DefaultParagraphFont"/>
    <w:uiPriority w:val="99"/>
    <w:semiHidden/>
    <w:unhideWhenUsed/>
    <w:rsid w:val="006A7C32"/>
    <w:rPr>
      <w:color w:val="808080"/>
      <w:shd w:val="clear" w:color="auto" w:fill="E6E6E6"/>
    </w:rPr>
  </w:style>
  <w:style w:type="character" w:customStyle="1" w:styleId="rwrro">
    <w:name w:val="rwrro"/>
    <w:basedOn w:val="DefaultParagraphFont"/>
    <w:rsid w:val="006A7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198">
      <w:bodyDiv w:val="1"/>
      <w:marLeft w:val="0"/>
      <w:marRight w:val="0"/>
      <w:marTop w:val="0"/>
      <w:marBottom w:val="0"/>
      <w:divBdr>
        <w:top w:val="none" w:sz="0" w:space="0" w:color="auto"/>
        <w:left w:val="none" w:sz="0" w:space="0" w:color="auto"/>
        <w:bottom w:val="none" w:sz="0" w:space="0" w:color="auto"/>
        <w:right w:val="none" w:sz="0" w:space="0" w:color="auto"/>
      </w:divBdr>
    </w:div>
    <w:div w:id="80880114">
      <w:bodyDiv w:val="1"/>
      <w:marLeft w:val="0"/>
      <w:marRight w:val="0"/>
      <w:marTop w:val="0"/>
      <w:marBottom w:val="0"/>
      <w:divBdr>
        <w:top w:val="none" w:sz="0" w:space="0" w:color="auto"/>
        <w:left w:val="none" w:sz="0" w:space="0" w:color="auto"/>
        <w:bottom w:val="none" w:sz="0" w:space="0" w:color="auto"/>
        <w:right w:val="none" w:sz="0" w:space="0" w:color="auto"/>
      </w:divBdr>
    </w:div>
    <w:div w:id="112746726">
      <w:bodyDiv w:val="1"/>
      <w:marLeft w:val="0"/>
      <w:marRight w:val="0"/>
      <w:marTop w:val="0"/>
      <w:marBottom w:val="0"/>
      <w:divBdr>
        <w:top w:val="none" w:sz="0" w:space="0" w:color="auto"/>
        <w:left w:val="none" w:sz="0" w:space="0" w:color="auto"/>
        <w:bottom w:val="none" w:sz="0" w:space="0" w:color="auto"/>
        <w:right w:val="none" w:sz="0" w:space="0" w:color="auto"/>
      </w:divBdr>
    </w:div>
    <w:div w:id="115952197">
      <w:bodyDiv w:val="1"/>
      <w:marLeft w:val="0"/>
      <w:marRight w:val="0"/>
      <w:marTop w:val="0"/>
      <w:marBottom w:val="0"/>
      <w:divBdr>
        <w:top w:val="none" w:sz="0" w:space="0" w:color="auto"/>
        <w:left w:val="none" w:sz="0" w:space="0" w:color="auto"/>
        <w:bottom w:val="none" w:sz="0" w:space="0" w:color="auto"/>
        <w:right w:val="none" w:sz="0" w:space="0" w:color="auto"/>
      </w:divBdr>
    </w:div>
    <w:div w:id="364789697">
      <w:bodyDiv w:val="1"/>
      <w:marLeft w:val="0"/>
      <w:marRight w:val="0"/>
      <w:marTop w:val="0"/>
      <w:marBottom w:val="0"/>
      <w:divBdr>
        <w:top w:val="none" w:sz="0" w:space="0" w:color="auto"/>
        <w:left w:val="none" w:sz="0" w:space="0" w:color="auto"/>
        <w:bottom w:val="none" w:sz="0" w:space="0" w:color="auto"/>
        <w:right w:val="none" w:sz="0" w:space="0" w:color="auto"/>
      </w:divBdr>
    </w:div>
    <w:div w:id="411195015">
      <w:bodyDiv w:val="1"/>
      <w:marLeft w:val="0"/>
      <w:marRight w:val="0"/>
      <w:marTop w:val="0"/>
      <w:marBottom w:val="0"/>
      <w:divBdr>
        <w:top w:val="none" w:sz="0" w:space="0" w:color="auto"/>
        <w:left w:val="none" w:sz="0" w:space="0" w:color="auto"/>
        <w:bottom w:val="none" w:sz="0" w:space="0" w:color="auto"/>
        <w:right w:val="none" w:sz="0" w:space="0" w:color="auto"/>
      </w:divBdr>
    </w:div>
    <w:div w:id="512301554">
      <w:bodyDiv w:val="1"/>
      <w:marLeft w:val="0"/>
      <w:marRight w:val="0"/>
      <w:marTop w:val="0"/>
      <w:marBottom w:val="0"/>
      <w:divBdr>
        <w:top w:val="none" w:sz="0" w:space="0" w:color="auto"/>
        <w:left w:val="none" w:sz="0" w:space="0" w:color="auto"/>
        <w:bottom w:val="none" w:sz="0" w:space="0" w:color="auto"/>
        <w:right w:val="none" w:sz="0" w:space="0" w:color="auto"/>
      </w:divBdr>
    </w:div>
    <w:div w:id="558592418">
      <w:bodyDiv w:val="1"/>
      <w:marLeft w:val="0"/>
      <w:marRight w:val="0"/>
      <w:marTop w:val="0"/>
      <w:marBottom w:val="0"/>
      <w:divBdr>
        <w:top w:val="none" w:sz="0" w:space="0" w:color="auto"/>
        <w:left w:val="none" w:sz="0" w:space="0" w:color="auto"/>
        <w:bottom w:val="none" w:sz="0" w:space="0" w:color="auto"/>
        <w:right w:val="none" w:sz="0" w:space="0" w:color="auto"/>
      </w:divBdr>
    </w:div>
    <w:div w:id="598682194">
      <w:bodyDiv w:val="1"/>
      <w:marLeft w:val="0"/>
      <w:marRight w:val="0"/>
      <w:marTop w:val="0"/>
      <w:marBottom w:val="0"/>
      <w:divBdr>
        <w:top w:val="none" w:sz="0" w:space="0" w:color="auto"/>
        <w:left w:val="none" w:sz="0" w:space="0" w:color="auto"/>
        <w:bottom w:val="none" w:sz="0" w:space="0" w:color="auto"/>
        <w:right w:val="none" w:sz="0" w:space="0" w:color="auto"/>
      </w:divBdr>
    </w:div>
    <w:div w:id="673069263">
      <w:bodyDiv w:val="1"/>
      <w:marLeft w:val="0"/>
      <w:marRight w:val="0"/>
      <w:marTop w:val="0"/>
      <w:marBottom w:val="0"/>
      <w:divBdr>
        <w:top w:val="none" w:sz="0" w:space="0" w:color="auto"/>
        <w:left w:val="none" w:sz="0" w:space="0" w:color="auto"/>
        <w:bottom w:val="none" w:sz="0" w:space="0" w:color="auto"/>
        <w:right w:val="none" w:sz="0" w:space="0" w:color="auto"/>
      </w:divBdr>
    </w:div>
    <w:div w:id="707296068">
      <w:bodyDiv w:val="1"/>
      <w:marLeft w:val="0"/>
      <w:marRight w:val="0"/>
      <w:marTop w:val="0"/>
      <w:marBottom w:val="0"/>
      <w:divBdr>
        <w:top w:val="none" w:sz="0" w:space="0" w:color="auto"/>
        <w:left w:val="none" w:sz="0" w:space="0" w:color="auto"/>
        <w:bottom w:val="none" w:sz="0" w:space="0" w:color="auto"/>
        <w:right w:val="none" w:sz="0" w:space="0" w:color="auto"/>
      </w:divBdr>
    </w:div>
    <w:div w:id="1009602496">
      <w:bodyDiv w:val="1"/>
      <w:marLeft w:val="0"/>
      <w:marRight w:val="0"/>
      <w:marTop w:val="0"/>
      <w:marBottom w:val="0"/>
      <w:divBdr>
        <w:top w:val="none" w:sz="0" w:space="0" w:color="auto"/>
        <w:left w:val="none" w:sz="0" w:space="0" w:color="auto"/>
        <w:bottom w:val="none" w:sz="0" w:space="0" w:color="auto"/>
        <w:right w:val="none" w:sz="0" w:space="0" w:color="auto"/>
      </w:divBdr>
    </w:div>
    <w:div w:id="1150832824">
      <w:bodyDiv w:val="1"/>
      <w:marLeft w:val="0"/>
      <w:marRight w:val="0"/>
      <w:marTop w:val="0"/>
      <w:marBottom w:val="0"/>
      <w:divBdr>
        <w:top w:val="none" w:sz="0" w:space="0" w:color="auto"/>
        <w:left w:val="none" w:sz="0" w:space="0" w:color="auto"/>
        <w:bottom w:val="none" w:sz="0" w:space="0" w:color="auto"/>
        <w:right w:val="none" w:sz="0" w:space="0" w:color="auto"/>
      </w:divBdr>
    </w:div>
    <w:div w:id="1522738676">
      <w:bodyDiv w:val="1"/>
      <w:marLeft w:val="0"/>
      <w:marRight w:val="0"/>
      <w:marTop w:val="0"/>
      <w:marBottom w:val="0"/>
      <w:divBdr>
        <w:top w:val="none" w:sz="0" w:space="0" w:color="auto"/>
        <w:left w:val="none" w:sz="0" w:space="0" w:color="auto"/>
        <w:bottom w:val="none" w:sz="0" w:space="0" w:color="auto"/>
        <w:right w:val="none" w:sz="0" w:space="0" w:color="auto"/>
      </w:divBdr>
    </w:div>
    <w:div w:id="1523737175">
      <w:bodyDiv w:val="1"/>
      <w:marLeft w:val="0"/>
      <w:marRight w:val="0"/>
      <w:marTop w:val="0"/>
      <w:marBottom w:val="0"/>
      <w:divBdr>
        <w:top w:val="none" w:sz="0" w:space="0" w:color="auto"/>
        <w:left w:val="none" w:sz="0" w:space="0" w:color="auto"/>
        <w:bottom w:val="none" w:sz="0" w:space="0" w:color="auto"/>
        <w:right w:val="none" w:sz="0" w:space="0" w:color="auto"/>
      </w:divBdr>
    </w:div>
    <w:div w:id="1527450085">
      <w:bodyDiv w:val="1"/>
      <w:marLeft w:val="0"/>
      <w:marRight w:val="0"/>
      <w:marTop w:val="0"/>
      <w:marBottom w:val="0"/>
      <w:divBdr>
        <w:top w:val="none" w:sz="0" w:space="0" w:color="auto"/>
        <w:left w:val="none" w:sz="0" w:space="0" w:color="auto"/>
        <w:bottom w:val="none" w:sz="0" w:space="0" w:color="auto"/>
        <w:right w:val="none" w:sz="0" w:space="0" w:color="auto"/>
      </w:divBdr>
    </w:div>
    <w:div w:id="1563101625">
      <w:bodyDiv w:val="1"/>
      <w:marLeft w:val="0"/>
      <w:marRight w:val="0"/>
      <w:marTop w:val="0"/>
      <w:marBottom w:val="0"/>
      <w:divBdr>
        <w:top w:val="none" w:sz="0" w:space="0" w:color="auto"/>
        <w:left w:val="none" w:sz="0" w:space="0" w:color="auto"/>
        <w:bottom w:val="none" w:sz="0" w:space="0" w:color="auto"/>
        <w:right w:val="none" w:sz="0" w:space="0" w:color="auto"/>
      </w:divBdr>
    </w:div>
    <w:div w:id="1702778717">
      <w:bodyDiv w:val="1"/>
      <w:marLeft w:val="0"/>
      <w:marRight w:val="0"/>
      <w:marTop w:val="0"/>
      <w:marBottom w:val="0"/>
      <w:divBdr>
        <w:top w:val="none" w:sz="0" w:space="0" w:color="auto"/>
        <w:left w:val="none" w:sz="0" w:space="0" w:color="auto"/>
        <w:bottom w:val="none" w:sz="0" w:space="0" w:color="auto"/>
        <w:right w:val="none" w:sz="0" w:space="0" w:color="auto"/>
      </w:divBdr>
    </w:div>
    <w:div w:id="1800145625">
      <w:bodyDiv w:val="1"/>
      <w:marLeft w:val="0"/>
      <w:marRight w:val="0"/>
      <w:marTop w:val="0"/>
      <w:marBottom w:val="0"/>
      <w:divBdr>
        <w:top w:val="none" w:sz="0" w:space="0" w:color="auto"/>
        <w:left w:val="none" w:sz="0" w:space="0" w:color="auto"/>
        <w:bottom w:val="none" w:sz="0" w:space="0" w:color="auto"/>
        <w:right w:val="none" w:sz="0" w:space="0" w:color="auto"/>
      </w:divBdr>
    </w:div>
    <w:div w:id="2011323351">
      <w:bodyDiv w:val="1"/>
      <w:marLeft w:val="0"/>
      <w:marRight w:val="0"/>
      <w:marTop w:val="0"/>
      <w:marBottom w:val="0"/>
      <w:divBdr>
        <w:top w:val="none" w:sz="0" w:space="0" w:color="auto"/>
        <w:left w:val="none" w:sz="0" w:space="0" w:color="auto"/>
        <w:bottom w:val="none" w:sz="0" w:space="0" w:color="auto"/>
        <w:right w:val="none" w:sz="0" w:space="0" w:color="auto"/>
      </w:divBdr>
    </w:div>
    <w:div w:id="2021006170">
      <w:bodyDiv w:val="1"/>
      <w:marLeft w:val="0"/>
      <w:marRight w:val="0"/>
      <w:marTop w:val="0"/>
      <w:marBottom w:val="0"/>
      <w:divBdr>
        <w:top w:val="none" w:sz="0" w:space="0" w:color="auto"/>
        <w:left w:val="none" w:sz="0" w:space="0" w:color="auto"/>
        <w:bottom w:val="none" w:sz="0" w:space="0" w:color="auto"/>
        <w:right w:val="none" w:sz="0" w:space="0" w:color="auto"/>
      </w:divBdr>
    </w:div>
    <w:div w:id="2083067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4336</Words>
  <Characters>24716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Dunaif, Andrea</dc:creator>
  <cp:lastModifiedBy>Paige Horvath</cp:lastModifiedBy>
  <cp:revision>2</cp:revision>
  <cp:lastPrinted>2018-03-22T17:54:00Z</cp:lastPrinted>
  <dcterms:created xsi:type="dcterms:W3CDTF">2018-12-06T19:58:00Z</dcterms:created>
  <dcterms:modified xsi:type="dcterms:W3CDTF">2018-12-06T19:58:00Z</dcterms:modified>
</cp:coreProperties>
</file>