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3D49A1" w14:textId="77777777" w:rsidR="004261C5" w:rsidRDefault="007B5D65" w:rsidP="009557E2">
      <w:pPr>
        <w:ind w:left="-540"/>
        <w:rPr>
          <w:rFonts w:ascii="Times New Roman" w:hAnsi="Times New Roman" w:cs="Times New Roman"/>
        </w:rPr>
      </w:pPr>
      <w:r w:rsidRPr="007B5D65">
        <w:rPr>
          <w:rFonts w:ascii="Times New Roman" w:hAnsi="Times New Roman" w:cs="Times New Roman"/>
          <w:b/>
        </w:rPr>
        <w:t>Supplemental Table</w:t>
      </w:r>
      <w:r>
        <w:rPr>
          <w:rFonts w:ascii="Times New Roman" w:hAnsi="Times New Roman" w:cs="Times New Roman"/>
        </w:rPr>
        <w:t>. Sources of Data and Main Measures</w:t>
      </w:r>
    </w:p>
    <w:tbl>
      <w:tblPr>
        <w:tblW w:w="10620" w:type="dxa"/>
        <w:tblInd w:w="-63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322"/>
        <w:gridCol w:w="2610"/>
        <w:gridCol w:w="4688"/>
      </w:tblGrid>
      <w:tr w:rsidR="007B5D65" w:rsidRPr="0067237F" w14:paraId="6FB93BCC" w14:textId="77777777" w:rsidTr="007B5D65">
        <w:trPr>
          <w:trHeight w:val="320"/>
        </w:trPr>
        <w:tc>
          <w:tcPr>
            <w:tcW w:w="3322" w:type="dxa"/>
            <w:tcBorders>
              <w:top w:val="single" w:sz="24" w:space="0" w:color="auto"/>
              <w:left w:val="nil"/>
              <w:bottom w:val="single" w:sz="24" w:space="0" w:color="000000"/>
              <w:right w:val="nil"/>
            </w:tcBorders>
            <w:shd w:val="clear" w:color="auto" w:fill="auto"/>
            <w:tcMar>
              <w:top w:w="80" w:type="dxa"/>
              <w:left w:w="80" w:type="dxa"/>
              <w:bottom w:w="80" w:type="dxa"/>
              <w:right w:w="80" w:type="dxa"/>
            </w:tcMar>
            <w:vAlign w:val="bottom"/>
          </w:tcPr>
          <w:p w14:paraId="263E6315" w14:textId="77777777" w:rsidR="007B5D65" w:rsidRPr="0067237F" w:rsidRDefault="007B5D65" w:rsidP="00097465">
            <w:pPr>
              <w:pStyle w:val="Body"/>
              <w:rPr>
                <w:rFonts w:cs="Times New Roman"/>
                <w:b/>
              </w:rPr>
            </w:pPr>
            <w:r w:rsidRPr="0067237F">
              <w:rPr>
                <w:rFonts w:cs="Times New Roman"/>
                <w:b/>
              </w:rPr>
              <w:t>Source of Data</w:t>
            </w:r>
          </w:p>
        </w:tc>
        <w:tc>
          <w:tcPr>
            <w:tcW w:w="2610" w:type="dxa"/>
            <w:tcBorders>
              <w:top w:val="single" w:sz="24" w:space="0" w:color="auto"/>
              <w:left w:val="nil"/>
              <w:bottom w:val="single" w:sz="24" w:space="0" w:color="000000"/>
              <w:right w:val="nil"/>
            </w:tcBorders>
            <w:shd w:val="clear" w:color="auto" w:fill="auto"/>
            <w:tcMar>
              <w:top w:w="80" w:type="dxa"/>
              <w:left w:w="80" w:type="dxa"/>
              <w:bottom w:w="80" w:type="dxa"/>
              <w:right w:w="80" w:type="dxa"/>
            </w:tcMar>
            <w:vAlign w:val="bottom"/>
          </w:tcPr>
          <w:p w14:paraId="426BDBF2" w14:textId="4B6FD2A6" w:rsidR="007B5D65" w:rsidRPr="0067237F" w:rsidRDefault="007B5D65" w:rsidP="00097465">
            <w:pPr>
              <w:pStyle w:val="Body"/>
              <w:rPr>
                <w:rFonts w:cs="Times New Roman"/>
              </w:rPr>
            </w:pPr>
            <w:proofErr w:type="spellStart"/>
            <w:r w:rsidRPr="00744002">
              <w:rPr>
                <w:rFonts w:cs="Times New Roman"/>
                <w:b/>
              </w:rPr>
              <w:t>Measure</w:t>
            </w:r>
            <w:r w:rsidR="007B51D9" w:rsidRPr="007B51D9">
              <w:rPr>
                <w:rFonts w:cs="Times New Roman"/>
                <w:vertAlign w:val="superscript"/>
              </w:rPr>
              <w:t>a</w:t>
            </w:r>
            <w:proofErr w:type="spellEnd"/>
          </w:p>
        </w:tc>
        <w:tc>
          <w:tcPr>
            <w:tcW w:w="4688" w:type="dxa"/>
            <w:tcBorders>
              <w:top w:val="single" w:sz="24" w:space="0" w:color="auto"/>
              <w:left w:val="nil"/>
              <w:bottom w:val="single" w:sz="24" w:space="0" w:color="000000"/>
              <w:right w:val="nil"/>
            </w:tcBorders>
            <w:shd w:val="clear" w:color="auto" w:fill="auto"/>
            <w:tcMar>
              <w:top w:w="80" w:type="dxa"/>
              <w:left w:w="80" w:type="dxa"/>
              <w:bottom w:w="80" w:type="dxa"/>
              <w:right w:w="80" w:type="dxa"/>
            </w:tcMar>
            <w:vAlign w:val="bottom"/>
          </w:tcPr>
          <w:p w14:paraId="3EE1990C" w14:textId="77777777" w:rsidR="007B5D65" w:rsidRPr="00744002" w:rsidRDefault="007B5D65" w:rsidP="00097465">
            <w:pPr>
              <w:pStyle w:val="Body"/>
              <w:rPr>
                <w:rFonts w:cs="Times New Roman"/>
                <w:b/>
              </w:rPr>
            </w:pPr>
            <w:r w:rsidRPr="00744002">
              <w:rPr>
                <w:rFonts w:cs="Times New Roman"/>
                <w:b/>
              </w:rPr>
              <w:t>Description</w:t>
            </w:r>
          </w:p>
        </w:tc>
      </w:tr>
      <w:tr w:rsidR="007B5D65" w:rsidRPr="0067237F" w14:paraId="36D2B738" w14:textId="77777777" w:rsidTr="007B5D65">
        <w:trPr>
          <w:trHeight w:val="20"/>
        </w:trPr>
        <w:tc>
          <w:tcPr>
            <w:tcW w:w="3322" w:type="dxa"/>
            <w:tcBorders>
              <w:top w:val="nil"/>
              <w:left w:val="nil"/>
              <w:bottom w:val="nil"/>
              <w:right w:val="nil"/>
            </w:tcBorders>
            <w:shd w:val="clear" w:color="auto" w:fill="auto"/>
            <w:tcMar>
              <w:top w:w="80" w:type="dxa"/>
              <w:left w:w="80" w:type="dxa"/>
              <w:bottom w:w="80" w:type="dxa"/>
              <w:right w:w="80" w:type="dxa"/>
            </w:tcMar>
          </w:tcPr>
          <w:p w14:paraId="3037E42A" w14:textId="77777777" w:rsidR="007B5D65" w:rsidRPr="0067237F" w:rsidRDefault="007B5D65" w:rsidP="00097465">
            <w:pPr>
              <w:pStyle w:val="Body"/>
              <w:rPr>
                <w:rFonts w:cs="Times New Roman"/>
              </w:rPr>
            </w:pPr>
            <w:r w:rsidRPr="0067237F">
              <w:rPr>
                <w:rFonts w:cs="Times New Roman"/>
              </w:rPr>
              <w:t>Center for Disease Control and Prevention (CDC)</w:t>
            </w:r>
          </w:p>
        </w:tc>
        <w:tc>
          <w:tcPr>
            <w:tcW w:w="2610" w:type="dxa"/>
            <w:tcBorders>
              <w:top w:val="nil"/>
              <w:left w:val="nil"/>
              <w:bottom w:val="nil"/>
              <w:right w:val="nil"/>
            </w:tcBorders>
            <w:shd w:val="clear" w:color="auto" w:fill="auto"/>
            <w:tcMar>
              <w:top w:w="80" w:type="dxa"/>
              <w:left w:w="80" w:type="dxa"/>
              <w:bottom w:w="80" w:type="dxa"/>
              <w:right w:w="80" w:type="dxa"/>
            </w:tcMar>
          </w:tcPr>
          <w:p w14:paraId="6B38FE31" w14:textId="77777777" w:rsidR="007B5D65" w:rsidRPr="0067237F" w:rsidRDefault="007B5D65" w:rsidP="00097465">
            <w:pPr>
              <w:pStyle w:val="Body"/>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rPr>
            </w:pPr>
            <w:r w:rsidRPr="0067237F">
              <w:rPr>
                <w:rFonts w:cs="Times New Roman"/>
              </w:rPr>
              <w:t>Social Vulnerability Index (SVI)</w:t>
            </w:r>
            <w:r>
              <w:rPr>
                <w:rFonts w:cs="Times New Roman"/>
              </w:rPr>
              <w:t xml:space="preserve">, publicly available at: </w:t>
            </w:r>
            <w:r w:rsidRPr="000F0562">
              <w:rPr>
                <w:rFonts w:cs="Times New Roman"/>
              </w:rPr>
              <w:t>https://www.atsdr.cdc.gov/placeandhealth/svi/index.html</w:t>
            </w:r>
          </w:p>
        </w:tc>
        <w:tc>
          <w:tcPr>
            <w:tcW w:w="4688" w:type="dxa"/>
            <w:tcBorders>
              <w:top w:val="nil"/>
              <w:left w:val="nil"/>
              <w:bottom w:val="nil"/>
              <w:right w:val="nil"/>
            </w:tcBorders>
            <w:shd w:val="clear" w:color="auto" w:fill="auto"/>
            <w:tcMar>
              <w:top w:w="80" w:type="dxa"/>
              <w:left w:w="80" w:type="dxa"/>
              <w:bottom w:w="80" w:type="dxa"/>
              <w:right w:w="80" w:type="dxa"/>
            </w:tcMar>
          </w:tcPr>
          <w:p w14:paraId="047C7CF7" w14:textId="77777777" w:rsidR="007B5D65" w:rsidRPr="0067237F" w:rsidRDefault="007B5D65" w:rsidP="00097465">
            <w:pPr>
              <w:pStyle w:val="Body"/>
              <w:rPr>
                <w:rFonts w:cs="Times New Roman"/>
              </w:rPr>
            </w:pPr>
            <w:r w:rsidRPr="0067237F">
              <w:rPr>
                <w:rFonts w:cs="Times New Roman"/>
              </w:rPr>
              <w:t>Propensity score weights were based on SVI indicators, including poverty, unemployment, per capita income, no high school diploma, age 65 years or older, age 17 years or younger, single-parent households, minority racial/ethnic composition, limited English language proficiency, group quarters living arrangements, multi-unit structures, mobile homes, crowding, and vehicle access.</w:t>
            </w:r>
          </w:p>
        </w:tc>
      </w:tr>
      <w:tr w:rsidR="007B5D65" w:rsidRPr="0067237F" w14:paraId="038964EF" w14:textId="77777777" w:rsidTr="007B5D65">
        <w:trPr>
          <w:trHeight w:val="20"/>
        </w:trPr>
        <w:tc>
          <w:tcPr>
            <w:tcW w:w="3322" w:type="dxa"/>
            <w:tcBorders>
              <w:top w:val="nil"/>
              <w:left w:val="nil"/>
              <w:bottom w:val="nil"/>
              <w:right w:val="nil"/>
            </w:tcBorders>
            <w:shd w:val="clear" w:color="auto" w:fill="auto"/>
            <w:tcMar>
              <w:top w:w="80" w:type="dxa"/>
              <w:left w:w="80" w:type="dxa"/>
              <w:bottom w:w="80" w:type="dxa"/>
              <w:right w:w="80" w:type="dxa"/>
            </w:tcMar>
          </w:tcPr>
          <w:p w14:paraId="4CCBAE9E" w14:textId="77777777" w:rsidR="007B5D65" w:rsidRPr="0067237F" w:rsidRDefault="007B5D65" w:rsidP="00097465">
            <w:pPr>
              <w:pStyle w:val="Body"/>
              <w:rPr>
                <w:rFonts w:cs="Times New Roman"/>
              </w:rPr>
            </w:pPr>
            <w:r w:rsidRPr="0067237F">
              <w:rPr>
                <w:rFonts w:cs="Times New Roman"/>
              </w:rPr>
              <w:t>Health Resources &amp; Services Administration (HRSA)</w:t>
            </w:r>
          </w:p>
        </w:tc>
        <w:tc>
          <w:tcPr>
            <w:tcW w:w="2610" w:type="dxa"/>
            <w:tcBorders>
              <w:top w:val="nil"/>
              <w:left w:val="nil"/>
              <w:bottom w:val="nil"/>
              <w:right w:val="nil"/>
            </w:tcBorders>
            <w:shd w:val="clear" w:color="auto" w:fill="auto"/>
            <w:tcMar>
              <w:top w:w="80" w:type="dxa"/>
              <w:left w:w="80" w:type="dxa"/>
              <w:bottom w:w="80" w:type="dxa"/>
              <w:right w:w="80" w:type="dxa"/>
            </w:tcMar>
          </w:tcPr>
          <w:p w14:paraId="3CF6C3FB" w14:textId="3C96AC3B" w:rsidR="007B5D65" w:rsidRPr="0067237F" w:rsidRDefault="007B5D65" w:rsidP="00662815">
            <w:pPr>
              <w:pStyle w:val="Body"/>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rPr>
            </w:pPr>
            <w:r w:rsidRPr="0067237F">
              <w:rPr>
                <w:rFonts w:cs="Times New Roman"/>
              </w:rPr>
              <w:t>Receipt of an ARRA Capital Development Grant</w:t>
            </w:r>
            <w:r w:rsidR="00662815">
              <w:rPr>
                <w:rFonts w:cs="Times New Roman"/>
              </w:rPr>
              <w:t xml:space="preserve"> (binary)</w:t>
            </w:r>
            <w:r>
              <w:rPr>
                <w:rFonts w:cs="Times New Roman"/>
              </w:rPr>
              <w:t>, provided by HRSA</w:t>
            </w:r>
          </w:p>
        </w:tc>
        <w:tc>
          <w:tcPr>
            <w:tcW w:w="4688" w:type="dxa"/>
            <w:tcBorders>
              <w:top w:val="nil"/>
              <w:left w:val="nil"/>
              <w:bottom w:val="nil"/>
              <w:right w:val="nil"/>
            </w:tcBorders>
            <w:shd w:val="clear" w:color="auto" w:fill="auto"/>
            <w:tcMar>
              <w:top w:w="80" w:type="dxa"/>
              <w:left w:w="80" w:type="dxa"/>
              <w:bottom w:w="80" w:type="dxa"/>
              <w:right w:w="80" w:type="dxa"/>
            </w:tcMar>
          </w:tcPr>
          <w:p w14:paraId="61C95331" w14:textId="421862E4" w:rsidR="00662815" w:rsidRPr="0067237F" w:rsidRDefault="007B5D65" w:rsidP="00662815">
            <w:pPr>
              <w:pStyle w:val="Body"/>
              <w:rPr>
                <w:rFonts w:cs="Times New Roman"/>
              </w:rPr>
            </w:pPr>
            <w:r w:rsidRPr="0067237F">
              <w:rPr>
                <w:rFonts w:cs="Times New Roman"/>
              </w:rPr>
              <w:t>Primary independent variable of interest</w:t>
            </w:r>
            <w:r w:rsidR="00662815">
              <w:rPr>
                <w:rFonts w:cs="Times New Roman"/>
              </w:rPr>
              <w:t xml:space="preserve"> (receipt or no receipt of funding)</w:t>
            </w:r>
          </w:p>
        </w:tc>
      </w:tr>
      <w:tr w:rsidR="007B5D65" w:rsidRPr="0067237F" w14:paraId="4BA9A11A" w14:textId="77777777" w:rsidTr="007B5D65">
        <w:trPr>
          <w:trHeight w:val="20"/>
        </w:trPr>
        <w:tc>
          <w:tcPr>
            <w:tcW w:w="3322" w:type="dxa"/>
            <w:tcBorders>
              <w:top w:val="nil"/>
              <w:left w:val="nil"/>
              <w:bottom w:val="nil"/>
              <w:right w:val="nil"/>
            </w:tcBorders>
            <w:shd w:val="clear" w:color="auto" w:fill="auto"/>
            <w:tcMar>
              <w:top w:w="80" w:type="dxa"/>
              <w:left w:w="80" w:type="dxa"/>
              <w:bottom w:w="80" w:type="dxa"/>
              <w:right w:w="80" w:type="dxa"/>
            </w:tcMar>
          </w:tcPr>
          <w:p w14:paraId="48F1C80A" w14:textId="055499A2" w:rsidR="007B5D65" w:rsidRPr="0067237F" w:rsidRDefault="007B5D65" w:rsidP="00097465">
            <w:pPr>
              <w:pStyle w:val="Body"/>
              <w:rPr>
                <w:rFonts w:cs="Times New Roman"/>
              </w:rPr>
            </w:pPr>
            <w:r w:rsidRPr="0067237F">
              <w:rPr>
                <w:rFonts w:cs="Times New Roman"/>
              </w:rPr>
              <w:t>Longitudinal Employer-Household Dynamics (LEHD)</w:t>
            </w:r>
          </w:p>
        </w:tc>
        <w:tc>
          <w:tcPr>
            <w:tcW w:w="2610" w:type="dxa"/>
            <w:tcBorders>
              <w:top w:val="nil"/>
              <w:left w:val="nil"/>
              <w:bottom w:val="nil"/>
              <w:right w:val="nil"/>
            </w:tcBorders>
            <w:shd w:val="clear" w:color="auto" w:fill="auto"/>
            <w:tcMar>
              <w:top w:w="80" w:type="dxa"/>
              <w:left w:w="80" w:type="dxa"/>
              <w:bottom w:w="80" w:type="dxa"/>
              <w:right w:w="80" w:type="dxa"/>
            </w:tcMar>
          </w:tcPr>
          <w:p w14:paraId="7E940FB4" w14:textId="77777777" w:rsidR="007B5D65" w:rsidRPr="0067237F" w:rsidRDefault="007B5D65" w:rsidP="00097465">
            <w:pPr>
              <w:pStyle w:val="Body"/>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rPr>
            </w:pPr>
            <w:r w:rsidRPr="0067237F">
              <w:rPr>
                <w:rFonts w:cs="Times New Roman"/>
              </w:rPr>
              <w:t>Jobs per 1,000 population</w:t>
            </w:r>
            <w:r>
              <w:rPr>
                <w:rFonts w:cs="Times New Roman"/>
              </w:rPr>
              <w:t xml:space="preserve">, publicly available at: </w:t>
            </w:r>
            <w:r w:rsidRPr="000F0562">
              <w:rPr>
                <w:rFonts w:cs="Times New Roman"/>
              </w:rPr>
              <w:t>https://lehd.ces.census.gov/data/</w:t>
            </w:r>
          </w:p>
        </w:tc>
        <w:tc>
          <w:tcPr>
            <w:tcW w:w="4688" w:type="dxa"/>
            <w:tcBorders>
              <w:top w:val="nil"/>
              <w:left w:val="nil"/>
              <w:bottom w:val="nil"/>
              <w:right w:val="nil"/>
            </w:tcBorders>
            <w:shd w:val="clear" w:color="auto" w:fill="auto"/>
            <w:tcMar>
              <w:top w:w="80" w:type="dxa"/>
              <w:left w:w="80" w:type="dxa"/>
              <w:bottom w:w="80" w:type="dxa"/>
              <w:right w:w="80" w:type="dxa"/>
            </w:tcMar>
          </w:tcPr>
          <w:p w14:paraId="7A54394C" w14:textId="7BE13C47" w:rsidR="00662815" w:rsidRDefault="007B5D65" w:rsidP="00662815">
            <w:pPr>
              <w:pStyle w:val="Body"/>
              <w:rPr>
                <w:rFonts w:cs="Times New Roman"/>
              </w:rPr>
            </w:pPr>
            <w:r>
              <w:rPr>
                <w:rFonts w:cs="Times New Roman"/>
              </w:rPr>
              <w:t>Primary</w:t>
            </w:r>
            <w:r w:rsidR="00662815">
              <w:rPr>
                <w:rFonts w:cs="Times New Roman"/>
              </w:rPr>
              <w:t xml:space="preserve"> dependent variable of inter</w:t>
            </w:r>
            <w:bookmarkStart w:id="0" w:name="_GoBack"/>
            <w:bookmarkEnd w:id="0"/>
            <w:r w:rsidR="00662815">
              <w:rPr>
                <w:rFonts w:cs="Times New Roman"/>
              </w:rPr>
              <w:t xml:space="preserve">est: </w:t>
            </w:r>
          </w:p>
          <w:p w14:paraId="37959948" w14:textId="77777777" w:rsidR="00662815" w:rsidRDefault="00662815" w:rsidP="00662815">
            <w:pPr>
              <w:pStyle w:val="Body"/>
              <w:rPr>
                <w:rFonts w:cs="Times New Roman"/>
              </w:rPr>
            </w:pPr>
            <w:r>
              <w:rPr>
                <w:rFonts w:cs="Times New Roman"/>
              </w:rPr>
              <w:t>1) T</w:t>
            </w:r>
            <w:r w:rsidR="007B5D65">
              <w:rPr>
                <w:rFonts w:cs="Times New Roman"/>
              </w:rPr>
              <w:t>otal jobs</w:t>
            </w:r>
          </w:p>
          <w:p w14:paraId="112B780F" w14:textId="01264117" w:rsidR="007B5D65" w:rsidRPr="0067237F" w:rsidRDefault="00662815" w:rsidP="00662815">
            <w:pPr>
              <w:pStyle w:val="Body"/>
              <w:rPr>
                <w:rFonts w:cs="Times New Roman"/>
              </w:rPr>
            </w:pPr>
            <w:r>
              <w:rPr>
                <w:rFonts w:cs="Times New Roman"/>
              </w:rPr>
              <w:t>2) J</w:t>
            </w:r>
            <w:r w:rsidR="007B5D65">
              <w:rPr>
                <w:rFonts w:cs="Times New Roman"/>
              </w:rPr>
              <w:t xml:space="preserve">obs by </w:t>
            </w:r>
            <w:proofErr w:type="spellStart"/>
            <w:proofErr w:type="gramStart"/>
            <w:r w:rsidR="007B5D65">
              <w:rPr>
                <w:rFonts w:cs="Times New Roman"/>
              </w:rPr>
              <w:t>sector,</w:t>
            </w:r>
            <w:r w:rsidR="004343FE" w:rsidRPr="004343FE">
              <w:rPr>
                <w:rFonts w:cs="Times New Roman"/>
                <w:vertAlign w:val="superscript"/>
              </w:rPr>
              <w:t>b</w:t>
            </w:r>
            <w:proofErr w:type="spellEnd"/>
            <w:proofErr w:type="gramEnd"/>
            <w:r w:rsidR="007B5D65">
              <w:rPr>
                <w:rFonts w:cs="Times New Roman"/>
              </w:rPr>
              <w:t xml:space="preserve"> including retail trade (NAICS 44-45)</w:t>
            </w:r>
            <w:r w:rsidR="004343FE">
              <w:rPr>
                <w:rFonts w:cs="Times New Roman"/>
              </w:rPr>
              <w:t>,</w:t>
            </w:r>
            <w:r w:rsidR="007B5D65">
              <w:rPr>
                <w:rFonts w:cs="Times New Roman"/>
              </w:rPr>
              <w:t xml:space="preserve"> real estate, rental and leasing (NAICS 53), professional, scientific and technical (NAICS 54), healthcare and social assistance (NAICS 62), arts, entertainment and recreation (NAICS 71), and accommodation and food services (NAICS 72).</w:t>
            </w:r>
          </w:p>
        </w:tc>
      </w:tr>
      <w:tr w:rsidR="007B5D65" w:rsidRPr="0067237F" w14:paraId="52BD1A68" w14:textId="77777777" w:rsidTr="007B5D65">
        <w:trPr>
          <w:trHeight w:val="20"/>
        </w:trPr>
        <w:tc>
          <w:tcPr>
            <w:tcW w:w="3322" w:type="dxa"/>
            <w:tcBorders>
              <w:top w:val="nil"/>
              <w:left w:val="nil"/>
              <w:bottom w:val="single" w:sz="24" w:space="0" w:color="000000"/>
              <w:right w:val="nil"/>
            </w:tcBorders>
            <w:shd w:val="clear" w:color="auto" w:fill="auto"/>
            <w:tcMar>
              <w:top w:w="80" w:type="dxa"/>
              <w:left w:w="80" w:type="dxa"/>
              <w:bottom w:w="80" w:type="dxa"/>
              <w:right w:w="80" w:type="dxa"/>
            </w:tcMar>
          </w:tcPr>
          <w:p w14:paraId="4596517D" w14:textId="77777777" w:rsidR="007B5D65" w:rsidRPr="0067237F" w:rsidRDefault="007B5D65" w:rsidP="00097465">
            <w:pPr>
              <w:pStyle w:val="Body"/>
              <w:rPr>
                <w:rFonts w:cs="Times New Roman"/>
              </w:rPr>
            </w:pPr>
            <w:r w:rsidRPr="0067237F">
              <w:rPr>
                <w:rFonts w:cs="Times New Roman"/>
              </w:rPr>
              <w:t>National Neighborhood Data Archive (</w:t>
            </w:r>
            <w:proofErr w:type="spellStart"/>
            <w:r w:rsidRPr="0067237F">
              <w:rPr>
                <w:rFonts w:cs="Times New Roman"/>
              </w:rPr>
              <w:t>NaNDA</w:t>
            </w:r>
            <w:proofErr w:type="spellEnd"/>
            <w:r w:rsidRPr="0067237F">
              <w:rPr>
                <w:rFonts w:cs="Times New Roman"/>
              </w:rPr>
              <w:t>)</w:t>
            </w:r>
          </w:p>
        </w:tc>
        <w:tc>
          <w:tcPr>
            <w:tcW w:w="2610" w:type="dxa"/>
            <w:tcBorders>
              <w:top w:val="nil"/>
              <w:left w:val="nil"/>
              <w:bottom w:val="single" w:sz="24" w:space="0" w:color="000000"/>
              <w:right w:val="nil"/>
            </w:tcBorders>
            <w:shd w:val="clear" w:color="auto" w:fill="auto"/>
            <w:tcMar>
              <w:top w:w="80" w:type="dxa"/>
              <w:left w:w="80" w:type="dxa"/>
              <w:bottom w:w="80" w:type="dxa"/>
              <w:right w:w="80" w:type="dxa"/>
            </w:tcMar>
          </w:tcPr>
          <w:p w14:paraId="32C10998" w14:textId="77777777" w:rsidR="007B5D65" w:rsidRPr="0067237F" w:rsidRDefault="007B5D65" w:rsidP="00097465">
            <w:pPr>
              <w:pStyle w:val="Body"/>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rPr>
            </w:pPr>
            <w:r w:rsidRPr="0067237F">
              <w:rPr>
                <w:rFonts w:cs="Times New Roman"/>
              </w:rPr>
              <w:t>Establishments per 10,000 population</w:t>
            </w:r>
            <w:r>
              <w:rPr>
                <w:rFonts w:cs="Times New Roman"/>
              </w:rPr>
              <w:t xml:space="preserve">, publicly available at: </w:t>
            </w:r>
            <w:r w:rsidRPr="000F0562">
              <w:rPr>
                <w:rFonts w:cs="Times New Roman"/>
              </w:rPr>
              <w:t>https://nanda.isr.umich.edu</w:t>
            </w:r>
          </w:p>
        </w:tc>
        <w:tc>
          <w:tcPr>
            <w:tcW w:w="4688" w:type="dxa"/>
            <w:tcBorders>
              <w:top w:val="nil"/>
              <w:left w:val="nil"/>
              <w:bottom w:val="single" w:sz="24" w:space="0" w:color="000000"/>
              <w:right w:val="nil"/>
            </w:tcBorders>
            <w:shd w:val="clear" w:color="auto" w:fill="auto"/>
            <w:tcMar>
              <w:top w:w="80" w:type="dxa"/>
              <w:left w:w="80" w:type="dxa"/>
              <w:bottom w:w="80" w:type="dxa"/>
              <w:right w:w="80" w:type="dxa"/>
            </w:tcMar>
          </w:tcPr>
          <w:p w14:paraId="466B87EB" w14:textId="77777777" w:rsidR="00662815" w:rsidRDefault="007B5D65" w:rsidP="00097465">
            <w:pPr>
              <w:pStyle w:val="Body"/>
              <w:rPr>
                <w:rFonts w:cs="Times New Roman"/>
              </w:rPr>
            </w:pPr>
            <w:r>
              <w:rPr>
                <w:rFonts w:cs="Times New Roman"/>
              </w:rPr>
              <w:t xml:space="preserve">Secondary </w:t>
            </w:r>
            <w:r w:rsidR="00662815">
              <w:rPr>
                <w:rFonts w:cs="Times New Roman"/>
              </w:rPr>
              <w:t>dependent variable of interest:</w:t>
            </w:r>
          </w:p>
          <w:p w14:paraId="79DDCA42" w14:textId="77777777" w:rsidR="00662815" w:rsidRDefault="00662815" w:rsidP="00097465">
            <w:pPr>
              <w:pStyle w:val="Body"/>
              <w:rPr>
                <w:rFonts w:cs="Times New Roman"/>
              </w:rPr>
            </w:pPr>
            <w:r>
              <w:rPr>
                <w:rFonts w:cs="Times New Roman"/>
              </w:rPr>
              <w:t>1) Total establishments</w:t>
            </w:r>
          </w:p>
          <w:p w14:paraId="3299D640" w14:textId="057F25E7" w:rsidR="007B5D65" w:rsidRPr="0067237F" w:rsidRDefault="00662815" w:rsidP="00097465">
            <w:pPr>
              <w:pStyle w:val="Body"/>
              <w:rPr>
                <w:rFonts w:cs="Times New Roman"/>
              </w:rPr>
            </w:pPr>
            <w:r>
              <w:rPr>
                <w:rFonts w:cs="Times New Roman"/>
              </w:rPr>
              <w:t>2) E</w:t>
            </w:r>
            <w:r w:rsidR="007B5D65">
              <w:rPr>
                <w:rFonts w:cs="Times New Roman"/>
              </w:rPr>
              <w:t>stabli</w:t>
            </w:r>
            <w:r>
              <w:rPr>
                <w:rFonts w:cs="Times New Roman"/>
              </w:rPr>
              <w:t>shments by sector, including</w:t>
            </w:r>
            <w:r w:rsidR="007B5D65">
              <w:rPr>
                <w:rFonts w:cs="Times New Roman"/>
              </w:rPr>
              <w:t xml:space="preserve"> </w:t>
            </w:r>
            <w:r>
              <w:rPr>
                <w:rFonts w:cs="Times New Roman"/>
              </w:rPr>
              <w:t xml:space="preserve">(a) </w:t>
            </w:r>
            <w:r w:rsidR="007B5D65">
              <w:rPr>
                <w:rFonts w:cs="Times New Roman"/>
              </w:rPr>
              <w:t>healthcare (</w:t>
            </w:r>
            <w:r w:rsidR="007B5D65" w:rsidRPr="00E74EEA">
              <w:rPr>
                <w:rFonts w:cs="Times New Roman"/>
              </w:rPr>
              <w:t>ambulatory care centers, diagnostic labs, home health services, hospitals, nursing and residential facilities, pharmacies, optical services, and other miscellaneous healthcare establishments</w:t>
            </w:r>
            <w:r>
              <w:rPr>
                <w:rFonts w:cs="Times New Roman"/>
              </w:rPr>
              <w:t>) and (b</w:t>
            </w:r>
            <w:r w:rsidR="007B5D65">
              <w:rPr>
                <w:rFonts w:cs="Times New Roman"/>
              </w:rPr>
              <w:t>) non-healthcare (</w:t>
            </w:r>
            <w:r w:rsidR="007B5D65" w:rsidRPr="00E74EEA">
              <w:rPr>
                <w:rFonts w:cs="Times New Roman"/>
              </w:rPr>
              <w:t>eating or drinking places, retail establishments, and grocery stores</w:t>
            </w:r>
            <w:r w:rsidR="007B5D65">
              <w:rPr>
                <w:rFonts w:cs="Times New Roman"/>
              </w:rPr>
              <w:t xml:space="preserve">). </w:t>
            </w:r>
          </w:p>
        </w:tc>
      </w:tr>
    </w:tbl>
    <w:p w14:paraId="3BAAFAB9" w14:textId="4CA540C9" w:rsidR="007B5D65" w:rsidRDefault="007B51D9" w:rsidP="009557E2">
      <w:pPr>
        <w:ind w:left="-630"/>
        <w:rPr>
          <w:rFonts w:ascii="Times New Roman" w:hAnsi="Times New Roman" w:cs="Times New Roman"/>
        </w:rPr>
      </w:pPr>
      <w:proofErr w:type="spellStart"/>
      <w:r w:rsidRPr="007B51D9">
        <w:rPr>
          <w:rFonts w:cs="Times New Roman"/>
          <w:vertAlign w:val="superscript"/>
        </w:rPr>
        <w:t>a</w:t>
      </w:r>
      <w:r>
        <w:rPr>
          <w:rFonts w:ascii="Times New Roman" w:hAnsi="Times New Roman" w:cs="Times New Roman"/>
        </w:rPr>
        <w:t>All</w:t>
      </w:r>
      <w:proofErr w:type="spellEnd"/>
      <w:r>
        <w:rPr>
          <w:rFonts w:ascii="Times New Roman" w:hAnsi="Times New Roman" w:cs="Times New Roman"/>
        </w:rPr>
        <w:t xml:space="preserve"> measures were analyzed at the census tract level</w:t>
      </w:r>
      <w:r w:rsidR="00C24A8E">
        <w:rPr>
          <w:rFonts w:ascii="Times New Roman" w:hAnsi="Times New Roman" w:cs="Times New Roman"/>
        </w:rPr>
        <w:t>.</w:t>
      </w:r>
    </w:p>
    <w:p w14:paraId="615BBC59" w14:textId="6C0B28EC" w:rsidR="00C24A8E" w:rsidRPr="007B5D65" w:rsidRDefault="00C24A8E" w:rsidP="00320D5C">
      <w:pPr>
        <w:ind w:left="-630"/>
        <w:rPr>
          <w:rFonts w:ascii="Times New Roman" w:hAnsi="Times New Roman" w:cs="Times New Roman"/>
        </w:rPr>
      </w:pPr>
      <w:proofErr w:type="spellStart"/>
      <w:r w:rsidRPr="004343FE">
        <w:rPr>
          <w:rFonts w:cs="Times New Roman"/>
          <w:vertAlign w:val="superscript"/>
        </w:rPr>
        <w:t>b</w:t>
      </w:r>
      <w:r>
        <w:rPr>
          <w:rFonts w:ascii="Times New Roman" w:hAnsi="Times New Roman" w:cs="Times New Roman"/>
        </w:rPr>
        <w:t>NAICS</w:t>
      </w:r>
      <w:proofErr w:type="spellEnd"/>
      <w:r>
        <w:rPr>
          <w:rFonts w:ascii="Times New Roman" w:hAnsi="Times New Roman" w:cs="Times New Roman"/>
        </w:rPr>
        <w:t xml:space="preserve"> denotes </w:t>
      </w:r>
      <w:r w:rsidRPr="00C24A8E">
        <w:rPr>
          <w:rFonts w:ascii="Times New Roman" w:hAnsi="Times New Roman" w:cs="Times New Roman"/>
        </w:rPr>
        <w:t>North American Industry Classification System</w:t>
      </w:r>
      <w:r w:rsidR="00320D5C">
        <w:rPr>
          <w:rFonts w:ascii="Times New Roman" w:hAnsi="Times New Roman" w:cs="Times New Roman"/>
        </w:rPr>
        <w:t xml:space="preserve">, the </w:t>
      </w:r>
      <w:r w:rsidR="00320D5C" w:rsidRPr="00320D5C">
        <w:rPr>
          <w:rFonts w:ascii="Times New Roman" w:hAnsi="Times New Roman" w:cs="Times New Roman"/>
        </w:rPr>
        <w:t>standard used by Federal statistical agencies in classifying business establishments for the purpose of collecting, analyzing, and publishing statistical data related to the U.S. business economy</w:t>
      </w:r>
      <w:r w:rsidR="00320D5C">
        <w:rPr>
          <w:rFonts w:ascii="Times New Roman" w:hAnsi="Times New Roman" w:cs="Times New Roman"/>
        </w:rPr>
        <w:t>.</w:t>
      </w:r>
    </w:p>
    <w:sectPr w:rsidR="00C24A8E" w:rsidRPr="007B5D65" w:rsidSect="00D728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Unicode MS">
    <w:panose1 w:val="020B0604020202020204"/>
    <w:charset w:val="0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5D65"/>
    <w:rsid w:val="00002B97"/>
    <w:rsid w:val="000033D6"/>
    <w:rsid w:val="00016384"/>
    <w:rsid w:val="00017AF7"/>
    <w:rsid w:val="000211E3"/>
    <w:rsid w:val="00025743"/>
    <w:rsid w:val="0005218A"/>
    <w:rsid w:val="00056667"/>
    <w:rsid w:val="00080BD2"/>
    <w:rsid w:val="00080C81"/>
    <w:rsid w:val="00087E8F"/>
    <w:rsid w:val="00091EF2"/>
    <w:rsid w:val="000970E1"/>
    <w:rsid w:val="000A4385"/>
    <w:rsid w:val="000A545B"/>
    <w:rsid w:val="000A7840"/>
    <w:rsid w:val="000B0C2E"/>
    <w:rsid w:val="000C470B"/>
    <w:rsid w:val="000C7333"/>
    <w:rsid w:val="000D36C6"/>
    <w:rsid w:val="000E41CC"/>
    <w:rsid w:val="000E7E90"/>
    <w:rsid w:val="000F504E"/>
    <w:rsid w:val="000F7E54"/>
    <w:rsid w:val="0011378F"/>
    <w:rsid w:val="00115CDD"/>
    <w:rsid w:val="00117313"/>
    <w:rsid w:val="00120FFA"/>
    <w:rsid w:val="00131351"/>
    <w:rsid w:val="001364C2"/>
    <w:rsid w:val="0014020E"/>
    <w:rsid w:val="00155819"/>
    <w:rsid w:val="00155BCE"/>
    <w:rsid w:val="00155CEB"/>
    <w:rsid w:val="00162E56"/>
    <w:rsid w:val="00182409"/>
    <w:rsid w:val="001840E0"/>
    <w:rsid w:val="00192630"/>
    <w:rsid w:val="001A619D"/>
    <w:rsid w:val="001B0697"/>
    <w:rsid w:val="001B21EB"/>
    <w:rsid w:val="001E4E2A"/>
    <w:rsid w:val="001F5C87"/>
    <w:rsid w:val="002031BA"/>
    <w:rsid w:val="002426A4"/>
    <w:rsid w:val="002435A5"/>
    <w:rsid w:val="0024586A"/>
    <w:rsid w:val="00266C9F"/>
    <w:rsid w:val="0027165C"/>
    <w:rsid w:val="0028046F"/>
    <w:rsid w:val="002B5981"/>
    <w:rsid w:val="002C6124"/>
    <w:rsid w:val="002E3D0C"/>
    <w:rsid w:val="002F638A"/>
    <w:rsid w:val="00313F98"/>
    <w:rsid w:val="00314A97"/>
    <w:rsid w:val="00320D5C"/>
    <w:rsid w:val="00323657"/>
    <w:rsid w:val="00323934"/>
    <w:rsid w:val="00327E3C"/>
    <w:rsid w:val="00346EBC"/>
    <w:rsid w:val="003470CB"/>
    <w:rsid w:val="00360B31"/>
    <w:rsid w:val="00365304"/>
    <w:rsid w:val="00381B8C"/>
    <w:rsid w:val="003822AE"/>
    <w:rsid w:val="0039602E"/>
    <w:rsid w:val="003C4701"/>
    <w:rsid w:val="003D1D6F"/>
    <w:rsid w:val="003E1012"/>
    <w:rsid w:val="003E7160"/>
    <w:rsid w:val="003F2B01"/>
    <w:rsid w:val="003F5375"/>
    <w:rsid w:val="00411B17"/>
    <w:rsid w:val="00411E91"/>
    <w:rsid w:val="00415F14"/>
    <w:rsid w:val="00427A0C"/>
    <w:rsid w:val="004318FC"/>
    <w:rsid w:val="0043340F"/>
    <w:rsid w:val="004343FE"/>
    <w:rsid w:val="00436CC6"/>
    <w:rsid w:val="00454D4D"/>
    <w:rsid w:val="004554B5"/>
    <w:rsid w:val="00457273"/>
    <w:rsid w:val="00486E44"/>
    <w:rsid w:val="0049710D"/>
    <w:rsid w:val="004B1AD3"/>
    <w:rsid w:val="004C2E61"/>
    <w:rsid w:val="004C5EF3"/>
    <w:rsid w:val="004E1A7B"/>
    <w:rsid w:val="004F3482"/>
    <w:rsid w:val="00507C4B"/>
    <w:rsid w:val="005103C2"/>
    <w:rsid w:val="00530883"/>
    <w:rsid w:val="00532CD2"/>
    <w:rsid w:val="00543013"/>
    <w:rsid w:val="00543C48"/>
    <w:rsid w:val="00562583"/>
    <w:rsid w:val="00574C3F"/>
    <w:rsid w:val="00576994"/>
    <w:rsid w:val="0058389C"/>
    <w:rsid w:val="00593144"/>
    <w:rsid w:val="00597AEC"/>
    <w:rsid w:val="005A0259"/>
    <w:rsid w:val="005A35F8"/>
    <w:rsid w:val="005B1170"/>
    <w:rsid w:val="005C075A"/>
    <w:rsid w:val="005C2C1F"/>
    <w:rsid w:val="005C6186"/>
    <w:rsid w:val="005D037C"/>
    <w:rsid w:val="005D1040"/>
    <w:rsid w:val="00603159"/>
    <w:rsid w:val="00604394"/>
    <w:rsid w:val="00611154"/>
    <w:rsid w:val="00620FB1"/>
    <w:rsid w:val="00630C4C"/>
    <w:rsid w:val="006361FB"/>
    <w:rsid w:val="006414C2"/>
    <w:rsid w:val="0064280C"/>
    <w:rsid w:val="006606EC"/>
    <w:rsid w:val="006607E8"/>
    <w:rsid w:val="00662815"/>
    <w:rsid w:val="00665B3A"/>
    <w:rsid w:val="0068664E"/>
    <w:rsid w:val="0069509E"/>
    <w:rsid w:val="006A130D"/>
    <w:rsid w:val="006A4208"/>
    <w:rsid w:val="006C12B9"/>
    <w:rsid w:val="006D09F6"/>
    <w:rsid w:val="006D402B"/>
    <w:rsid w:val="006D53D6"/>
    <w:rsid w:val="006D56D1"/>
    <w:rsid w:val="006E2488"/>
    <w:rsid w:val="006E3122"/>
    <w:rsid w:val="006F16AC"/>
    <w:rsid w:val="0070059D"/>
    <w:rsid w:val="00711862"/>
    <w:rsid w:val="00721914"/>
    <w:rsid w:val="00727579"/>
    <w:rsid w:val="00734FFA"/>
    <w:rsid w:val="00744002"/>
    <w:rsid w:val="00750850"/>
    <w:rsid w:val="00750BC2"/>
    <w:rsid w:val="007515CA"/>
    <w:rsid w:val="00755442"/>
    <w:rsid w:val="007604E1"/>
    <w:rsid w:val="00762964"/>
    <w:rsid w:val="00764D8D"/>
    <w:rsid w:val="00774093"/>
    <w:rsid w:val="007A112C"/>
    <w:rsid w:val="007A3C44"/>
    <w:rsid w:val="007A5E9A"/>
    <w:rsid w:val="007B51D9"/>
    <w:rsid w:val="007B5D65"/>
    <w:rsid w:val="007C1E1C"/>
    <w:rsid w:val="007C65DF"/>
    <w:rsid w:val="007C7F6F"/>
    <w:rsid w:val="007D67FA"/>
    <w:rsid w:val="007E3631"/>
    <w:rsid w:val="007E6FAB"/>
    <w:rsid w:val="007F6136"/>
    <w:rsid w:val="008158EA"/>
    <w:rsid w:val="00826AFC"/>
    <w:rsid w:val="00827773"/>
    <w:rsid w:val="00827F2E"/>
    <w:rsid w:val="0083159D"/>
    <w:rsid w:val="008419DC"/>
    <w:rsid w:val="00841F39"/>
    <w:rsid w:val="0084642C"/>
    <w:rsid w:val="008602B8"/>
    <w:rsid w:val="00860547"/>
    <w:rsid w:val="008615FF"/>
    <w:rsid w:val="00880BF2"/>
    <w:rsid w:val="00884943"/>
    <w:rsid w:val="00890A7D"/>
    <w:rsid w:val="00894F2B"/>
    <w:rsid w:val="008B0F48"/>
    <w:rsid w:val="008F387E"/>
    <w:rsid w:val="009176C9"/>
    <w:rsid w:val="00920A6E"/>
    <w:rsid w:val="009216BA"/>
    <w:rsid w:val="009232DD"/>
    <w:rsid w:val="00925DC1"/>
    <w:rsid w:val="00926085"/>
    <w:rsid w:val="009538B5"/>
    <w:rsid w:val="009557E2"/>
    <w:rsid w:val="00961C3F"/>
    <w:rsid w:val="00962632"/>
    <w:rsid w:val="009663AF"/>
    <w:rsid w:val="009729F2"/>
    <w:rsid w:val="0097709D"/>
    <w:rsid w:val="00980E14"/>
    <w:rsid w:val="009866B0"/>
    <w:rsid w:val="00990911"/>
    <w:rsid w:val="00995F9E"/>
    <w:rsid w:val="009963AB"/>
    <w:rsid w:val="009A310E"/>
    <w:rsid w:val="009A7C4F"/>
    <w:rsid w:val="009B2006"/>
    <w:rsid w:val="009B25B5"/>
    <w:rsid w:val="009B2D14"/>
    <w:rsid w:val="009B35A5"/>
    <w:rsid w:val="009B7AB6"/>
    <w:rsid w:val="009C4995"/>
    <w:rsid w:val="009D251D"/>
    <w:rsid w:val="009D32A9"/>
    <w:rsid w:val="009D3ABA"/>
    <w:rsid w:val="009E21C5"/>
    <w:rsid w:val="009E2433"/>
    <w:rsid w:val="009E34FB"/>
    <w:rsid w:val="009F0182"/>
    <w:rsid w:val="00A17372"/>
    <w:rsid w:val="00A43C00"/>
    <w:rsid w:val="00A468F9"/>
    <w:rsid w:val="00A8413C"/>
    <w:rsid w:val="00A845BD"/>
    <w:rsid w:val="00A87CC5"/>
    <w:rsid w:val="00A9107D"/>
    <w:rsid w:val="00AA3245"/>
    <w:rsid w:val="00AB2CFD"/>
    <w:rsid w:val="00AC2F19"/>
    <w:rsid w:val="00AD2F4F"/>
    <w:rsid w:val="00AD3CBD"/>
    <w:rsid w:val="00AD49F7"/>
    <w:rsid w:val="00B07FD6"/>
    <w:rsid w:val="00B11741"/>
    <w:rsid w:val="00B2450C"/>
    <w:rsid w:val="00B30CE2"/>
    <w:rsid w:val="00B31494"/>
    <w:rsid w:val="00B35078"/>
    <w:rsid w:val="00B7377E"/>
    <w:rsid w:val="00B86DBF"/>
    <w:rsid w:val="00B86ED1"/>
    <w:rsid w:val="00BA1124"/>
    <w:rsid w:val="00BA4C73"/>
    <w:rsid w:val="00BC1F49"/>
    <w:rsid w:val="00BC4826"/>
    <w:rsid w:val="00BC5A76"/>
    <w:rsid w:val="00BD5C51"/>
    <w:rsid w:val="00BD65F1"/>
    <w:rsid w:val="00BE05C0"/>
    <w:rsid w:val="00BE2608"/>
    <w:rsid w:val="00BE6249"/>
    <w:rsid w:val="00BF6962"/>
    <w:rsid w:val="00C005B1"/>
    <w:rsid w:val="00C07880"/>
    <w:rsid w:val="00C10CB6"/>
    <w:rsid w:val="00C11AE3"/>
    <w:rsid w:val="00C13098"/>
    <w:rsid w:val="00C24A8E"/>
    <w:rsid w:val="00C25680"/>
    <w:rsid w:val="00C3315F"/>
    <w:rsid w:val="00C34DB8"/>
    <w:rsid w:val="00C36278"/>
    <w:rsid w:val="00C40347"/>
    <w:rsid w:val="00C425E1"/>
    <w:rsid w:val="00C911D5"/>
    <w:rsid w:val="00C94767"/>
    <w:rsid w:val="00C96754"/>
    <w:rsid w:val="00CA0313"/>
    <w:rsid w:val="00CA35FB"/>
    <w:rsid w:val="00CA76F7"/>
    <w:rsid w:val="00CD205A"/>
    <w:rsid w:val="00CE5175"/>
    <w:rsid w:val="00D00003"/>
    <w:rsid w:val="00D40F7B"/>
    <w:rsid w:val="00D43064"/>
    <w:rsid w:val="00D53CDD"/>
    <w:rsid w:val="00D57090"/>
    <w:rsid w:val="00D663A9"/>
    <w:rsid w:val="00D71CA3"/>
    <w:rsid w:val="00D72400"/>
    <w:rsid w:val="00D7284E"/>
    <w:rsid w:val="00D848FF"/>
    <w:rsid w:val="00DA112B"/>
    <w:rsid w:val="00DB0E23"/>
    <w:rsid w:val="00DC0D0D"/>
    <w:rsid w:val="00DD0558"/>
    <w:rsid w:val="00DD0F80"/>
    <w:rsid w:val="00DE53DA"/>
    <w:rsid w:val="00DF0EE6"/>
    <w:rsid w:val="00DF42C9"/>
    <w:rsid w:val="00E20B55"/>
    <w:rsid w:val="00E2256C"/>
    <w:rsid w:val="00E5729C"/>
    <w:rsid w:val="00E62CFC"/>
    <w:rsid w:val="00E73C96"/>
    <w:rsid w:val="00E8107B"/>
    <w:rsid w:val="00E91B2F"/>
    <w:rsid w:val="00EA45C9"/>
    <w:rsid w:val="00EC2EA5"/>
    <w:rsid w:val="00EC5D53"/>
    <w:rsid w:val="00EC6F2D"/>
    <w:rsid w:val="00EF10E7"/>
    <w:rsid w:val="00F012F2"/>
    <w:rsid w:val="00F03388"/>
    <w:rsid w:val="00F551D2"/>
    <w:rsid w:val="00F5793B"/>
    <w:rsid w:val="00F62588"/>
    <w:rsid w:val="00F63FD6"/>
    <w:rsid w:val="00F65CDA"/>
    <w:rsid w:val="00F67806"/>
    <w:rsid w:val="00F76BD8"/>
    <w:rsid w:val="00F86732"/>
    <w:rsid w:val="00F92050"/>
    <w:rsid w:val="00F97B1F"/>
    <w:rsid w:val="00FA2110"/>
    <w:rsid w:val="00FA369E"/>
    <w:rsid w:val="00FA3C83"/>
    <w:rsid w:val="00FB0692"/>
    <w:rsid w:val="00FB2867"/>
    <w:rsid w:val="00FC61F2"/>
    <w:rsid w:val="00FD19DD"/>
    <w:rsid w:val="00FE4B92"/>
    <w:rsid w:val="00FE4FB8"/>
    <w:rsid w:val="00FF62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F3AA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7B5D65"/>
    <w:pPr>
      <w:pBdr>
        <w:top w:val="nil"/>
        <w:left w:val="nil"/>
        <w:bottom w:val="nil"/>
        <w:right w:val="nil"/>
        <w:between w:val="nil"/>
        <w:bar w:val="nil"/>
      </w:pBdr>
    </w:pPr>
    <w:rPr>
      <w:rFonts w:ascii="Times New Roman" w:eastAsia="Arial Unicode MS" w:hAnsi="Times New Roman" w:cs="Arial Unicode MS"/>
      <w:color w:val="000000"/>
      <w:u w:color="000000"/>
      <w:bdr w:val="ni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0882737">
      <w:bodyDiv w:val="1"/>
      <w:marLeft w:val="0"/>
      <w:marRight w:val="0"/>
      <w:marTop w:val="0"/>
      <w:marBottom w:val="0"/>
      <w:divBdr>
        <w:top w:val="none" w:sz="0" w:space="0" w:color="auto"/>
        <w:left w:val="none" w:sz="0" w:space="0" w:color="auto"/>
        <w:bottom w:val="none" w:sz="0" w:space="0" w:color="auto"/>
        <w:right w:val="none" w:sz="0" w:space="0" w:color="auto"/>
      </w:divBdr>
    </w:div>
    <w:div w:id="156703376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324</Words>
  <Characters>1851</Characters>
  <Application>Microsoft Macintosh Word</Application>
  <DocSecurity>0</DocSecurity>
  <Lines>15</Lines>
  <Paragraphs>4</Paragraphs>
  <ScaleCrop>false</ScaleCrop>
  <LinksUpToDate>false</LinksUpToDate>
  <CharactersWithSpaces>2171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Tung, Elizabeth [BSD]</dc:creator>
  <cp:keywords/>
  <dc:description/>
  <cp:lastModifiedBy>Tung, Elizabeth [BSD]</cp:lastModifiedBy>
  <cp:revision>12</cp:revision>
  <dcterms:created xsi:type="dcterms:W3CDTF">2023-04-20T15:27:00Z</dcterms:created>
  <dcterms:modified xsi:type="dcterms:W3CDTF">2023-05-12T16:04:00Z</dcterms:modified>
</cp:coreProperties>
</file>