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8" w:type="dxa"/>
        <w:tblLook w:val="04A0" w:firstRow="1" w:lastRow="0" w:firstColumn="1" w:lastColumn="0" w:noHBand="0" w:noVBand="1"/>
      </w:tblPr>
      <w:tblGrid>
        <w:gridCol w:w="2600"/>
        <w:gridCol w:w="810"/>
        <w:gridCol w:w="2458"/>
        <w:gridCol w:w="900"/>
        <w:gridCol w:w="1772"/>
        <w:gridCol w:w="478"/>
        <w:gridCol w:w="900"/>
      </w:tblGrid>
      <w:tr w:rsidR="008640EE" w:rsidRPr="00771718" w:rsidTr="007F54A5">
        <w:trPr>
          <w:trHeight w:val="300"/>
          <w:tblHeader/>
        </w:trPr>
        <w:tc>
          <w:tcPr>
            <w:tcW w:w="2600" w:type="dxa"/>
            <w:tcBorders>
              <w:top w:val="single" w:sz="8" w:space="0" w:color="5B9BD5"/>
              <w:left w:val="single" w:sz="8" w:space="0" w:color="5B9BD5"/>
              <w:bottom w:val="nil"/>
              <w:right w:val="nil"/>
            </w:tcBorders>
            <w:shd w:val="clear" w:color="000000" w:fill="2E74B5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FFFFFF"/>
              </w:rPr>
            </w:pPr>
            <w:bookmarkStart w:id="0" w:name="_GoBack"/>
            <w:bookmarkEnd w:id="0"/>
            <w:r w:rsidRPr="00771718">
              <w:rPr>
                <w:rFonts w:ascii="Calibri Light" w:eastAsia="Times New Roman" w:hAnsi="Calibri Light" w:cs="Times New Roman"/>
                <w:b/>
                <w:bCs/>
                <w:color w:val="FFFFFF"/>
              </w:rPr>
              <w:t> Variable</w:t>
            </w:r>
          </w:p>
        </w:tc>
        <w:tc>
          <w:tcPr>
            <w:tcW w:w="810" w:type="dxa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000000" w:fill="2E74B5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FFFF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FFFFFF"/>
              </w:rPr>
              <w:t>Model</w:t>
            </w:r>
          </w:p>
        </w:tc>
        <w:tc>
          <w:tcPr>
            <w:tcW w:w="2458" w:type="dxa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000000" w:fill="2E74B5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center"/>
              <w:rPr>
                <w:rFonts w:ascii="Calibri Light" w:eastAsia="Times New Roman" w:hAnsi="Calibri Light" w:cs="Times New Roman"/>
                <w:b/>
                <w:bCs/>
                <w:color w:val="FFFFFF"/>
              </w:rPr>
            </w:pPr>
            <w:r w:rsidRPr="00771718">
              <w:rPr>
                <w:rFonts w:ascii="Calibri Light" w:eastAsia="Times New Roman" w:hAnsi="Calibri Light" w:cs="Times New Roman"/>
                <w:b/>
                <w:bCs/>
                <w:color w:val="FFFFFF"/>
              </w:rPr>
              <w:t>Coefficient (CI)</w:t>
            </w:r>
          </w:p>
        </w:tc>
        <w:tc>
          <w:tcPr>
            <w:tcW w:w="900" w:type="dxa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000000" w:fill="2E74B5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FFFFFF"/>
              </w:rPr>
            </w:pPr>
            <w:r w:rsidRPr="00771718">
              <w:rPr>
                <w:rFonts w:ascii="Calibri Light" w:eastAsia="Times New Roman" w:hAnsi="Calibri Light" w:cs="Times New Roman"/>
                <w:b/>
                <w:bCs/>
                <w:color w:val="FFFFFF"/>
              </w:rPr>
              <w:t>p-value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000000" w:fill="2E74B5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center"/>
              <w:rPr>
                <w:rFonts w:ascii="Calibri Light" w:eastAsia="Times New Roman" w:hAnsi="Calibri Light" w:cs="Times New Roman"/>
                <w:b/>
                <w:bCs/>
                <w:color w:val="FFFFFF"/>
              </w:rPr>
            </w:pPr>
            <w:r w:rsidRPr="00771718">
              <w:rPr>
                <w:rFonts w:ascii="Calibri Light" w:eastAsia="Times New Roman" w:hAnsi="Calibri Light" w:cs="Times New Roman"/>
                <w:b/>
                <w:bCs/>
                <w:color w:val="FFFFFF"/>
              </w:rPr>
              <w:t>Odds Ratio (CI)</w:t>
            </w:r>
          </w:p>
        </w:tc>
        <w:tc>
          <w:tcPr>
            <w:tcW w:w="900" w:type="dxa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000000" w:fill="2E74B5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FFFFFF"/>
              </w:rPr>
            </w:pPr>
            <w:r w:rsidRPr="00771718">
              <w:rPr>
                <w:rFonts w:ascii="Calibri Light" w:eastAsia="Times New Roman" w:hAnsi="Calibri Light" w:cs="Times New Roman"/>
                <w:b/>
                <w:bCs/>
                <w:color w:val="FFFFFF"/>
              </w:rPr>
              <w:t>p-value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single" w:sz="8" w:space="0" w:color="2F75B5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Intercept</w:t>
            </w:r>
          </w:p>
        </w:tc>
        <w:tc>
          <w:tcPr>
            <w:tcW w:w="810" w:type="dxa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-4.4177 (-6.9605 : -1.8749)</w:t>
            </w:r>
          </w:p>
        </w:tc>
        <w:tc>
          <w:tcPr>
            <w:tcW w:w="900" w:type="dxa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0.0007</w:t>
            </w:r>
          </w:p>
        </w:tc>
        <w:tc>
          <w:tcPr>
            <w:tcW w:w="2250" w:type="dxa"/>
            <w:gridSpan w:val="2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8" w:space="0" w:color="2F75B5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-4.1402 (-5.4095 : -2.8709)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double" w:sz="6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ouble" w:sz="6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double" w:sz="6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-2.091 (-3.3338 : -0.8482)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0.0010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double" w:sz="6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5868" w:type="dxa"/>
            <w:gridSpan w:val="3"/>
            <w:tcBorders>
              <w:top w:val="double" w:sz="6" w:space="0" w:color="5B9BD5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2F75B5"/>
                <w:sz w:val="24"/>
                <w:szCs w:val="24"/>
              </w:rPr>
            </w:pPr>
            <w:r w:rsidRPr="00771718">
              <w:rPr>
                <w:rFonts w:ascii="Calibri" w:eastAsia="Times New Roman" w:hAnsi="Calibri" w:cs="Times New Roman"/>
                <w:i/>
                <w:iCs/>
                <w:color w:val="2F75B5"/>
                <w:sz w:val="24"/>
                <w:szCs w:val="24"/>
              </w:rPr>
              <w:t>Patient characteristics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50" w:type="dxa"/>
            <w:gridSpan w:val="2"/>
            <w:tcBorders>
              <w:top w:val="double" w:sz="6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Median age at discharge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0.0313 (0.0238 : 0.0388)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1.0318 (1.0253 : 1.0383)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in yrs.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0.0405 (0.0370 : 0.0440)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1.0413 (1.0382 : 1.0443)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0.0016 (-0.0008 : 0.0040)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0.1900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1.0016 (0.9996 : 1.0036)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0.1900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Female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-0.1672 (-0.2488 : -0.0856)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0.846 (0.7901 : 0.9060)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0.0001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Median # of admissions,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-0.0419 (-0.0889 : 0.0051)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0.0805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0.959 (0.9219 : 0.9975)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0.0805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prior 12 months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0.0993 (0.0830 : 0.1156)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1.1044 (1.0894 : 1.1196)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0.1792 (0.1631 : 0.1953)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1.1962 (1.1802 : 1.2125)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Surgery performed during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-0.5002 (-0.7721 : -0.2283)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0.0003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0.6064 (0.4827 : 0.7619)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0.0003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stay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-0.5158 (-0.6457 : -0.3859)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0.597 (0.5354 : 0.6657)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4" w:space="0" w:color="4F81BD" w:themeColor="accent1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-0.2261 (-0.3376 : -0.1146)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0.7977 (0.7264 : 0.8759)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4F81BD" w:themeColor="accent1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0.0001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single" w:sz="4" w:space="0" w:color="4F81BD" w:themeColor="accent1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2F75B5"/>
                <w:sz w:val="24"/>
                <w:szCs w:val="24"/>
              </w:rPr>
            </w:pPr>
            <w:r w:rsidRPr="00771718">
              <w:rPr>
                <w:rFonts w:ascii="Calibri" w:eastAsia="Times New Roman" w:hAnsi="Calibri" w:cs="Times New Roman"/>
                <w:i/>
                <w:iCs/>
                <w:color w:val="2F75B5"/>
                <w:sz w:val="24"/>
                <w:szCs w:val="24"/>
              </w:rPr>
              <w:t>Labs</w:t>
            </w:r>
          </w:p>
        </w:tc>
        <w:tc>
          <w:tcPr>
            <w:tcW w:w="810" w:type="dxa"/>
            <w:tcBorders>
              <w:top w:val="single" w:sz="4" w:space="0" w:color="4F81BD" w:themeColor="accent1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458" w:type="dxa"/>
            <w:tcBorders>
              <w:top w:val="single" w:sz="4" w:space="0" w:color="4F81BD" w:themeColor="accent1"/>
              <w:left w:val="nil"/>
              <w:bottom w:val="single" w:sz="8" w:space="0" w:color="5B9BD5"/>
              <w:right w:val="nil"/>
            </w:tcBorders>
            <w:shd w:val="clear" w:color="auto" w:fill="auto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single" w:sz="4" w:space="0" w:color="4F81BD" w:themeColor="accent1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50" w:type="dxa"/>
            <w:gridSpan w:val="2"/>
            <w:tcBorders>
              <w:top w:val="single" w:sz="4" w:space="0" w:color="4F81BD" w:themeColor="accent1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4F81BD" w:themeColor="accent1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BUN, mg / </w:t>
            </w:r>
            <w:proofErr w:type="spellStart"/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dL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0.0098 (0.0058 : 0.0138)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single" w:sz="4" w:space="0" w:color="4F81BD" w:themeColor="accent1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1.0098 (1.0064 : 1.0133)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0.0097 (0.0076 : 0.0118)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1.0097 (1.0079 : 1.0115)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0.0026 (0.0004 : 0.0048)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0.0205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1.0026 (1.0007 : 1.0044)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0.0205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CO2, </w:t>
            </w:r>
            <w:proofErr w:type="spellStart"/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mEq</w:t>
            </w:r>
            <w:proofErr w:type="spellEnd"/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/ L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-0.0391 (-0.0585 : -0.0197)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0.9617 (0.9461 : 0.9775)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0.0001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0.0226 (0.0130 : 0.0322)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1.0228 (1.0146 : 1.0311)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0.011 (0.0016 : 0.0204)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0.0215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1.0111 (1.0031 : 1.0191)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0.0215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Glucose, mg / </w:t>
            </w:r>
            <w:proofErr w:type="spellStart"/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dL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0.0013 (0.0002 : 0.0024)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0.0208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1.0013 (1.0004 : 1.0023)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0.0208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0.0004 (-0.0003 : 0.0011)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0.2656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1.0004 (0.9998 : 1.0009)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0.2656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0.0006 (0.0000 : 0.0012)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0.0492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1.0006 (1.0001 : 1.0011)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0.0492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Hemoglobin, g / </w:t>
            </w:r>
            <w:proofErr w:type="spellStart"/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dL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-0.0611 (-0.1050 : -0.0172)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0.0063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0.9407 (0.9067 : 0.9760)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0.0063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-0.1522 (-0.1722 : -0.1322)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0.8588 (0.8445 : 0.8733)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-0.0646 (-0.0832 : -0.0460)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0.9375 (0.9229 : 0.9522)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Platelet count, 1 / </w:t>
            </w:r>
            <w:proofErr w:type="spellStart"/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mcL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-0.0015 (-0.0024 : -0.0006)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0.0022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0.9985 (0.9977 : 0.9993)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0.0022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0.0003 (-0.0001 : 0.0007)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0.0880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1.0003 (1.0000 : 1.0007)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0.0880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0.0003 (-0.0001 : 0.0007)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0.1323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1.0003 (1.0000 : 1.0006)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0.1323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K, </w:t>
            </w:r>
            <w:proofErr w:type="spellStart"/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mmol</w:t>
            </w:r>
            <w:proofErr w:type="spellEnd"/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/ L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0.0923 (-0.0414 : 0.2260)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0.1759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1.0967 (0.9803 : 1.2269)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0.1759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0.0048 (-0.0618 : 0.0714)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0.8871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1.0048 (0.9502 : 1.0626)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0.8871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0.0835 (0.0193 : 0.1477)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0.0108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1.0871 (1.0301 : 1.1473)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0.0108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Na, </w:t>
            </w:r>
            <w:proofErr w:type="spellStart"/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mEq</w:t>
            </w:r>
            <w:proofErr w:type="spellEnd"/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/ L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-0.0147 (-0.0318 : 0.0024)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0.0928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0.9854 (0.9714 : 0.9997)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0.0928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-0.0099 (-0.0182 : -0.0016)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0.0186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0.9901 (0.9832 : 0.9970)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0.0186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-0.0078 (-0.0161 : 0.0005)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0.0666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0.9923 (0.9854 : 0.9992)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0.0666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WBC count, 1 /</w:t>
            </w:r>
            <w:proofErr w:type="spellStart"/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mcL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0.014 (0.0078 : 0.0202)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1.0141 (1.0088 : 1.0194)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0.0063 (0.0016 : 0.0110)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0.0076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1.0064 (1.0024 : 1.0103)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0.0076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double" w:sz="6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ouble" w:sz="6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double" w:sz="6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0.0006 (-0.0046 : 0.0058)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0.8071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double" w:sz="6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1.0006 (0.9963 : 1.0050)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0.8071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2F75B5"/>
                <w:sz w:val="24"/>
                <w:szCs w:val="24"/>
              </w:rPr>
            </w:pPr>
            <w:r w:rsidRPr="00771718">
              <w:rPr>
                <w:rFonts w:ascii="Calibri" w:eastAsia="Times New Roman" w:hAnsi="Calibri" w:cs="Times New Roman"/>
                <w:i/>
                <w:iCs/>
                <w:color w:val="2F75B5"/>
                <w:sz w:val="24"/>
                <w:szCs w:val="24"/>
              </w:rPr>
              <w:t>Present on Admission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color w:val="0070C0"/>
                <w:sz w:val="24"/>
                <w:szCs w:val="24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i/>
                <w:iCs/>
                <w:color w:val="0070C0"/>
                <w:sz w:val="24"/>
                <w:szCs w:val="24"/>
              </w:rPr>
              <w:t> 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50" w:type="dxa"/>
            <w:gridSpan w:val="2"/>
            <w:tcBorders>
              <w:top w:val="double" w:sz="6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Emergency Room admission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0.4767 (0.3374 : 0.6160)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1.6107 (1.4330 : 1.8105)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0.5789 (0.4557 : 0.7021)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1.784 (1.6088 : 1.9784)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Atrial fibrillation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0.2503 (0.0286 : 0.4720)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0.0269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1.2844 (1.0663 : 1.5470)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0.0269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0.152 (0.0622 : 0.2418)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0.0009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1.1642 (1.0797 : 1.2553)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0.0009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Acute myocardial infarction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0.6943 (0.3413 : 1.0473)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2.0023 (1.4889 : 2.6927)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0.0001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0.2593 (0.0395 : 0.4791)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0.0208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1.296 (1.0776 : 1.5586)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0.0208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Cancer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0.6519 (0.3944 : 0.9094)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1.9192 (1.5463 : 2.3821)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1.0649 (0.9525 : 1.1773)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2.9004 (2.6394 : 3.1873)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0.4606 (0.3437 : 0.5775)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1.585 (1.4369 : 1.7484)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Coagulopathy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0.1441 (-0.1633 : 0.4515)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0.3583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1.155 (0.8924 : 1.4949)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0.3583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0.3914 (0.2388 : 0.5440)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1.479 (1.3012 : 1.6810)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0.173 (0.0205 : 0.3255)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0.0261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1.1889 (1.0461 : 1.3512)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0.0261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COPD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-0.1351 (-0.4351 : 0.1649)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0.3774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0.8736 (0.6792 : 1.1237)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0.3774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0.232 (0.1256 : 0.3384)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1.2611 (1.1534 : 1.3789)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Gastrointestinal hemorrhage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0.264 (-0.1730 : 0.7010)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0.2363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1.3022 (0.9024 : 1.8790)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0.2363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Injury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0.3513 (0.0772 : 0.6254)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0.0120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1.4209 (1.1289 : 1.7884)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0.0120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Pneumonia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0.2645 (0.0272 : 0.5018)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0.0289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1.3028 (1.0676 : 1.5899)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0.0289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0.1474 (0.0286 : 0.2662)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0.0151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1.1588 (1.0488 : 1.2803)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0.0151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Peripheral vascular disease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0.2713 (-0.0113 : 0.5539)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0.0599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1.3117 (1.0347 : 1.6628)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0.0599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0.2871 (0.1602 : 0.4140)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1.3326 (1.1980 : 1.4824)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Respiratory failure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1.0826 (0.8106 : 1.3546)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2.9524 (2.3498 : 3.7096)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0.1288 (-0.0789 : 0.3365)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0.2244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1.1374 (0.9555 : 1.3540)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0.2244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Sepsis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0.3676 (0.0445 : 0.6907)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0.0257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1.4443 (1.1013 : 1.8941)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0.0257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0.2873 (0.1104 : 0.4642)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0.0015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1.3328 (1.1489 : 1.5462)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0.0015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Shock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0.2214 (-0.1829 : 0.6257)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0.2831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1.2478 (0.8888 : 1.7518)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0.2831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0.0049 (-0.2758 : 0.2856)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0.9726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1.0049 (0.7940 : 1.2719)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0.9726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0.2722 (-0.0091 : 0.5535)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0.0579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1.3128 (1.0368 : 1.6623)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0.0579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Stroke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1.6042 (1.2682 : 1.9402)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4.974 (3.7519 : 6.5942)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0.3545 (0.1229 : 0.5861)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0.0027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1.4255 (1.1737 : 1.7313)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0.0027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Vascular heart disease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0.1367 (-0.1508 : 0.4242)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0.3515</w:t>
            </w: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1.1465 (0.9007 : 1.4593)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0.3515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0.2991 (0.1665 : 0.4317)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1.3487 (1.2066 : 1.5074)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Paralysis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0.5166 (0.2587 : 0.7745)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1.6763 (1.3500 : 2.0814)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0.0001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0.2505 (0.0106 : 0.4904)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0.0407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1.2847 (1.0504 : 1.5712)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0.0407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Syncope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-0.6093 (-1.0099 : -0.2087)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0.0029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0.5437 (0.3885 : 0.7610)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0.0029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Venous thromboembolism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0.2795 (0.0907 : 0.4683)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0.0037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1.3225 (1.1288 : 1.5496)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0.0037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4" w:space="0" w:color="4F81BD" w:themeColor="accent1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  <w:vAlign w:val="center"/>
            <w:hideMark/>
          </w:tcPr>
          <w:p w:rsidR="008640EE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4F81BD" w:themeColor="accent1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single" w:sz="4" w:space="0" w:color="4F81BD" w:themeColor="accent1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Pregnancy</w:t>
            </w:r>
          </w:p>
        </w:tc>
        <w:tc>
          <w:tcPr>
            <w:tcW w:w="810" w:type="dxa"/>
            <w:tcBorders>
              <w:top w:val="single" w:sz="4" w:space="0" w:color="4F81BD" w:themeColor="accent1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single" w:sz="4" w:space="0" w:color="4F81BD" w:themeColor="accent1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4F81BD" w:themeColor="accent1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4F81BD" w:themeColor="accent1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4F81BD" w:themeColor="accent1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-10.9993 (-241.7027 : 219.7041)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0.9255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0.0000 (0.0000 :  </w:t>
            </w:r>
            <w:proofErr w:type="spellStart"/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</w:t>
            </w:r>
            <w:proofErr w:type="spellEnd"/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0.9255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double" w:sz="6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ouble" w:sz="6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double" w:sz="6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double" w:sz="6" w:space="0" w:color="5B9BD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5B9BD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5868" w:type="dxa"/>
            <w:gridSpan w:val="3"/>
            <w:tcBorders>
              <w:top w:val="double" w:sz="6" w:space="0" w:color="5B9BD5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2F75B5"/>
                <w:sz w:val="24"/>
                <w:szCs w:val="24"/>
              </w:rPr>
            </w:pPr>
            <w:r w:rsidRPr="00771718">
              <w:rPr>
                <w:rFonts w:ascii="Calibri" w:eastAsia="Times New Roman" w:hAnsi="Calibri" w:cs="Times New Roman"/>
                <w:i/>
                <w:iCs/>
                <w:color w:val="2F75B5"/>
                <w:sz w:val="24"/>
                <w:szCs w:val="24"/>
              </w:rPr>
              <w:t>Comorbidities in medical history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2F75B5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double" w:sz="6" w:space="0" w:color="5B9BD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single" w:sz="8" w:space="0" w:color="2F75B5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Acute myocardial infarction</w:t>
            </w:r>
          </w:p>
        </w:tc>
        <w:tc>
          <w:tcPr>
            <w:tcW w:w="810" w:type="dxa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8" w:space="0" w:color="2F75B5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0.19 (0.0861 : 0.2939)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0.0003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1.2092 (1.1082 : 1.3194)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0.0003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Atrial fibrillation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0.1385 (-0.0963 : 0.3733)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0.2478</w:t>
            </w:r>
          </w:p>
        </w:tc>
        <w:tc>
          <w:tcPr>
            <w:tcW w:w="2250" w:type="dxa"/>
            <w:gridSpan w:val="2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1.1485 (0.9431 : 1.3986)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0.2478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0.2302 (0.1512 : 0.3092)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1.2589 (1.1782 : 1.3452)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single" w:sz="8" w:space="0" w:color="2F75B5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Cognitive disorder </w:t>
            </w:r>
          </w:p>
        </w:tc>
        <w:tc>
          <w:tcPr>
            <w:tcW w:w="810" w:type="dxa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8" w:space="0" w:color="2F75B5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0.6821 (0.5833 : 0.7809)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1.9781 (1.8207 : 2.1490)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COPD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-0.1622 (-0.4132 : 0.0888)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0.2055</w:t>
            </w:r>
          </w:p>
        </w:tc>
        <w:tc>
          <w:tcPr>
            <w:tcW w:w="2250" w:type="dxa"/>
            <w:gridSpan w:val="2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0.8503 (0.6888 : 1.0497)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0.2055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Lymphoma or leukemia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0.2301 (-0.1244 : 0.5846)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0.2033</w:t>
            </w:r>
          </w:p>
        </w:tc>
        <w:tc>
          <w:tcPr>
            <w:tcW w:w="2250" w:type="dxa"/>
            <w:gridSpan w:val="2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1.2587 (0.9348 : 1.6948)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0.2033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0.4452 (0.2851 : 0.6053)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1.5608 (1.3646 : 1.7852)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0.3174 (0.1520 : 0.4828)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1.3735 (1.1954 : 1.5781)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0.0002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Metastatic cancer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0.6798 (0.4208 : 0.9388)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1.9735 (1.5880 : 2.4526)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1.4424 (1.3319 : 1.5529)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4.2307 (3.8561 : 4.6416)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0.1912 (0.0693 : 0.331)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0.0021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1.2107 (1.0930 : 1.3411)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0.0021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Neurological conditions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0.2848 (0.0875 : 0.4821)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0.0047</w:t>
            </w:r>
          </w:p>
        </w:tc>
        <w:tc>
          <w:tcPr>
            <w:tcW w:w="2250" w:type="dxa"/>
            <w:gridSpan w:val="2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1.3295 (1.1266 : 1.5690)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0.0047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0.1956 (0.1032 : 0.2880)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1.2161 (1.1254 : 1.3141)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Pneumonia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50" w:type="dxa"/>
            <w:gridSpan w:val="2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0.1129 (0.0297 : 0.1961)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0.0078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1.1195 (1.0440 : 1.2004)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0.0078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Respiratory failure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1.5555 (1.3337 : 1.7773)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4.7376 (3.9331 : 5.7066)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0.3722 (0.2547 : 0.4897)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1.4509 (1.3147 : 1.6012)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Sepsis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0.2055 (-0.0545 : 0.4655)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0.1213</w:t>
            </w:r>
          </w:p>
        </w:tc>
        <w:tc>
          <w:tcPr>
            <w:tcW w:w="2250" w:type="dxa"/>
            <w:gridSpan w:val="2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1.2282 (0.9874 : 1.5276)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0.1213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0.1383 (0.0144 : 0.2622)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0.0287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1.1484 (1.0349 : 1.2742)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0.0287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0.1407 (0.0328 : 0.2486)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0.0106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1.1511 (1.0514 : 1.2601)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0.0106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Shock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0.8604 (0.5802 : 1.1406)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2250" w:type="dxa"/>
            <w:gridSpan w:val="2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2.3641 (1.8688 : 2.9908)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0.0000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Syncope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-0.2026 (-0.4314 : 0.0262)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0.0826</w:t>
            </w:r>
          </w:p>
        </w:tc>
        <w:tc>
          <w:tcPr>
            <w:tcW w:w="2250" w:type="dxa"/>
            <w:gridSpan w:val="2"/>
            <w:tcBorders>
              <w:top w:val="single" w:sz="8" w:space="0" w:color="2F75B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0.8166 (0.6739 : 0.9894)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0.0826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noWrap/>
            <w:vAlign w:val="bottom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4" w:space="0" w:color="4F81BD" w:themeColor="accent1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4F81BD" w:themeColor="accent1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single" w:sz="4" w:space="0" w:color="4F81BD" w:themeColor="accent1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Vascular heart disease </w:t>
            </w:r>
          </w:p>
        </w:tc>
        <w:tc>
          <w:tcPr>
            <w:tcW w:w="810" w:type="dxa"/>
            <w:tcBorders>
              <w:top w:val="single" w:sz="4" w:space="0" w:color="4F81BD" w:themeColor="accent1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IH</w:t>
            </w:r>
          </w:p>
        </w:tc>
        <w:tc>
          <w:tcPr>
            <w:tcW w:w="2458" w:type="dxa"/>
            <w:tcBorders>
              <w:top w:val="single" w:sz="4" w:space="0" w:color="4F81BD" w:themeColor="accent1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-0.233 (-0.4581 : -0.0079)</w:t>
            </w:r>
          </w:p>
        </w:tc>
        <w:tc>
          <w:tcPr>
            <w:tcW w:w="900" w:type="dxa"/>
            <w:tcBorders>
              <w:top w:val="single" w:sz="4" w:space="0" w:color="4F81BD" w:themeColor="accent1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0.0426</w:t>
            </w:r>
          </w:p>
        </w:tc>
        <w:tc>
          <w:tcPr>
            <w:tcW w:w="2250" w:type="dxa"/>
            <w:gridSpan w:val="2"/>
            <w:tcBorders>
              <w:top w:val="single" w:sz="4" w:space="0" w:color="4F81BD" w:themeColor="accent1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0.7922 (0.6558 : 0.9569)</w:t>
            </w:r>
          </w:p>
        </w:tc>
        <w:tc>
          <w:tcPr>
            <w:tcW w:w="900" w:type="dxa"/>
            <w:tcBorders>
              <w:top w:val="single" w:sz="4" w:space="0" w:color="4F81BD" w:themeColor="accent1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0.0426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OOH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-0.1619 (-0.2631 : -0.0607)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0.0017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0.8506 (0.7813 : 0.9259)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0.0017</w:t>
            </w:r>
          </w:p>
        </w:tc>
      </w:tr>
      <w:tr w:rsidR="008640EE" w:rsidRPr="00771718" w:rsidTr="007F54A5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noWrap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2F75B5"/>
              <w:right w:val="nil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8640EE" w:rsidRPr="00771718" w:rsidRDefault="008640EE" w:rsidP="007F54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7171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8640EE" w:rsidRDefault="008640EE" w:rsidP="008640EE"/>
    <w:p w:rsidR="003775FD" w:rsidRDefault="003775FD"/>
    <w:sectPr w:rsidR="003775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C30CE"/>
    <w:multiLevelType w:val="hybridMultilevel"/>
    <w:tmpl w:val="A8100FBA"/>
    <w:lvl w:ilvl="0" w:tplc="BACE106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45BC1"/>
    <w:multiLevelType w:val="hybridMultilevel"/>
    <w:tmpl w:val="51C2DA30"/>
    <w:lvl w:ilvl="0" w:tplc="1F0A4A1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0EE"/>
    <w:rsid w:val="001923A2"/>
    <w:rsid w:val="003775FD"/>
    <w:rsid w:val="006170EA"/>
    <w:rsid w:val="008640EE"/>
    <w:rsid w:val="0093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F5464"/>
  <w15:docId w15:val="{8CCD2C0F-7011-4924-AF66-97029230F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40EE"/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8640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40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8640EE"/>
    <w:pPr>
      <w:spacing w:after="0" w:line="240" w:lineRule="auto"/>
      <w:ind w:left="720"/>
      <w:contextualSpacing/>
    </w:pPr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8640E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640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0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0EE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0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0EE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0EE"/>
    <w:rPr>
      <w:rFonts w:ascii="Tahoma" w:eastAsiaTheme="minorEastAsi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640EE"/>
    <w:rPr>
      <w:color w:val="954F72"/>
      <w:u w:val="single"/>
    </w:rPr>
  </w:style>
  <w:style w:type="paragraph" w:customStyle="1" w:styleId="msonormal0">
    <w:name w:val="msonormal"/>
    <w:basedOn w:val="Normal"/>
    <w:rsid w:val="00864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"/>
    <w:rsid w:val="008640EE"/>
    <w:pPr>
      <w:pBdr>
        <w:bottom w:val="double" w:sz="6" w:space="0" w:color="5B9BD5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8640EE"/>
    <w:pPr>
      <w:pBdr>
        <w:bottom w:val="single" w:sz="8" w:space="0" w:color="5B9BD5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8640EE"/>
    <w:pPr>
      <w:pBdr>
        <w:bottom w:val="single" w:sz="8" w:space="0" w:color="5B9BD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8640EE"/>
    <w:pPr>
      <w:pBdr>
        <w:bottom w:val="single" w:sz="8" w:space="0" w:color="5B9BD5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0070C0"/>
      <w:sz w:val="24"/>
      <w:szCs w:val="24"/>
    </w:rPr>
  </w:style>
  <w:style w:type="paragraph" w:customStyle="1" w:styleId="xl67">
    <w:name w:val="xl67"/>
    <w:basedOn w:val="Normal"/>
    <w:rsid w:val="008640EE"/>
    <w:pPr>
      <w:pBdr>
        <w:bottom w:val="double" w:sz="6" w:space="0" w:color="5B9BD5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8640EE"/>
    <w:pPr>
      <w:pBdr>
        <w:bottom w:val="single" w:sz="8" w:space="0" w:color="5B9BD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8640EE"/>
    <w:pPr>
      <w:pBdr>
        <w:bottom w:val="single" w:sz="8" w:space="0" w:color="5B9BD5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8640EE"/>
    <w:pPr>
      <w:pBdr>
        <w:bottom w:val="single" w:sz="8" w:space="0" w:color="5B9BD5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8640EE"/>
    <w:pPr>
      <w:pBdr>
        <w:bottom w:val="double" w:sz="6" w:space="0" w:color="5B9BD5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8640EE"/>
    <w:pPr>
      <w:pBdr>
        <w:top w:val="double" w:sz="6" w:space="0" w:color="5B9BD5"/>
        <w:bottom w:val="single" w:sz="8" w:space="0" w:color="5B9BD5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640EE"/>
    <w:pPr>
      <w:pBdr>
        <w:top w:val="single" w:sz="8" w:space="0" w:color="5B9BD5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8640E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Normal"/>
    <w:rsid w:val="008640E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8640EE"/>
    <w:pPr>
      <w:pBdr>
        <w:top w:val="double" w:sz="6" w:space="0" w:color="5B9BD5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8640E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8640E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Normal"/>
    <w:rsid w:val="008640EE"/>
    <w:pPr>
      <w:pBdr>
        <w:top w:val="single" w:sz="8" w:space="0" w:color="2F75B5"/>
        <w:left w:val="single" w:sz="8" w:space="0" w:color="2F75B5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8640EE"/>
    <w:pPr>
      <w:pBdr>
        <w:top w:val="single" w:sz="8" w:space="0" w:color="2F75B5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8640EE"/>
    <w:pPr>
      <w:pBdr>
        <w:top w:val="single" w:sz="8" w:space="0" w:color="2F75B5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8640EE"/>
    <w:pPr>
      <w:pBdr>
        <w:top w:val="single" w:sz="8" w:space="0" w:color="2F75B5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8640EE"/>
    <w:pPr>
      <w:pBdr>
        <w:top w:val="single" w:sz="8" w:space="0" w:color="2F75B5"/>
        <w:right w:val="single" w:sz="8" w:space="0" w:color="2F75B5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8640EE"/>
    <w:pPr>
      <w:pBdr>
        <w:left w:val="single" w:sz="8" w:space="0" w:color="2F75B5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6">
    <w:name w:val="xl86"/>
    <w:basedOn w:val="Normal"/>
    <w:rsid w:val="008640EE"/>
    <w:pPr>
      <w:pBdr>
        <w:right w:val="single" w:sz="8" w:space="0" w:color="2F75B5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Normal"/>
    <w:rsid w:val="008640EE"/>
    <w:pPr>
      <w:pBdr>
        <w:left w:val="single" w:sz="8" w:space="0" w:color="2F75B5"/>
        <w:bottom w:val="single" w:sz="8" w:space="0" w:color="2F75B5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rsid w:val="008640EE"/>
    <w:pPr>
      <w:pBdr>
        <w:bottom w:val="single" w:sz="8" w:space="0" w:color="2F75B5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8640EE"/>
    <w:pPr>
      <w:pBdr>
        <w:bottom w:val="single" w:sz="8" w:space="0" w:color="2F75B5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8640EE"/>
    <w:pPr>
      <w:pBdr>
        <w:bottom w:val="single" w:sz="8" w:space="0" w:color="2F75B5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Normal"/>
    <w:rsid w:val="008640EE"/>
    <w:pPr>
      <w:pBdr>
        <w:bottom w:val="single" w:sz="8" w:space="0" w:color="2F75B5"/>
        <w:right w:val="single" w:sz="8" w:space="0" w:color="2F75B5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Normal"/>
    <w:rsid w:val="008640EE"/>
    <w:pPr>
      <w:pBdr>
        <w:top w:val="single" w:sz="8" w:space="0" w:color="2F75B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8640EE"/>
    <w:pPr>
      <w:pBdr>
        <w:top w:val="single" w:sz="8" w:space="0" w:color="2F75B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8640EE"/>
    <w:pPr>
      <w:pBdr>
        <w:right w:val="single" w:sz="8" w:space="0" w:color="2F75B5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8640EE"/>
    <w:pPr>
      <w:pBdr>
        <w:top w:val="single" w:sz="8" w:space="0" w:color="5B9BD5"/>
        <w:left w:val="single" w:sz="8" w:space="0" w:color="5B9BD5"/>
      </w:pBdr>
      <w:shd w:val="clear" w:color="000000" w:fill="2E74B5"/>
      <w:spacing w:before="100" w:beforeAutospacing="1" w:after="100" w:afterAutospacing="1" w:line="240" w:lineRule="auto"/>
      <w:textAlignment w:val="center"/>
    </w:pPr>
    <w:rPr>
      <w:rFonts w:ascii="Calibri Light" w:eastAsia="Times New Roman" w:hAnsi="Calibri Light" w:cs="Times New Roman"/>
      <w:b/>
      <w:bCs/>
      <w:color w:val="FFFFFF"/>
      <w:sz w:val="24"/>
      <w:szCs w:val="24"/>
    </w:rPr>
  </w:style>
  <w:style w:type="paragraph" w:customStyle="1" w:styleId="xl96">
    <w:name w:val="xl96"/>
    <w:basedOn w:val="Normal"/>
    <w:rsid w:val="008640EE"/>
    <w:pPr>
      <w:pBdr>
        <w:top w:val="single" w:sz="8" w:space="0" w:color="5B9BD5"/>
      </w:pBdr>
      <w:shd w:val="clear" w:color="000000" w:fill="2E74B5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97">
    <w:name w:val="xl97"/>
    <w:basedOn w:val="Normal"/>
    <w:rsid w:val="008640EE"/>
    <w:pPr>
      <w:pBdr>
        <w:top w:val="single" w:sz="8" w:space="0" w:color="5B9BD5"/>
      </w:pBdr>
      <w:shd w:val="clear" w:color="000000" w:fill="2E74B5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Times New Roman"/>
      <w:b/>
      <w:bCs/>
      <w:color w:val="FFFFFF"/>
      <w:sz w:val="24"/>
      <w:szCs w:val="24"/>
    </w:rPr>
  </w:style>
  <w:style w:type="paragraph" w:customStyle="1" w:styleId="xl98">
    <w:name w:val="xl98"/>
    <w:basedOn w:val="Normal"/>
    <w:rsid w:val="008640EE"/>
    <w:pPr>
      <w:pBdr>
        <w:top w:val="single" w:sz="8" w:space="0" w:color="5B9BD5"/>
      </w:pBdr>
      <w:shd w:val="clear" w:color="000000" w:fill="2E74B5"/>
      <w:spacing w:before="100" w:beforeAutospacing="1" w:after="100" w:afterAutospacing="1" w:line="240" w:lineRule="auto"/>
      <w:textAlignment w:val="center"/>
    </w:pPr>
    <w:rPr>
      <w:rFonts w:ascii="Calibri Light" w:eastAsia="Times New Roman" w:hAnsi="Calibri Light" w:cs="Times New Roman"/>
      <w:b/>
      <w:bCs/>
      <w:color w:val="FFFFFF"/>
      <w:sz w:val="24"/>
      <w:szCs w:val="24"/>
    </w:rPr>
  </w:style>
  <w:style w:type="paragraph" w:customStyle="1" w:styleId="xl99">
    <w:name w:val="xl99"/>
    <w:basedOn w:val="Normal"/>
    <w:rsid w:val="008640EE"/>
    <w:pPr>
      <w:pBdr>
        <w:top w:val="single" w:sz="8" w:space="0" w:color="5B9BD5"/>
      </w:pBdr>
      <w:shd w:val="clear" w:color="000000" w:fill="2E74B5"/>
      <w:spacing w:before="100" w:beforeAutospacing="1" w:after="100" w:afterAutospacing="1" w:line="240" w:lineRule="auto"/>
      <w:textAlignment w:val="center"/>
    </w:pPr>
    <w:rPr>
      <w:rFonts w:ascii="Calibri Light" w:eastAsia="Times New Roman" w:hAnsi="Calibri Light" w:cs="Times New Roman"/>
      <w:b/>
      <w:bCs/>
      <w:color w:val="FFFFFF"/>
      <w:sz w:val="24"/>
      <w:szCs w:val="24"/>
    </w:rPr>
  </w:style>
  <w:style w:type="paragraph" w:customStyle="1" w:styleId="xl100">
    <w:name w:val="xl100"/>
    <w:basedOn w:val="Normal"/>
    <w:rsid w:val="008640EE"/>
    <w:pPr>
      <w:pBdr>
        <w:left w:val="single" w:sz="8" w:space="0" w:color="2F75B5"/>
        <w:bottom w:val="double" w:sz="6" w:space="0" w:color="5B9BD5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1">
    <w:name w:val="xl101"/>
    <w:basedOn w:val="Normal"/>
    <w:rsid w:val="008640EE"/>
    <w:pPr>
      <w:pBdr>
        <w:bottom w:val="double" w:sz="6" w:space="0" w:color="5B9BD5"/>
        <w:right w:val="single" w:sz="8" w:space="0" w:color="2F75B5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Normal"/>
    <w:rsid w:val="008640EE"/>
    <w:pPr>
      <w:pBdr>
        <w:bottom w:val="single" w:sz="8" w:space="0" w:color="5B9BD5"/>
        <w:right w:val="single" w:sz="8" w:space="0" w:color="2F75B5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Normal"/>
    <w:rsid w:val="008640EE"/>
    <w:pPr>
      <w:pBdr>
        <w:left w:val="single" w:sz="8" w:space="0" w:color="2F75B5"/>
        <w:bottom w:val="single" w:sz="8" w:space="0" w:color="5B9BD5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rsid w:val="008640E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8640EE"/>
    <w:pPr>
      <w:pBdr>
        <w:top w:val="double" w:sz="6" w:space="0" w:color="5B9BD5"/>
        <w:left w:val="single" w:sz="8" w:space="0" w:color="2F75B5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2F75B5"/>
      <w:sz w:val="24"/>
      <w:szCs w:val="24"/>
    </w:rPr>
  </w:style>
  <w:style w:type="paragraph" w:customStyle="1" w:styleId="xl106">
    <w:name w:val="xl106"/>
    <w:basedOn w:val="Normal"/>
    <w:rsid w:val="008640EE"/>
    <w:pPr>
      <w:pBdr>
        <w:top w:val="double" w:sz="6" w:space="0" w:color="5B9BD5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2F75B5"/>
      <w:sz w:val="24"/>
      <w:szCs w:val="24"/>
    </w:rPr>
  </w:style>
  <w:style w:type="paragraph" w:customStyle="1" w:styleId="xl107">
    <w:name w:val="xl107"/>
    <w:basedOn w:val="Normal"/>
    <w:rsid w:val="008640EE"/>
    <w:pPr>
      <w:pBdr>
        <w:left w:val="single" w:sz="8" w:space="0" w:color="2F75B5"/>
        <w:bottom w:val="single" w:sz="8" w:space="0" w:color="5B9BD5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2F75B5"/>
      <w:sz w:val="24"/>
      <w:szCs w:val="24"/>
    </w:rPr>
  </w:style>
  <w:style w:type="paragraph" w:customStyle="1" w:styleId="xl108">
    <w:name w:val="xl108"/>
    <w:basedOn w:val="Normal"/>
    <w:rsid w:val="008640EE"/>
    <w:pPr>
      <w:pBdr>
        <w:top w:val="double" w:sz="6" w:space="0" w:color="5B9BD5"/>
        <w:left w:val="single" w:sz="8" w:space="0" w:color="2F75B5"/>
        <w:bottom w:val="single" w:sz="8" w:space="0" w:color="5B9BD5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2F75B5"/>
      <w:sz w:val="24"/>
      <w:szCs w:val="24"/>
    </w:rPr>
  </w:style>
  <w:style w:type="paragraph" w:customStyle="1" w:styleId="xl109">
    <w:name w:val="xl109"/>
    <w:basedOn w:val="Normal"/>
    <w:rsid w:val="008640EE"/>
    <w:pPr>
      <w:pBdr>
        <w:top w:val="double" w:sz="6" w:space="0" w:color="5B9BD5"/>
        <w:bottom w:val="single" w:sz="8" w:space="0" w:color="5B9BD5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2F75B5"/>
      <w:sz w:val="24"/>
      <w:szCs w:val="24"/>
    </w:rPr>
  </w:style>
  <w:style w:type="paragraph" w:customStyle="1" w:styleId="xl70">
    <w:name w:val="xl70"/>
    <w:basedOn w:val="Normal"/>
    <w:rsid w:val="008640EE"/>
    <w:pPr>
      <w:pBdr>
        <w:bottom w:val="single" w:sz="8" w:space="0" w:color="5B9BD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8640EE"/>
    <w:pPr>
      <w:pBdr>
        <w:top w:val="double" w:sz="6" w:space="0" w:color="5B9BD5"/>
        <w:left w:val="single" w:sz="8" w:space="0" w:color="2F75B5"/>
        <w:bottom w:val="single" w:sz="8" w:space="0" w:color="5B9BD5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2F75B5"/>
      <w:sz w:val="24"/>
      <w:szCs w:val="24"/>
    </w:rPr>
  </w:style>
  <w:style w:type="paragraph" w:customStyle="1" w:styleId="xl111">
    <w:name w:val="xl111"/>
    <w:basedOn w:val="Normal"/>
    <w:rsid w:val="008640EE"/>
    <w:pPr>
      <w:pBdr>
        <w:top w:val="double" w:sz="6" w:space="0" w:color="5B9BD5"/>
        <w:bottom w:val="single" w:sz="8" w:space="0" w:color="5B9BD5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2F75B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640EE"/>
    <w:rPr>
      <w:i/>
      <w:iCs/>
    </w:rPr>
  </w:style>
  <w:style w:type="character" w:customStyle="1" w:styleId="text">
    <w:name w:val="text"/>
    <w:basedOn w:val="DefaultParagraphFont"/>
    <w:rsid w:val="008640EE"/>
  </w:style>
  <w:style w:type="character" w:customStyle="1" w:styleId="author-ref">
    <w:name w:val="author-ref"/>
    <w:basedOn w:val="DefaultParagraphFont"/>
    <w:rsid w:val="008640EE"/>
  </w:style>
  <w:style w:type="character" w:customStyle="1" w:styleId="title-text">
    <w:name w:val="title-text"/>
    <w:basedOn w:val="DefaultParagraphFont"/>
    <w:rsid w:val="008640EE"/>
  </w:style>
  <w:style w:type="character" w:customStyle="1" w:styleId="highlight">
    <w:name w:val="highlight"/>
    <w:basedOn w:val="DefaultParagraphFont"/>
    <w:rsid w:val="008640EE"/>
  </w:style>
  <w:style w:type="character" w:customStyle="1" w:styleId="article-citation">
    <w:name w:val="article-citation"/>
    <w:basedOn w:val="DefaultParagraphFont"/>
    <w:rsid w:val="008640EE"/>
  </w:style>
  <w:style w:type="character" w:customStyle="1" w:styleId="field-label">
    <w:name w:val="field-label"/>
    <w:basedOn w:val="DefaultParagraphFont"/>
    <w:rsid w:val="00864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1206</Words>
  <Characters>6878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NorthShore University Health Systems</Company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shahn2</dc:creator>
  <cp:lastModifiedBy>Shah, Nirav S. - Infectious Disease</cp:lastModifiedBy>
  <cp:revision>2</cp:revision>
  <dcterms:created xsi:type="dcterms:W3CDTF">2020-02-20T06:35:00Z</dcterms:created>
  <dcterms:modified xsi:type="dcterms:W3CDTF">2020-02-20T06:35:00Z</dcterms:modified>
</cp:coreProperties>
</file>