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4F7B0" w14:textId="77777777" w:rsidR="004E0BB9" w:rsidRPr="00DC7964" w:rsidRDefault="004E0BB9" w:rsidP="004E0BB9">
      <w:pPr>
        <w:pStyle w:val="Heading1"/>
        <w:numPr>
          <w:ilvl w:val="0"/>
          <w:numId w:val="0"/>
        </w:numPr>
        <w:spacing w:line="480" w:lineRule="auto"/>
        <w:rPr>
          <w:lang w:val="en-US"/>
        </w:rPr>
      </w:pPr>
      <w:r>
        <w:rPr>
          <w:lang w:val="en-US"/>
        </w:rPr>
        <w:t>Supplementary</w:t>
      </w:r>
      <w:r w:rsidRPr="00DC7964">
        <w:rPr>
          <w:lang w:val="en-US"/>
        </w:rPr>
        <w:t xml:space="preserve"> Material</w:t>
      </w:r>
    </w:p>
    <w:p w14:paraId="6C7F1C56" w14:textId="5001453F" w:rsidR="004E0BB9" w:rsidRPr="008F007A" w:rsidRDefault="004E0BB9" w:rsidP="004E0BB9">
      <w:pPr>
        <w:pStyle w:val="Heading2"/>
        <w:numPr>
          <w:ilvl w:val="0"/>
          <w:numId w:val="0"/>
        </w:numPr>
        <w:rPr>
          <w:b w:val="0"/>
          <w:bCs/>
          <w:lang w:val="en-US"/>
        </w:rPr>
      </w:pPr>
      <w:r>
        <w:rPr>
          <w:lang w:val="en-US"/>
        </w:rPr>
        <w:t>Supplementary</w:t>
      </w:r>
      <w:r w:rsidRPr="00DC7964">
        <w:rPr>
          <w:lang w:val="en-US"/>
        </w:rPr>
        <w:t xml:space="preserve"> Table 1 </w:t>
      </w:r>
      <w:r w:rsidRPr="008F007A">
        <w:rPr>
          <w:b w:val="0"/>
          <w:bCs/>
          <w:lang w:val="en-US"/>
        </w:rPr>
        <w:t>Patient attrition for the Crohn’s disease cohort</w:t>
      </w:r>
    </w:p>
    <w:tbl>
      <w:tblPr>
        <w:tblStyle w:val="ListTable6Colorful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7889"/>
        <w:gridCol w:w="1279"/>
        <w:gridCol w:w="788"/>
        <w:gridCol w:w="939"/>
        <w:gridCol w:w="1097"/>
      </w:tblGrid>
      <w:tr w:rsidR="004E0BB9" w:rsidRPr="00DC7964" w14:paraId="0A252317" w14:textId="77777777" w:rsidTr="006D73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6" w:type="pct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36F03C1" w14:textId="77777777" w:rsidR="004E0BB9" w:rsidRPr="00DC7964" w:rsidRDefault="004E0BB9" w:rsidP="006D7382">
            <w:pPr>
              <w:rPr>
                <w:color w:val="2F2E2F"/>
                <w:lang w:val="en-US"/>
              </w:rPr>
            </w:pPr>
            <w:r w:rsidRPr="00DC7964">
              <w:rPr>
                <w:color w:val="2F2E2F"/>
                <w:lang w:val="en-US"/>
              </w:rPr>
              <w:t>Criterion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EFEE56" w14:textId="77777777" w:rsidR="004E0BB9" w:rsidRPr="00DC7964" w:rsidRDefault="004E0BB9" w:rsidP="006D73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2E2F"/>
                <w:lang w:val="en-US"/>
              </w:rPr>
            </w:pPr>
            <w:r w:rsidRPr="00DC7964">
              <w:rPr>
                <w:color w:val="2F2E2F"/>
                <w:lang w:val="en-US"/>
              </w:rPr>
              <w:t>Remaining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97304E" w14:textId="77777777" w:rsidR="004E0BB9" w:rsidRPr="00DC7964" w:rsidRDefault="004E0BB9" w:rsidP="006D73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2E2F"/>
                <w:lang w:val="en-US"/>
              </w:rPr>
            </w:pPr>
            <w:r w:rsidRPr="00DC7964">
              <w:rPr>
                <w:color w:val="2F2E2F"/>
                <w:lang w:val="en-US"/>
              </w:rPr>
              <w:t>Excluded</w:t>
            </w:r>
          </w:p>
        </w:tc>
      </w:tr>
      <w:tr w:rsidR="004E0BB9" w:rsidRPr="00DC7964" w14:paraId="54BD1DE1" w14:textId="77777777" w:rsidTr="006D7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6" w:type="pct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BFDB7B" w14:textId="77777777" w:rsidR="004E0BB9" w:rsidRPr="00DC7964" w:rsidRDefault="004E0BB9" w:rsidP="006D7382">
            <w:pPr>
              <w:rPr>
                <w:color w:val="2F2E2F"/>
                <w:lang w:val="en-US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53EB61" w14:textId="77777777" w:rsidR="004E0BB9" w:rsidRPr="00653D05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2F2E2F"/>
                <w:lang w:val="en-US"/>
              </w:rPr>
            </w:pPr>
            <w:r w:rsidRPr="00653D05">
              <w:rPr>
                <w:b/>
                <w:bCs/>
                <w:i/>
                <w:iCs/>
                <w:color w:val="2F2E2F"/>
                <w:lang w:val="en-US"/>
              </w:rPr>
              <w:t>n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79BF15" w14:textId="77777777" w:rsidR="004E0BB9" w:rsidRPr="00DC7964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F2E2F"/>
                <w:lang w:val="en-US"/>
              </w:rPr>
            </w:pPr>
            <w:r w:rsidRPr="00DC7964">
              <w:rPr>
                <w:b/>
                <w:bCs/>
                <w:color w:val="2F2E2F"/>
                <w:lang w:val="en-US"/>
              </w:rPr>
              <w:t>%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A4501D" w14:textId="77777777" w:rsidR="004E0BB9" w:rsidRPr="00653D05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2F2E2F"/>
                <w:lang w:val="en-US"/>
              </w:rPr>
            </w:pPr>
            <w:r w:rsidRPr="00653D05">
              <w:rPr>
                <w:b/>
                <w:bCs/>
                <w:i/>
                <w:iCs/>
                <w:color w:val="2F2E2F"/>
                <w:lang w:val="en-US"/>
              </w:rPr>
              <w:t>n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A226F3" w14:textId="77777777" w:rsidR="004E0BB9" w:rsidRPr="00DC7964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F2E2F"/>
                <w:lang w:val="en-US"/>
              </w:rPr>
            </w:pPr>
            <w:r w:rsidRPr="00DC7964">
              <w:rPr>
                <w:b/>
                <w:bCs/>
                <w:color w:val="2F2E2F"/>
                <w:lang w:val="en-US"/>
              </w:rPr>
              <w:t>%</w:t>
            </w:r>
          </w:p>
        </w:tc>
      </w:tr>
      <w:tr w:rsidR="004E0BB9" w:rsidRPr="00DC7964" w14:paraId="18E8A789" w14:textId="77777777" w:rsidTr="006D7382">
        <w:trPr>
          <w:trHeight w:val="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6302643" w14:textId="77777777" w:rsidR="004E0BB9" w:rsidRPr="00DC7964" w:rsidRDefault="004E0BB9" w:rsidP="006D7382">
            <w:pPr>
              <w:rPr>
                <w:b w:val="0"/>
                <w:bCs w:val="0"/>
                <w:color w:val="2F2E2F"/>
                <w:lang w:val="en-US"/>
              </w:rPr>
            </w:pPr>
            <w:r w:rsidRPr="00DC7964">
              <w:rPr>
                <w:b w:val="0"/>
                <w:bCs w:val="0"/>
                <w:color w:val="2F2E2F"/>
                <w:lang w:val="en-US"/>
              </w:rPr>
              <w:t>Evidence of treatment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8DD44" w14:textId="35FC139C" w:rsidR="004E0BB9" w:rsidRPr="00DC7964" w:rsidRDefault="004E0BB9" w:rsidP="006D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lang w:val="en-US"/>
              </w:rPr>
              <w:t>≥</w:t>
            </w:r>
            <w:r w:rsidRPr="00DC7964">
              <w:rPr>
                <w:color w:val="2F2E2F"/>
                <w:lang w:val="en-US"/>
              </w:rPr>
              <w:t xml:space="preserve">1 prescription or administration of a </w:t>
            </w:r>
            <w:proofErr w:type="spellStart"/>
            <w:r w:rsidRPr="00DC7964">
              <w:rPr>
                <w:color w:val="2F2E2F"/>
                <w:lang w:val="en-US"/>
              </w:rPr>
              <w:t>biologic</w:t>
            </w:r>
            <w:r w:rsidRPr="00DC7964">
              <w:rPr>
                <w:color w:val="2F2E2F"/>
                <w:vertAlign w:val="superscript"/>
                <w:lang w:val="en-US"/>
              </w:rPr>
              <w:t>a</w:t>
            </w:r>
            <w:proofErr w:type="spellEnd"/>
            <w:r w:rsidRPr="00DC7964">
              <w:rPr>
                <w:color w:val="2F2E2F"/>
                <w:lang w:val="en-US"/>
              </w:rPr>
              <w:t xml:space="preserve"> during the patient identification period </w:t>
            </w:r>
            <w:r>
              <w:rPr>
                <w:color w:val="2F2E2F"/>
                <w:lang w:val="en-US"/>
              </w:rPr>
              <w:t>[</w:t>
            </w:r>
            <w:r w:rsidRPr="00DC7964">
              <w:rPr>
                <w:color w:val="2F2E2F"/>
                <w:lang w:val="en-US"/>
              </w:rPr>
              <w:t>January 1, 2013 to February 29, 2020</w:t>
            </w:r>
            <w:r>
              <w:rPr>
                <w:color w:val="2F2E2F"/>
                <w:lang w:val="en-US"/>
              </w:rPr>
              <w:t>]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D362C" w14:textId="77777777" w:rsidR="004E0BB9" w:rsidRPr="00DC7964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2E2F"/>
                <w:lang w:val="en-US"/>
              </w:rPr>
            </w:pPr>
            <w:r>
              <w:rPr>
                <w:color w:val="2F2E2F"/>
                <w:lang w:val="en-US"/>
              </w:rPr>
              <w:t>150,631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3FFDE" w14:textId="77777777" w:rsidR="004E0BB9" w:rsidRPr="00DC7964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2E2F"/>
                <w:lang w:val="en-US"/>
              </w:rPr>
            </w:pPr>
            <w:r w:rsidRPr="00DC7964">
              <w:rPr>
                <w:color w:val="2F2E2F"/>
                <w:lang w:val="en-US"/>
              </w:rPr>
              <w:t>–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B9EDF" w14:textId="77777777" w:rsidR="004E0BB9" w:rsidRPr="00DC7964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2E2F"/>
                <w:lang w:val="en-US"/>
              </w:rPr>
            </w:pPr>
            <w:r w:rsidRPr="00DC7964">
              <w:rPr>
                <w:color w:val="2F2E2F"/>
                <w:lang w:val="en-US"/>
              </w:rPr>
              <w:t>–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AA5D4" w14:textId="77777777" w:rsidR="004E0BB9" w:rsidRPr="00DC7964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2E2F"/>
                <w:lang w:val="en-US"/>
              </w:rPr>
            </w:pPr>
            <w:r w:rsidRPr="00DC7964">
              <w:rPr>
                <w:color w:val="2F2E2F"/>
                <w:lang w:val="en-US"/>
              </w:rPr>
              <w:t>–</w:t>
            </w:r>
          </w:p>
        </w:tc>
      </w:tr>
      <w:tr w:rsidR="004E0BB9" w:rsidRPr="00DC7964" w14:paraId="3F886D1D" w14:textId="77777777" w:rsidTr="006D7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FED5D" w14:textId="77777777" w:rsidR="004E0BB9" w:rsidRPr="00DC7964" w:rsidRDefault="004E0BB9" w:rsidP="006D7382">
            <w:pPr>
              <w:rPr>
                <w:color w:val="2F2E2F"/>
                <w:lang w:val="en-US"/>
              </w:rPr>
            </w:pPr>
          </w:p>
        </w:tc>
        <w:tc>
          <w:tcPr>
            <w:tcW w:w="283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0F1E446" w14:textId="77777777" w:rsidR="004E0BB9" w:rsidRPr="00DC7964" w:rsidRDefault="004E0BB9" w:rsidP="006D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>
              <w:rPr>
                <w:color w:val="2F2E2F"/>
                <w:lang w:val="en-US"/>
              </w:rPr>
              <w:t>R</w:t>
            </w:r>
            <w:r w:rsidRPr="00DC7964">
              <w:rPr>
                <w:color w:val="2F2E2F"/>
                <w:lang w:val="en-US"/>
              </w:rPr>
              <w:t>eceiving only one biologic on initial therapy date</w:t>
            </w:r>
          </w:p>
        </w:tc>
        <w:tc>
          <w:tcPr>
            <w:tcW w:w="46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ACF22F3" w14:textId="77777777" w:rsidR="004E0BB9" w:rsidRPr="00DC7964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2E2F"/>
                <w:lang w:val="en-US"/>
              </w:rPr>
            </w:pPr>
            <w:r>
              <w:rPr>
                <w:color w:val="2F2E2F"/>
                <w:lang w:val="en-US"/>
              </w:rPr>
              <w:t>150,506</w:t>
            </w:r>
          </w:p>
        </w:tc>
        <w:tc>
          <w:tcPr>
            <w:tcW w:w="29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77CB618" w14:textId="77777777" w:rsidR="004E0BB9" w:rsidRPr="00DC7964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2E2F"/>
                <w:lang w:val="en-US"/>
              </w:rPr>
            </w:pPr>
            <w:r>
              <w:rPr>
                <w:color w:val="2F2E2F"/>
                <w:lang w:val="en-US"/>
              </w:rPr>
              <w:t>99.9</w:t>
            </w:r>
          </w:p>
        </w:tc>
        <w:tc>
          <w:tcPr>
            <w:tcW w:w="29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6628D42" w14:textId="77777777" w:rsidR="004E0BB9" w:rsidRPr="00DC7964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2E2F"/>
                <w:lang w:val="en-US"/>
              </w:rPr>
            </w:pPr>
            <w:r>
              <w:rPr>
                <w:color w:val="2F2E2F"/>
                <w:lang w:val="en-US"/>
              </w:rPr>
              <w:t>125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D21550" w14:textId="77777777" w:rsidR="004E0BB9" w:rsidRPr="00DC7964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2E2F"/>
                <w:lang w:val="en-US"/>
              </w:rPr>
            </w:pPr>
            <w:r>
              <w:rPr>
                <w:color w:val="2F2E2F"/>
                <w:lang w:val="en-US"/>
              </w:rPr>
              <w:t>0.1</w:t>
            </w:r>
          </w:p>
        </w:tc>
      </w:tr>
      <w:tr w:rsidR="004E0BB9" w:rsidRPr="00DC7964" w14:paraId="6D71DECB" w14:textId="77777777" w:rsidTr="006D738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CEBD36" w14:textId="77777777" w:rsidR="004E0BB9" w:rsidRPr="00DC7964" w:rsidRDefault="004E0BB9" w:rsidP="006D7382">
            <w:pPr>
              <w:rPr>
                <w:b w:val="0"/>
                <w:bCs w:val="0"/>
                <w:color w:val="2F2E2F"/>
                <w:lang w:val="en-US"/>
              </w:rPr>
            </w:pPr>
            <w:r w:rsidRPr="00DC7964">
              <w:rPr>
                <w:b w:val="0"/>
                <w:bCs w:val="0"/>
                <w:color w:val="2F2E2F"/>
                <w:lang w:val="en-US"/>
              </w:rPr>
              <w:t>EHR activity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3DABFD" w14:textId="77777777" w:rsidR="004E0BB9" w:rsidRPr="00DC7964" w:rsidRDefault="004E0BB9" w:rsidP="006D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2E2F"/>
                <w:lang w:val="en-US"/>
              </w:rPr>
            </w:pPr>
            <w:r w:rsidRPr="00DC7964">
              <w:rPr>
                <w:color w:val="2F2E2F"/>
                <w:lang w:val="en-US"/>
              </w:rPr>
              <w:t xml:space="preserve">EHR activity before the start of the baseline period </w:t>
            </w:r>
            <w:r>
              <w:rPr>
                <w:color w:val="2F2E2F"/>
                <w:lang w:val="en-US"/>
              </w:rPr>
              <w:t>[</w:t>
            </w:r>
            <w:r w:rsidRPr="00DC7964">
              <w:rPr>
                <w:color w:val="2F2E2F"/>
                <w:lang w:val="en-US"/>
              </w:rPr>
              <w:t>365 days before the index date</w:t>
            </w:r>
            <w:r>
              <w:rPr>
                <w:color w:val="2F2E2F"/>
                <w:lang w:val="en-US"/>
              </w:rPr>
              <w:t>]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FBEDFC" w14:textId="77777777" w:rsidR="004E0BB9" w:rsidRPr="00DC7964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>
              <w:rPr>
                <w:rFonts w:cs="Arial"/>
                <w:color w:val="2F2E2F"/>
                <w:kern w:val="24"/>
                <w:lang w:val="en-US"/>
              </w:rPr>
              <w:t>127,931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E5DE06" w14:textId="77777777" w:rsidR="004E0BB9" w:rsidRPr="00DC7964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>
              <w:rPr>
                <w:rFonts w:cs="Arial"/>
                <w:color w:val="2F2E2F"/>
                <w:lang w:val="en-US"/>
              </w:rPr>
              <w:t>85.0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836139" w14:textId="77777777" w:rsidR="004E0BB9" w:rsidRPr="00DC7964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>
              <w:rPr>
                <w:rFonts w:cs="Arial"/>
                <w:color w:val="2F2E2F"/>
                <w:lang w:val="en-US"/>
              </w:rPr>
              <w:t>22,575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35A7C3" w14:textId="77777777" w:rsidR="004E0BB9" w:rsidRPr="00DC7964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>
              <w:rPr>
                <w:rFonts w:cs="Arial"/>
                <w:color w:val="2F2E2F"/>
                <w:lang w:val="en-US"/>
              </w:rPr>
              <w:t>15.0</w:t>
            </w:r>
          </w:p>
        </w:tc>
      </w:tr>
      <w:tr w:rsidR="004E0BB9" w:rsidRPr="00DC7964" w14:paraId="3BDDFEB1" w14:textId="77777777" w:rsidTr="006D7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D14B9" w14:textId="77777777" w:rsidR="004E0BB9" w:rsidRPr="00DC7964" w:rsidRDefault="004E0BB9" w:rsidP="006D7382">
            <w:pPr>
              <w:rPr>
                <w:b w:val="0"/>
                <w:bCs w:val="0"/>
                <w:color w:val="2F2E2F"/>
                <w:lang w:val="en-US"/>
              </w:rPr>
            </w:pPr>
            <w:r w:rsidRPr="00DC7964">
              <w:rPr>
                <w:b w:val="0"/>
                <w:bCs w:val="0"/>
                <w:color w:val="2F2E2F"/>
                <w:lang w:val="en-US"/>
              </w:rPr>
              <w:t>CD diagnosis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0C42B" w14:textId="0DBFFC31" w:rsidR="004E0BB9" w:rsidRPr="00DC7964" w:rsidRDefault="004E0BB9" w:rsidP="006D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lang w:val="en-US"/>
              </w:rPr>
              <w:t xml:space="preserve">≥2 diagnoses of CD during the baseline </w:t>
            </w:r>
            <w:proofErr w:type="spellStart"/>
            <w:r w:rsidRPr="00DC7964">
              <w:rPr>
                <w:rFonts w:cs="Arial"/>
                <w:color w:val="2F2E2F"/>
                <w:lang w:val="en-US"/>
              </w:rPr>
              <w:t>period</w:t>
            </w:r>
            <w:r w:rsidRPr="00DC7964">
              <w:rPr>
                <w:rFonts w:cs="Arial"/>
                <w:color w:val="2F2E2F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259A0" w14:textId="77777777" w:rsidR="004E0BB9" w:rsidRPr="00DC7964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19,960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504DA" w14:textId="77777777" w:rsidR="004E0BB9" w:rsidRPr="00200B78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200B78">
              <w:rPr>
                <w:rFonts w:cs="Arial"/>
                <w:color w:val="2F2E2F"/>
                <w:lang w:val="en-US"/>
              </w:rPr>
              <w:t>15.6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7DBBD" w14:textId="77777777" w:rsidR="004E0BB9" w:rsidRPr="00200B78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200B78">
              <w:rPr>
                <w:rFonts w:cs="Arial"/>
                <w:color w:val="2F2E2F"/>
                <w:lang w:val="en-US"/>
              </w:rPr>
              <w:t>107,971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5B281" w14:textId="77777777" w:rsidR="004E0BB9" w:rsidRPr="00200B78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200B78">
              <w:rPr>
                <w:rFonts w:cs="Arial"/>
                <w:color w:val="2F2E2F"/>
                <w:lang w:val="en-US"/>
              </w:rPr>
              <w:t>84.4</w:t>
            </w:r>
          </w:p>
        </w:tc>
      </w:tr>
      <w:tr w:rsidR="004E0BB9" w:rsidRPr="00DC7964" w14:paraId="0537787F" w14:textId="77777777" w:rsidTr="006D738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80A1A5" w14:textId="77777777" w:rsidR="004E0BB9" w:rsidRPr="00DC7964" w:rsidRDefault="004E0BB9" w:rsidP="006D7382">
            <w:pPr>
              <w:rPr>
                <w:b w:val="0"/>
                <w:bCs w:val="0"/>
                <w:color w:val="2F2E2F"/>
                <w:lang w:val="en-US"/>
              </w:rPr>
            </w:pPr>
          </w:p>
        </w:tc>
        <w:tc>
          <w:tcPr>
            <w:tcW w:w="28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C60C83" w14:textId="77576E32" w:rsidR="004E0BB9" w:rsidRPr="00DC7964" w:rsidRDefault="004E0BB9" w:rsidP="006D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lang w:val="en-US"/>
              </w:rPr>
              <w:t>≥1 diagnosis of CD during the follow-up period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DAC1B3" w14:textId="77777777" w:rsidR="004E0BB9" w:rsidRPr="00DC7964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19,447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45CE23" w14:textId="77777777" w:rsidR="004E0BB9" w:rsidRPr="00DC7964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97.4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01F3F3" w14:textId="77777777" w:rsidR="004E0BB9" w:rsidRPr="00DC7964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513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F885F3" w14:textId="77777777" w:rsidR="004E0BB9" w:rsidRPr="00DC7964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2.6</w:t>
            </w:r>
          </w:p>
        </w:tc>
      </w:tr>
      <w:tr w:rsidR="004E0BB9" w:rsidRPr="00DC7964" w14:paraId="4A1FA251" w14:textId="77777777" w:rsidTr="006D7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1662F9" w14:textId="77777777" w:rsidR="004E0BB9" w:rsidRPr="00DC7964" w:rsidRDefault="004E0BB9" w:rsidP="006D7382">
            <w:pPr>
              <w:rPr>
                <w:b w:val="0"/>
                <w:bCs w:val="0"/>
                <w:color w:val="2F2E2F"/>
                <w:lang w:val="en-US"/>
              </w:rPr>
            </w:pPr>
            <w:r w:rsidRPr="00DC7964">
              <w:rPr>
                <w:b w:val="0"/>
                <w:bCs w:val="0"/>
                <w:color w:val="2F2E2F"/>
                <w:lang w:val="en-US"/>
              </w:rPr>
              <w:t>New start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DFC532" w14:textId="738EF0FF" w:rsidR="004E0BB9" w:rsidRPr="00DC7964" w:rsidRDefault="004E0BB9" w:rsidP="006D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2E2F"/>
                <w:lang w:val="en-US"/>
              </w:rPr>
            </w:pPr>
            <w:r w:rsidRPr="00DC7964">
              <w:rPr>
                <w:color w:val="2F2E2F"/>
                <w:lang w:val="en-US"/>
              </w:rPr>
              <w:t xml:space="preserve">Exclusion: </w:t>
            </w:r>
            <w:r w:rsidRPr="00DC7964">
              <w:rPr>
                <w:rFonts w:cs="Arial"/>
                <w:color w:val="2F2E2F"/>
                <w:lang w:val="en-US"/>
              </w:rPr>
              <w:t xml:space="preserve">≥1 prescription or administration of </w:t>
            </w:r>
            <w:r w:rsidRPr="00DC7964">
              <w:rPr>
                <w:color w:val="2F2E2F"/>
                <w:lang w:val="en-US"/>
              </w:rPr>
              <w:t xml:space="preserve">a </w:t>
            </w:r>
            <w:proofErr w:type="spellStart"/>
            <w:r w:rsidRPr="00DC7964">
              <w:rPr>
                <w:color w:val="2F2E2F"/>
                <w:lang w:val="en-US"/>
              </w:rPr>
              <w:t>biologic</w:t>
            </w:r>
            <w:r w:rsidRPr="00DC7964">
              <w:rPr>
                <w:color w:val="2F2E2F"/>
                <w:vertAlign w:val="superscript"/>
                <w:lang w:val="en-US"/>
              </w:rPr>
              <w:t>a</w:t>
            </w:r>
            <w:proofErr w:type="spellEnd"/>
            <w:r w:rsidRPr="00DC7964">
              <w:rPr>
                <w:color w:val="2F2E2F"/>
                <w:lang w:val="en-US"/>
              </w:rPr>
              <w:t xml:space="preserve"> </w:t>
            </w:r>
            <w:r w:rsidRPr="00DC7964">
              <w:rPr>
                <w:rFonts w:cs="Arial"/>
                <w:color w:val="2F2E2F"/>
                <w:lang w:val="en-US"/>
              </w:rPr>
              <w:t>during the baseline period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9CE7BB" w14:textId="77777777" w:rsidR="004E0BB9" w:rsidRPr="00DC7964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16,421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72BF3B" w14:textId="77777777" w:rsidR="004E0BB9" w:rsidRPr="00DC7964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84.4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1F3384" w14:textId="77777777" w:rsidR="004E0BB9" w:rsidRPr="00DC7964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3026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083D2D" w14:textId="77777777" w:rsidR="004E0BB9" w:rsidRPr="00DC7964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15.6</w:t>
            </w:r>
          </w:p>
        </w:tc>
      </w:tr>
      <w:tr w:rsidR="004E0BB9" w:rsidRPr="00DC7964" w14:paraId="35F449C4" w14:textId="77777777" w:rsidTr="006D738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A2D564" w14:textId="77777777" w:rsidR="004E0BB9" w:rsidRPr="00DC7964" w:rsidRDefault="004E0BB9" w:rsidP="006D7382">
            <w:pPr>
              <w:rPr>
                <w:b w:val="0"/>
                <w:bCs w:val="0"/>
                <w:color w:val="2F2E2F"/>
                <w:lang w:val="en-US"/>
              </w:rPr>
            </w:pPr>
            <w:r w:rsidRPr="00DC7964">
              <w:rPr>
                <w:b w:val="0"/>
                <w:bCs w:val="0"/>
                <w:color w:val="2F2E2F"/>
                <w:lang w:val="en-US"/>
              </w:rPr>
              <w:t>No other conditions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E1409C" w14:textId="3D4A866E" w:rsidR="004E0BB9" w:rsidRPr="00DC7964" w:rsidRDefault="004E0BB9" w:rsidP="006D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2E2F"/>
                <w:lang w:val="en-US"/>
              </w:rPr>
            </w:pPr>
            <w:r w:rsidRPr="00DC7964">
              <w:rPr>
                <w:color w:val="2F2E2F"/>
                <w:lang w:val="en-US"/>
              </w:rPr>
              <w:t xml:space="preserve">Exclusion: </w:t>
            </w:r>
            <w:r w:rsidRPr="00DC7964">
              <w:rPr>
                <w:rFonts w:cs="Arial"/>
                <w:color w:val="2F2E2F"/>
                <w:lang w:val="en-US"/>
              </w:rPr>
              <w:t>≥1 diagnosis for rheumatoid arthritis, psoriatic arthritis, ankylosing spondylitis, plaque psoriasis, hidradenitis suppurativa, or noninfectious uveitis in the 6 months before the index date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786DFF" w14:textId="77777777" w:rsidR="004E0BB9" w:rsidRPr="00DC7964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15,743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20BADB" w14:textId="77777777" w:rsidR="004E0BB9" w:rsidRPr="00DC7964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95.9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AD60FD" w14:textId="77777777" w:rsidR="004E0BB9" w:rsidRPr="00DC7964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678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6EA672" w14:textId="77777777" w:rsidR="004E0BB9" w:rsidRPr="00DC7964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4.1</w:t>
            </w:r>
          </w:p>
        </w:tc>
      </w:tr>
      <w:tr w:rsidR="004E0BB9" w:rsidRPr="00DC7964" w14:paraId="29E6611A" w14:textId="77777777" w:rsidTr="006D7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BEC2AF" w14:textId="77777777" w:rsidR="004E0BB9" w:rsidRPr="00DC7964" w:rsidRDefault="004E0BB9" w:rsidP="006D7382">
            <w:pPr>
              <w:rPr>
                <w:b w:val="0"/>
                <w:bCs w:val="0"/>
                <w:color w:val="2F2E2F"/>
                <w:lang w:val="en-US"/>
              </w:rPr>
            </w:pPr>
            <w:r w:rsidRPr="00DC7964">
              <w:rPr>
                <w:b w:val="0"/>
                <w:bCs w:val="0"/>
                <w:color w:val="2F2E2F"/>
                <w:lang w:val="en-US"/>
              </w:rPr>
              <w:t>Adult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3FB5A6" w14:textId="78C7B49F" w:rsidR="004E0BB9" w:rsidRPr="00DC7964" w:rsidRDefault="004E0BB9" w:rsidP="006D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lang w:val="en-US"/>
              </w:rPr>
              <w:t>≥18 years old at index date with valid demographic information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2887BB" w14:textId="77777777" w:rsidR="004E0BB9" w:rsidRPr="00DC7964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13,661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EBF677" w14:textId="77777777" w:rsidR="004E0BB9" w:rsidRPr="00DC7964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86.8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5AEB6E" w14:textId="77777777" w:rsidR="004E0BB9" w:rsidRPr="00DC7964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2082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069747" w14:textId="77777777" w:rsidR="004E0BB9" w:rsidRPr="00DC7964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13.2</w:t>
            </w:r>
          </w:p>
        </w:tc>
      </w:tr>
      <w:tr w:rsidR="004E0BB9" w:rsidRPr="00DC7964" w14:paraId="441AC501" w14:textId="77777777" w:rsidTr="006D738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7E1EA" w14:textId="77777777" w:rsidR="004E0BB9" w:rsidRPr="00DC7964" w:rsidRDefault="004E0BB9" w:rsidP="006D7382">
            <w:pPr>
              <w:rPr>
                <w:b w:val="0"/>
                <w:bCs w:val="0"/>
                <w:color w:val="2F2E2F"/>
                <w:lang w:val="en-US"/>
              </w:rPr>
            </w:pPr>
            <w:r w:rsidRPr="00DC7964">
              <w:rPr>
                <w:b w:val="0"/>
                <w:bCs w:val="0"/>
                <w:color w:val="2F2E2F"/>
                <w:lang w:val="en-US"/>
              </w:rPr>
              <w:t xml:space="preserve">At least </w:t>
            </w:r>
            <w:r>
              <w:rPr>
                <w:b w:val="0"/>
                <w:bCs w:val="0"/>
                <w:color w:val="2F2E2F"/>
                <w:lang w:val="en-US"/>
              </w:rPr>
              <w:t>two</w:t>
            </w:r>
            <w:r w:rsidRPr="00DC7964">
              <w:rPr>
                <w:b w:val="0"/>
                <w:bCs w:val="0"/>
                <w:color w:val="2F2E2F"/>
                <w:lang w:val="en-US"/>
              </w:rPr>
              <w:t xml:space="preserve"> qualifying lines of therapy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27BB7" w14:textId="582A0038" w:rsidR="004E0BB9" w:rsidRPr="00DC7964" w:rsidRDefault="004E0BB9" w:rsidP="006D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lang w:val="en-US"/>
              </w:rPr>
              <w:t>≥</w:t>
            </w:r>
            <w:r w:rsidRPr="00DC7964">
              <w:rPr>
                <w:color w:val="2F2E2F"/>
                <w:lang w:val="en-US"/>
              </w:rPr>
              <w:t xml:space="preserve">1 prescription or administration of second </w:t>
            </w:r>
            <w:proofErr w:type="spellStart"/>
            <w:r w:rsidRPr="00DC7964">
              <w:rPr>
                <w:color w:val="2F2E2F"/>
                <w:lang w:val="en-US"/>
              </w:rPr>
              <w:t>biologic</w:t>
            </w:r>
            <w:r w:rsidRPr="00DC7964">
              <w:rPr>
                <w:color w:val="2F2E2F"/>
                <w:sz w:val="16"/>
                <w:szCs w:val="16"/>
                <w:vertAlign w:val="superscript"/>
                <w:lang w:val="en-US"/>
              </w:rPr>
              <w:t>a</w:t>
            </w:r>
            <w:proofErr w:type="spellEnd"/>
            <w:r w:rsidRPr="00DC7964">
              <w:rPr>
                <w:color w:val="2F2E2F"/>
                <w:lang w:val="en-US"/>
              </w:rPr>
              <w:t xml:space="preserve"> following the first biologic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0EDAD" w14:textId="77777777" w:rsidR="004E0BB9" w:rsidRPr="00DC7964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3028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AE9A8" w14:textId="77777777" w:rsidR="004E0BB9" w:rsidRPr="00DC7964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22.2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28369" w14:textId="77777777" w:rsidR="004E0BB9" w:rsidRPr="00DC7964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10,633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82185" w14:textId="77777777" w:rsidR="004E0BB9" w:rsidRPr="00DC7964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77.8</w:t>
            </w:r>
          </w:p>
        </w:tc>
      </w:tr>
      <w:tr w:rsidR="004E0BB9" w:rsidRPr="00DC7964" w14:paraId="0723A19B" w14:textId="77777777" w:rsidTr="006D7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04A176" w14:textId="77777777" w:rsidR="004E0BB9" w:rsidRPr="00DC7964" w:rsidRDefault="004E0BB9" w:rsidP="006D7382">
            <w:pPr>
              <w:rPr>
                <w:color w:val="2F2E2F"/>
                <w:lang w:val="en-US"/>
              </w:rPr>
            </w:pPr>
          </w:p>
        </w:tc>
        <w:tc>
          <w:tcPr>
            <w:tcW w:w="28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B30D80" w14:textId="77777777" w:rsidR="004E0BB9" w:rsidRPr="00DC7964" w:rsidRDefault="004E0BB9" w:rsidP="006D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2E2F"/>
                <w:lang w:val="en-US"/>
              </w:rPr>
            </w:pPr>
            <w:r w:rsidRPr="00DC7964">
              <w:rPr>
                <w:color w:val="2F2E2F"/>
                <w:lang w:val="en-US"/>
              </w:rPr>
              <w:t xml:space="preserve">Monotherapy during second line of </w:t>
            </w:r>
            <w:r>
              <w:rPr>
                <w:color w:val="2F2E2F"/>
                <w:lang w:val="en-US"/>
              </w:rPr>
              <w:t>treatment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19B4F9" w14:textId="77777777" w:rsidR="004E0BB9" w:rsidRPr="00DC7964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3008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40AD9D" w14:textId="77777777" w:rsidR="004E0BB9" w:rsidRPr="00DC7964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99.3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51554D" w14:textId="77777777" w:rsidR="004E0BB9" w:rsidRPr="00DC7964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20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4228C9" w14:textId="77777777" w:rsidR="004E0BB9" w:rsidRPr="00DC7964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0.7</w:t>
            </w:r>
          </w:p>
        </w:tc>
      </w:tr>
      <w:tr w:rsidR="004E0BB9" w:rsidRPr="00DC7964" w14:paraId="3DA18196" w14:textId="77777777" w:rsidTr="006D738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FB7113" w14:textId="77777777" w:rsidR="004E0BB9" w:rsidRPr="0015765D" w:rsidRDefault="004E0BB9" w:rsidP="006D7382">
            <w:pPr>
              <w:rPr>
                <w:b w:val="0"/>
                <w:bCs w:val="0"/>
                <w:color w:val="2F2E2F"/>
                <w:lang w:val="en-US"/>
              </w:rPr>
            </w:pPr>
            <w:r w:rsidRPr="0015765D">
              <w:rPr>
                <w:b w:val="0"/>
                <w:bCs w:val="0"/>
                <w:color w:val="2F2E2F"/>
                <w:lang w:val="en-US"/>
              </w:rPr>
              <w:t>Treatment sequences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2DE7D4" w14:textId="77777777" w:rsidR="004E0BB9" w:rsidRPr="0015765D" w:rsidRDefault="004E0BB9" w:rsidP="006D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2E2F"/>
                <w:lang w:val="en-US"/>
              </w:rPr>
            </w:pPr>
            <w:r w:rsidRPr="0015765D">
              <w:rPr>
                <w:color w:val="2F2E2F"/>
                <w:lang w:val="en-US"/>
              </w:rPr>
              <w:t>ADA to IFX, IFX to ADA, VDZ to ADA, VDZ to IFX, UST to ADA, UST to IFX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2388A8" w14:textId="77777777" w:rsidR="004E0BB9" w:rsidRPr="0015765D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F2E2F"/>
                <w:kern w:val="24"/>
                <w:lang w:val="en-US"/>
              </w:rPr>
            </w:pPr>
            <w:r w:rsidRPr="0015765D">
              <w:rPr>
                <w:rFonts w:cs="Arial"/>
                <w:color w:val="2F2E2F"/>
                <w:kern w:val="24"/>
                <w:lang w:val="en-US"/>
              </w:rPr>
              <w:t>1273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3E6A4D" w14:textId="77777777" w:rsidR="004E0BB9" w:rsidRPr="0015765D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F2E2F"/>
                <w:kern w:val="24"/>
                <w:lang w:val="en-US"/>
              </w:rPr>
            </w:pPr>
            <w:r w:rsidRPr="0015765D">
              <w:rPr>
                <w:rFonts w:cs="Arial"/>
                <w:color w:val="2F2E2F"/>
                <w:kern w:val="24"/>
                <w:lang w:val="en-US"/>
              </w:rPr>
              <w:t>42.3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80DA92" w14:textId="77777777" w:rsidR="004E0BB9" w:rsidRPr="0015765D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F2E2F"/>
                <w:kern w:val="24"/>
                <w:lang w:val="en-US"/>
              </w:rPr>
            </w:pPr>
            <w:r w:rsidRPr="0015765D">
              <w:rPr>
                <w:rFonts w:cs="Arial"/>
                <w:color w:val="2F2E2F"/>
                <w:kern w:val="24"/>
                <w:lang w:val="en-US"/>
              </w:rPr>
              <w:t>1735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4E01A3" w14:textId="77777777" w:rsidR="004E0BB9" w:rsidRPr="0015765D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F2E2F"/>
                <w:kern w:val="24"/>
                <w:lang w:val="en-US"/>
              </w:rPr>
            </w:pPr>
            <w:r w:rsidRPr="0015765D">
              <w:rPr>
                <w:rFonts w:cs="Arial"/>
                <w:color w:val="2F2E2F"/>
                <w:kern w:val="24"/>
                <w:lang w:val="en-US"/>
              </w:rPr>
              <w:t>57.7</w:t>
            </w:r>
          </w:p>
        </w:tc>
      </w:tr>
    </w:tbl>
    <w:p w14:paraId="77F53A3F" w14:textId="2E618B30" w:rsidR="004E0BB9" w:rsidRPr="00DC7964" w:rsidRDefault="004E0BB9" w:rsidP="004E0BB9">
      <w:pPr>
        <w:spacing w:before="120" w:after="40"/>
        <w:rPr>
          <w:rFonts w:eastAsia="Times New Roman" w:cs="Times New Roman"/>
          <w:color w:val="2F2E2F"/>
          <w:sz w:val="16"/>
          <w:szCs w:val="16"/>
          <w:lang w:val="en-US"/>
        </w:rPr>
      </w:pPr>
      <w:r w:rsidRPr="00DC7964">
        <w:rPr>
          <w:rFonts w:eastAsia="Times New Roman" w:cs="Times New Roman"/>
          <w:color w:val="2F2E2F"/>
          <w:sz w:val="16"/>
          <w:szCs w:val="16"/>
          <w:lang w:val="en-US"/>
        </w:rPr>
        <w:t xml:space="preserve">ADA, adalimumab; CD, Crohn’s disease; EHR, electronic health record; IFX, infliximab; UC, ulcerative colitis; UST, </w:t>
      </w:r>
      <w:proofErr w:type="spellStart"/>
      <w:r w:rsidRPr="00DC7964">
        <w:rPr>
          <w:rFonts w:eastAsia="Times New Roman" w:cs="Times New Roman"/>
          <w:color w:val="2F2E2F"/>
          <w:sz w:val="16"/>
          <w:szCs w:val="16"/>
          <w:lang w:val="en-US"/>
        </w:rPr>
        <w:t>ustekinumab</w:t>
      </w:r>
      <w:proofErr w:type="spellEnd"/>
      <w:r w:rsidRPr="00DC7964">
        <w:rPr>
          <w:rFonts w:eastAsia="Times New Roman" w:cs="Times New Roman"/>
          <w:color w:val="2F2E2F"/>
          <w:sz w:val="16"/>
          <w:szCs w:val="16"/>
          <w:lang w:val="en-US"/>
        </w:rPr>
        <w:t>; VDZ, vedolizumab.</w:t>
      </w:r>
      <w:r>
        <w:rPr>
          <w:rFonts w:eastAsia="Times New Roman" w:cs="Times New Roman"/>
          <w:color w:val="2F2E2F"/>
          <w:sz w:val="16"/>
          <w:szCs w:val="16"/>
          <w:lang w:val="en-US"/>
        </w:rPr>
        <w:t xml:space="preserve"> </w:t>
      </w:r>
      <w:proofErr w:type="spellStart"/>
      <w:r w:rsidRPr="00DC7964">
        <w:rPr>
          <w:rFonts w:eastAsia="Times New Roman" w:cs="Times New Roman"/>
          <w:color w:val="2F2E2F"/>
          <w:sz w:val="16"/>
          <w:szCs w:val="16"/>
          <w:vertAlign w:val="superscript"/>
          <w:lang w:val="en-US"/>
        </w:rPr>
        <w:t>a</w:t>
      </w:r>
      <w:r w:rsidRPr="00DC7964">
        <w:rPr>
          <w:rFonts w:eastAsia="Times New Roman" w:cs="Times New Roman"/>
          <w:color w:val="2F2E2F"/>
          <w:sz w:val="16"/>
          <w:szCs w:val="16"/>
          <w:lang w:val="en-US"/>
        </w:rPr>
        <w:t>Biologics</w:t>
      </w:r>
      <w:proofErr w:type="spellEnd"/>
      <w:r w:rsidRPr="00DC7964">
        <w:rPr>
          <w:rFonts w:eastAsia="Times New Roman" w:cs="Times New Roman"/>
          <w:color w:val="2F2E2F"/>
          <w:sz w:val="16"/>
          <w:szCs w:val="16"/>
          <w:lang w:val="en-US"/>
        </w:rPr>
        <w:t xml:space="preserve"> included were adalimumab, </w:t>
      </w:r>
      <w:proofErr w:type="spellStart"/>
      <w:r w:rsidRPr="00DC7964">
        <w:rPr>
          <w:rFonts w:eastAsia="Times New Roman" w:cs="Times New Roman"/>
          <w:color w:val="2F2E2F"/>
          <w:sz w:val="16"/>
          <w:szCs w:val="16"/>
          <w:lang w:val="en-US"/>
        </w:rPr>
        <w:t>ustekinumab</w:t>
      </w:r>
      <w:proofErr w:type="spellEnd"/>
      <w:r w:rsidRPr="00DC7964">
        <w:rPr>
          <w:rFonts w:eastAsia="Times New Roman" w:cs="Times New Roman"/>
          <w:color w:val="2F2E2F"/>
          <w:sz w:val="16"/>
          <w:szCs w:val="16"/>
          <w:lang w:val="en-US"/>
        </w:rPr>
        <w:t>, infliximab, or vedolizumab.</w:t>
      </w:r>
      <w:r>
        <w:rPr>
          <w:rFonts w:eastAsia="Times New Roman" w:cs="Times New Roman"/>
          <w:color w:val="2F2E2F"/>
          <w:sz w:val="16"/>
          <w:szCs w:val="16"/>
          <w:lang w:val="en-US"/>
        </w:rPr>
        <w:t xml:space="preserve"> </w:t>
      </w:r>
      <w:proofErr w:type="spellStart"/>
      <w:r w:rsidRPr="00DC7964">
        <w:rPr>
          <w:rFonts w:eastAsia="Times New Roman" w:cs="Times New Roman"/>
          <w:color w:val="2F2E2F"/>
          <w:sz w:val="16"/>
          <w:szCs w:val="16"/>
          <w:vertAlign w:val="superscript"/>
          <w:lang w:val="en-US"/>
        </w:rPr>
        <w:t>b</w:t>
      </w:r>
      <w:r w:rsidRPr="00DC7964">
        <w:rPr>
          <w:rFonts w:eastAsia="Times New Roman" w:cs="Times New Roman"/>
          <w:color w:val="2F2E2F"/>
          <w:sz w:val="16"/>
          <w:szCs w:val="16"/>
          <w:lang w:val="en-US"/>
        </w:rPr>
        <w:t>For</w:t>
      </w:r>
      <w:proofErr w:type="spellEnd"/>
      <w:r w:rsidRPr="00DC7964">
        <w:rPr>
          <w:rFonts w:eastAsia="Times New Roman" w:cs="Times New Roman"/>
          <w:color w:val="2F2E2F"/>
          <w:sz w:val="16"/>
          <w:szCs w:val="16"/>
          <w:lang w:val="en-US"/>
        </w:rPr>
        <w:t xml:space="preserve"> patients with diagnoses of both CD and UC, the number of consecutive diagnoses during the baseline period was used to classify patients; </w:t>
      </w:r>
      <w:r>
        <w:rPr>
          <w:rFonts w:eastAsia="Times New Roman" w:cs="Arial"/>
          <w:color w:val="2F2E2F"/>
          <w:sz w:val="16"/>
          <w:szCs w:val="16"/>
          <w:lang w:val="en-US"/>
        </w:rPr>
        <w:t>≥</w:t>
      </w:r>
      <w:r w:rsidRPr="00DC7964">
        <w:rPr>
          <w:rFonts w:eastAsia="Times New Roman" w:cs="Times New Roman"/>
          <w:color w:val="2F2E2F"/>
          <w:sz w:val="16"/>
          <w:szCs w:val="16"/>
          <w:lang w:val="en-US"/>
        </w:rPr>
        <w:t xml:space="preserve">3 consecutive UC </w:t>
      </w:r>
      <w:r>
        <w:rPr>
          <w:rFonts w:eastAsia="Times New Roman" w:cs="Times New Roman"/>
          <w:color w:val="2F2E2F"/>
          <w:sz w:val="16"/>
          <w:szCs w:val="16"/>
          <w:lang w:val="en-US"/>
        </w:rPr>
        <w:t>diagnoses</w:t>
      </w:r>
      <w:r w:rsidRPr="00DC7964">
        <w:rPr>
          <w:rFonts w:eastAsia="Times New Roman" w:cs="Times New Roman"/>
          <w:color w:val="2F2E2F"/>
          <w:sz w:val="16"/>
          <w:szCs w:val="16"/>
          <w:lang w:val="en-US"/>
        </w:rPr>
        <w:t xml:space="preserve"> after CD diagnosis and </w:t>
      </w:r>
      <w:r>
        <w:rPr>
          <w:rFonts w:eastAsia="Times New Roman" w:cs="Arial"/>
          <w:color w:val="2F2E2F"/>
          <w:sz w:val="16"/>
          <w:szCs w:val="16"/>
          <w:lang w:val="en-US"/>
        </w:rPr>
        <w:t>≥</w:t>
      </w:r>
      <w:r w:rsidRPr="00DC7964">
        <w:rPr>
          <w:rFonts w:eastAsia="Times New Roman" w:cs="Times New Roman"/>
          <w:color w:val="2F2E2F"/>
          <w:sz w:val="16"/>
          <w:szCs w:val="16"/>
          <w:lang w:val="en-US"/>
        </w:rPr>
        <w:t xml:space="preserve">3 CD </w:t>
      </w:r>
      <w:r>
        <w:rPr>
          <w:rFonts w:eastAsia="Times New Roman" w:cs="Times New Roman"/>
          <w:color w:val="2F2E2F"/>
          <w:sz w:val="16"/>
          <w:szCs w:val="16"/>
          <w:lang w:val="en-US"/>
        </w:rPr>
        <w:t xml:space="preserve">diagnoses </w:t>
      </w:r>
      <w:r w:rsidRPr="00DC7964">
        <w:rPr>
          <w:rFonts w:eastAsia="Times New Roman" w:cs="Times New Roman"/>
          <w:color w:val="2F2E2F"/>
          <w:sz w:val="16"/>
          <w:szCs w:val="16"/>
          <w:lang w:val="en-US"/>
        </w:rPr>
        <w:t>after UC diagnosis were used to classify UC and CD correctly</w:t>
      </w:r>
    </w:p>
    <w:p w14:paraId="15C86C2A" w14:textId="77777777" w:rsidR="004E0BB9" w:rsidRDefault="004E0BB9" w:rsidP="004E0BB9">
      <w:pPr>
        <w:spacing w:line="259" w:lineRule="auto"/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44EA42AD" w14:textId="2CC5EF46" w:rsidR="004E0BB9" w:rsidRPr="00DC7964" w:rsidRDefault="004E0BB9" w:rsidP="004E0BB9">
      <w:pPr>
        <w:pStyle w:val="Heading2"/>
        <w:numPr>
          <w:ilvl w:val="0"/>
          <w:numId w:val="0"/>
        </w:numPr>
        <w:rPr>
          <w:lang w:val="en-US"/>
        </w:rPr>
      </w:pPr>
      <w:r>
        <w:rPr>
          <w:lang w:val="en-US"/>
        </w:rPr>
        <w:lastRenderedPageBreak/>
        <w:t>Supplementary</w:t>
      </w:r>
      <w:r w:rsidRPr="00DC7964">
        <w:rPr>
          <w:lang w:val="en-US"/>
        </w:rPr>
        <w:t xml:space="preserve"> Table 2 </w:t>
      </w:r>
      <w:r w:rsidRPr="00C92170">
        <w:rPr>
          <w:b w:val="0"/>
          <w:bCs/>
          <w:lang w:val="en-US"/>
        </w:rPr>
        <w:t>Patient attrition for the ulcerative colitis cohort</w:t>
      </w:r>
    </w:p>
    <w:tbl>
      <w:tblPr>
        <w:tblStyle w:val="ListTable6Colorful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7631"/>
        <w:gridCol w:w="1491"/>
        <w:gridCol w:w="648"/>
        <w:gridCol w:w="939"/>
        <w:gridCol w:w="1544"/>
      </w:tblGrid>
      <w:tr w:rsidR="004E0BB9" w:rsidRPr="00DC7964" w14:paraId="3549134C" w14:textId="77777777" w:rsidTr="006D73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pct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A0CC242" w14:textId="77777777" w:rsidR="004E0BB9" w:rsidRPr="00DC7964" w:rsidRDefault="004E0BB9" w:rsidP="006D7382">
            <w:pPr>
              <w:rPr>
                <w:color w:val="2F2E2F"/>
                <w:lang w:val="en-US"/>
              </w:rPr>
            </w:pPr>
            <w:r w:rsidRPr="00DC7964">
              <w:rPr>
                <w:color w:val="2F2E2F"/>
                <w:lang w:val="en-US"/>
              </w:rPr>
              <w:t>Criterion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854EE6" w14:textId="77777777" w:rsidR="004E0BB9" w:rsidRPr="00DC7964" w:rsidRDefault="004E0BB9" w:rsidP="006D73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2E2F"/>
                <w:lang w:val="en-US"/>
              </w:rPr>
            </w:pPr>
            <w:r w:rsidRPr="00DC7964">
              <w:rPr>
                <w:color w:val="2F2E2F"/>
                <w:lang w:val="en-US"/>
              </w:rPr>
              <w:t>Remaining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3076C4" w14:textId="77777777" w:rsidR="004E0BB9" w:rsidRPr="00DC7964" w:rsidRDefault="004E0BB9" w:rsidP="006D73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2E2F"/>
                <w:lang w:val="en-US"/>
              </w:rPr>
            </w:pPr>
            <w:r w:rsidRPr="00DC7964">
              <w:rPr>
                <w:color w:val="2F2E2F"/>
                <w:lang w:val="en-US"/>
              </w:rPr>
              <w:t>Excluded</w:t>
            </w:r>
          </w:p>
        </w:tc>
      </w:tr>
      <w:tr w:rsidR="004E0BB9" w:rsidRPr="00DC7964" w14:paraId="77107CCF" w14:textId="77777777" w:rsidTr="006D7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pct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761922" w14:textId="77777777" w:rsidR="004E0BB9" w:rsidRPr="00DC7964" w:rsidRDefault="004E0BB9" w:rsidP="006D7382">
            <w:pPr>
              <w:rPr>
                <w:color w:val="2F2E2F"/>
                <w:lang w:val="en-US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AF14FB" w14:textId="77777777" w:rsidR="004E0BB9" w:rsidRPr="00653D05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2F2E2F"/>
                <w:lang w:val="en-US"/>
              </w:rPr>
            </w:pPr>
            <w:r w:rsidRPr="00653D05">
              <w:rPr>
                <w:b/>
                <w:bCs/>
                <w:i/>
                <w:iCs/>
                <w:color w:val="2F2E2F"/>
                <w:lang w:val="en-US"/>
              </w:rPr>
              <w:t>n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C49CAD" w14:textId="77777777" w:rsidR="004E0BB9" w:rsidRPr="00DC7964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F2E2F"/>
                <w:lang w:val="en-US"/>
              </w:rPr>
            </w:pPr>
            <w:r w:rsidRPr="00DC7964">
              <w:rPr>
                <w:b/>
                <w:bCs/>
                <w:color w:val="2F2E2F"/>
                <w:lang w:val="en-US"/>
              </w:rPr>
              <w:t>%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BB7B3B" w14:textId="77777777" w:rsidR="004E0BB9" w:rsidRPr="00653D05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2F2E2F"/>
                <w:lang w:val="en-US"/>
              </w:rPr>
            </w:pPr>
            <w:r w:rsidRPr="00653D05">
              <w:rPr>
                <w:b/>
                <w:bCs/>
                <w:i/>
                <w:iCs/>
                <w:color w:val="2F2E2F"/>
                <w:lang w:val="en-US"/>
              </w:rPr>
              <w:t>n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735855" w14:textId="77777777" w:rsidR="004E0BB9" w:rsidRPr="00DC7964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F2E2F"/>
                <w:lang w:val="en-US"/>
              </w:rPr>
            </w:pPr>
            <w:r w:rsidRPr="00DC7964">
              <w:rPr>
                <w:b/>
                <w:bCs/>
                <w:color w:val="2F2E2F"/>
                <w:lang w:val="en-US"/>
              </w:rPr>
              <w:t>%</w:t>
            </w:r>
          </w:p>
        </w:tc>
      </w:tr>
      <w:tr w:rsidR="004E0BB9" w:rsidRPr="00DC7964" w14:paraId="431A7CC9" w14:textId="77777777" w:rsidTr="006D7382">
        <w:trPr>
          <w:trHeight w:val="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E90F96D" w14:textId="77777777" w:rsidR="004E0BB9" w:rsidRPr="00DC7964" w:rsidRDefault="004E0BB9" w:rsidP="006D7382">
            <w:pPr>
              <w:rPr>
                <w:b w:val="0"/>
                <w:bCs w:val="0"/>
                <w:color w:val="2F2E2F"/>
                <w:lang w:val="en-US"/>
              </w:rPr>
            </w:pPr>
            <w:r w:rsidRPr="00DC7964">
              <w:rPr>
                <w:b w:val="0"/>
                <w:bCs w:val="0"/>
                <w:color w:val="2F2E2F"/>
                <w:lang w:val="en-US"/>
              </w:rPr>
              <w:t>Evidence of treatment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D978D" w14:textId="4333A5E3" w:rsidR="004E0BB9" w:rsidRPr="00DC7964" w:rsidRDefault="004E0BB9" w:rsidP="006D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lang w:val="en-US"/>
              </w:rPr>
              <w:t>≥</w:t>
            </w:r>
            <w:r w:rsidRPr="00DC7964">
              <w:rPr>
                <w:color w:val="2F2E2F"/>
                <w:lang w:val="en-US"/>
              </w:rPr>
              <w:t xml:space="preserve">1 prescription or administration of a </w:t>
            </w:r>
            <w:proofErr w:type="spellStart"/>
            <w:r w:rsidRPr="00DC7964">
              <w:rPr>
                <w:color w:val="2F2E2F"/>
                <w:lang w:val="en-US"/>
              </w:rPr>
              <w:t>biologic</w:t>
            </w:r>
            <w:r w:rsidRPr="00DC7964">
              <w:rPr>
                <w:color w:val="2F2E2F"/>
                <w:vertAlign w:val="superscript"/>
                <w:lang w:val="en-US"/>
              </w:rPr>
              <w:t>a</w:t>
            </w:r>
            <w:proofErr w:type="spellEnd"/>
            <w:r w:rsidRPr="00DC7964">
              <w:rPr>
                <w:color w:val="2F2E2F"/>
                <w:lang w:val="en-US"/>
              </w:rPr>
              <w:t xml:space="preserve"> during the patient identification period </w:t>
            </w:r>
            <w:r>
              <w:rPr>
                <w:color w:val="2F2E2F"/>
                <w:lang w:val="en-US"/>
              </w:rPr>
              <w:t>[</w:t>
            </w:r>
            <w:r w:rsidRPr="00DC7964">
              <w:rPr>
                <w:color w:val="2F2E2F"/>
                <w:lang w:val="en-US"/>
              </w:rPr>
              <w:t>January 1, 2013 to February 29, 2020</w:t>
            </w:r>
            <w:r>
              <w:rPr>
                <w:color w:val="2F2E2F"/>
                <w:lang w:val="en-US"/>
              </w:rPr>
              <w:t>]</w:t>
            </w:r>
            <w:r w:rsidRPr="00DC7964">
              <w:rPr>
                <w:color w:val="2F2E2F"/>
                <w:lang w:val="en-US"/>
              </w:rPr>
              <w:t xml:space="preserve"> 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BC49A" w14:textId="77777777" w:rsidR="004E0BB9" w:rsidRPr="00DC7964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2E2F"/>
                <w:lang w:val="en-US"/>
              </w:rPr>
            </w:pPr>
            <w:r>
              <w:rPr>
                <w:color w:val="2F2E2F"/>
                <w:lang w:val="en-US"/>
              </w:rPr>
              <w:t>150,631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2339E" w14:textId="77777777" w:rsidR="004E0BB9" w:rsidRPr="00DC7964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2E2F"/>
                <w:lang w:val="en-US"/>
              </w:rPr>
            </w:pPr>
            <w:r w:rsidRPr="00DC7964">
              <w:rPr>
                <w:color w:val="2F2E2F"/>
                <w:lang w:val="en-US"/>
              </w:rPr>
              <w:t>–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30EE9" w14:textId="77777777" w:rsidR="004E0BB9" w:rsidRPr="00DC7964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2E2F"/>
                <w:lang w:val="en-US"/>
              </w:rPr>
            </w:pPr>
            <w:r w:rsidRPr="00DC7964">
              <w:rPr>
                <w:color w:val="2F2E2F"/>
                <w:lang w:val="en-US"/>
              </w:rPr>
              <w:t>–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FEAAC" w14:textId="77777777" w:rsidR="004E0BB9" w:rsidRPr="00DC7964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2E2F"/>
                <w:lang w:val="en-US"/>
              </w:rPr>
            </w:pPr>
            <w:r w:rsidRPr="00DC7964">
              <w:rPr>
                <w:color w:val="2F2E2F"/>
                <w:lang w:val="en-US"/>
              </w:rPr>
              <w:t>–</w:t>
            </w:r>
          </w:p>
        </w:tc>
      </w:tr>
      <w:tr w:rsidR="004E0BB9" w:rsidRPr="00DC7964" w14:paraId="2209B0BE" w14:textId="77777777" w:rsidTr="006D7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1FC9D" w14:textId="77777777" w:rsidR="004E0BB9" w:rsidRPr="00DC7964" w:rsidRDefault="004E0BB9" w:rsidP="006D7382">
            <w:pPr>
              <w:rPr>
                <w:color w:val="2F2E2F"/>
                <w:lang w:val="en-US"/>
              </w:rPr>
            </w:pPr>
          </w:p>
        </w:tc>
        <w:tc>
          <w:tcPr>
            <w:tcW w:w="273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B50BD2" w14:textId="77777777" w:rsidR="004E0BB9" w:rsidRPr="00DC7964" w:rsidRDefault="004E0BB9" w:rsidP="006D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>
              <w:rPr>
                <w:color w:val="2F2E2F"/>
                <w:lang w:val="en-US"/>
              </w:rPr>
              <w:t>R</w:t>
            </w:r>
            <w:r w:rsidRPr="00DC7964">
              <w:rPr>
                <w:color w:val="2F2E2F"/>
                <w:lang w:val="en-US"/>
              </w:rPr>
              <w:t>eceiving only one biologic on initial therapy date</w:t>
            </w:r>
          </w:p>
        </w:tc>
        <w:tc>
          <w:tcPr>
            <w:tcW w:w="53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E9349A3" w14:textId="77777777" w:rsidR="004E0BB9" w:rsidRPr="00DC7964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2E2F"/>
                <w:lang w:val="en-US"/>
              </w:rPr>
            </w:pPr>
            <w:r>
              <w:rPr>
                <w:color w:val="2F2E2F"/>
                <w:lang w:val="en-US"/>
              </w:rPr>
              <w:t>150,506</w:t>
            </w:r>
          </w:p>
        </w:tc>
        <w:tc>
          <w:tcPr>
            <w:tcW w:w="23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37CBD97" w14:textId="77777777" w:rsidR="004E0BB9" w:rsidRPr="00DC7964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2E2F"/>
                <w:lang w:val="en-US"/>
              </w:rPr>
            </w:pPr>
            <w:r>
              <w:rPr>
                <w:color w:val="2F2E2F"/>
                <w:lang w:val="en-US"/>
              </w:rPr>
              <w:t>99.9</w:t>
            </w:r>
          </w:p>
        </w:tc>
        <w:tc>
          <w:tcPr>
            <w:tcW w:w="33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3823FB8" w14:textId="77777777" w:rsidR="004E0BB9" w:rsidRPr="00DC7964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2E2F"/>
                <w:lang w:val="en-US"/>
              </w:rPr>
            </w:pPr>
            <w:r>
              <w:rPr>
                <w:color w:val="2F2E2F"/>
                <w:lang w:val="en-US"/>
              </w:rPr>
              <w:t>125</w:t>
            </w:r>
          </w:p>
        </w:tc>
        <w:tc>
          <w:tcPr>
            <w:tcW w:w="55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6D344F7" w14:textId="77777777" w:rsidR="004E0BB9" w:rsidRPr="00DC7964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2E2F"/>
                <w:lang w:val="en-US"/>
              </w:rPr>
            </w:pPr>
            <w:r>
              <w:rPr>
                <w:color w:val="2F2E2F"/>
                <w:lang w:val="en-US"/>
              </w:rPr>
              <w:t>0.1</w:t>
            </w:r>
          </w:p>
        </w:tc>
      </w:tr>
      <w:tr w:rsidR="004E0BB9" w:rsidRPr="00DC7964" w14:paraId="3832EC8C" w14:textId="77777777" w:rsidTr="006D738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CE29FC" w14:textId="77777777" w:rsidR="004E0BB9" w:rsidRPr="00DC7964" w:rsidRDefault="004E0BB9" w:rsidP="006D7382">
            <w:pPr>
              <w:rPr>
                <w:b w:val="0"/>
                <w:bCs w:val="0"/>
                <w:color w:val="2F2E2F"/>
                <w:lang w:val="en-US"/>
              </w:rPr>
            </w:pPr>
            <w:r w:rsidRPr="00DC7964">
              <w:rPr>
                <w:b w:val="0"/>
                <w:bCs w:val="0"/>
                <w:color w:val="2F2E2F"/>
                <w:lang w:val="en-US"/>
              </w:rPr>
              <w:t>EHR activity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2D94E5" w14:textId="77777777" w:rsidR="004E0BB9" w:rsidRPr="00DC7964" w:rsidRDefault="004E0BB9" w:rsidP="006D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2E2F"/>
                <w:lang w:val="en-US"/>
              </w:rPr>
            </w:pPr>
            <w:r w:rsidRPr="00DC7964">
              <w:rPr>
                <w:color w:val="2F2E2F"/>
                <w:lang w:val="en-US"/>
              </w:rPr>
              <w:t xml:space="preserve">EHR activity before the start of the baseline period </w:t>
            </w:r>
            <w:r>
              <w:rPr>
                <w:color w:val="2F2E2F"/>
                <w:lang w:val="en-US"/>
              </w:rPr>
              <w:t>[</w:t>
            </w:r>
            <w:r w:rsidRPr="00DC7964">
              <w:rPr>
                <w:color w:val="2F2E2F"/>
                <w:lang w:val="en-US"/>
              </w:rPr>
              <w:t>365 days before the index date</w:t>
            </w:r>
            <w:r>
              <w:rPr>
                <w:color w:val="2F2E2F"/>
                <w:lang w:val="en-US"/>
              </w:rPr>
              <w:t>]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B5E1B2" w14:textId="77777777" w:rsidR="004E0BB9" w:rsidRPr="00DC7964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>
              <w:rPr>
                <w:rFonts w:cs="Arial"/>
                <w:color w:val="2F2E2F"/>
                <w:kern w:val="24"/>
                <w:lang w:val="en-US"/>
              </w:rPr>
              <w:t>127,931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A02E99" w14:textId="77777777" w:rsidR="004E0BB9" w:rsidRPr="00876701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876701">
              <w:rPr>
                <w:rFonts w:cs="Arial"/>
                <w:color w:val="2F2E2F"/>
                <w:lang w:val="en-US"/>
              </w:rPr>
              <w:t>85.0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28819F" w14:textId="77777777" w:rsidR="004E0BB9" w:rsidRPr="00876701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876701">
              <w:rPr>
                <w:rFonts w:cs="Arial"/>
                <w:color w:val="2F2E2F"/>
                <w:lang w:val="en-US"/>
              </w:rPr>
              <w:t>22,575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0162AB" w14:textId="77777777" w:rsidR="004E0BB9" w:rsidRPr="00876701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876701">
              <w:rPr>
                <w:rFonts w:cs="Arial"/>
                <w:color w:val="2F2E2F"/>
                <w:lang w:val="en-US"/>
              </w:rPr>
              <w:t>15.0</w:t>
            </w:r>
          </w:p>
        </w:tc>
      </w:tr>
      <w:tr w:rsidR="004E0BB9" w:rsidRPr="00DC7964" w14:paraId="60146D08" w14:textId="77777777" w:rsidTr="006D7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99A11" w14:textId="77777777" w:rsidR="004E0BB9" w:rsidRPr="00DC7964" w:rsidRDefault="004E0BB9" w:rsidP="006D7382">
            <w:pPr>
              <w:rPr>
                <w:b w:val="0"/>
                <w:bCs w:val="0"/>
                <w:color w:val="2F2E2F"/>
                <w:lang w:val="en-US"/>
              </w:rPr>
            </w:pPr>
            <w:r w:rsidRPr="00DC7964">
              <w:rPr>
                <w:b w:val="0"/>
                <w:bCs w:val="0"/>
                <w:color w:val="2F2E2F"/>
                <w:lang w:val="en-US"/>
              </w:rPr>
              <w:t>UC diagnosis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84488" w14:textId="35911D3E" w:rsidR="004E0BB9" w:rsidRPr="00DC7964" w:rsidRDefault="004E0BB9" w:rsidP="006D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lang w:val="en-US"/>
              </w:rPr>
              <w:t xml:space="preserve">≥2 diagnoses of UC during the baseline </w:t>
            </w:r>
            <w:proofErr w:type="spellStart"/>
            <w:r w:rsidRPr="00DC7964">
              <w:rPr>
                <w:rFonts w:cs="Arial"/>
                <w:color w:val="2F2E2F"/>
                <w:lang w:val="en-US"/>
              </w:rPr>
              <w:t>period</w:t>
            </w:r>
            <w:r w:rsidRPr="00DC7964">
              <w:rPr>
                <w:rFonts w:cs="Arial"/>
                <w:color w:val="2F2E2F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A04C1" w14:textId="77777777" w:rsidR="004E0BB9" w:rsidRPr="00DC7964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9451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51070" w14:textId="77777777" w:rsidR="004E0BB9" w:rsidRPr="00876701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876701">
              <w:rPr>
                <w:rFonts w:cs="Arial"/>
                <w:color w:val="2F2E2F"/>
                <w:lang w:val="en-US"/>
              </w:rPr>
              <w:t>7.4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49EF6" w14:textId="77777777" w:rsidR="004E0BB9" w:rsidRPr="00876701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876701">
              <w:rPr>
                <w:rFonts w:cs="Arial"/>
                <w:color w:val="2F2E2F"/>
                <w:lang w:val="en-US"/>
              </w:rPr>
              <w:t>118,480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30A07" w14:textId="77777777" w:rsidR="004E0BB9" w:rsidRPr="00876701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876701">
              <w:rPr>
                <w:rFonts w:cs="Arial"/>
                <w:color w:val="2F2E2F"/>
                <w:lang w:val="en-US"/>
              </w:rPr>
              <w:t>9</w:t>
            </w:r>
            <w:r>
              <w:rPr>
                <w:rFonts w:cs="Arial"/>
                <w:color w:val="2F2E2F"/>
                <w:lang w:val="en-US"/>
              </w:rPr>
              <w:t>2.6</w:t>
            </w:r>
          </w:p>
        </w:tc>
      </w:tr>
      <w:tr w:rsidR="004E0BB9" w:rsidRPr="00DC7964" w14:paraId="6F5C0E82" w14:textId="77777777" w:rsidTr="006D738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A7B87B" w14:textId="77777777" w:rsidR="004E0BB9" w:rsidRPr="00DC7964" w:rsidRDefault="004E0BB9" w:rsidP="006D7382">
            <w:pPr>
              <w:rPr>
                <w:b w:val="0"/>
                <w:bCs w:val="0"/>
                <w:color w:val="2F2E2F"/>
                <w:lang w:val="en-US"/>
              </w:rPr>
            </w:pP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5D01BA" w14:textId="31B3C09D" w:rsidR="004E0BB9" w:rsidRPr="00DC7964" w:rsidRDefault="004E0BB9" w:rsidP="006D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lang w:val="en-US"/>
              </w:rPr>
              <w:t>≥1 diagnosis of UC during the follow-up period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181B82" w14:textId="77777777" w:rsidR="004E0BB9" w:rsidRPr="00DC7964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9049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E40306" w14:textId="77777777" w:rsidR="004E0BB9" w:rsidRPr="00DC7964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95.7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54CAE1" w14:textId="77777777" w:rsidR="004E0BB9" w:rsidRPr="00DC7964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402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F80171" w14:textId="77777777" w:rsidR="004E0BB9" w:rsidRPr="00DC7964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4.3</w:t>
            </w:r>
          </w:p>
        </w:tc>
      </w:tr>
      <w:tr w:rsidR="004E0BB9" w:rsidRPr="00DC7964" w14:paraId="77E26AE9" w14:textId="77777777" w:rsidTr="006D7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A595DA" w14:textId="77777777" w:rsidR="004E0BB9" w:rsidRPr="00DC7964" w:rsidRDefault="004E0BB9" w:rsidP="006D7382">
            <w:pPr>
              <w:rPr>
                <w:b w:val="0"/>
                <w:bCs w:val="0"/>
                <w:color w:val="2F2E2F"/>
                <w:lang w:val="en-US"/>
              </w:rPr>
            </w:pPr>
            <w:r w:rsidRPr="00DC7964">
              <w:rPr>
                <w:b w:val="0"/>
                <w:bCs w:val="0"/>
                <w:color w:val="2F2E2F"/>
                <w:lang w:val="en-US"/>
              </w:rPr>
              <w:t>New start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729328" w14:textId="5A600965" w:rsidR="004E0BB9" w:rsidRPr="00DC7964" w:rsidRDefault="004E0BB9" w:rsidP="006D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2E2F"/>
                <w:lang w:val="en-US"/>
              </w:rPr>
            </w:pPr>
            <w:r w:rsidRPr="00DC7964">
              <w:rPr>
                <w:color w:val="2F2E2F"/>
                <w:lang w:val="en-US"/>
              </w:rPr>
              <w:t xml:space="preserve">Exclusion: </w:t>
            </w:r>
            <w:r w:rsidRPr="00DC7964">
              <w:rPr>
                <w:rFonts w:cs="Arial"/>
                <w:color w:val="2F2E2F"/>
                <w:lang w:val="en-US"/>
              </w:rPr>
              <w:t xml:space="preserve">≥1 prescription or administration of </w:t>
            </w:r>
            <w:r w:rsidRPr="00DC7964">
              <w:rPr>
                <w:color w:val="2F2E2F"/>
                <w:lang w:val="en-US"/>
              </w:rPr>
              <w:t xml:space="preserve">a </w:t>
            </w:r>
            <w:proofErr w:type="spellStart"/>
            <w:r w:rsidRPr="00DC7964">
              <w:rPr>
                <w:color w:val="2F2E2F"/>
                <w:lang w:val="en-US"/>
              </w:rPr>
              <w:t>biologic</w:t>
            </w:r>
            <w:r w:rsidRPr="00DC7964">
              <w:rPr>
                <w:color w:val="2F2E2F"/>
                <w:vertAlign w:val="superscript"/>
                <w:lang w:val="en-US"/>
              </w:rPr>
              <w:t>a</w:t>
            </w:r>
            <w:proofErr w:type="spellEnd"/>
            <w:r w:rsidRPr="00DC7964">
              <w:rPr>
                <w:color w:val="2F2E2F"/>
                <w:lang w:val="en-US"/>
              </w:rPr>
              <w:t xml:space="preserve"> </w:t>
            </w:r>
            <w:r w:rsidRPr="00DC7964">
              <w:rPr>
                <w:rFonts w:cs="Arial"/>
                <w:color w:val="2F2E2F"/>
                <w:lang w:val="en-US"/>
              </w:rPr>
              <w:t>during the baseline period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841988" w14:textId="77777777" w:rsidR="004E0BB9" w:rsidRPr="00DC7964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8186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D4527D" w14:textId="77777777" w:rsidR="004E0BB9" w:rsidRPr="00DC7964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90.5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6D8EAF" w14:textId="77777777" w:rsidR="004E0BB9" w:rsidRPr="00DC7964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863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077A0F" w14:textId="77777777" w:rsidR="004E0BB9" w:rsidRPr="00DC7964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9.5</w:t>
            </w:r>
          </w:p>
        </w:tc>
      </w:tr>
      <w:tr w:rsidR="004E0BB9" w:rsidRPr="00DC7964" w14:paraId="5EB6B2D7" w14:textId="77777777" w:rsidTr="006D738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2C6834" w14:textId="77777777" w:rsidR="004E0BB9" w:rsidRPr="00DC7964" w:rsidRDefault="004E0BB9" w:rsidP="006D7382">
            <w:pPr>
              <w:rPr>
                <w:b w:val="0"/>
                <w:bCs w:val="0"/>
                <w:color w:val="2F2E2F"/>
                <w:lang w:val="en-US"/>
              </w:rPr>
            </w:pPr>
            <w:r w:rsidRPr="00DC7964">
              <w:rPr>
                <w:b w:val="0"/>
                <w:bCs w:val="0"/>
                <w:color w:val="2F2E2F"/>
                <w:lang w:val="en-US"/>
              </w:rPr>
              <w:t>No other conditions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A65A98" w14:textId="0B5A5E6C" w:rsidR="004E0BB9" w:rsidRPr="00DC7964" w:rsidRDefault="004E0BB9" w:rsidP="006D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2E2F"/>
                <w:lang w:val="en-US"/>
              </w:rPr>
            </w:pPr>
            <w:r w:rsidRPr="00DC7964">
              <w:rPr>
                <w:color w:val="2F2E2F"/>
                <w:lang w:val="en-US"/>
              </w:rPr>
              <w:t xml:space="preserve">Exclusion: </w:t>
            </w:r>
            <w:r w:rsidRPr="00DC7964">
              <w:rPr>
                <w:rFonts w:cs="Arial"/>
                <w:color w:val="2F2E2F"/>
                <w:lang w:val="en-US"/>
              </w:rPr>
              <w:t>≥1 diagnosis for rheumatoid arthritis, psoriatic arthritis, ankylosing spondylitis, plaque psoriasis, hidradenitis suppurativa, or noninfectious uveitis in the 6 months before the index date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EE72E6" w14:textId="77777777" w:rsidR="004E0BB9" w:rsidRPr="00DC7964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7893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BAE128" w14:textId="77777777" w:rsidR="004E0BB9" w:rsidRPr="00DC7964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96.4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5CA22E" w14:textId="77777777" w:rsidR="004E0BB9" w:rsidRPr="00DC7964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293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C6B912" w14:textId="77777777" w:rsidR="004E0BB9" w:rsidRPr="00DC7964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3.6</w:t>
            </w:r>
          </w:p>
        </w:tc>
      </w:tr>
      <w:tr w:rsidR="004E0BB9" w:rsidRPr="00DC7964" w14:paraId="5C39EE5B" w14:textId="77777777" w:rsidTr="006D7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F7D100" w14:textId="77777777" w:rsidR="004E0BB9" w:rsidRPr="00DC7964" w:rsidRDefault="004E0BB9" w:rsidP="006D7382">
            <w:pPr>
              <w:rPr>
                <w:b w:val="0"/>
                <w:bCs w:val="0"/>
                <w:color w:val="2F2E2F"/>
                <w:lang w:val="en-US"/>
              </w:rPr>
            </w:pPr>
            <w:r w:rsidRPr="00DC7964">
              <w:rPr>
                <w:b w:val="0"/>
                <w:bCs w:val="0"/>
                <w:color w:val="2F2E2F"/>
                <w:lang w:val="en-US"/>
              </w:rPr>
              <w:t>Adult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19C03F" w14:textId="052B9D70" w:rsidR="004E0BB9" w:rsidRPr="00DC7964" w:rsidRDefault="004E0BB9" w:rsidP="006D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lang w:val="en-US"/>
              </w:rPr>
              <w:t>≥18 years old at index date with valid demographic information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F10328" w14:textId="77777777" w:rsidR="004E0BB9" w:rsidRPr="00DC7964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7123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13004D" w14:textId="77777777" w:rsidR="004E0BB9" w:rsidRPr="00DC7964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90.2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FF83F4" w14:textId="77777777" w:rsidR="004E0BB9" w:rsidRPr="00DC7964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770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761CC0" w14:textId="77777777" w:rsidR="004E0BB9" w:rsidRPr="00DC7964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9.8</w:t>
            </w:r>
          </w:p>
        </w:tc>
      </w:tr>
      <w:tr w:rsidR="004E0BB9" w:rsidRPr="00DC7964" w14:paraId="476AE61D" w14:textId="77777777" w:rsidTr="006D738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9F585" w14:textId="77777777" w:rsidR="004E0BB9" w:rsidRPr="00DC7964" w:rsidRDefault="004E0BB9" w:rsidP="006D7382">
            <w:pPr>
              <w:rPr>
                <w:b w:val="0"/>
                <w:bCs w:val="0"/>
                <w:color w:val="2F2E2F"/>
                <w:lang w:val="en-US"/>
              </w:rPr>
            </w:pPr>
            <w:r w:rsidRPr="00DC7964">
              <w:rPr>
                <w:b w:val="0"/>
                <w:bCs w:val="0"/>
                <w:color w:val="2F2E2F"/>
                <w:lang w:val="en-US"/>
              </w:rPr>
              <w:t xml:space="preserve">At least </w:t>
            </w:r>
            <w:r>
              <w:rPr>
                <w:b w:val="0"/>
                <w:bCs w:val="0"/>
                <w:color w:val="2F2E2F"/>
                <w:lang w:val="en-US"/>
              </w:rPr>
              <w:t xml:space="preserve">two </w:t>
            </w:r>
            <w:r w:rsidRPr="00DC7964">
              <w:rPr>
                <w:b w:val="0"/>
                <w:bCs w:val="0"/>
                <w:color w:val="2F2E2F"/>
                <w:lang w:val="en-US"/>
              </w:rPr>
              <w:t>qualifying lines of therapy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CCEB4" w14:textId="19E0311F" w:rsidR="004E0BB9" w:rsidRPr="00DC7964" w:rsidRDefault="004E0BB9" w:rsidP="006D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lang w:val="en-US"/>
              </w:rPr>
              <w:t>≥</w:t>
            </w:r>
            <w:r w:rsidRPr="00DC7964">
              <w:rPr>
                <w:color w:val="2F2E2F"/>
                <w:lang w:val="en-US"/>
              </w:rPr>
              <w:t xml:space="preserve">1 prescription or administration of second </w:t>
            </w:r>
            <w:proofErr w:type="spellStart"/>
            <w:r w:rsidRPr="00DC7964">
              <w:rPr>
                <w:color w:val="2F2E2F"/>
                <w:lang w:val="en-US"/>
              </w:rPr>
              <w:t>biologic</w:t>
            </w:r>
            <w:r w:rsidRPr="00DC7964">
              <w:rPr>
                <w:color w:val="2F2E2F"/>
                <w:sz w:val="16"/>
                <w:szCs w:val="16"/>
                <w:vertAlign w:val="superscript"/>
                <w:lang w:val="en-US"/>
              </w:rPr>
              <w:t>a</w:t>
            </w:r>
            <w:proofErr w:type="spellEnd"/>
            <w:r w:rsidRPr="00DC7964">
              <w:rPr>
                <w:color w:val="2F2E2F"/>
                <w:lang w:val="en-US"/>
              </w:rPr>
              <w:t xml:space="preserve"> following the first biologic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28BA3" w14:textId="77777777" w:rsidR="004E0BB9" w:rsidRPr="00DC7964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1654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3A131" w14:textId="77777777" w:rsidR="004E0BB9" w:rsidRPr="00DC7964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23.2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B9863" w14:textId="77777777" w:rsidR="004E0BB9" w:rsidRPr="00DC7964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5469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1E1A9" w14:textId="77777777" w:rsidR="004E0BB9" w:rsidRPr="00DC7964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76.8</w:t>
            </w:r>
          </w:p>
        </w:tc>
      </w:tr>
      <w:tr w:rsidR="004E0BB9" w:rsidRPr="00DC7964" w14:paraId="376E4414" w14:textId="77777777" w:rsidTr="006D7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0AB894" w14:textId="77777777" w:rsidR="004E0BB9" w:rsidRPr="00DC7964" w:rsidRDefault="004E0BB9" w:rsidP="006D7382">
            <w:pPr>
              <w:rPr>
                <w:color w:val="2F2E2F"/>
                <w:lang w:val="en-US"/>
              </w:rPr>
            </w:pP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580200" w14:textId="77777777" w:rsidR="004E0BB9" w:rsidRPr="00DC7964" w:rsidRDefault="004E0BB9" w:rsidP="006D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2E2F"/>
                <w:lang w:val="en-US"/>
              </w:rPr>
            </w:pPr>
            <w:r w:rsidRPr="00DC7964">
              <w:rPr>
                <w:color w:val="2F2E2F"/>
                <w:lang w:val="en-US"/>
              </w:rPr>
              <w:t xml:space="preserve">Monotherapy during second line of </w:t>
            </w:r>
            <w:r>
              <w:rPr>
                <w:color w:val="2F2E2F"/>
                <w:lang w:val="en-US"/>
              </w:rPr>
              <w:t>treatment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5173C4" w14:textId="77777777" w:rsidR="004E0BB9" w:rsidRPr="00DC7964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1640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D32822" w14:textId="77777777" w:rsidR="004E0BB9" w:rsidRPr="00DC7964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99.2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B752A1" w14:textId="77777777" w:rsidR="004E0BB9" w:rsidRPr="00DC7964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14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E9BFC2" w14:textId="77777777" w:rsidR="004E0BB9" w:rsidRPr="00DC7964" w:rsidRDefault="004E0BB9" w:rsidP="006D7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F2E2F"/>
                <w:lang w:val="en-US"/>
              </w:rPr>
            </w:pPr>
            <w:r w:rsidRPr="00DC7964">
              <w:rPr>
                <w:rFonts w:cs="Arial"/>
                <w:color w:val="2F2E2F"/>
                <w:kern w:val="24"/>
                <w:lang w:val="en-US"/>
              </w:rPr>
              <w:t>0.8</w:t>
            </w:r>
          </w:p>
        </w:tc>
      </w:tr>
      <w:tr w:rsidR="004E0BB9" w:rsidRPr="00DC7964" w14:paraId="1D5FFBFE" w14:textId="77777777" w:rsidTr="006D738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367B80" w14:textId="77777777" w:rsidR="004E0BB9" w:rsidRPr="0015765D" w:rsidRDefault="004E0BB9" w:rsidP="006D7382">
            <w:pPr>
              <w:rPr>
                <w:color w:val="2F2E2F"/>
                <w:lang w:val="en-US"/>
              </w:rPr>
            </w:pPr>
            <w:r w:rsidRPr="0015765D">
              <w:rPr>
                <w:b w:val="0"/>
                <w:bCs w:val="0"/>
                <w:color w:val="2F2E2F"/>
                <w:lang w:val="en-US"/>
              </w:rPr>
              <w:lastRenderedPageBreak/>
              <w:t>Treatment sequences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2C94DF" w14:textId="77777777" w:rsidR="004E0BB9" w:rsidRPr="0015765D" w:rsidRDefault="004E0BB9" w:rsidP="006D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2E2F"/>
                <w:lang w:val="en-US"/>
              </w:rPr>
            </w:pPr>
            <w:r w:rsidRPr="0015765D">
              <w:rPr>
                <w:color w:val="2F2E2F"/>
                <w:lang w:val="en-US"/>
              </w:rPr>
              <w:t>ADA to IFX, IFX to ADA, VDZ to ADA, VDZ to IFX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5811C4" w14:textId="77777777" w:rsidR="004E0BB9" w:rsidRPr="0015765D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F2E2F"/>
                <w:kern w:val="24"/>
                <w:lang w:val="en-US"/>
              </w:rPr>
            </w:pPr>
            <w:r w:rsidRPr="0015765D">
              <w:rPr>
                <w:rFonts w:cs="Arial"/>
                <w:color w:val="2F2E2F"/>
                <w:kern w:val="24"/>
                <w:lang w:val="en-US"/>
              </w:rPr>
              <w:t>779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AE75A1" w14:textId="77777777" w:rsidR="004E0BB9" w:rsidRPr="0015765D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F2E2F"/>
                <w:kern w:val="24"/>
                <w:lang w:val="en-US"/>
              </w:rPr>
            </w:pPr>
            <w:r w:rsidRPr="0015765D">
              <w:rPr>
                <w:rFonts w:cs="Arial"/>
                <w:color w:val="2F2E2F"/>
                <w:kern w:val="24"/>
                <w:lang w:val="en-US"/>
              </w:rPr>
              <w:t>47.5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E36AC5" w14:textId="77777777" w:rsidR="004E0BB9" w:rsidRPr="0015765D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F2E2F"/>
                <w:kern w:val="24"/>
                <w:lang w:val="en-US"/>
              </w:rPr>
            </w:pPr>
            <w:r w:rsidRPr="0015765D">
              <w:rPr>
                <w:rFonts w:cs="Arial"/>
                <w:color w:val="2F2E2F"/>
                <w:kern w:val="24"/>
                <w:lang w:val="en-US"/>
              </w:rPr>
              <w:t>861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83D3C5" w14:textId="77777777" w:rsidR="004E0BB9" w:rsidRPr="0015765D" w:rsidRDefault="004E0BB9" w:rsidP="006D7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F2E2F"/>
                <w:kern w:val="24"/>
                <w:lang w:val="en-US"/>
              </w:rPr>
            </w:pPr>
            <w:r w:rsidRPr="0015765D">
              <w:rPr>
                <w:rFonts w:cs="Arial"/>
                <w:color w:val="2F2E2F"/>
                <w:kern w:val="24"/>
                <w:lang w:val="en-US"/>
              </w:rPr>
              <w:t>52.5</w:t>
            </w:r>
          </w:p>
        </w:tc>
      </w:tr>
    </w:tbl>
    <w:p w14:paraId="0653076F" w14:textId="63D40723" w:rsidR="004E0BB9" w:rsidRPr="00DC7964" w:rsidRDefault="004E0BB9" w:rsidP="004E0BB9">
      <w:pPr>
        <w:spacing w:before="120" w:after="40"/>
        <w:rPr>
          <w:rFonts w:eastAsia="Times New Roman" w:cs="Times New Roman"/>
          <w:color w:val="2F2E2F"/>
          <w:sz w:val="16"/>
          <w:szCs w:val="16"/>
          <w:lang w:val="en-US"/>
        </w:rPr>
      </w:pPr>
      <w:r w:rsidRPr="00DC7964">
        <w:rPr>
          <w:rFonts w:eastAsia="Times New Roman" w:cs="Times New Roman"/>
          <w:color w:val="2F2E2F"/>
          <w:sz w:val="16"/>
          <w:szCs w:val="16"/>
          <w:lang w:val="en-US"/>
        </w:rPr>
        <w:t xml:space="preserve">ADA, adalimumab; CD, Crohn’s disease; EHR, electronic health record; IFX, infliximab; UC, ulcerative colitis; UST, </w:t>
      </w:r>
      <w:proofErr w:type="spellStart"/>
      <w:r w:rsidRPr="00DC7964">
        <w:rPr>
          <w:rFonts w:eastAsia="Times New Roman" w:cs="Times New Roman"/>
          <w:color w:val="2F2E2F"/>
          <w:sz w:val="16"/>
          <w:szCs w:val="16"/>
          <w:lang w:val="en-US"/>
        </w:rPr>
        <w:t>ustekinumab</w:t>
      </w:r>
      <w:proofErr w:type="spellEnd"/>
      <w:r w:rsidRPr="00DC7964">
        <w:rPr>
          <w:rFonts w:eastAsia="Times New Roman" w:cs="Times New Roman"/>
          <w:color w:val="2F2E2F"/>
          <w:sz w:val="16"/>
          <w:szCs w:val="16"/>
          <w:lang w:val="en-US"/>
        </w:rPr>
        <w:t>; VDZ, vedolizumab.</w:t>
      </w:r>
      <w:r>
        <w:rPr>
          <w:rFonts w:eastAsia="Times New Roman" w:cs="Times New Roman"/>
          <w:color w:val="2F2E2F"/>
          <w:sz w:val="16"/>
          <w:szCs w:val="16"/>
          <w:lang w:val="en-US"/>
        </w:rPr>
        <w:t xml:space="preserve"> </w:t>
      </w:r>
      <w:proofErr w:type="spellStart"/>
      <w:r w:rsidRPr="00DC7964">
        <w:rPr>
          <w:rFonts w:eastAsia="Times New Roman" w:cs="Times New Roman"/>
          <w:color w:val="2F2E2F"/>
          <w:sz w:val="16"/>
          <w:szCs w:val="16"/>
          <w:vertAlign w:val="superscript"/>
          <w:lang w:val="en-US"/>
        </w:rPr>
        <w:t>a</w:t>
      </w:r>
      <w:r w:rsidRPr="00DC7964">
        <w:rPr>
          <w:rFonts w:eastAsia="Times New Roman" w:cs="Times New Roman"/>
          <w:color w:val="2F2E2F"/>
          <w:sz w:val="16"/>
          <w:szCs w:val="16"/>
          <w:lang w:val="en-US"/>
        </w:rPr>
        <w:t>Biologics</w:t>
      </w:r>
      <w:proofErr w:type="spellEnd"/>
      <w:r w:rsidRPr="00DC7964">
        <w:rPr>
          <w:rFonts w:eastAsia="Times New Roman" w:cs="Times New Roman"/>
          <w:color w:val="2F2E2F"/>
          <w:sz w:val="16"/>
          <w:szCs w:val="16"/>
          <w:lang w:val="en-US"/>
        </w:rPr>
        <w:t xml:space="preserve"> included were adalimumab, </w:t>
      </w:r>
      <w:proofErr w:type="spellStart"/>
      <w:r w:rsidRPr="00DC7964">
        <w:rPr>
          <w:rFonts w:eastAsia="Times New Roman" w:cs="Times New Roman"/>
          <w:color w:val="2F2E2F"/>
          <w:sz w:val="16"/>
          <w:szCs w:val="16"/>
          <w:lang w:val="en-US"/>
        </w:rPr>
        <w:t>ustekinumab</w:t>
      </w:r>
      <w:proofErr w:type="spellEnd"/>
      <w:r w:rsidRPr="00DC7964">
        <w:rPr>
          <w:rFonts w:eastAsia="Times New Roman" w:cs="Times New Roman"/>
          <w:color w:val="2F2E2F"/>
          <w:sz w:val="16"/>
          <w:szCs w:val="16"/>
          <w:lang w:val="en-US"/>
        </w:rPr>
        <w:t>, infliximab, or vedolizumab.</w:t>
      </w:r>
      <w:r>
        <w:rPr>
          <w:rFonts w:eastAsia="Times New Roman" w:cs="Times New Roman"/>
          <w:color w:val="2F2E2F"/>
          <w:sz w:val="16"/>
          <w:szCs w:val="16"/>
          <w:lang w:val="en-US"/>
        </w:rPr>
        <w:t xml:space="preserve"> </w:t>
      </w:r>
      <w:proofErr w:type="spellStart"/>
      <w:r w:rsidRPr="00DC7964">
        <w:rPr>
          <w:rFonts w:eastAsia="Times New Roman" w:cs="Times New Roman"/>
          <w:color w:val="2F2E2F"/>
          <w:sz w:val="16"/>
          <w:szCs w:val="16"/>
          <w:vertAlign w:val="superscript"/>
          <w:lang w:val="en-US"/>
        </w:rPr>
        <w:t>b</w:t>
      </w:r>
      <w:r w:rsidRPr="00DC7964">
        <w:rPr>
          <w:rFonts w:eastAsia="Times New Roman" w:cs="Times New Roman"/>
          <w:color w:val="2F2E2F"/>
          <w:sz w:val="16"/>
          <w:szCs w:val="16"/>
          <w:lang w:val="en-US"/>
        </w:rPr>
        <w:t>For</w:t>
      </w:r>
      <w:proofErr w:type="spellEnd"/>
      <w:r w:rsidRPr="00DC7964">
        <w:rPr>
          <w:rFonts w:eastAsia="Times New Roman" w:cs="Times New Roman"/>
          <w:color w:val="2F2E2F"/>
          <w:sz w:val="16"/>
          <w:szCs w:val="16"/>
          <w:lang w:val="en-US"/>
        </w:rPr>
        <w:t xml:space="preserve"> patients with diagnoses of both CD and UC, the number of consecutive diagnoses during the baseline period was used to classify patients; </w:t>
      </w:r>
      <w:r>
        <w:rPr>
          <w:rFonts w:eastAsia="Times New Roman" w:cs="Arial"/>
          <w:color w:val="2F2E2F"/>
          <w:sz w:val="16"/>
          <w:szCs w:val="16"/>
          <w:lang w:val="en-US"/>
        </w:rPr>
        <w:t>≥</w:t>
      </w:r>
      <w:r w:rsidRPr="00DC7964">
        <w:rPr>
          <w:rFonts w:eastAsia="Times New Roman" w:cs="Times New Roman"/>
          <w:color w:val="2F2E2F"/>
          <w:sz w:val="16"/>
          <w:szCs w:val="16"/>
          <w:lang w:val="en-US"/>
        </w:rPr>
        <w:t xml:space="preserve">3 consecutive UC </w:t>
      </w:r>
      <w:r>
        <w:rPr>
          <w:rFonts w:eastAsia="Times New Roman" w:cs="Times New Roman"/>
          <w:color w:val="2F2E2F"/>
          <w:sz w:val="16"/>
          <w:szCs w:val="16"/>
          <w:lang w:val="en-US"/>
        </w:rPr>
        <w:t>diagnoses</w:t>
      </w:r>
      <w:r w:rsidRPr="00DC7964">
        <w:rPr>
          <w:rFonts w:eastAsia="Times New Roman" w:cs="Times New Roman"/>
          <w:color w:val="2F2E2F"/>
          <w:sz w:val="16"/>
          <w:szCs w:val="16"/>
          <w:lang w:val="en-US"/>
        </w:rPr>
        <w:t xml:space="preserve"> after CD diagnosis and </w:t>
      </w:r>
      <w:r>
        <w:rPr>
          <w:rFonts w:eastAsia="Times New Roman" w:cs="Arial"/>
          <w:color w:val="2F2E2F"/>
          <w:sz w:val="16"/>
          <w:szCs w:val="16"/>
          <w:lang w:val="en-US"/>
        </w:rPr>
        <w:t>≥</w:t>
      </w:r>
      <w:r w:rsidRPr="00DC7964">
        <w:rPr>
          <w:rFonts w:eastAsia="Times New Roman" w:cs="Times New Roman"/>
          <w:color w:val="2F2E2F"/>
          <w:sz w:val="16"/>
          <w:szCs w:val="16"/>
          <w:lang w:val="en-US"/>
        </w:rPr>
        <w:t>3 CD</w:t>
      </w:r>
      <w:r>
        <w:rPr>
          <w:rFonts w:eastAsia="Times New Roman" w:cs="Times New Roman"/>
          <w:color w:val="2F2E2F"/>
          <w:sz w:val="16"/>
          <w:szCs w:val="16"/>
          <w:lang w:val="en-US"/>
        </w:rPr>
        <w:t xml:space="preserve"> diagnoses</w:t>
      </w:r>
      <w:r w:rsidRPr="00DC7964">
        <w:rPr>
          <w:rFonts w:eastAsia="Times New Roman" w:cs="Times New Roman"/>
          <w:color w:val="2F2E2F"/>
          <w:sz w:val="16"/>
          <w:szCs w:val="16"/>
          <w:lang w:val="en-US"/>
        </w:rPr>
        <w:t xml:space="preserve"> after UC diagnosis were used to classify UC and CD correctly</w:t>
      </w:r>
    </w:p>
    <w:p w14:paraId="08882C27" w14:textId="77777777" w:rsidR="009438FF" w:rsidRPr="004E0BB9" w:rsidRDefault="00B67899">
      <w:pPr>
        <w:rPr>
          <w:rFonts w:cs="Arial"/>
          <w:lang w:val="en-US"/>
        </w:rPr>
      </w:pPr>
    </w:p>
    <w:sectPr w:rsidR="009438FF" w:rsidRPr="004E0BB9" w:rsidSect="006673F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52C97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710688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B9"/>
    <w:rsid w:val="004E0BB9"/>
    <w:rsid w:val="006C2241"/>
    <w:rsid w:val="007E232D"/>
    <w:rsid w:val="00B67899"/>
    <w:rsid w:val="00C002CD"/>
    <w:rsid w:val="00C655AB"/>
    <w:rsid w:val="00D5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883FE"/>
  <w15:chartTrackingRefBased/>
  <w15:docId w15:val="{A142DE61-BA9E-445D-A184-A5C64856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BB9"/>
    <w:pPr>
      <w:spacing w:line="48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0BB9"/>
    <w:pPr>
      <w:keepNext/>
      <w:keepLines/>
      <w:numPr>
        <w:numId w:val="1"/>
      </w:numPr>
      <w:spacing w:before="120" w:after="120" w:line="360" w:lineRule="auto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0BB9"/>
    <w:pPr>
      <w:keepNext/>
      <w:keepLines/>
      <w:numPr>
        <w:ilvl w:val="1"/>
        <w:numId w:val="1"/>
      </w:numPr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0BB9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BB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BB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BB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BB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BB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BB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BB9"/>
    <w:rPr>
      <w:rFonts w:ascii="Arial" w:eastAsiaTheme="majorEastAsia" w:hAnsi="Arial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0BB9"/>
    <w:rPr>
      <w:rFonts w:ascii="Arial" w:eastAsiaTheme="majorEastAsia" w:hAnsi="Arial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0BB9"/>
    <w:rPr>
      <w:rFonts w:ascii="Arial" w:eastAsiaTheme="majorEastAsia" w:hAnsi="Arial" w:cstheme="majorBidi"/>
      <w:color w:val="000000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B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BB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BB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BB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B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BB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ListTable6Colorful-Accent5">
    <w:name w:val="List Table 6 Colorful Accent 5"/>
    <w:basedOn w:val="TableNormal"/>
    <w:uiPriority w:val="51"/>
    <w:rsid w:val="004E0BB9"/>
    <w:pPr>
      <w:spacing w:after="0" w:line="240" w:lineRule="auto"/>
    </w:pPr>
    <w:rPr>
      <w:rFonts w:ascii="Times New Roman" w:eastAsia="Times New Roman" w:hAnsi="Times New Roman" w:cs="Times New Roman"/>
      <w:color w:val="2E74B5" w:themeColor="accent5" w:themeShade="BF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Revision">
    <w:name w:val="Revision"/>
    <w:hidden/>
    <w:uiPriority w:val="99"/>
    <w:semiHidden/>
    <w:rsid w:val="00C002C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writer</dc:creator>
  <cp:keywords/>
  <dc:description/>
  <cp:lastModifiedBy>PharmaGenesis</cp:lastModifiedBy>
  <cp:revision>2</cp:revision>
  <dcterms:created xsi:type="dcterms:W3CDTF">2023-06-02T08:54:00Z</dcterms:created>
  <dcterms:modified xsi:type="dcterms:W3CDTF">2023-06-02T08:54:00Z</dcterms:modified>
</cp:coreProperties>
</file>