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4FA5D2" w14:textId="5E19E659" w:rsidR="003F1A74" w:rsidRPr="004F3391" w:rsidRDefault="003F1A74" w:rsidP="003F1A74">
      <w:pPr>
        <w:widowControl w:val="0"/>
        <w:autoSpaceDE w:val="0"/>
        <w:autoSpaceDN w:val="0"/>
        <w:adjustRightInd w:val="0"/>
        <w:spacing w:line="480" w:lineRule="auto"/>
        <w:jc w:val="both"/>
        <w:rPr>
          <w:rFonts w:ascii="Arial" w:hAnsi="Arial" w:cs="Arial"/>
          <w:b/>
          <w:sz w:val="22"/>
          <w:szCs w:val="22"/>
        </w:rPr>
      </w:pPr>
      <w:r w:rsidRPr="009432E5">
        <w:rPr>
          <w:rFonts w:ascii="Arial" w:hAnsi="Arial" w:cs="Arial"/>
          <w:b/>
          <w:sz w:val="22"/>
          <w:szCs w:val="22"/>
        </w:rPr>
        <w:t>Su</w:t>
      </w:r>
      <w:r w:rsidRPr="004F3391">
        <w:rPr>
          <w:rFonts w:ascii="Arial" w:hAnsi="Arial" w:cs="Arial"/>
          <w:b/>
          <w:sz w:val="22"/>
          <w:szCs w:val="22"/>
        </w:rPr>
        <w:t>p</w:t>
      </w:r>
      <w:r w:rsidR="005A6A51">
        <w:rPr>
          <w:rFonts w:ascii="Arial" w:hAnsi="Arial" w:cs="Arial"/>
          <w:b/>
          <w:sz w:val="22"/>
          <w:szCs w:val="22"/>
        </w:rPr>
        <w:t>porting</w:t>
      </w:r>
      <w:r w:rsidRPr="004F3391">
        <w:rPr>
          <w:rFonts w:ascii="Arial" w:hAnsi="Arial" w:cs="Arial"/>
          <w:b/>
          <w:sz w:val="22"/>
          <w:szCs w:val="22"/>
        </w:rPr>
        <w:t xml:space="preserve"> Materials </w:t>
      </w:r>
      <w:r w:rsidR="005A6A51">
        <w:rPr>
          <w:rFonts w:ascii="Arial" w:hAnsi="Arial" w:cs="Arial"/>
          <w:b/>
          <w:sz w:val="22"/>
          <w:szCs w:val="22"/>
        </w:rPr>
        <w:t>S</w:t>
      </w:r>
      <w:r w:rsidRPr="004F3391">
        <w:rPr>
          <w:rFonts w:ascii="Arial" w:hAnsi="Arial" w:cs="Arial"/>
          <w:b/>
          <w:sz w:val="22"/>
          <w:szCs w:val="22"/>
        </w:rPr>
        <w:t>1: Table of Parameter Values</w:t>
      </w:r>
      <w:r w:rsidR="005A6A51">
        <w:rPr>
          <w:rFonts w:ascii="Arial" w:hAnsi="Arial" w:cs="Arial"/>
          <w:b/>
          <w:sz w:val="22"/>
          <w:szCs w:val="22"/>
        </w:rPr>
        <w:t xml:space="preserve"> and Parameter </w:t>
      </w:r>
      <w:r w:rsidR="00CC0CFB">
        <w:rPr>
          <w:rFonts w:ascii="Arial" w:hAnsi="Arial" w:cs="Arial"/>
          <w:b/>
          <w:sz w:val="22"/>
          <w:szCs w:val="22"/>
        </w:rPr>
        <w:t>Determination</w:t>
      </w:r>
      <w:bookmarkStart w:id="0" w:name="_GoBack"/>
      <w:bookmarkEnd w:id="0"/>
      <w:r w:rsidR="005A6A51">
        <w:rPr>
          <w:rFonts w:ascii="Arial" w:hAnsi="Arial" w:cs="Arial"/>
          <w:b/>
          <w:sz w:val="22"/>
          <w:szCs w:val="22"/>
        </w:rPr>
        <w:t xml:space="preserve"> Process</w:t>
      </w:r>
    </w:p>
    <w:tbl>
      <w:tblPr>
        <w:tblStyle w:val="TableGrid"/>
        <w:tblW w:w="0" w:type="auto"/>
        <w:tblLook w:val="04A0" w:firstRow="1" w:lastRow="0" w:firstColumn="1" w:lastColumn="0" w:noHBand="0" w:noVBand="1"/>
      </w:tblPr>
      <w:tblGrid>
        <w:gridCol w:w="2308"/>
        <w:gridCol w:w="1782"/>
        <w:gridCol w:w="1482"/>
        <w:gridCol w:w="1744"/>
        <w:gridCol w:w="1540"/>
      </w:tblGrid>
      <w:tr w:rsidR="003F1A74" w:rsidRPr="004F3391" w14:paraId="6285504A" w14:textId="77777777" w:rsidTr="00D905BE">
        <w:tc>
          <w:tcPr>
            <w:tcW w:w="2308" w:type="dxa"/>
          </w:tcPr>
          <w:p w14:paraId="25994C0C" w14:textId="77777777" w:rsidR="003F1A74" w:rsidRPr="004F3391" w:rsidRDefault="003F1A74" w:rsidP="00D905BE">
            <w:pPr>
              <w:jc w:val="center"/>
              <w:rPr>
                <w:rFonts w:ascii="Arial" w:hAnsi="Arial" w:cs="Arial"/>
                <w:b/>
                <w:sz w:val="22"/>
                <w:szCs w:val="22"/>
              </w:rPr>
            </w:pPr>
            <w:r w:rsidRPr="004F3391">
              <w:rPr>
                <w:rFonts w:ascii="Arial" w:hAnsi="Arial" w:cs="Arial"/>
                <w:b/>
                <w:sz w:val="22"/>
                <w:szCs w:val="22"/>
              </w:rPr>
              <w:t>Parameter Type</w:t>
            </w:r>
          </w:p>
        </w:tc>
        <w:tc>
          <w:tcPr>
            <w:tcW w:w="1868" w:type="dxa"/>
          </w:tcPr>
          <w:p w14:paraId="05072B46" w14:textId="77777777" w:rsidR="003F1A74" w:rsidRPr="004F3391" w:rsidRDefault="003F1A74" w:rsidP="00D905BE">
            <w:pPr>
              <w:jc w:val="center"/>
              <w:rPr>
                <w:rFonts w:ascii="Arial" w:hAnsi="Arial" w:cs="Arial"/>
                <w:b/>
                <w:sz w:val="22"/>
                <w:szCs w:val="22"/>
              </w:rPr>
            </w:pPr>
            <w:r w:rsidRPr="004F3391">
              <w:rPr>
                <w:rFonts w:ascii="Arial" w:hAnsi="Arial" w:cs="Arial"/>
                <w:b/>
                <w:sz w:val="22"/>
                <w:szCs w:val="22"/>
              </w:rPr>
              <w:t>Parameter</w:t>
            </w:r>
          </w:p>
        </w:tc>
        <w:tc>
          <w:tcPr>
            <w:tcW w:w="1762" w:type="dxa"/>
          </w:tcPr>
          <w:p w14:paraId="7F13D7C5" w14:textId="77777777" w:rsidR="003F1A74" w:rsidRPr="004F3391" w:rsidRDefault="003F1A74" w:rsidP="00D905BE">
            <w:pPr>
              <w:jc w:val="center"/>
              <w:rPr>
                <w:rFonts w:ascii="Arial" w:hAnsi="Arial" w:cs="Arial"/>
                <w:b/>
                <w:sz w:val="22"/>
                <w:szCs w:val="22"/>
              </w:rPr>
            </w:pPr>
            <w:r w:rsidRPr="004F3391">
              <w:rPr>
                <w:rFonts w:ascii="Arial" w:hAnsi="Arial" w:cs="Arial"/>
                <w:b/>
                <w:sz w:val="22"/>
                <w:szCs w:val="22"/>
              </w:rPr>
              <w:t>Value</w:t>
            </w:r>
          </w:p>
        </w:tc>
        <w:tc>
          <w:tcPr>
            <w:tcW w:w="1855" w:type="dxa"/>
          </w:tcPr>
          <w:p w14:paraId="37499B60" w14:textId="77777777" w:rsidR="003F1A74" w:rsidRPr="004F3391" w:rsidRDefault="003F1A74" w:rsidP="00D905BE">
            <w:pPr>
              <w:jc w:val="center"/>
              <w:rPr>
                <w:rFonts w:ascii="Arial" w:hAnsi="Arial" w:cs="Arial"/>
                <w:b/>
                <w:sz w:val="22"/>
                <w:szCs w:val="22"/>
              </w:rPr>
            </w:pPr>
            <w:r w:rsidRPr="004F3391">
              <w:rPr>
                <w:rFonts w:ascii="Arial" w:hAnsi="Arial" w:cs="Arial"/>
                <w:b/>
                <w:sz w:val="22"/>
                <w:szCs w:val="22"/>
              </w:rPr>
              <w:t>Description</w:t>
            </w:r>
          </w:p>
        </w:tc>
        <w:tc>
          <w:tcPr>
            <w:tcW w:w="1783" w:type="dxa"/>
          </w:tcPr>
          <w:p w14:paraId="1DDA80A1" w14:textId="77777777" w:rsidR="003F1A74" w:rsidRPr="004F3391" w:rsidRDefault="003F1A74" w:rsidP="00D905BE">
            <w:pPr>
              <w:jc w:val="center"/>
              <w:rPr>
                <w:rFonts w:ascii="Arial" w:hAnsi="Arial" w:cs="Arial"/>
                <w:b/>
                <w:sz w:val="22"/>
                <w:szCs w:val="22"/>
              </w:rPr>
            </w:pPr>
            <w:r w:rsidRPr="004F3391">
              <w:rPr>
                <w:rFonts w:ascii="Arial" w:hAnsi="Arial" w:cs="Arial"/>
                <w:b/>
                <w:sz w:val="22"/>
                <w:szCs w:val="22"/>
              </w:rPr>
              <w:t>Fitted?</w:t>
            </w:r>
          </w:p>
        </w:tc>
      </w:tr>
      <w:tr w:rsidR="003F1A74" w:rsidRPr="004F3391" w14:paraId="71B18DB0" w14:textId="77777777" w:rsidTr="00D905BE">
        <w:tc>
          <w:tcPr>
            <w:tcW w:w="2308" w:type="dxa"/>
          </w:tcPr>
          <w:p w14:paraId="2F6622BE" w14:textId="77777777" w:rsidR="003F1A74" w:rsidRPr="004F3391" w:rsidRDefault="003F1A74" w:rsidP="00D905BE">
            <w:pPr>
              <w:rPr>
                <w:rFonts w:ascii="Arial" w:hAnsi="Arial" w:cs="Arial"/>
                <w:i/>
                <w:sz w:val="22"/>
                <w:szCs w:val="22"/>
              </w:rPr>
            </w:pPr>
            <w:r w:rsidRPr="004F3391">
              <w:rPr>
                <w:rFonts w:ascii="Arial" w:hAnsi="Arial" w:cs="Arial"/>
                <w:i/>
                <w:sz w:val="22"/>
                <w:szCs w:val="22"/>
              </w:rPr>
              <w:t>Diffusion Rates of Secreted Mediators (</w:t>
            </w:r>
            <w:proofErr w:type="spellStart"/>
            <w:r w:rsidRPr="004F3391">
              <w:rPr>
                <w:rFonts w:ascii="Arial" w:hAnsi="Arial" w:cs="Arial"/>
                <w:i/>
                <w:sz w:val="22"/>
                <w:szCs w:val="22"/>
              </w:rPr>
              <w:t>Netlogo</w:t>
            </w:r>
            <w:proofErr w:type="spellEnd"/>
            <w:r w:rsidRPr="004F3391">
              <w:rPr>
                <w:rFonts w:ascii="Arial" w:hAnsi="Arial" w:cs="Arial"/>
                <w:i/>
                <w:sz w:val="22"/>
                <w:szCs w:val="22"/>
              </w:rPr>
              <w:t xml:space="preserve"> Function for Environmental Variables)</w:t>
            </w:r>
          </w:p>
        </w:tc>
        <w:tc>
          <w:tcPr>
            <w:tcW w:w="1868" w:type="dxa"/>
          </w:tcPr>
          <w:p w14:paraId="7C4F9029" w14:textId="77777777" w:rsidR="003F1A74" w:rsidRPr="004F3391" w:rsidRDefault="003F1A74" w:rsidP="00D905BE">
            <w:pPr>
              <w:rPr>
                <w:rFonts w:ascii="Arial" w:hAnsi="Arial" w:cs="Arial"/>
                <w:i/>
                <w:sz w:val="22"/>
                <w:szCs w:val="22"/>
              </w:rPr>
            </w:pPr>
          </w:p>
        </w:tc>
        <w:tc>
          <w:tcPr>
            <w:tcW w:w="1762" w:type="dxa"/>
          </w:tcPr>
          <w:p w14:paraId="135A7D7E" w14:textId="77777777" w:rsidR="003F1A74" w:rsidRPr="004F3391" w:rsidRDefault="003F1A74" w:rsidP="00D905BE">
            <w:pPr>
              <w:rPr>
                <w:rFonts w:ascii="Arial" w:hAnsi="Arial" w:cs="Arial"/>
                <w:i/>
                <w:sz w:val="22"/>
                <w:szCs w:val="22"/>
              </w:rPr>
            </w:pPr>
          </w:p>
        </w:tc>
        <w:tc>
          <w:tcPr>
            <w:tcW w:w="1855" w:type="dxa"/>
          </w:tcPr>
          <w:p w14:paraId="118D0359" w14:textId="77777777" w:rsidR="003F1A74" w:rsidRPr="004F3391" w:rsidRDefault="003F1A74" w:rsidP="00D905BE">
            <w:pPr>
              <w:rPr>
                <w:rFonts w:ascii="Arial" w:hAnsi="Arial" w:cs="Arial"/>
                <w:i/>
                <w:sz w:val="22"/>
                <w:szCs w:val="22"/>
              </w:rPr>
            </w:pPr>
          </w:p>
        </w:tc>
        <w:tc>
          <w:tcPr>
            <w:tcW w:w="1783" w:type="dxa"/>
          </w:tcPr>
          <w:p w14:paraId="69C62620" w14:textId="77777777" w:rsidR="003F1A74" w:rsidRPr="004F3391" w:rsidRDefault="003F1A74" w:rsidP="00D905BE">
            <w:pPr>
              <w:rPr>
                <w:rFonts w:ascii="Arial" w:hAnsi="Arial" w:cs="Arial"/>
                <w:i/>
                <w:sz w:val="22"/>
                <w:szCs w:val="22"/>
              </w:rPr>
            </w:pPr>
          </w:p>
        </w:tc>
      </w:tr>
      <w:tr w:rsidR="003F1A74" w:rsidRPr="004F3391" w14:paraId="0B2C94CD" w14:textId="77777777" w:rsidTr="00D905BE">
        <w:tc>
          <w:tcPr>
            <w:tcW w:w="2308" w:type="dxa"/>
          </w:tcPr>
          <w:p w14:paraId="439580A3" w14:textId="77777777" w:rsidR="003F1A74" w:rsidRPr="004F3391" w:rsidRDefault="003F1A74" w:rsidP="00D905BE">
            <w:pPr>
              <w:rPr>
                <w:rFonts w:ascii="Arial" w:hAnsi="Arial" w:cs="Arial"/>
                <w:i/>
                <w:sz w:val="22"/>
                <w:szCs w:val="22"/>
              </w:rPr>
            </w:pPr>
          </w:p>
        </w:tc>
        <w:tc>
          <w:tcPr>
            <w:tcW w:w="1868" w:type="dxa"/>
          </w:tcPr>
          <w:p w14:paraId="5974D60A" w14:textId="77777777" w:rsidR="003F1A74" w:rsidRPr="004F3391" w:rsidRDefault="003F1A74" w:rsidP="00D905BE">
            <w:pPr>
              <w:rPr>
                <w:rFonts w:ascii="Arial" w:hAnsi="Arial" w:cs="Arial"/>
                <w:sz w:val="22"/>
                <w:szCs w:val="22"/>
              </w:rPr>
            </w:pPr>
            <w:proofErr w:type="spellStart"/>
            <w:r w:rsidRPr="004F3391">
              <w:rPr>
                <w:rFonts w:ascii="Arial" w:hAnsi="Arial" w:cs="Arial"/>
                <w:sz w:val="22"/>
                <w:szCs w:val="22"/>
              </w:rPr>
              <w:t>Amphiregulin</w:t>
            </w:r>
            <w:proofErr w:type="spellEnd"/>
            <w:r w:rsidRPr="004F3391">
              <w:rPr>
                <w:rFonts w:ascii="Arial" w:hAnsi="Arial" w:cs="Arial"/>
                <w:sz w:val="22"/>
                <w:szCs w:val="22"/>
              </w:rPr>
              <w:t>-level</w:t>
            </w:r>
          </w:p>
        </w:tc>
        <w:tc>
          <w:tcPr>
            <w:tcW w:w="1762" w:type="dxa"/>
          </w:tcPr>
          <w:p w14:paraId="72441BE4" w14:textId="77777777" w:rsidR="003F1A74" w:rsidRPr="004F3391" w:rsidRDefault="003F1A74" w:rsidP="00D905BE">
            <w:pPr>
              <w:jc w:val="center"/>
              <w:rPr>
                <w:rFonts w:ascii="Arial" w:hAnsi="Arial" w:cs="Arial"/>
                <w:sz w:val="22"/>
                <w:szCs w:val="22"/>
              </w:rPr>
            </w:pPr>
            <w:r w:rsidRPr="004F3391">
              <w:rPr>
                <w:rFonts w:ascii="Arial" w:hAnsi="Arial" w:cs="Arial"/>
                <w:sz w:val="22"/>
                <w:szCs w:val="22"/>
              </w:rPr>
              <w:t>0.8</w:t>
            </w:r>
          </w:p>
        </w:tc>
        <w:tc>
          <w:tcPr>
            <w:tcW w:w="1855" w:type="dxa"/>
          </w:tcPr>
          <w:p w14:paraId="39EEE700" w14:textId="77777777" w:rsidR="003F1A74" w:rsidRPr="004F3391" w:rsidRDefault="003F1A74" w:rsidP="00D905BE">
            <w:pPr>
              <w:rPr>
                <w:rFonts w:ascii="Arial" w:hAnsi="Arial" w:cs="Arial"/>
                <w:sz w:val="22"/>
                <w:szCs w:val="22"/>
              </w:rPr>
            </w:pPr>
            <w:r w:rsidRPr="004F3391">
              <w:rPr>
                <w:rFonts w:ascii="Arial" w:hAnsi="Arial" w:cs="Arial"/>
                <w:sz w:val="22"/>
                <w:szCs w:val="22"/>
              </w:rPr>
              <w:t xml:space="preserve">Extracellular level of </w:t>
            </w:r>
            <w:proofErr w:type="spellStart"/>
            <w:r w:rsidRPr="004F3391">
              <w:rPr>
                <w:rFonts w:ascii="Arial" w:hAnsi="Arial" w:cs="Arial"/>
                <w:sz w:val="22"/>
                <w:szCs w:val="22"/>
              </w:rPr>
              <w:t>amphiregulin</w:t>
            </w:r>
            <w:proofErr w:type="spellEnd"/>
          </w:p>
        </w:tc>
        <w:tc>
          <w:tcPr>
            <w:tcW w:w="1783" w:type="dxa"/>
          </w:tcPr>
          <w:p w14:paraId="1D20B781" w14:textId="77777777" w:rsidR="003F1A74" w:rsidRPr="004F3391" w:rsidRDefault="003F1A74" w:rsidP="00D905BE">
            <w:pPr>
              <w:jc w:val="center"/>
              <w:rPr>
                <w:rFonts w:ascii="Arial" w:hAnsi="Arial" w:cs="Arial"/>
                <w:sz w:val="22"/>
                <w:szCs w:val="22"/>
              </w:rPr>
            </w:pPr>
            <w:r w:rsidRPr="004F3391">
              <w:rPr>
                <w:rFonts w:ascii="Arial" w:hAnsi="Arial" w:cs="Arial"/>
                <w:sz w:val="22"/>
                <w:szCs w:val="22"/>
              </w:rPr>
              <w:t>No</w:t>
            </w:r>
          </w:p>
        </w:tc>
      </w:tr>
      <w:tr w:rsidR="003F1A74" w:rsidRPr="004F3391" w14:paraId="03F86FCF" w14:textId="77777777" w:rsidTr="00D905BE">
        <w:tc>
          <w:tcPr>
            <w:tcW w:w="2308" w:type="dxa"/>
          </w:tcPr>
          <w:p w14:paraId="48553425" w14:textId="77777777" w:rsidR="003F1A74" w:rsidRPr="004F3391" w:rsidRDefault="003F1A74" w:rsidP="00D905BE">
            <w:pPr>
              <w:rPr>
                <w:rFonts w:ascii="Arial" w:hAnsi="Arial" w:cs="Arial"/>
                <w:sz w:val="22"/>
                <w:szCs w:val="22"/>
              </w:rPr>
            </w:pPr>
          </w:p>
        </w:tc>
        <w:tc>
          <w:tcPr>
            <w:tcW w:w="1868" w:type="dxa"/>
          </w:tcPr>
          <w:p w14:paraId="07BE47B6" w14:textId="77777777" w:rsidR="003F1A74" w:rsidRPr="004F3391" w:rsidRDefault="003F1A74" w:rsidP="00D905BE">
            <w:pPr>
              <w:rPr>
                <w:rFonts w:ascii="Arial" w:hAnsi="Arial" w:cs="Arial"/>
                <w:sz w:val="22"/>
                <w:szCs w:val="22"/>
              </w:rPr>
            </w:pPr>
            <w:r w:rsidRPr="004F3391">
              <w:rPr>
                <w:rFonts w:ascii="Arial" w:hAnsi="Arial" w:cs="Arial"/>
                <w:sz w:val="22"/>
                <w:szCs w:val="22"/>
              </w:rPr>
              <w:t>HGF-level</w:t>
            </w:r>
          </w:p>
        </w:tc>
        <w:tc>
          <w:tcPr>
            <w:tcW w:w="1762" w:type="dxa"/>
          </w:tcPr>
          <w:p w14:paraId="29D1C38C" w14:textId="77777777" w:rsidR="003F1A74" w:rsidRPr="004F3391" w:rsidRDefault="003F1A74" w:rsidP="00D905BE">
            <w:pPr>
              <w:jc w:val="center"/>
              <w:rPr>
                <w:rFonts w:ascii="Arial" w:hAnsi="Arial" w:cs="Arial"/>
                <w:sz w:val="22"/>
                <w:szCs w:val="22"/>
              </w:rPr>
            </w:pPr>
            <w:r w:rsidRPr="004F3391">
              <w:rPr>
                <w:rFonts w:ascii="Arial" w:hAnsi="Arial" w:cs="Arial"/>
                <w:sz w:val="22"/>
                <w:szCs w:val="22"/>
              </w:rPr>
              <w:t>0.8</w:t>
            </w:r>
          </w:p>
        </w:tc>
        <w:tc>
          <w:tcPr>
            <w:tcW w:w="1855" w:type="dxa"/>
          </w:tcPr>
          <w:p w14:paraId="6F478EB3" w14:textId="77777777" w:rsidR="003F1A74" w:rsidRPr="004F3391" w:rsidRDefault="003F1A74" w:rsidP="00D905BE">
            <w:pPr>
              <w:rPr>
                <w:rFonts w:ascii="Arial" w:hAnsi="Arial" w:cs="Arial"/>
                <w:sz w:val="22"/>
                <w:szCs w:val="22"/>
              </w:rPr>
            </w:pPr>
            <w:r w:rsidRPr="004F3391">
              <w:rPr>
                <w:rFonts w:ascii="Arial" w:hAnsi="Arial" w:cs="Arial"/>
                <w:sz w:val="22"/>
                <w:szCs w:val="22"/>
              </w:rPr>
              <w:t>Extracellular level of HGF</w:t>
            </w:r>
          </w:p>
        </w:tc>
        <w:tc>
          <w:tcPr>
            <w:tcW w:w="1783" w:type="dxa"/>
          </w:tcPr>
          <w:p w14:paraId="273A55C0" w14:textId="77777777" w:rsidR="003F1A74" w:rsidRPr="004F3391" w:rsidRDefault="003F1A74" w:rsidP="00D905BE">
            <w:pPr>
              <w:jc w:val="center"/>
              <w:rPr>
                <w:rFonts w:ascii="Arial" w:hAnsi="Arial" w:cs="Arial"/>
                <w:sz w:val="22"/>
                <w:szCs w:val="22"/>
              </w:rPr>
            </w:pPr>
            <w:r w:rsidRPr="004F3391">
              <w:rPr>
                <w:rFonts w:ascii="Arial" w:hAnsi="Arial" w:cs="Arial"/>
                <w:sz w:val="22"/>
                <w:szCs w:val="22"/>
              </w:rPr>
              <w:t>No</w:t>
            </w:r>
          </w:p>
        </w:tc>
      </w:tr>
      <w:tr w:rsidR="003F1A74" w:rsidRPr="004F3391" w14:paraId="6B297498" w14:textId="77777777" w:rsidTr="00D905BE">
        <w:tc>
          <w:tcPr>
            <w:tcW w:w="2308" w:type="dxa"/>
          </w:tcPr>
          <w:p w14:paraId="6CE60F7E" w14:textId="77777777" w:rsidR="003F1A74" w:rsidRPr="004F3391" w:rsidRDefault="003F1A74" w:rsidP="00D905BE">
            <w:pPr>
              <w:rPr>
                <w:rFonts w:ascii="Arial" w:hAnsi="Arial" w:cs="Arial"/>
                <w:sz w:val="22"/>
                <w:szCs w:val="22"/>
              </w:rPr>
            </w:pPr>
          </w:p>
        </w:tc>
        <w:tc>
          <w:tcPr>
            <w:tcW w:w="1868" w:type="dxa"/>
          </w:tcPr>
          <w:p w14:paraId="50ED56EC" w14:textId="77777777" w:rsidR="003F1A74" w:rsidRPr="004F3391" w:rsidRDefault="003F1A74" w:rsidP="00D905BE">
            <w:pPr>
              <w:rPr>
                <w:rFonts w:ascii="Arial" w:hAnsi="Arial" w:cs="Arial"/>
                <w:sz w:val="22"/>
                <w:szCs w:val="22"/>
              </w:rPr>
            </w:pPr>
            <w:r w:rsidRPr="004F3391">
              <w:rPr>
                <w:rFonts w:ascii="Arial" w:hAnsi="Arial" w:cs="Arial"/>
                <w:sz w:val="22"/>
                <w:szCs w:val="22"/>
              </w:rPr>
              <w:t>TGFB-level</w:t>
            </w:r>
          </w:p>
        </w:tc>
        <w:tc>
          <w:tcPr>
            <w:tcW w:w="1762" w:type="dxa"/>
          </w:tcPr>
          <w:p w14:paraId="3C2C8935" w14:textId="77777777" w:rsidR="003F1A74" w:rsidRPr="004F3391" w:rsidRDefault="003F1A74" w:rsidP="00D905BE">
            <w:pPr>
              <w:jc w:val="center"/>
              <w:rPr>
                <w:rFonts w:ascii="Arial" w:hAnsi="Arial" w:cs="Arial"/>
                <w:sz w:val="22"/>
                <w:szCs w:val="22"/>
              </w:rPr>
            </w:pPr>
            <w:r w:rsidRPr="004F3391">
              <w:rPr>
                <w:rFonts w:ascii="Arial" w:hAnsi="Arial" w:cs="Arial"/>
                <w:sz w:val="22"/>
                <w:szCs w:val="22"/>
              </w:rPr>
              <w:t>0.8</w:t>
            </w:r>
          </w:p>
        </w:tc>
        <w:tc>
          <w:tcPr>
            <w:tcW w:w="1855" w:type="dxa"/>
          </w:tcPr>
          <w:p w14:paraId="13987832" w14:textId="77777777" w:rsidR="003F1A74" w:rsidRPr="004F3391" w:rsidRDefault="003F1A74" w:rsidP="00D905BE">
            <w:pPr>
              <w:rPr>
                <w:rFonts w:ascii="Arial" w:hAnsi="Arial" w:cs="Arial"/>
                <w:sz w:val="22"/>
                <w:szCs w:val="22"/>
              </w:rPr>
            </w:pPr>
            <w:r w:rsidRPr="004F3391">
              <w:rPr>
                <w:rFonts w:ascii="Arial" w:hAnsi="Arial" w:cs="Arial"/>
                <w:sz w:val="22"/>
                <w:szCs w:val="22"/>
              </w:rPr>
              <w:t>Extracellular level of TGFB</w:t>
            </w:r>
          </w:p>
        </w:tc>
        <w:tc>
          <w:tcPr>
            <w:tcW w:w="1783" w:type="dxa"/>
          </w:tcPr>
          <w:p w14:paraId="5B47C3A5" w14:textId="77777777" w:rsidR="003F1A74" w:rsidRPr="004F3391" w:rsidRDefault="003F1A74" w:rsidP="00D905BE">
            <w:pPr>
              <w:jc w:val="center"/>
              <w:rPr>
                <w:rFonts w:ascii="Arial" w:hAnsi="Arial" w:cs="Arial"/>
                <w:sz w:val="22"/>
                <w:szCs w:val="22"/>
              </w:rPr>
            </w:pPr>
            <w:r w:rsidRPr="004F3391">
              <w:rPr>
                <w:rFonts w:ascii="Arial" w:hAnsi="Arial" w:cs="Arial"/>
                <w:sz w:val="22"/>
                <w:szCs w:val="22"/>
              </w:rPr>
              <w:t>No</w:t>
            </w:r>
          </w:p>
        </w:tc>
      </w:tr>
      <w:tr w:rsidR="003F1A74" w:rsidRPr="004F3391" w14:paraId="25C82162" w14:textId="77777777" w:rsidTr="00D905BE">
        <w:tc>
          <w:tcPr>
            <w:tcW w:w="2308" w:type="dxa"/>
          </w:tcPr>
          <w:p w14:paraId="306ADB63" w14:textId="77777777" w:rsidR="003F1A74" w:rsidRPr="004F3391" w:rsidRDefault="003F1A74" w:rsidP="00D905BE">
            <w:pPr>
              <w:rPr>
                <w:rFonts w:ascii="Arial" w:hAnsi="Arial" w:cs="Arial"/>
                <w:sz w:val="22"/>
                <w:szCs w:val="22"/>
              </w:rPr>
            </w:pPr>
          </w:p>
        </w:tc>
        <w:tc>
          <w:tcPr>
            <w:tcW w:w="1868" w:type="dxa"/>
          </w:tcPr>
          <w:p w14:paraId="0E6F3BA9" w14:textId="77777777" w:rsidR="003F1A74" w:rsidRPr="004F3391" w:rsidRDefault="003F1A74" w:rsidP="00D905BE">
            <w:pPr>
              <w:rPr>
                <w:rFonts w:ascii="Arial" w:hAnsi="Arial" w:cs="Arial"/>
                <w:sz w:val="22"/>
                <w:szCs w:val="22"/>
              </w:rPr>
            </w:pPr>
            <w:r w:rsidRPr="004F3391">
              <w:rPr>
                <w:rFonts w:ascii="Arial" w:hAnsi="Arial" w:cs="Arial"/>
                <w:sz w:val="22"/>
                <w:szCs w:val="22"/>
              </w:rPr>
              <w:t>RANK-level</w:t>
            </w:r>
          </w:p>
        </w:tc>
        <w:tc>
          <w:tcPr>
            <w:tcW w:w="1762" w:type="dxa"/>
          </w:tcPr>
          <w:p w14:paraId="5C507BF0" w14:textId="77777777" w:rsidR="003F1A74" w:rsidRPr="004F3391" w:rsidRDefault="003F1A74" w:rsidP="00D905BE">
            <w:pPr>
              <w:jc w:val="center"/>
              <w:rPr>
                <w:rFonts w:ascii="Arial" w:hAnsi="Arial" w:cs="Arial"/>
                <w:sz w:val="22"/>
                <w:szCs w:val="22"/>
              </w:rPr>
            </w:pPr>
            <w:r w:rsidRPr="004F3391">
              <w:rPr>
                <w:rFonts w:ascii="Arial" w:hAnsi="Arial" w:cs="Arial"/>
                <w:sz w:val="22"/>
                <w:szCs w:val="22"/>
              </w:rPr>
              <w:t>0.8</w:t>
            </w:r>
          </w:p>
        </w:tc>
        <w:tc>
          <w:tcPr>
            <w:tcW w:w="1855" w:type="dxa"/>
          </w:tcPr>
          <w:p w14:paraId="16AF9336" w14:textId="77777777" w:rsidR="003F1A74" w:rsidRPr="004F3391" w:rsidRDefault="003F1A74" w:rsidP="00D905BE">
            <w:pPr>
              <w:rPr>
                <w:rFonts w:ascii="Arial" w:hAnsi="Arial" w:cs="Arial"/>
                <w:sz w:val="22"/>
                <w:szCs w:val="22"/>
              </w:rPr>
            </w:pPr>
            <w:r w:rsidRPr="004F3391">
              <w:rPr>
                <w:rFonts w:ascii="Arial" w:hAnsi="Arial" w:cs="Arial"/>
                <w:sz w:val="22"/>
                <w:szCs w:val="22"/>
              </w:rPr>
              <w:t>Extracellular level of RANK</w:t>
            </w:r>
          </w:p>
        </w:tc>
        <w:tc>
          <w:tcPr>
            <w:tcW w:w="1783" w:type="dxa"/>
          </w:tcPr>
          <w:p w14:paraId="68AF3D1B" w14:textId="77777777" w:rsidR="003F1A74" w:rsidRPr="004F3391" w:rsidRDefault="003F1A74" w:rsidP="00D905BE">
            <w:pPr>
              <w:jc w:val="center"/>
              <w:rPr>
                <w:rFonts w:ascii="Arial" w:hAnsi="Arial" w:cs="Arial"/>
                <w:sz w:val="22"/>
                <w:szCs w:val="22"/>
              </w:rPr>
            </w:pPr>
            <w:r w:rsidRPr="004F3391">
              <w:rPr>
                <w:rFonts w:ascii="Arial" w:hAnsi="Arial" w:cs="Arial"/>
                <w:sz w:val="22"/>
                <w:szCs w:val="22"/>
              </w:rPr>
              <w:t>No</w:t>
            </w:r>
          </w:p>
        </w:tc>
      </w:tr>
      <w:tr w:rsidR="003F1A74" w:rsidRPr="004F3391" w14:paraId="7EC7DCF0" w14:textId="77777777" w:rsidTr="00D905BE">
        <w:tc>
          <w:tcPr>
            <w:tcW w:w="2308" w:type="dxa"/>
          </w:tcPr>
          <w:p w14:paraId="09B567A6" w14:textId="77777777" w:rsidR="003F1A74" w:rsidRPr="004F3391" w:rsidRDefault="003F1A74" w:rsidP="00D905BE">
            <w:pPr>
              <w:rPr>
                <w:rFonts w:ascii="Arial" w:hAnsi="Arial" w:cs="Arial"/>
                <w:i/>
                <w:sz w:val="22"/>
                <w:szCs w:val="22"/>
              </w:rPr>
            </w:pPr>
            <w:r w:rsidRPr="004F3391">
              <w:rPr>
                <w:rFonts w:ascii="Arial" w:hAnsi="Arial" w:cs="Arial"/>
                <w:i/>
                <w:sz w:val="22"/>
                <w:szCs w:val="22"/>
              </w:rPr>
              <w:t>Activity Thresholds (Agent Variable)</w:t>
            </w:r>
          </w:p>
        </w:tc>
        <w:tc>
          <w:tcPr>
            <w:tcW w:w="1868" w:type="dxa"/>
          </w:tcPr>
          <w:p w14:paraId="0F5603E1" w14:textId="77777777" w:rsidR="003F1A74" w:rsidRPr="004F3391" w:rsidRDefault="003F1A74" w:rsidP="00D905BE">
            <w:pPr>
              <w:rPr>
                <w:rFonts w:ascii="Arial" w:hAnsi="Arial" w:cs="Arial"/>
                <w:i/>
                <w:sz w:val="22"/>
                <w:szCs w:val="22"/>
              </w:rPr>
            </w:pPr>
          </w:p>
        </w:tc>
        <w:tc>
          <w:tcPr>
            <w:tcW w:w="1762" w:type="dxa"/>
          </w:tcPr>
          <w:p w14:paraId="71DF8788" w14:textId="77777777" w:rsidR="003F1A74" w:rsidRPr="004F3391" w:rsidRDefault="003F1A74" w:rsidP="00D905BE">
            <w:pPr>
              <w:rPr>
                <w:rFonts w:ascii="Arial" w:hAnsi="Arial" w:cs="Arial"/>
                <w:i/>
                <w:sz w:val="22"/>
                <w:szCs w:val="22"/>
              </w:rPr>
            </w:pPr>
          </w:p>
        </w:tc>
        <w:tc>
          <w:tcPr>
            <w:tcW w:w="1855" w:type="dxa"/>
          </w:tcPr>
          <w:p w14:paraId="275F6079" w14:textId="77777777" w:rsidR="003F1A74" w:rsidRPr="004F3391" w:rsidRDefault="003F1A74" w:rsidP="00D905BE">
            <w:pPr>
              <w:rPr>
                <w:rFonts w:ascii="Arial" w:hAnsi="Arial" w:cs="Arial"/>
                <w:i/>
                <w:sz w:val="22"/>
                <w:szCs w:val="22"/>
              </w:rPr>
            </w:pPr>
          </w:p>
        </w:tc>
        <w:tc>
          <w:tcPr>
            <w:tcW w:w="1783" w:type="dxa"/>
          </w:tcPr>
          <w:p w14:paraId="1104C35F" w14:textId="77777777" w:rsidR="003F1A74" w:rsidRPr="004F3391" w:rsidRDefault="003F1A74" w:rsidP="00D905BE">
            <w:pPr>
              <w:rPr>
                <w:rFonts w:ascii="Arial" w:hAnsi="Arial" w:cs="Arial"/>
                <w:i/>
                <w:sz w:val="22"/>
                <w:szCs w:val="22"/>
              </w:rPr>
            </w:pPr>
          </w:p>
        </w:tc>
      </w:tr>
      <w:tr w:rsidR="003F1A74" w:rsidRPr="004F3391" w14:paraId="1E619F5C" w14:textId="77777777" w:rsidTr="00D905BE">
        <w:tc>
          <w:tcPr>
            <w:tcW w:w="2308" w:type="dxa"/>
          </w:tcPr>
          <w:p w14:paraId="5473E3B0" w14:textId="77777777" w:rsidR="003F1A74" w:rsidRPr="004F3391" w:rsidRDefault="003F1A74" w:rsidP="00D905BE">
            <w:pPr>
              <w:rPr>
                <w:rFonts w:ascii="Arial" w:hAnsi="Arial" w:cs="Arial"/>
                <w:i/>
                <w:sz w:val="22"/>
                <w:szCs w:val="22"/>
              </w:rPr>
            </w:pPr>
          </w:p>
        </w:tc>
        <w:tc>
          <w:tcPr>
            <w:tcW w:w="1868" w:type="dxa"/>
          </w:tcPr>
          <w:p w14:paraId="7CF2C48E" w14:textId="77777777" w:rsidR="003F1A74" w:rsidRPr="004F3391" w:rsidRDefault="003F1A74" w:rsidP="00D905BE">
            <w:pPr>
              <w:rPr>
                <w:rFonts w:ascii="Arial" w:hAnsi="Arial" w:cs="Arial"/>
                <w:sz w:val="22"/>
                <w:szCs w:val="22"/>
              </w:rPr>
            </w:pPr>
            <w:proofErr w:type="spellStart"/>
            <w:r w:rsidRPr="004F3391">
              <w:rPr>
                <w:rFonts w:ascii="Arial" w:hAnsi="Arial" w:cs="Arial"/>
                <w:sz w:val="22"/>
                <w:szCs w:val="22"/>
              </w:rPr>
              <w:t>Hayflick</w:t>
            </w:r>
            <w:proofErr w:type="spellEnd"/>
            <w:r w:rsidRPr="004F3391">
              <w:rPr>
                <w:rFonts w:ascii="Arial" w:hAnsi="Arial" w:cs="Arial"/>
                <w:sz w:val="22"/>
                <w:szCs w:val="22"/>
              </w:rPr>
              <w:t>-number</w:t>
            </w:r>
          </w:p>
        </w:tc>
        <w:tc>
          <w:tcPr>
            <w:tcW w:w="1762" w:type="dxa"/>
          </w:tcPr>
          <w:p w14:paraId="086B71D4" w14:textId="77777777" w:rsidR="003F1A74" w:rsidRPr="004F3391" w:rsidRDefault="003F1A74" w:rsidP="00D905BE">
            <w:pPr>
              <w:jc w:val="center"/>
              <w:rPr>
                <w:rFonts w:ascii="Arial" w:hAnsi="Arial" w:cs="Arial"/>
                <w:sz w:val="22"/>
                <w:szCs w:val="22"/>
              </w:rPr>
            </w:pPr>
            <w:r w:rsidRPr="004F3391">
              <w:rPr>
                <w:rFonts w:ascii="Arial" w:hAnsi="Arial" w:cs="Arial"/>
                <w:sz w:val="22"/>
                <w:szCs w:val="22"/>
              </w:rPr>
              <w:t>40 max</w:t>
            </w:r>
          </w:p>
        </w:tc>
        <w:tc>
          <w:tcPr>
            <w:tcW w:w="1855" w:type="dxa"/>
          </w:tcPr>
          <w:p w14:paraId="1CFA7768" w14:textId="77777777" w:rsidR="003F1A74" w:rsidRPr="004F3391" w:rsidRDefault="003F1A74" w:rsidP="00D905BE">
            <w:pPr>
              <w:rPr>
                <w:rFonts w:ascii="Arial" w:hAnsi="Arial" w:cs="Arial"/>
                <w:sz w:val="22"/>
                <w:szCs w:val="22"/>
              </w:rPr>
            </w:pPr>
            <w:proofErr w:type="spellStart"/>
            <w:r w:rsidRPr="004F3391">
              <w:rPr>
                <w:rFonts w:ascii="Arial" w:hAnsi="Arial" w:cs="Arial"/>
                <w:sz w:val="22"/>
                <w:szCs w:val="22"/>
              </w:rPr>
              <w:t>Telomer</w:t>
            </w:r>
            <w:proofErr w:type="spellEnd"/>
            <w:r w:rsidRPr="004F3391">
              <w:rPr>
                <w:rFonts w:ascii="Arial" w:hAnsi="Arial" w:cs="Arial"/>
                <w:sz w:val="22"/>
                <w:szCs w:val="22"/>
              </w:rPr>
              <w:t xml:space="preserve"> Length, limits number of cellular divisions</w:t>
            </w:r>
          </w:p>
        </w:tc>
        <w:tc>
          <w:tcPr>
            <w:tcW w:w="1783" w:type="dxa"/>
          </w:tcPr>
          <w:p w14:paraId="4FC39CC2" w14:textId="77777777" w:rsidR="003F1A74" w:rsidRPr="004F3391" w:rsidRDefault="003F1A74" w:rsidP="00D905BE">
            <w:pPr>
              <w:jc w:val="center"/>
              <w:rPr>
                <w:rFonts w:ascii="Arial" w:hAnsi="Arial" w:cs="Arial"/>
                <w:sz w:val="22"/>
                <w:szCs w:val="22"/>
              </w:rPr>
            </w:pPr>
            <w:r w:rsidRPr="004F3391">
              <w:rPr>
                <w:rFonts w:ascii="Arial" w:hAnsi="Arial" w:cs="Arial"/>
                <w:sz w:val="22"/>
                <w:szCs w:val="22"/>
              </w:rPr>
              <w:t>No</w:t>
            </w:r>
          </w:p>
        </w:tc>
      </w:tr>
      <w:tr w:rsidR="003F1A74" w:rsidRPr="004F3391" w14:paraId="2B5D1A9C" w14:textId="77777777" w:rsidTr="00D905BE">
        <w:tc>
          <w:tcPr>
            <w:tcW w:w="2308" w:type="dxa"/>
          </w:tcPr>
          <w:p w14:paraId="222B60F1" w14:textId="77777777" w:rsidR="003F1A74" w:rsidRPr="004F3391" w:rsidRDefault="003F1A74" w:rsidP="00D905BE">
            <w:pPr>
              <w:rPr>
                <w:rFonts w:ascii="Arial" w:hAnsi="Arial" w:cs="Arial"/>
                <w:sz w:val="22"/>
                <w:szCs w:val="22"/>
              </w:rPr>
            </w:pPr>
          </w:p>
        </w:tc>
        <w:tc>
          <w:tcPr>
            <w:tcW w:w="1868" w:type="dxa"/>
          </w:tcPr>
          <w:p w14:paraId="7532D331" w14:textId="77777777" w:rsidR="003F1A74" w:rsidRPr="004F3391" w:rsidRDefault="003F1A74" w:rsidP="00D905BE">
            <w:pPr>
              <w:rPr>
                <w:rFonts w:ascii="Arial" w:hAnsi="Arial" w:cs="Arial"/>
                <w:sz w:val="22"/>
                <w:szCs w:val="22"/>
              </w:rPr>
            </w:pPr>
            <w:r w:rsidRPr="004F3391">
              <w:rPr>
                <w:rFonts w:ascii="Arial" w:hAnsi="Arial" w:cs="Arial"/>
                <w:sz w:val="22"/>
                <w:szCs w:val="22"/>
              </w:rPr>
              <w:t>DNA-integrity</w:t>
            </w:r>
          </w:p>
        </w:tc>
        <w:tc>
          <w:tcPr>
            <w:tcW w:w="1762" w:type="dxa"/>
          </w:tcPr>
          <w:p w14:paraId="39DCF03E" w14:textId="77777777" w:rsidR="003F1A74" w:rsidRPr="004F3391" w:rsidRDefault="003F1A74" w:rsidP="00D905BE">
            <w:pPr>
              <w:jc w:val="center"/>
              <w:rPr>
                <w:rFonts w:ascii="Arial" w:hAnsi="Arial" w:cs="Arial"/>
                <w:sz w:val="22"/>
                <w:szCs w:val="22"/>
              </w:rPr>
            </w:pPr>
            <w:r w:rsidRPr="004F3391">
              <w:rPr>
                <w:rFonts w:ascii="Arial" w:hAnsi="Arial" w:cs="Arial"/>
                <w:sz w:val="22"/>
                <w:szCs w:val="22"/>
              </w:rPr>
              <w:t>1000 max</w:t>
            </w:r>
          </w:p>
        </w:tc>
        <w:tc>
          <w:tcPr>
            <w:tcW w:w="1855" w:type="dxa"/>
          </w:tcPr>
          <w:p w14:paraId="6BF954A9" w14:textId="77777777" w:rsidR="003F1A74" w:rsidRPr="004F3391" w:rsidRDefault="003F1A74" w:rsidP="00D905BE">
            <w:pPr>
              <w:rPr>
                <w:rFonts w:ascii="Arial" w:hAnsi="Arial" w:cs="Arial"/>
                <w:sz w:val="22"/>
                <w:szCs w:val="22"/>
              </w:rPr>
            </w:pPr>
            <w:r w:rsidRPr="004F3391">
              <w:rPr>
                <w:rFonts w:ascii="Arial" w:hAnsi="Arial" w:cs="Arial"/>
                <w:sz w:val="22"/>
                <w:szCs w:val="22"/>
              </w:rPr>
              <w:t>Counter for total amount of genetic damage, mutation rate is 1/1000 per time step</w:t>
            </w:r>
          </w:p>
        </w:tc>
        <w:tc>
          <w:tcPr>
            <w:tcW w:w="1783" w:type="dxa"/>
          </w:tcPr>
          <w:p w14:paraId="5731C4F0" w14:textId="77777777" w:rsidR="003F1A74" w:rsidRPr="004F3391" w:rsidRDefault="003F1A74" w:rsidP="00D905BE">
            <w:pPr>
              <w:jc w:val="center"/>
              <w:rPr>
                <w:rFonts w:ascii="Arial" w:hAnsi="Arial" w:cs="Arial"/>
                <w:sz w:val="22"/>
                <w:szCs w:val="22"/>
              </w:rPr>
            </w:pPr>
            <w:r w:rsidRPr="004F3391">
              <w:rPr>
                <w:rFonts w:ascii="Arial" w:hAnsi="Arial" w:cs="Arial"/>
                <w:sz w:val="22"/>
                <w:szCs w:val="22"/>
              </w:rPr>
              <w:t>No</w:t>
            </w:r>
          </w:p>
        </w:tc>
      </w:tr>
      <w:tr w:rsidR="003F1A74" w:rsidRPr="004F3391" w14:paraId="25B29E87" w14:textId="77777777" w:rsidTr="00D905BE">
        <w:tc>
          <w:tcPr>
            <w:tcW w:w="2308" w:type="dxa"/>
          </w:tcPr>
          <w:p w14:paraId="2DD289F8" w14:textId="77777777" w:rsidR="003F1A74" w:rsidRPr="004F3391" w:rsidRDefault="003F1A74" w:rsidP="00D905BE">
            <w:pPr>
              <w:rPr>
                <w:rFonts w:ascii="Arial" w:hAnsi="Arial" w:cs="Arial"/>
                <w:b/>
                <w:sz w:val="22"/>
                <w:szCs w:val="22"/>
              </w:rPr>
            </w:pPr>
          </w:p>
        </w:tc>
        <w:tc>
          <w:tcPr>
            <w:tcW w:w="1868" w:type="dxa"/>
          </w:tcPr>
          <w:p w14:paraId="0103CAE3" w14:textId="77777777" w:rsidR="003F1A74" w:rsidRPr="004F3391" w:rsidRDefault="003F1A74" w:rsidP="00D905BE">
            <w:pPr>
              <w:rPr>
                <w:rFonts w:ascii="Arial" w:hAnsi="Arial" w:cs="Arial"/>
                <w:sz w:val="22"/>
                <w:szCs w:val="22"/>
              </w:rPr>
            </w:pPr>
            <w:proofErr w:type="spellStart"/>
            <w:r w:rsidRPr="004F3391">
              <w:rPr>
                <w:rFonts w:ascii="Arial" w:hAnsi="Arial" w:cs="Arial"/>
                <w:sz w:val="22"/>
                <w:szCs w:val="22"/>
              </w:rPr>
              <w:t>Bax</w:t>
            </w:r>
            <w:proofErr w:type="spellEnd"/>
            <w:r w:rsidRPr="004F3391">
              <w:rPr>
                <w:rFonts w:ascii="Arial" w:hAnsi="Arial" w:cs="Arial"/>
                <w:sz w:val="22"/>
                <w:szCs w:val="22"/>
              </w:rPr>
              <w:t>-Level</w:t>
            </w:r>
          </w:p>
        </w:tc>
        <w:tc>
          <w:tcPr>
            <w:tcW w:w="1762" w:type="dxa"/>
          </w:tcPr>
          <w:p w14:paraId="098B0723" w14:textId="77777777" w:rsidR="003F1A74" w:rsidRPr="004F3391" w:rsidRDefault="003F1A74" w:rsidP="00D905BE">
            <w:pPr>
              <w:jc w:val="center"/>
              <w:rPr>
                <w:rFonts w:ascii="Arial" w:hAnsi="Arial" w:cs="Arial"/>
                <w:sz w:val="22"/>
                <w:szCs w:val="22"/>
              </w:rPr>
            </w:pPr>
            <w:r w:rsidRPr="004F3391">
              <w:rPr>
                <w:rFonts w:ascii="Arial" w:hAnsi="Arial" w:cs="Arial"/>
                <w:sz w:val="22"/>
                <w:szCs w:val="22"/>
              </w:rPr>
              <w:t>60</w:t>
            </w:r>
          </w:p>
        </w:tc>
        <w:tc>
          <w:tcPr>
            <w:tcW w:w="1855" w:type="dxa"/>
          </w:tcPr>
          <w:p w14:paraId="359D84AF" w14:textId="77777777" w:rsidR="003F1A74" w:rsidRPr="004F3391" w:rsidRDefault="003F1A74" w:rsidP="00D905BE">
            <w:pPr>
              <w:rPr>
                <w:rFonts w:ascii="Arial" w:hAnsi="Arial" w:cs="Arial"/>
                <w:sz w:val="22"/>
                <w:szCs w:val="22"/>
              </w:rPr>
            </w:pPr>
            <w:r w:rsidRPr="004F3391">
              <w:rPr>
                <w:rFonts w:ascii="Arial" w:hAnsi="Arial" w:cs="Arial"/>
                <w:sz w:val="22"/>
                <w:szCs w:val="22"/>
              </w:rPr>
              <w:t>Activates apoptosis</w:t>
            </w:r>
          </w:p>
        </w:tc>
        <w:tc>
          <w:tcPr>
            <w:tcW w:w="1783" w:type="dxa"/>
          </w:tcPr>
          <w:p w14:paraId="76F8110A" w14:textId="77777777" w:rsidR="003F1A74" w:rsidRPr="004F3391" w:rsidRDefault="003F1A74" w:rsidP="00D905BE">
            <w:pPr>
              <w:jc w:val="center"/>
              <w:rPr>
                <w:rFonts w:ascii="Arial" w:hAnsi="Arial" w:cs="Arial"/>
                <w:sz w:val="22"/>
                <w:szCs w:val="22"/>
              </w:rPr>
            </w:pPr>
            <w:r w:rsidRPr="004F3391">
              <w:rPr>
                <w:rFonts w:ascii="Arial" w:hAnsi="Arial" w:cs="Arial"/>
                <w:sz w:val="22"/>
                <w:szCs w:val="22"/>
              </w:rPr>
              <w:t>Yes</w:t>
            </w:r>
          </w:p>
        </w:tc>
      </w:tr>
      <w:tr w:rsidR="003F1A74" w:rsidRPr="004F3391" w14:paraId="05666BB9" w14:textId="77777777" w:rsidTr="00D905BE">
        <w:tc>
          <w:tcPr>
            <w:tcW w:w="2308" w:type="dxa"/>
          </w:tcPr>
          <w:p w14:paraId="5078581D" w14:textId="77777777" w:rsidR="003F1A74" w:rsidRPr="004F3391" w:rsidRDefault="003F1A74" w:rsidP="00D905BE">
            <w:pPr>
              <w:rPr>
                <w:rFonts w:ascii="Arial" w:hAnsi="Arial" w:cs="Arial"/>
                <w:sz w:val="22"/>
                <w:szCs w:val="22"/>
              </w:rPr>
            </w:pPr>
          </w:p>
        </w:tc>
        <w:tc>
          <w:tcPr>
            <w:tcW w:w="1868" w:type="dxa"/>
          </w:tcPr>
          <w:p w14:paraId="33D93DC8" w14:textId="77777777" w:rsidR="003F1A74" w:rsidRPr="004F3391" w:rsidRDefault="003F1A74" w:rsidP="00D905BE">
            <w:pPr>
              <w:rPr>
                <w:rFonts w:ascii="Arial" w:hAnsi="Arial" w:cs="Arial"/>
                <w:sz w:val="22"/>
                <w:szCs w:val="22"/>
              </w:rPr>
            </w:pPr>
            <w:r w:rsidRPr="004F3391">
              <w:rPr>
                <w:rFonts w:ascii="Arial" w:hAnsi="Arial" w:cs="Arial"/>
                <w:sz w:val="22"/>
                <w:szCs w:val="22"/>
              </w:rPr>
              <w:t>HGF-threshold</w:t>
            </w:r>
          </w:p>
        </w:tc>
        <w:tc>
          <w:tcPr>
            <w:tcW w:w="1762" w:type="dxa"/>
          </w:tcPr>
          <w:p w14:paraId="3023F50D" w14:textId="77777777" w:rsidR="003F1A74" w:rsidRPr="004F3391" w:rsidRDefault="003F1A74" w:rsidP="00D905BE">
            <w:pPr>
              <w:jc w:val="center"/>
              <w:rPr>
                <w:rFonts w:ascii="Arial" w:hAnsi="Arial" w:cs="Arial"/>
                <w:sz w:val="22"/>
                <w:szCs w:val="22"/>
              </w:rPr>
            </w:pPr>
            <w:r w:rsidRPr="004F3391">
              <w:rPr>
                <w:rFonts w:ascii="Arial" w:hAnsi="Arial" w:cs="Arial"/>
                <w:sz w:val="22"/>
                <w:szCs w:val="22"/>
              </w:rPr>
              <w:t>50</w:t>
            </w:r>
          </w:p>
        </w:tc>
        <w:tc>
          <w:tcPr>
            <w:tcW w:w="1855" w:type="dxa"/>
          </w:tcPr>
          <w:p w14:paraId="6E7CD3EE" w14:textId="77777777" w:rsidR="003F1A74" w:rsidRPr="004F3391" w:rsidRDefault="003F1A74" w:rsidP="00D905BE">
            <w:pPr>
              <w:rPr>
                <w:rFonts w:ascii="Arial" w:hAnsi="Arial" w:cs="Arial"/>
                <w:sz w:val="22"/>
                <w:szCs w:val="22"/>
              </w:rPr>
            </w:pPr>
            <w:r w:rsidRPr="004F3391">
              <w:rPr>
                <w:rFonts w:ascii="Arial" w:hAnsi="Arial" w:cs="Arial"/>
                <w:sz w:val="22"/>
                <w:szCs w:val="22"/>
              </w:rPr>
              <w:t>Amount of HGF required to trigger mitosis</w:t>
            </w:r>
          </w:p>
        </w:tc>
        <w:tc>
          <w:tcPr>
            <w:tcW w:w="1783" w:type="dxa"/>
          </w:tcPr>
          <w:p w14:paraId="45DB33FE" w14:textId="77777777" w:rsidR="003F1A74" w:rsidRPr="004F3391" w:rsidRDefault="003F1A74" w:rsidP="00D905BE">
            <w:pPr>
              <w:jc w:val="center"/>
              <w:rPr>
                <w:rFonts w:ascii="Arial" w:hAnsi="Arial" w:cs="Arial"/>
                <w:sz w:val="22"/>
                <w:szCs w:val="22"/>
              </w:rPr>
            </w:pPr>
            <w:r w:rsidRPr="004F3391">
              <w:rPr>
                <w:rFonts w:ascii="Arial" w:hAnsi="Arial" w:cs="Arial"/>
                <w:sz w:val="22"/>
                <w:szCs w:val="22"/>
              </w:rPr>
              <w:t>Yes</w:t>
            </w:r>
          </w:p>
        </w:tc>
      </w:tr>
      <w:tr w:rsidR="003F1A74" w:rsidRPr="004F3391" w14:paraId="30F698F5" w14:textId="77777777" w:rsidTr="00D905BE">
        <w:tc>
          <w:tcPr>
            <w:tcW w:w="2308" w:type="dxa"/>
          </w:tcPr>
          <w:p w14:paraId="453F4085" w14:textId="77777777" w:rsidR="003F1A74" w:rsidRPr="004F3391" w:rsidRDefault="003F1A74" w:rsidP="00D905BE">
            <w:pPr>
              <w:rPr>
                <w:rFonts w:ascii="Arial" w:hAnsi="Arial" w:cs="Arial"/>
                <w:sz w:val="22"/>
                <w:szCs w:val="22"/>
              </w:rPr>
            </w:pPr>
          </w:p>
        </w:tc>
        <w:tc>
          <w:tcPr>
            <w:tcW w:w="1868" w:type="dxa"/>
          </w:tcPr>
          <w:p w14:paraId="269AFD84" w14:textId="77777777" w:rsidR="003F1A74" w:rsidRPr="004F3391" w:rsidRDefault="003F1A74" w:rsidP="00D905BE">
            <w:pPr>
              <w:rPr>
                <w:rFonts w:ascii="Arial" w:hAnsi="Arial" w:cs="Arial"/>
                <w:sz w:val="22"/>
                <w:szCs w:val="22"/>
              </w:rPr>
            </w:pPr>
            <w:r w:rsidRPr="004F3391">
              <w:rPr>
                <w:rFonts w:ascii="Arial" w:hAnsi="Arial" w:cs="Arial"/>
                <w:sz w:val="22"/>
                <w:szCs w:val="22"/>
              </w:rPr>
              <w:t>TGFB-threshold</w:t>
            </w:r>
          </w:p>
        </w:tc>
        <w:tc>
          <w:tcPr>
            <w:tcW w:w="1762" w:type="dxa"/>
          </w:tcPr>
          <w:p w14:paraId="22FC8A92" w14:textId="77777777" w:rsidR="003F1A74" w:rsidRPr="004F3391" w:rsidRDefault="003F1A74" w:rsidP="00D905BE">
            <w:pPr>
              <w:jc w:val="center"/>
              <w:rPr>
                <w:rFonts w:ascii="Arial" w:hAnsi="Arial" w:cs="Arial"/>
                <w:sz w:val="22"/>
                <w:szCs w:val="22"/>
              </w:rPr>
            </w:pPr>
            <w:r w:rsidRPr="004F3391">
              <w:rPr>
                <w:rFonts w:ascii="Arial" w:hAnsi="Arial" w:cs="Arial"/>
                <w:sz w:val="22"/>
                <w:szCs w:val="22"/>
              </w:rPr>
              <w:t>350</w:t>
            </w:r>
          </w:p>
        </w:tc>
        <w:tc>
          <w:tcPr>
            <w:tcW w:w="1855" w:type="dxa"/>
          </w:tcPr>
          <w:p w14:paraId="4D5CBFCE" w14:textId="77777777" w:rsidR="003F1A74" w:rsidRPr="004F3391" w:rsidRDefault="003F1A74" w:rsidP="00D905BE">
            <w:pPr>
              <w:rPr>
                <w:rFonts w:ascii="Arial" w:hAnsi="Arial" w:cs="Arial"/>
                <w:sz w:val="22"/>
                <w:szCs w:val="22"/>
              </w:rPr>
            </w:pPr>
            <w:r w:rsidRPr="004F3391">
              <w:rPr>
                <w:rFonts w:ascii="Arial" w:hAnsi="Arial" w:cs="Arial"/>
                <w:sz w:val="22"/>
                <w:szCs w:val="22"/>
              </w:rPr>
              <w:t>Amount of TGF-beta required to inhibit mitosis</w:t>
            </w:r>
          </w:p>
        </w:tc>
        <w:tc>
          <w:tcPr>
            <w:tcW w:w="1783" w:type="dxa"/>
          </w:tcPr>
          <w:p w14:paraId="7A372796" w14:textId="77777777" w:rsidR="003F1A74" w:rsidRPr="004F3391" w:rsidRDefault="003F1A74" w:rsidP="00D905BE">
            <w:pPr>
              <w:jc w:val="center"/>
              <w:rPr>
                <w:rFonts w:ascii="Arial" w:hAnsi="Arial" w:cs="Arial"/>
                <w:sz w:val="22"/>
                <w:szCs w:val="22"/>
              </w:rPr>
            </w:pPr>
            <w:r w:rsidRPr="004F3391">
              <w:rPr>
                <w:rFonts w:ascii="Arial" w:hAnsi="Arial" w:cs="Arial"/>
                <w:sz w:val="22"/>
                <w:szCs w:val="22"/>
              </w:rPr>
              <w:t>Yes</w:t>
            </w:r>
          </w:p>
        </w:tc>
      </w:tr>
      <w:tr w:rsidR="003F1A74" w:rsidRPr="004F3391" w14:paraId="54A27F47" w14:textId="77777777" w:rsidTr="00D905BE">
        <w:tc>
          <w:tcPr>
            <w:tcW w:w="2308" w:type="dxa"/>
          </w:tcPr>
          <w:p w14:paraId="7F56C565" w14:textId="77777777" w:rsidR="003F1A74" w:rsidRPr="004F3391" w:rsidRDefault="003F1A74" w:rsidP="00D905BE">
            <w:pPr>
              <w:rPr>
                <w:rFonts w:ascii="Arial" w:hAnsi="Arial" w:cs="Arial"/>
                <w:sz w:val="22"/>
                <w:szCs w:val="22"/>
              </w:rPr>
            </w:pPr>
          </w:p>
        </w:tc>
        <w:tc>
          <w:tcPr>
            <w:tcW w:w="1868" w:type="dxa"/>
          </w:tcPr>
          <w:p w14:paraId="3EDF9E17" w14:textId="77777777" w:rsidR="003F1A74" w:rsidRPr="004F3391" w:rsidRDefault="003F1A74" w:rsidP="00D905BE">
            <w:pPr>
              <w:rPr>
                <w:rFonts w:ascii="Arial" w:hAnsi="Arial" w:cs="Arial"/>
                <w:sz w:val="22"/>
                <w:szCs w:val="22"/>
              </w:rPr>
            </w:pPr>
            <w:r w:rsidRPr="004F3391">
              <w:rPr>
                <w:rFonts w:ascii="Arial" w:hAnsi="Arial" w:cs="Arial"/>
                <w:sz w:val="22"/>
                <w:szCs w:val="22"/>
              </w:rPr>
              <w:t>Rank-threshold</w:t>
            </w:r>
          </w:p>
        </w:tc>
        <w:tc>
          <w:tcPr>
            <w:tcW w:w="1762" w:type="dxa"/>
          </w:tcPr>
          <w:p w14:paraId="23C0AF80" w14:textId="77777777" w:rsidR="003F1A74" w:rsidRPr="004F3391" w:rsidRDefault="003F1A74" w:rsidP="00D905BE">
            <w:pPr>
              <w:jc w:val="center"/>
              <w:rPr>
                <w:rFonts w:ascii="Arial" w:hAnsi="Arial" w:cs="Arial"/>
                <w:sz w:val="22"/>
                <w:szCs w:val="22"/>
              </w:rPr>
            </w:pPr>
            <w:r w:rsidRPr="004F3391">
              <w:rPr>
                <w:rFonts w:ascii="Arial" w:hAnsi="Arial" w:cs="Arial"/>
                <w:sz w:val="22"/>
                <w:szCs w:val="22"/>
              </w:rPr>
              <w:t>120</w:t>
            </w:r>
          </w:p>
        </w:tc>
        <w:tc>
          <w:tcPr>
            <w:tcW w:w="1855" w:type="dxa"/>
          </w:tcPr>
          <w:p w14:paraId="32197E7E" w14:textId="77777777" w:rsidR="003F1A74" w:rsidRPr="004F3391" w:rsidRDefault="003F1A74" w:rsidP="00D905BE">
            <w:pPr>
              <w:rPr>
                <w:rFonts w:ascii="Arial" w:hAnsi="Arial" w:cs="Arial"/>
                <w:sz w:val="22"/>
                <w:szCs w:val="22"/>
              </w:rPr>
            </w:pPr>
            <w:r w:rsidRPr="004F3391">
              <w:rPr>
                <w:rFonts w:ascii="Arial" w:hAnsi="Arial" w:cs="Arial"/>
                <w:sz w:val="22"/>
                <w:szCs w:val="22"/>
              </w:rPr>
              <w:t>Amount of Rank required to trigger mitosis</w:t>
            </w:r>
          </w:p>
        </w:tc>
        <w:tc>
          <w:tcPr>
            <w:tcW w:w="1783" w:type="dxa"/>
          </w:tcPr>
          <w:p w14:paraId="17167C12" w14:textId="77777777" w:rsidR="003F1A74" w:rsidRPr="004F3391" w:rsidRDefault="003F1A74" w:rsidP="00D905BE">
            <w:pPr>
              <w:jc w:val="center"/>
              <w:rPr>
                <w:rFonts w:ascii="Arial" w:hAnsi="Arial" w:cs="Arial"/>
                <w:sz w:val="22"/>
                <w:szCs w:val="22"/>
              </w:rPr>
            </w:pPr>
            <w:r w:rsidRPr="004F3391">
              <w:rPr>
                <w:rFonts w:ascii="Arial" w:hAnsi="Arial" w:cs="Arial"/>
                <w:sz w:val="22"/>
                <w:szCs w:val="22"/>
              </w:rPr>
              <w:t>Yes</w:t>
            </w:r>
          </w:p>
        </w:tc>
      </w:tr>
      <w:tr w:rsidR="003F1A74" w:rsidRPr="004F3391" w14:paraId="7858E661" w14:textId="77777777" w:rsidTr="00D905BE">
        <w:tc>
          <w:tcPr>
            <w:tcW w:w="2308" w:type="dxa"/>
          </w:tcPr>
          <w:p w14:paraId="78F99E3B" w14:textId="77777777" w:rsidR="003F1A74" w:rsidRPr="004F3391" w:rsidRDefault="003F1A74" w:rsidP="00D905BE">
            <w:pPr>
              <w:rPr>
                <w:rFonts w:ascii="Arial" w:hAnsi="Arial" w:cs="Arial"/>
                <w:sz w:val="22"/>
                <w:szCs w:val="22"/>
              </w:rPr>
            </w:pPr>
          </w:p>
        </w:tc>
        <w:tc>
          <w:tcPr>
            <w:tcW w:w="1868" w:type="dxa"/>
          </w:tcPr>
          <w:p w14:paraId="1B383CAA" w14:textId="77777777" w:rsidR="003F1A74" w:rsidRPr="004F3391" w:rsidRDefault="003F1A74" w:rsidP="00D905BE">
            <w:pPr>
              <w:rPr>
                <w:rFonts w:ascii="Arial" w:hAnsi="Arial" w:cs="Arial"/>
                <w:sz w:val="22"/>
                <w:szCs w:val="22"/>
              </w:rPr>
            </w:pPr>
            <w:r w:rsidRPr="004F3391">
              <w:rPr>
                <w:rFonts w:ascii="Arial" w:hAnsi="Arial" w:cs="Arial"/>
                <w:sz w:val="22"/>
                <w:szCs w:val="22"/>
              </w:rPr>
              <w:t>Senescence-Threshold</w:t>
            </w:r>
          </w:p>
        </w:tc>
        <w:tc>
          <w:tcPr>
            <w:tcW w:w="1762" w:type="dxa"/>
          </w:tcPr>
          <w:p w14:paraId="577C09B7" w14:textId="77777777" w:rsidR="003F1A74" w:rsidRPr="004F3391" w:rsidRDefault="003F1A74" w:rsidP="00D905BE">
            <w:pPr>
              <w:jc w:val="center"/>
              <w:rPr>
                <w:rFonts w:ascii="Arial" w:hAnsi="Arial" w:cs="Arial"/>
                <w:sz w:val="22"/>
                <w:szCs w:val="22"/>
              </w:rPr>
            </w:pPr>
            <w:r w:rsidRPr="004F3391">
              <w:rPr>
                <w:rFonts w:ascii="Arial" w:hAnsi="Arial" w:cs="Arial"/>
                <w:sz w:val="22"/>
                <w:szCs w:val="22"/>
              </w:rPr>
              <w:t>975</w:t>
            </w:r>
          </w:p>
        </w:tc>
        <w:tc>
          <w:tcPr>
            <w:tcW w:w="1855" w:type="dxa"/>
          </w:tcPr>
          <w:p w14:paraId="4C8DA804" w14:textId="77777777" w:rsidR="003F1A74" w:rsidRPr="004F3391" w:rsidRDefault="003F1A74" w:rsidP="00D905BE">
            <w:pPr>
              <w:rPr>
                <w:rFonts w:ascii="Arial" w:hAnsi="Arial" w:cs="Arial"/>
                <w:sz w:val="22"/>
                <w:szCs w:val="22"/>
              </w:rPr>
            </w:pPr>
            <w:r w:rsidRPr="004F3391">
              <w:rPr>
                <w:rFonts w:ascii="Arial" w:hAnsi="Arial" w:cs="Arial"/>
                <w:sz w:val="22"/>
                <w:szCs w:val="22"/>
              </w:rPr>
              <w:t xml:space="preserve">DNA-integrity levels below threshold </w:t>
            </w:r>
            <w:r w:rsidRPr="004F3391">
              <w:rPr>
                <w:rFonts w:ascii="Arial" w:hAnsi="Arial" w:cs="Arial"/>
                <w:sz w:val="22"/>
                <w:szCs w:val="22"/>
              </w:rPr>
              <w:lastRenderedPageBreak/>
              <w:t>trigger senescence in normal cells</w:t>
            </w:r>
          </w:p>
        </w:tc>
        <w:tc>
          <w:tcPr>
            <w:tcW w:w="1783" w:type="dxa"/>
          </w:tcPr>
          <w:p w14:paraId="717388ED" w14:textId="77777777" w:rsidR="003F1A74" w:rsidRPr="004F3391" w:rsidRDefault="003F1A74" w:rsidP="00D905BE">
            <w:pPr>
              <w:jc w:val="center"/>
              <w:rPr>
                <w:rFonts w:ascii="Arial" w:hAnsi="Arial" w:cs="Arial"/>
                <w:sz w:val="22"/>
                <w:szCs w:val="22"/>
              </w:rPr>
            </w:pPr>
            <w:r w:rsidRPr="004F3391">
              <w:rPr>
                <w:rFonts w:ascii="Arial" w:hAnsi="Arial" w:cs="Arial"/>
                <w:sz w:val="22"/>
                <w:szCs w:val="22"/>
              </w:rPr>
              <w:lastRenderedPageBreak/>
              <w:t>Yes</w:t>
            </w:r>
          </w:p>
        </w:tc>
      </w:tr>
      <w:tr w:rsidR="003F1A74" w:rsidRPr="004F3391" w14:paraId="443738B4" w14:textId="77777777" w:rsidTr="00D905BE">
        <w:tc>
          <w:tcPr>
            <w:tcW w:w="2308" w:type="dxa"/>
          </w:tcPr>
          <w:p w14:paraId="058B01DD" w14:textId="77777777" w:rsidR="003F1A74" w:rsidRPr="004F3391" w:rsidRDefault="003F1A74" w:rsidP="00D905BE">
            <w:pPr>
              <w:rPr>
                <w:rFonts w:ascii="Arial" w:hAnsi="Arial" w:cs="Arial"/>
                <w:i/>
                <w:sz w:val="22"/>
                <w:szCs w:val="22"/>
              </w:rPr>
            </w:pPr>
            <w:r w:rsidRPr="004F3391">
              <w:rPr>
                <w:rFonts w:ascii="Arial" w:hAnsi="Arial" w:cs="Arial"/>
                <w:i/>
                <w:sz w:val="22"/>
                <w:szCs w:val="22"/>
              </w:rPr>
              <w:lastRenderedPageBreak/>
              <w:t>Binding/Consumption</w:t>
            </w:r>
          </w:p>
          <w:p w14:paraId="40D3410B" w14:textId="77777777" w:rsidR="003F1A74" w:rsidRPr="004F3391" w:rsidRDefault="003F1A74" w:rsidP="00D905BE">
            <w:pPr>
              <w:rPr>
                <w:rFonts w:ascii="Arial" w:hAnsi="Arial" w:cs="Arial"/>
                <w:i/>
                <w:sz w:val="22"/>
                <w:szCs w:val="22"/>
              </w:rPr>
            </w:pPr>
            <w:r w:rsidRPr="004F3391">
              <w:rPr>
                <w:rFonts w:ascii="Arial" w:hAnsi="Arial" w:cs="Arial"/>
                <w:i/>
                <w:sz w:val="22"/>
                <w:szCs w:val="22"/>
              </w:rPr>
              <w:t>(Agent-variable)</w:t>
            </w:r>
          </w:p>
        </w:tc>
        <w:tc>
          <w:tcPr>
            <w:tcW w:w="1868" w:type="dxa"/>
          </w:tcPr>
          <w:p w14:paraId="037320F6" w14:textId="77777777" w:rsidR="003F1A74" w:rsidRPr="004F3391" w:rsidRDefault="003F1A74" w:rsidP="00D905BE">
            <w:pPr>
              <w:rPr>
                <w:rFonts w:ascii="Arial" w:hAnsi="Arial" w:cs="Arial"/>
                <w:b/>
                <w:sz w:val="22"/>
                <w:szCs w:val="22"/>
              </w:rPr>
            </w:pPr>
          </w:p>
        </w:tc>
        <w:tc>
          <w:tcPr>
            <w:tcW w:w="1762" w:type="dxa"/>
          </w:tcPr>
          <w:p w14:paraId="72C4284C" w14:textId="77777777" w:rsidR="003F1A74" w:rsidRPr="004F3391" w:rsidRDefault="003F1A74" w:rsidP="00D905BE">
            <w:pPr>
              <w:rPr>
                <w:rFonts w:ascii="Arial" w:hAnsi="Arial" w:cs="Arial"/>
                <w:b/>
                <w:sz w:val="22"/>
                <w:szCs w:val="22"/>
              </w:rPr>
            </w:pPr>
          </w:p>
        </w:tc>
        <w:tc>
          <w:tcPr>
            <w:tcW w:w="1855" w:type="dxa"/>
          </w:tcPr>
          <w:p w14:paraId="6A4AEEE2" w14:textId="77777777" w:rsidR="003F1A74" w:rsidRPr="004F3391" w:rsidRDefault="003F1A74" w:rsidP="00D905BE">
            <w:pPr>
              <w:rPr>
                <w:rFonts w:ascii="Arial" w:hAnsi="Arial" w:cs="Arial"/>
                <w:b/>
                <w:sz w:val="22"/>
                <w:szCs w:val="22"/>
              </w:rPr>
            </w:pPr>
          </w:p>
        </w:tc>
        <w:tc>
          <w:tcPr>
            <w:tcW w:w="1783" w:type="dxa"/>
          </w:tcPr>
          <w:p w14:paraId="57BB36EE" w14:textId="77777777" w:rsidR="003F1A74" w:rsidRPr="004F3391" w:rsidRDefault="003F1A74" w:rsidP="00D905BE">
            <w:pPr>
              <w:rPr>
                <w:rFonts w:ascii="Arial" w:hAnsi="Arial" w:cs="Arial"/>
                <w:b/>
                <w:sz w:val="22"/>
                <w:szCs w:val="22"/>
              </w:rPr>
            </w:pPr>
          </w:p>
        </w:tc>
      </w:tr>
      <w:tr w:rsidR="003F1A74" w:rsidRPr="004F3391" w14:paraId="7E9AA9B5" w14:textId="77777777" w:rsidTr="00D905BE">
        <w:tc>
          <w:tcPr>
            <w:tcW w:w="2308" w:type="dxa"/>
          </w:tcPr>
          <w:p w14:paraId="15872EFB" w14:textId="77777777" w:rsidR="003F1A74" w:rsidRPr="004F3391" w:rsidRDefault="003F1A74" w:rsidP="00D905BE">
            <w:pPr>
              <w:rPr>
                <w:rFonts w:ascii="Arial" w:hAnsi="Arial" w:cs="Arial"/>
                <w:b/>
                <w:sz w:val="22"/>
                <w:szCs w:val="22"/>
              </w:rPr>
            </w:pPr>
          </w:p>
        </w:tc>
        <w:tc>
          <w:tcPr>
            <w:tcW w:w="1868" w:type="dxa"/>
          </w:tcPr>
          <w:p w14:paraId="7E2201A3" w14:textId="77777777" w:rsidR="003F1A74" w:rsidRPr="004F3391" w:rsidRDefault="003F1A74" w:rsidP="00D905BE">
            <w:pPr>
              <w:rPr>
                <w:rFonts w:ascii="Arial" w:hAnsi="Arial" w:cs="Arial"/>
                <w:sz w:val="22"/>
                <w:szCs w:val="22"/>
              </w:rPr>
            </w:pPr>
            <w:proofErr w:type="spellStart"/>
            <w:r w:rsidRPr="004F3391">
              <w:rPr>
                <w:rFonts w:ascii="Arial" w:hAnsi="Arial" w:cs="Arial"/>
                <w:sz w:val="22"/>
                <w:szCs w:val="22"/>
              </w:rPr>
              <w:t>Amph</w:t>
            </w:r>
            <w:proofErr w:type="spellEnd"/>
            <w:r w:rsidRPr="004F3391">
              <w:rPr>
                <w:rFonts w:ascii="Arial" w:hAnsi="Arial" w:cs="Arial"/>
                <w:sz w:val="22"/>
                <w:szCs w:val="22"/>
              </w:rPr>
              <w:t>-uptake-max</w:t>
            </w:r>
          </w:p>
        </w:tc>
        <w:tc>
          <w:tcPr>
            <w:tcW w:w="1762" w:type="dxa"/>
          </w:tcPr>
          <w:p w14:paraId="79A5BBBA" w14:textId="77777777" w:rsidR="003F1A74" w:rsidRPr="004F3391" w:rsidRDefault="003F1A74" w:rsidP="00D905BE">
            <w:pPr>
              <w:jc w:val="center"/>
              <w:rPr>
                <w:rFonts w:ascii="Arial" w:hAnsi="Arial" w:cs="Arial"/>
                <w:sz w:val="22"/>
                <w:szCs w:val="22"/>
              </w:rPr>
            </w:pPr>
            <w:r w:rsidRPr="004F3391">
              <w:rPr>
                <w:rFonts w:ascii="Arial" w:hAnsi="Arial" w:cs="Arial"/>
                <w:sz w:val="22"/>
                <w:szCs w:val="22"/>
              </w:rPr>
              <w:t>100</w:t>
            </w:r>
          </w:p>
        </w:tc>
        <w:tc>
          <w:tcPr>
            <w:tcW w:w="1855" w:type="dxa"/>
          </w:tcPr>
          <w:p w14:paraId="661FD5F7" w14:textId="77777777" w:rsidR="003F1A74" w:rsidRPr="004F3391" w:rsidRDefault="003F1A74" w:rsidP="00D905BE">
            <w:pPr>
              <w:rPr>
                <w:rFonts w:ascii="Arial" w:hAnsi="Arial" w:cs="Arial"/>
                <w:sz w:val="22"/>
                <w:szCs w:val="22"/>
              </w:rPr>
            </w:pPr>
            <w:r w:rsidRPr="004F3391">
              <w:rPr>
                <w:rFonts w:ascii="Arial" w:hAnsi="Arial" w:cs="Arial"/>
                <w:sz w:val="22"/>
                <w:szCs w:val="22"/>
              </w:rPr>
              <w:t xml:space="preserve">Maximum amount of </w:t>
            </w:r>
            <w:proofErr w:type="spellStart"/>
            <w:r w:rsidRPr="004F3391">
              <w:rPr>
                <w:rFonts w:ascii="Arial" w:hAnsi="Arial" w:cs="Arial"/>
                <w:sz w:val="22"/>
                <w:szCs w:val="22"/>
              </w:rPr>
              <w:t>amphiregulin</w:t>
            </w:r>
            <w:proofErr w:type="spellEnd"/>
            <w:r w:rsidRPr="004F3391">
              <w:rPr>
                <w:rFonts w:ascii="Arial" w:hAnsi="Arial" w:cs="Arial"/>
                <w:sz w:val="22"/>
                <w:szCs w:val="22"/>
              </w:rPr>
              <w:t xml:space="preserve"> removable from the environment by a cell</w:t>
            </w:r>
          </w:p>
        </w:tc>
        <w:tc>
          <w:tcPr>
            <w:tcW w:w="1783" w:type="dxa"/>
          </w:tcPr>
          <w:p w14:paraId="6E604742" w14:textId="77777777" w:rsidR="003F1A74" w:rsidRPr="004F3391" w:rsidRDefault="003F1A74" w:rsidP="00D905BE">
            <w:pPr>
              <w:jc w:val="center"/>
              <w:rPr>
                <w:rFonts w:ascii="Arial" w:hAnsi="Arial" w:cs="Arial"/>
                <w:sz w:val="22"/>
                <w:szCs w:val="22"/>
              </w:rPr>
            </w:pPr>
            <w:r w:rsidRPr="004F3391">
              <w:rPr>
                <w:rFonts w:ascii="Arial" w:hAnsi="Arial" w:cs="Arial"/>
                <w:sz w:val="22"/>
                <w:szCs w:val="22"/>
              </w:rPr>
              <w:t>No</w:t>
            </w:r>
          </w:p>
        </w:tc>
      </w:tr>
      <w:tr w:rsidR="003F1A74" w:rsidRPr="004F3391" w14:paraId="60AC15A5" w14:textId="77777777" w:rsidTr="00D905BE">
        <w:tc>
          <w:tcPr>
            <w:tcW w:w="2308" w:type="dxa"/>
          </w:tcPr>
          <w:p w14:paraId="0E6D72FA" w14:textId="77777777" w:rsidR="003F1A74" w:rsidRPr="004F3391" w:rsidRDefault="003F1A74" w:rsidP="00D905BE">
            <w:pPr>
              <w:rPr>
                <w:rFonts w:ascii="Arial" w:hAnsi="Arial" w:cs="Arial"/>
                <w:sz w:val="22"/>
                <w:szCs w:val="22"/>
              </w:rPr>
            </w:pPr>
          </w:p>
        </w:tc>
        <w:tc>
          <w:tcPr>
            <w:tcW w:w="1868" w:type="dxa"/>
          </w:tcPr>
          <w:p w14:paraId="17E09BCB" w14:textId="77777777" w:rsidR="003F1A74" w:rsidRPr="004F3391" w:rsidRDefault="003F1A74" w:rsidP="00D905BE">
            <w:pPr>
              <w:rPr>
                <w:rFonts w:ascii="Arial" w:hAnsi="Arial" w:cs="Arial"/>
                <w:sz w:val="22"/>
                <w:szCs w:val="22"/>
              </w:rPr>
            </w:pPr>
            <w:r w:rsidRPr="004F3391">
              <w:rPr>
                <w:rFonts w:ascii="Arial" w:hAnsi="Arial" w:cs="Arial"/>
                <w:sz w:val="22"/>
                <w:szCs w:val="22"/>
              </w:rPr>
              <w:t>HGF-uptake-max</w:t>
            </w:r>
          </w:p>
        </w:tc>
        <w:tc>
          <w:tcPr>
            <w:tcW w:w="1762" w:type="dxa"/>
          </w:tcPr>
          <w:p w14:paraId="1EC56C5A" w14:textId="77777777" w:rsidR="003F1A74" w:rsidRPr="004F3391" w:rsidRDefault="003F1A74" w:rsidP="00D905BE">
            <w:pPr>
              <w:jc w:val="center"/>
              <w:rPr>
                <w:rFonts w:ascii="Arial" w:hAnsi="Arial" w:cs="Arial"/>
                <w:sz w:val="22"/>
                <w:szCs w:val="22"/>
              </w:rPr>
            </w:pPr>
            <w:r w:rsidRPr="004F3391">
              <w:rPr>
                <w:rFonts w:ascii="Arial" w:hAnsi="Arial" w:cs="Arial"/>
                <w:sz w:val="22"/>
                <w:szCs w:val="22"/>
              </w:rPr>
              <w:t>55</w:t>
            </w:r>
          </w:p>
        </w:tc>
        <w:tc>
          <w:tcPr>
            <w:tcW w:w="1855" w:type="dxa"/>
          </w:tcPr>
          <w:p w14:paraId="16DA759D" w14:textId="77777777" w:rsidR="003F1A74" w:rsidRPr="004F3391" w:rsidRDefault="003F1A74" w:rsidP="00D905BE">
            <w:pPr>
              <w:rPr>
                <w:rFonts w:ascii="Arial" w:hAnsi="Arial" w:cs="Arial"/>
                <w:sz w:val="22"/>
                <w:szCs w:val="22"/>
              </w:rPr>
            </w:pPr>
            <w:r w:rsidRPr="004F3391">
              <w:rPr>
                <w:rFonts w:ascii="Arial" w:hAnsi="Arial" w:cs="Arial"/>
                <w:sz w:val="22"/>
                <w:szCs w:val="22"/>
              </w:rPr>
              <w:t>Maximum amount of HGF removable from the environment by a cell</w:t>
            </w:r>
          </w:p>
        </w:tc>
        <w:tc>
          <w:tcPr>
            <w:tcW w:w="1783" w:type="dxa"/>
          </w:tcPr>
          <w:p w14:paraId="55DED55C" w14:textId="77777777" w:rsidR="003F1A74" w:rsidRPr="004F3391" w:rsidRDefault="003F1A74" w:rsidP="00D905BE">
            <w:pPr>
              <w:jc w:val="center"/>
              <w:rPr>
                <w:rFonts w:ascii="Arial" w:hAnsi="Arial" w:cs="Arial"/>
                <w:sz w:val="22"/>
                <w:szCs w:val="22"/>
              </w:rPr>
            </w:pPr>
            <w:r w:rsidRPr="004F3391">
              <w:rPr>
                <w:rFonts w:ascii="Arial" w:hAnsi="Arial" w:cs="Arial"/>
                <w:sz w:val="22"/>
                <w:szCs w:val="22"/>
              </w:rPr>
              <w:t>Yes</w:t>
            </w:r>
          </w:p>
        </w:tc>
      </w:tr>
      <w:tr w:rsidR="003F1A74" w:rsidRPr="004F3391" w14:paraId="05B306A0" w14:textId="77777777" w:rsidTr="00D905BE">
        <w:tc>
          <w:tcPr>
            <w:tcW w:w="2308" w:type="dxa"/>
          </w:tcPr>
          <w:p w14:paraId="44C73202" w14:textId="77777777" w:rsidR="003F1A74" w:rsidRPr="004F3391" w:rsidRDefault="003F1A74" w:rsidP="00D905BE">
            <w:pPr>
              <w:rPr>
                <w:rFonts w:ascii="Arial" w:hAnsi="Arial" w:cs="Arial"/>
                <w:sz w:val="22"/>
                <w:szCs w:val="22"/>
              </w:rPr>
            </w:pPr>
          </w:p>
        </w:tc>
        <w:tc>
          <w:tcPr>
            <w:tcW w:w="1868" w:type="dxa"/>
          </w:tcPr>
          <w:p w14:paraId="28D6531D" w14:textId="77777777" w:rsidR="003F1A74" w:rsidRPr="004F3391" w:rsidRDefault="003F1A74" w:rsidP="00D905BE">
            <w:pPr>
              <w:rPr>
                <w:rFonts w:ascii="Arial" w:hAnsi="Arial" w:cs="Arial"/>
                <w:sz w:val="22"/>
                <w:szCs w:val="22"/>
              </w:rPr>
            </w:pPr>
            <w:r w:rsidRPr="004F3391">
              <w:rPr>
                <w:rFonts w:ascii="Arial" w:hAnsi="Arial" w:cs="Arial"/>
                <w:sz w:val="22"/>
                <w:szCs w:val="22"/>
              </w:rPr>
              <w:t>TGFB-uptake-max</w:t>
            </w:r>
          </w:p>
        </w:tc>
        <w:tc>
          <w:tcPr>
            <w:tcW w:w="1762" w:type="dxa"/>
          </w:tcPr>
          <w:p w14:paraId="413F57F3" w14:textId="77777777" w:rsidR="003F1A74" w:rsidRPr="004F3391" w:rsidRDefault="003F1A74" w:rsidP="00D905BE">
            <w:pPr>
              <w:jc w:val="center"/>
              <w:rPr>
                <w:rFonts w:ascii="Arial" w:hAnsi="Arial" w:cs="Arial"/>
                <w:sz w:val="22"/>
                <w:szCs w:val="22"/>
              </w:rPr>
            </w:pPr>
            <w:r w:rsidRPr="004F3391">
              <w:rPr>
                <w:rFonts w:ascii="Arial" w:hAnsi="Arial" w:cs="Arial"/>
                <w:sz w:val="22"/>
                <w:szCs w:val="22"/>
              </w:rPr>
              <w:t>384</w:t>
            </w:r>
          </w:p>
        </w:tc>
        <w:tc>
          <w:tcPr>
            <w:tcW w:w="1855" w:type="dxa"/>
          </w:tcPr>
          <w:p w14:paraId="361DEC01" w14:textId="77777777" w:rsidR="003F1A74" w:rsidRPr="004F3391" w:rsidRDefault="003F1A74" w:rsidP="00D905BE">
            <w:pPr>
              <w:rPr>
                <w:rFonts w:ascii="Arial" w:hAnsi="Arial" w:cs="Arial"/>
                <w:sz w:val="22"/>
                <w:szCs w:val="22"/>
              </w:rPr>
            </w:pPr>
            <w:r w:rsidRPr="004F3391">
              <w:rPr>
                <w:rFonts w:ascii="Arial" w:hAnsi="Arial" w:cs="Arial"/>
                <w:sz w:val="22"/>
                <w:szCs w:val="22"/>
              </w:rPr>
              <w:t>Maximum amount of TGF-beta removable from the environment by a cell</w:t>
            </w:r>
          </w:p>
        </w:tc>
        <w:tc>
          <w:tcPr>
            <w:tcW w:w="1783" w:type="dxa"/>
          </w:tcPr>
          <w:p w14:paraId="34F3BD54" w14:textId="77777777" w:rsidR="003F1A74" w:rsidRPr="004F3391" w:rsidRDefault="003F1A74" w:rsidP="00D905BE">
            <w:pPr>
              <w:jc w:val="center"/>
              <w:rPr>
                <w:rFonts w:ascii="Arial" w:hAnsi="Arial" w:cs="Arial"/>
                <w:sz w:val="22"/>
                <w:szCs w:val="22"/>
              </w:rPr>
            </w:pPr>
            <w:r w:rsidRPr="004F3391">
              <w:rPr>
                <w:rFonts w:ascii="Arial" w:hAnsi="Arial" w:cs="Arial"/>
                <w:sz w:val="22"/>
                <w:szCs w:val="22"/>
              </w:rPr>
              <w:t>Yes</w:t>
            </w:r>
          </w:p>
        </w:tc>
      </w:tr>
      <w:tr w:rsidR="003F1A74" w:rsidRPr="004F3391" w14:paraId="3CEDCB85" w14:textId="77777777" w:rsidTr="00D905BE">
        <w:tc>
          <w:tcPr>
            <w:tcW w:w="2308" w:type="dxa"/>
          </w:tcPr>
          <w:p w14:paraId="4011EA10" w14:textId="77777777" w:rsidR="003F1A74" w:rsidRPr="004F3391" w:rsidRDefault="003F1A74" w:rsidP="00D905BE">
            <w:pPr>
              <w:rPr>
                <w:rFonts w:ascii="Arial" w:hAnsi="Arial" w:cs="Arial"/>
                <w:sz w:val="22"/>
                <w:szCs w:val="22"/>
              </w:rPr>
            </w:pPr>
          </w:p>
        </w:tc>
        <w:tc>
          <w:tcPr>
            <w:tcW w:w="1868" w:type="dxa"/>
          </w:tcPr>
          <w:p w14:paraId="0A4D3BA9" w14:textId="77777777" w:rsidR="003F1A74" w:rsidRPr="004F3391" w:rsidRDefault="003F1A74" w:rsidP="00D905BE">
            <w:pPr>
              <w:rPr>
                <w:rFonts w:ascii="Arial" w:hAnsi="Arial" w:cs="Arial"/>
                <w:sz w:val="22"/>
                <w:szCs w:val="22"/>
              </w:rPr>
            </w:pPr>
            <w:r w:rsidRPr="004F3391">
              <w:rPr>
                <w:rFonts w:ascii="Arial" w:hAnsi="Arial" w:cs="Arial"/>
                <w:sz w:val="22"/>
                <w:szCs w:val="22"/>
              </w:rPr>
              <w:t>Rank-uptake-max</w:t>
            </w:r>
          </w:p>
        </w:tc>
        <w:tc>
          <w:tcPr>
            <w:tcW w:w="1762" w:type="dxa"/>
          </w:tcPr>
          <w:p w14:paraId="4FF67FAF" w14:textId="77777777" w:rsidR="003F1A74" w:rsidRPr="004F3391" w:rsidRDefault="003F1A74" w:rsidP="00D905BE">
            <w:pPr>
              <w:jc w:val="center"/>
              <w:rPr>
                <w:rFonts w:ascii="Arial" w:hAnsi="Arial" w:cs="Arial"/>
                <w:sz w:val="22"/>
                <w:szCs w:val="22"/>
              </w:rPr>
            </w:pPr>
            <w:r w:rsidRPr="004F3391">
              <w:rPr>
                <w:rFonts w:ascii="Arial" w:hAnsi="Arial" w:cs="Arial"/>
                <w:sz w:val="22"/>
                <w:szCs w:val="22"/>
              </w:rPr>
              <w:t>204</w:t>
            </w:r>
          </w:p>
        </w:tc>
        <w:tc>
          <w:tcPr>
            <w:tcW w:w="1855" w:type="dxa"/>
          </w:tcPr>
          <w:p w14:paraId="3E8D4CBE" w14:textId="77777777" w:rsidR="003F1A74" w:rsidRPr="004F3391" w:rsidRDefault="003F1A74" w:rsidP="00D905BE">
            <w:pPr>
              <w:rPr>
                <w:rFonts w:ascii="Arial" w:hAnsi="Arial" w:cs="Arial"/>
                <w:sz w:val="22"/>
                <w:szCs w:val="22"/>
              </w:rPr>
            </w:pPr>
            <w:r w:rsidRPr="004F3391">
              <w:rPr>
                <w:rFonts w:ascii="Arial" w:hAnsi="Arial" w:cs="Arial"/>
                <w:sz w:val="22"/>
                <w:szCs w:val="22"/>
              </w:rPr>
              <w:t>Maximum amount of Rank removable from the environment by a cell</w:t>
            </w:r>
          </w:p>
        </w:tc>
        <w:tc>
          <w:tcPr>
            <w:tcW w:w="1783" w:type="dxa"/>
          </w:tcPr>
          <w:p w14:paraId="4DC5EBA4" w14:textId="77777777" w:rsidR="003F1A74" w:rsidRPr="004F3391" w:rsidRDefault="003F1A74" w:rsidP="00D905BE">
            <w:pPr>
              <w:jc w:val="center"/>
              <w:rPr>
                <w:rFonts w:ascii="Arial" w:hAnsi="Arial" w:cs="Arial"/>
                <w:sz w:val="22"/>
                <w:szCs w:val="22"/>
              </w:rPr>
            </w:pPr>
            <w:r w:rsidRPr="004F3391">
              <w:rPr>
                <w:rFonts w:ascii="Arial" w:hAnsi="Arial" w:cs="Arial"/>
                <w:sz w:val="22"/>
                <w:szCs w:val="22"/>
              </w:rPr>
              <w:t>Yes</w:t>
            </w:r>
          </w:p>
        </w:tc>
      </w:tr>
    </w:tbl>
    <w:p w14:paraId="09A57819" w14:textId="77777777" w:rsidR="003F1A74" w:rsidRPr="004F3391" w:rsidRDefault="003F1A74" w:rsidP="003F1A74">
      <w:pPr>
        <w:rPr>
          <w:rFonts w:ascii="Arial" w:hAnsi="Arial" w:cs="Arial"/>
          <w:sz w:val="22"/>
          <w:szCs w:val="22"/>
        </w:rPr>
      </w:pPr>
    </w:p>
    <w:p w14:paraId="2BFD1533" w14:textId="77777777" w:rsidR="003F1A74" w:rsidRPr="004F3391" w:rsidRDefault="003F1A74" w:rsidP="003F1A74">
      <w:pPr>
        <w:rPr>
          <w:rFonts w:ascii="Arial" w:hAnsi="Arial" w:cs="Arial"/>
          <w:sz w:val="22"/>
          <w:szCs w:val="22"/>
        </w:rPr>
      </w:pPr>
    </w:p>
    <w:p w14:paraId="27230F42" w14:textId="77777777" w:rsidR="003F1A74" w:rsidRPr="004F3391" w:rsidRDefault="003F1A74" w:rsidP="003F1A74">
      <w:pPr>
        <w:widowControl w:val="0"/>
        <w:autoSpaceDE w:val="0"/>
        <w:autoSpaceDN w:val="0"/>
        <w:adjustRightInd w:val="0"/>
        <w:spacing w:line="480" w:lineRule="auto"/>
        <w:jc w:val="both"/>
        <w:rPr>
          <w:rFonts w:ascii="Arial" w:hAnsi="Arial" w:cs="Arial"/>
          <w:sz w:val="22"/>
          <w:szCs w:val="22"/>
        </w:rPr>
      </w:pPr>
      <w:r w:rsidRPr="004F3391">
        <w:rPr>
          <w:rFonts w:ascii="Arial" w:hAnsi="Arial" w:cs="Arial"/>
          <w:sz w:val="22"/>
          <w:szCs w:val="22"/>
        </w:rPr>
        <w:t xml:space="preserve">This table lists key parameter values present in the DEABM. The column entitled “Fit?” denotes as to whether the parameter value was adjusted during the calibration process. As noted in the Main Text, calibration involved the iterative process of adjusting the code, running a set of simulations subsequently evaluated for face validity, and adjusting the parameters if face validity was not met. Therefore, those parameters with a “Fit?” </w:t>
      </w:r>
      <w:proofErr w:type="gramStart"/>
      <w:r w:rsidRPr="004F3391">
        <w:rPr>
          <w:rFonts w:ascii="Arial" w:hAnsi="Arial" w:cs="Arial"/>
          <w:sz w:val="22"/>
          <w:szCs w:val="22"/>
        </w:rPr>
        <w:t>noted</w:t>
      </w:r>
      <w:proofErr w:type="gramEnd"/>
      <w:r w:rsidRPr="004F3391">
        <w:rPr>
          <w:rFonts w:ascii="Arial" w:hAnsi="Arial" w:cs="Arial"/>
          <w:sz w:val="22"/>
          <w:szCs w:val="22"/>
        </w:rPr>
        <w:t xml:space="preserve"> as “No” had an initial value arbitrarily set and no further adjustments were made during the calibration process. Therefore, there is a hierarchy of parameter calibration built upon those parameters that were initially set and used as reference points for subsequent alterations. This hierarchy is not intended to reflect any specified biological structure (i.e. those parameters initially locked down are not meant to be more fundamental). Rather, given the emphasis on representing the relative relationships between the various variables, a relational tuning process requires that one side of the related variables be held constant. This approach also means that the absolute value of most of the variables have no intrinsic biological meaning; the sole exception to this on the listed parameters is the value of 40 for the </w:t>
      </w:r>
      <w:proofErr w:type="spellStart"/>
      <w:r w:rsidRPr="004F3391">
        <w:rPr>
          <w:rFonts w:ascii="Arial" w:hAnsi="Arial" w:cs="Arial"/>
          <w:sz w:val="22"/>
          <w:szCs w:val="22"/>
        </w:rPr>
        <w:t>Hayflick</w:t>
      </w:r>
      <w:proofErr w:type="spellEnd"/>
      <w:r w:rsidRPr="004F3391">
        <w:rPr>
          <w:rFonts w:ascii="Arial" w:hAnsi="Arial" w:cs="Arial"/>
          <w:sz w:val="22"/>
          <w:szCs w:val="22"/>
        </w:rPr>
        <w:t xml:space="preserve"> Number, which is derived from the literature </w:t>
      </w:r>
      <w:r w:rsidRPr="004F3391">
        <w:rPr>
          <w:rFonts w:ascii="Arial" w:hAnsi="Arial" w:cs="Arial"/>
          <w:sz w:val="22"/>
          <w:szCs w:val="22"/>
        </w:rPr>
        <w:fldChar w:fldCharType="begin"/>
      </w:r>
      <w:r w:rsidRPr="004F3391">
        <w:rPr>
          <w:rFonts w:ascii="Arial" w:hAnsi="Arial" w:cs="Arial"/>
          <w:sz w:val="22"/>
          <w:szCs w:val="22"/>
        </w:rPr>
        <w:instrText xml:space="preserve"> ADDIN EN.CITE &lt;EndNote&gt;&lt;Cite&gt;&lt;Author&gt;Shay&lt;/Author&gt;&lt;Year&gt;2001&lt;/Year&gt;&lt;RecNum&gt;59&lt;/RecNum&gt;&lt;DisplayText&gt;[91]&lt;/DisplayText&gt;&lt;record&gt;&lt;rec-number&gt;59&lt;/rec-number&gt;&lt;foreign-keys&gt;&lt;key app="EN" db-id="sa2a0f52rp2fzoewze9xadwa9p5ttrdzzzd5"&gt;59&lt;/key&gt;&lt;/foreign-keys&gt;&lt;ref-type name="Journal Article"&gt;17&lt;/ref-type&gt;&lt;contributors&gt;&lt;authors&gt;&lt;author&gt;Shay, J. W.&lt;/author&gt;&lt;author&gt;Zou, Y.&lt;/author&gt;&lt;author&gt;Hiyama, E.&lt;/author&gt;&lt;author&gt;Wright, W. E.&lt;/author&gt;&lt;/authors&gt;&lt;/contributors&gt;&lt;auth-address&gt;The University of Texas Southwestern Medical Center, Department of Cell Biology, 5323 Harry Hines Boulevard, Dallas, TX 75390-9039, USA. jerry.shay@utsouthwestern.edu&lt;/auth-address&gt;&lt;titles&gt;&lt;title&gt;Telomerase and cancer&lt;/title&gt;&lt;secondary-title&gt;Hum Mol Genet&lt;/secondary-title&gt;&lt;alt-title&gt;Human molecular genetics&lt;/alt-title&gt;&lt;/titles&gt;&lt;periodical&gt;&lt;full-title&gt;Hum Mol Genet&lt;/full-title&gt;&lt;abbr-1&gt;Human molecular genetics&lt;/abbr-1&gt;&lt;/periodical&gt;&lt;alt-periodical&gt;&lt;full-title&gt;Hum Mol Genet&lt;/full-title&gt;&lt;abbr-1&gt;Human molecular genetics&lt;/abbr-1&gt;&lt;/alt-periodical&gt;&lt;pages&gt;677-85&lt;/pages&gt;&lt;volume&gt;10&lt;/volume&gt;&lt;number&gt;7&lt;/number&gt;&lt;edition&gt;2001/03/21&lt;/edition&gt;&lt;keywords&gt;&lt;keyword&gt;Animals&lt;/keyword&gt;&lt;keyword&gt;Cell Division&lt;/keyword&gt;&lt;keyword&gt;Cell Line&lt;/keyword&gt;&lt;keyword&gt;DNA-Binding Proteins&lt;/keyword&gt;&lt;keyword&gt;HeLa Cells&lt;/keyword&gt;&lt;keyword&gt;Humans&lt;/keyword&gt;&lt;keyword&gt;Neoplasms/diagnosis/*enzymology/*genetics/pathology&lt;/keyword&gt;&lt;keyword&gt;*Rna&lt;/keyword&gt;&lt;keyword&gt;RNA-Directed DNA Polymerase&lt;/keyword&gt;&lt;keyword&gt;Repetitive Sequences, Nucleic Acid&lt;/keyword&gt;&lt;keyword&gt;Telomerase/*chemistry/*genetics/metabolism&lt;/keyword&gt;&lt;keyword&gt;Telomere/ultrastructure&lt;/keyword&gt;&lt;/keywords&gt;&lt;dates&gt;&lt;year&gt;2001&lt;/year&gt;&lt;pub-dates&gt;&lt;date&gt;Apr&lt;/date&gt;&lt;/pub-dates&gt;&lt;/dates&gt;&lt;isbn&gt;0964-6906 (Print)&amp;#xD;0964-6906 (Linking)&lt;/isbn&gt;&lt;accession-num&gt;11257099&lt;/accession-num&gt;&lt;work-type&gt;Research Support, Non-U.S. Gov&amp;apos;t&amp;#xD;Review&lt;/work-type&gt;&lt;urls&gt;&lt;related-urls&gt;&lt;url&gt;http://www.ncbi.nlm.nih.gov/pubmed/11257099&lt;/url&gt;&lt;/related-urls&gt;&lt;/urls&gt;&lt;language&gt;eng&lt;/language&gt;&lt;/record&gt;&lt;/Cite&gt;&lt;/EndNote&gt;</w:instrText>
      </w:r>
      <w:r w:rsidRPr="004F3391">
        <w:rPr>
          <w:rFonts w:ascii="Arial" w:hAnsi="Arial" w:cs="Arial"/>
          <w:sz w:val="22"/>
          <w:szCs w:val="22"/>
        </w:rPr>
        <w:fldChar w:fldCharType="separate"/>
      </w:r>
      <w:r w:rsidRPr="004F3391">
        <w:rPr>
          <w:rFonts w:ascii="Arial" w:hAnsi="Arial" w:cs="Arial"/>
          <w:noProof/>
          <w:sz w:val="22"/>
          <w:szCs w:val="22"/>
        </w:rPr>
        <w:t>[</w:t>
      </w:r>
      <w:hyperlink w:anchor="_ENREF_91" w:tooltip="Shay, 2001 #59" w:history="1">
        <w:r w:rsidRPr="004F3391">
          <w:rPr>
            <w:rFonts w:ascii="Arial" w:hAnsi="Arial" w:cs="Arial"/>
            <w:noProof/>
            <w:sz w:val="22"/>
            <w:szCs w:val="22"/>
          </w:rPr>
          <w:t>91</w:t>
        </w:r>
      </w:hyperlink>
      <w:r w:rsidRPr="004F3391">
        <w:rPr>
          <w:rFonts w:ascii="Arial" w:hAnsi="Arial" w:cs="Arial"/>
          <w:noProof/>
          <w:sz w:val="22"/>
          <w:szCs w:val="22"/>
        </w:rPr>
        <w:t>]</w:t>
      </w:r>
      <w:r w:rsidRPr="004F3391">
        <w:rPr>
          <w:rFonts w:ascii="Arial" w:hAnsi="Arial" w:cs="Arial"/>
          <w:sz w:val="22"/>
          <w:szCs w:val="22"/>
        </w:rPr>
        <w:fldChar w:fldCharType="end"/>
      </w:r>
      <w:r w:rsidRPr="004F3391">
        <w:rPr>
          <w:rFonts w:ascii="Arial" w:hAnsi="Arial" w:cs="Arial"/>
          <w:sz w:val="22"/>
          <w:szCs w:val="22"/>
        </w:rPr>
        <w:t xml:space="preserve">. </w:t>
      </w:r>
    </w:p>
    <w:p w14:paraId="070D26A1" w14:textId="77777777" w:rsidR="003F1A74" w:rsidRPr="004F3391" w:rsidRDefault="003F1A74" w:rsidP="003F1A74">
      <w:pPr>
        <w:widowControl w:val="0"/>
        <w:autoSpaceDE w:val="0"/>
        <w:autoSpaceDN w:val="0"/>
        <w:adjustRightInd w:val="0"/>
        <w:spacing w:line="480" w:lineRule="auto"/>
        <w:ind w:firstLine="720"/>
        <w:jc w:val="both"/>
        <w:rPr>
          <w:rFonts w:ascii="Arial" w:hAnsi="Arial" w:cs="Arial"/>
          <w:sz w:val="22"/>
          <w:szCs w:val="22"/>
        </w:rPr>
      </w:pPr>
      <w:r w:rsidRPr="004F3391">
        <w:rPr>
          <w:rFonts w:ascii="Arial" w:hAnsi="Arial" w:cs="Arial"/>
          <w:sz w:val="22"/>
          <w:szCs w:val="22"/>
        </w:rPr>
        <w:t xml:space="preserve">The variables are divided into two general classes: Environmental Variables, representing substances in the extracellular milieu, and Agent Variables, representing properties and components possessed by cells. The parameter values for the Environmental Variables relate to their rate of “diffusion,” i.e. the rate and concentration that they spread from on grid space to adjacent grid spaces. This is a core function of the </w:t>
      </w:r>
      <w:proofErr w:type="spellStart"/>
      <w:r w:rsidRPr="004F3391">
        <w:rPr>
          <w:rFonts w:ascii="Arial" w:hAnsi="Arial" w:cs="Arial"/>
          <w:sz w:val="22"/>
          <w:szCs w:val="22"/>
        </w:rPr>
        <w:t>Netlogo</w:t>
      </w:r>
      <w:proofErr w:type="spellEnd"/>
      <w:r w:rsidRPr="004F3391">
        <w:rPr>
          <w:rFonts w:ascii="Arial" w:hAnsi="Arial" w:cs="Arial"/>
          <w:sz w:val="22"/>
          <w:szCs w:val="22"/>
        </w:rPr>
        <w:t xml:space="preserve"> software system used to implement the DEABM: the value presented represents the fraction by which the Environmental Variable is reduced each time step, where the reduced value is then distributed equally into the surrounding 8 grid spaces. The absolute value of each parameters is essentially irrelevant in the DEABM; what is important is the modeling assumption that the relative distributions and diffusion rates of the represented mediators is functionally the same. </w:t>
      </w:r>
    </w:p>
    <w:p w14:paraId="1E8FA530" w14:textId="77BFAF14" w:rsidR="00AF0240" w:rsidRDefault="003F1A74" w:rsidP="003F1A74">
      <w:pPr>
        <w:widowControl w:val="0"/>
        <w:autoSpaceDE w:val="0"/>
        <w:autoSpaceDN w:val="0"/>
        <w:adjustRightInd w:val="0"/>
        <w:spacing w:line="480" w:lineRule="auto"/>
        <w:ind w:firstLine="720"/>
        <w:jc w:val="both"/>
        <w:rPr>
          <w:rFonts w:ascii="Arial" w:hAnsi="Arial" w:cs="Arial"/>
          <w:bCs/>
          <w:sz w:val="22"/>
          <w:szCs w:val="22"/>
        </w:rPr>
      </w:pPr>
      <w:r w:rsidRPr="004F3391">
        <w:rPr>
          <w:rFonts w:ascii="Arial" w:hAnsi="Arial" w:cs="Arial"/>
          <w:sz w:val="22"/>
          <w:szCs w:val="22"/>
        </w:rPr>
        <w:t>In terms of the Agent Variables, since the rules of the DEABM take the general form of logical conditional statements, the values assigned to most of these values represent thresholds that define the transition from one set of rules to another set. This rule structure is used to represent the different types of functions performed by the cellular agents. There are two subsets of Agent Variables, categorized loosely into: 1) Activity Thresholds, which denote internal cell variables that provide “switches” between different set of rule-sets/functions, and 2) Binding/Consumption variables, which represent the ability of cellular agents to decrease the level of an Environmental Variable on its resident grid space.</w:t>
      </w:r>
      <w:r w:rsidR="00150B54">
        <w:rPr>
          <w:rFonts w:ascii="Arial" w:hAnsi="Arial" w:cs="Arial"/>
          <w:sz w:val="22"/>
          <w:szCs w:val="22"/>
        </w:rPr>
        <w:t xml:space="preserve"> </w:t>
      </w:r>
      <w:r w:rsidR="00150B54" w:rsidRPr="00AB5B71">
        <w:rPr>
          <w:rFonts w:ascii="Arial" w:hAnsi="Arial" w:cs="Arial"/>
          <w:bCs/>
          <w:sz w:val="22"/>
          <w:szCs w:val="22"/>
        </w:rPr>
        <w:t>As a matter of procedure, the signaling</w:t>
      </w:r>
      <w:r w:rsidR="00150B54">
        <w:rPr>
          <w:rFonts w:ascii="Arial" w:hAnsi="Arial" w:cs="Arial"/>
          <w:bCs/>
          <w:sz w:val="22"/>
          <w:szCs w:val="22"/>
        </w:rPr>
        <w:t xml:space="preserve"> Activity</w:t>
      </w:r>
      <w:r w:rsidR="00150B54" w:rsidRPr="00AB5B71">
        <w:rPr>
          <w:rFonts w:ascii="Arial" w:hAnsi="Arial" w:cs="Arial"/>
          <w:bCs/>
          <w:sz w:val="22"/>
          <w:szCs w:val="22"/>
        </w:rPr>
        <w:t xml:space="preserve"> thresholds were set first, emphasizing the relational nature between the affected rules; subsequent to this the </w:t>
      </w:r>
      <w:r w:rsidR="00150B54">
        <w:rPr>
          <w:rFonts w:ascii="Arial" w:hAnsi="Arial" w:cs="Arial"/>
          <w:bCs/>
          <w:sz w:val="22"/>
          <w:szCs w:val="22"/>
        </w:rPr>
        <w:t>Binding/c</w:t>
      </w:r>
      <w:r w:rsidR="00150B54" w:rsidRPr="00AB5B71">
        <w:rPr>
          <w:rFonts w:ascii="Arial" w:hAnsi="Arial" w:cs="Arial"/>
          <w:bCs/>
          <w:sz w:val="22"/>
          <w:szCs w:val="22"/>
        </w:rPr>
        <w:t>onsumption/receptor-absorption levels were modified to obtain the final version of the DEABM presented herein.</w:t>
      </w:r>
    </w:p>
    <w:p w14:paraId="02F541FD" w14:textId="7B44B181" w:rsidR="000F5C15" w:rsidRDefault="000F5C15" w:rsidP="003F1A74">
      <w:pPr>
        <w:widowControl w:val="0"/>
        <w:autoSpaceDE w:val="0"/>
        <w:autoSpaceDN w:val="0"/>
        <w:adjustRightInd w:val="0"/>
        <w:spacing w:line="480" w:lineRule="auto"/>
        <w:ind w:firstLine="720"/>
        <w:jc w:val="both"/>
        <w:rPr>
          <w:rFonts w:ascii="Arial" w:hAnsi="Arial" w:cs="Arial"/>
          <w:sz w:val="22"/>
          <w:szCs w:val="22"/>
        </w:rPr>
      </w:pPr>
      <w:r>
        <w:rPr>
          <w:rFonts w:ascii="Arial" w:hAnsi="Arial" w:cs="Arial"/>
          <w:sz w:val="22"/>
          <w:szCs w:val="22"/>
        </w:rPr>
        <w:t>The model outputs used in the process of calibration were based on cell population dynamics. Initially the goal was to produce dynamically stable cell populations that neither became extinct or demonstrated unconstrained growth under the influence of normal menses. Once this condition had been met</w:t>
      </w:r>
      <w:r w:rsidRPr="00C13D84">
        <w:rPr>
          <w:rFonts w:ascii="Arial" w:hAnsi="Arial" w:cs="Arial"/>
          <w:sz w:val="22"/>
          <w:szCs w:val="22"/>
        </w:rPr>
        <w:t>,</w:t>
      </w:r>
      <w:r>
        <w:rPr>
          <w:rFonts w:ascii="Arial" w:hAnsi="Arial" w:cs="Arial"/>
          <w:sz w:val="22"/>
          <w:szCs w:val="22"/>
        </w:rPr>
        <w:t xml:space="preserve"> the</w:t>
      </w:r>
      <w:r w:rsidRPr="00C13D84">
        <w:rPr>
          <w:rFonts w:ascii="Arial" w:hAnsi="Arial" w:cs="Arial"/>
          <w:sz w:val="22"/>
          <w:szCs w:val="22"/>
        </w:rPr>
        <w:t xml:space="preserve"> hormone levels corresponding to pregnancy were applied and luminal cell population dynamics measured for the duration of the pregnancy and shortly thereafter, </w:t>
      </w:r>
      <w:r w:rsidRPr="00AB5B71">
        <w:rPr>
          <w:rFonts w:ascii="Arial" w:hAnsi="Arial" w:cs="Arial"/>
          <w:sz w:val="22"/>
          <w:szCs w:val="22"/>
        </w:rPr>
        <w:t>with the goal of qualitatively matching the known physiological response of breast tissue expansion during pregnancy followed by additional luminal hyperplasia during lactation.</w:t>
      </w:r>
    </w:p>
    <w:p w14:paraId="217A3EB4" w14:textId="3B8FA7F6" w:rsidR="008C63E2" w:rsidRPr="004F3391" w:rsidRDefault="008C63E2" w:rsidP="003F1A74">
      <w:pPr>
        <w:widowControl w:val="0"/>
        <w:autoSpaceDE w:val="0"/>
        <w:autoSpaceDN w:val="0"/>
        <w:adjustRightInd w:val="0"/>
        <w:spacing w:line="480" w:lineRule="auto"/>
        <w:ind w:firstLine="720"/>
        <w:jc w:val="both"/>
        <w:rPr>
          <w:rFonts w:ascii="Arial" w:hAnsi="Arial" w:cs="Arial"/>
          <w:sz w:val="22"/>
          <w:szCs w:val="22"/>
        </w:rPr>
      </w:pPr>
      <w:r w:rsidRPr="00AB5B71">
        <w:rPr>
          <w:rFonts w:ascii="Arial" w:hAnsi="Arial" w:cs="Arial"/>
          <w:bCs/>
          <w:sz w:val="22"/>
          <w:szCs w:val="22"/>
        </w:rPr>
        <w:t>T</w:t>
      </w:r>
      <w:r>
        <w:rPr>
          <w:rFonts w:ascii="Arial" w:hAnsi="Arial" w:cs="Arial"/>
          <w:bCs/>
          <w:sz w:val="22"/>
          <w:szCs w:val="22"/>
        </w:rPr>
        <w:t>he all the simulated</w:t>
      </w:r>
      <w:r w:rsidRPr="00AB5B71">
        <w:rPr>
          <w:rFonts w:ascii="Arial" w:hAnsi="Arial" w:cs="Arial"/>
          <w:bCs/>
          <w:sz w:val="22"/>
          <w:szCs w:val="22"/>
        </w:rPr>
        <w:t xml:space="preserve"> </w:t>
      </w:r>
      <w:r>
        <w:rPr>
          <w:rFonts w:ascii="Arial" w:hAnsi="Arial" w:cs="Arial"/>
          <w:bCs/>
          <w:sz w:val="22"/>
          <w:szCs w:val="22"/>
        </w:rPr>
        <w:t>experiments used to generate the data presented in this manuscript</w:t>
      </w:r>
      <w:r w:rsidRPr="00AB5B71">
        <w:rPr>
          <w:rFonts w:ascii="Arial" w:hAnsi="Arial" w:cs="Arial"/>
          <w:bCs/>
          <w:sz w:val="22"/>
          <w:szCs w:val="22"/>
        </w:rPr>
        <w:t xml:space="preserve"> were performed with the finished DEABM, which included its mutational capabilit</w:t>
      </w:r>
      <w:r>
        <w:rPr>
          <w:rFonts w:ascii="Arial" w:hAnsi="Arial" w:cs="Arial"/>
          <w:bCs/>
          <w:sz w:val="22"/>
          <w:szCs w:val="22"/>
        </w:rPr>
        <w:t>y, but since the intent of the hormone cycle response</w:t>
      </w:r>
      <w:r w:rsidRPr="00AB5B71">
        <w:rPr>
          <w:rFonts w:ascii="Arial" w:hAnsi="Arial" w:cs="Arial"/>
          <w:bCs/>
          <w:sz w:val="22"/>
          <w:szCs w:val="22"/>
        </w:rPr>
        <w:t xml:space="preserve"> simulations </w:t>
      </w:r>
      <w:r>
        <w:rPr>
          <w:rFonts w:ascii="Arial" w:hAnsi="Arial" w:cs="Arial"/>
          <w:bCs/>
          <w:sz w:val="22"/>
          <w:szCs w:val="22"/>
        </w:rPr>
        <w:t xml:space="preserve"> (Figure 4) </w:t>
      </w:r>
      <w:r w:rsidRPr="00AB5B71">
        <w:rPr>
          <w:rFonts w:ascii="Arial" w:hAnsi="Arial" w:cs="Arial"/>
          <w:bCs/>
          <w:sz w:val="22"/>
          <w:szCs w:val="22"/>
        </w:rPr>
        <w:t>was focused on demonstrating that the DEABM could plausibly generate normal physiological behavior, circumstances where cancers developed were not considered for these baseline validation simulations.</w:t>
      </w:r>
    </w:p>
    <w:sectPr w:rsidR="008C63E2" w:rsidRPr="004F3391" w:rsidSect="006C1A63">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5"/>
  <w:embedSystemFonts/>
  <w:proofState w:spelling="clean" w:grammar="clean"/>
  <w:trackRevisions/>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1A74"/>
    <w:rsid w:val="00070CE7"/>
    <w:rsid w:val="000D5570"/>
    <w:rsid w:val="000F5C15"/>
    <w:rsid w:val="00150B54"/>
    <w:rsid w:val="003F1A74"/>
    <w:rsid w:val="004F3391"/>
    <w:rsid w:val="005A6A51"/>
    <w:rsid w:val="006C1A63"/>
    <w:rsid w:val="007D5671"/>
    <w:rsid w:val="008C63E2"/>
    <w:rsid w:val="00AF0240"/>
    <w:rsid w:val="00AF3ED5"/>
    <w:rsid w:val="00CC0CFB"/>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F4AD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1A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F1A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A6A5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A6A51"/>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1A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F1A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A6A5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A6A51"/>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1160</Words>
  <Characters>6617</Characters>
  <Application>Microsoft Macintosh Word</Application>
  <DocSecurity>0</DocSecurity>
  <Lines>55</Lines>
  <Paragraphs>15</Paragraphs>
  <ScaleCrop>false</ScaleCrop>
  <Company>The University of Chicago</Company>
  <LinksUpToDate>false</LinksUpToDate>
  <CharactersWithSpaces>7762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Gary An</cp:lastModifiedBy>
  <cp:revision>3</cp:revision>
  <dcterms:created xsi:type="dcterms:W3CDTF">2013-04-14T06:20:00Z</dcterms:created>
  <dcterms:modified xsi:type="dcterms:W3CDTF">2013-04-14T06:22:00Z</dcterms:modified>
</cp:coreProperties>
</file>