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B10C9" w14:textId="77777777" w:rsidR="006D1962" w:rsidRPr="0029610F" w:rsidRDefault="006D1962" w:rsidP="006D1962">
      <w:pPr>
        <w:rPr>
          <w:rFonts w:ascii="Arial" w:hAnsi="Arial" w:cs="Arial"/>
        </w:rPr>
      </w:pPr>
      <w:r w:rsidRPr="0029610F">
        <w:rPr>
          <w:rFonts w:ascii="Arial" w:hAnsi="Arial" w:cs="Arial"/>
          <w:b/>
        </w:rPr>
        <w:t>Supplemental Table 3</w:t>
      </w:r>
      <w:r w:rsidRPr="0029610F">
        <w:rPr>
          <w:rFonts w:ascii="Arial" w:hAnsi="Arial" w:cs="Arial"/>
        </w:rPr>
        <w:t xml:space="preserve"> Multivariable regression for </w:t>
      </w:r>
      <w:r w:rsidRPr="0029610F">
        <w:rPr>
          <w:rFonts w:ascii="Arial" w:eastAsia="Times New Roman" w:hAnsi="Arial" w:cs="Arial"/>
          <w:bCs/>
          <w:color w:val="000000"/>
        </w:rPr>
        <w:t>clinical progression</w:t>
      </w:r>
      <w:r w:rsidRPr="0029610F">
        <w:rPr>
          <w:rFonts w:ascii="Arial" w:hAnsi="Arial" w:cs="Arial"/>
        </w:rPr>
        <w:t>, metastasis-free survival, and overall survival from randomization (SRT initiation) in patients with persistent PSA (</w:t>
      </w:r>
      <w:r w:rsidRPr="0029610F">
        <w:rPr>
          <w:rFonts w:ascii="Arial" w:hAnsi="Arial" w:cs="Arial" w:hint="eastAsia"/>
        </w:rPr>
        <w:t>≥</w:t>
      </w:r>
      <w:r w:rsidRPr="0029610F">
        <w:rPr>
          <w:rFonts w:ascii="Arial" w:hAnsi="Arial" w:cs="Arial"/>
        </w:rPr>
        <w:t>0.1 ng/mL) post RP</w:t>
      </w:r>
    </w:p>
    <w:tbl>
      <w:tblPr>
        <w:tblW w:w="13140" w:type="dxa"/>
        <w:tblInd w:w="-113" w:type="dxa"/>
        <w:tblLook w:val="04A0" w:firstRow="1" w:lastRow="0" w:firstColumn="1" w:lastColumn="0" w:noHBand="0" w:noVBand="1"/>
      </w:tblPr>
      <w:tblGrid>
        <w:gridCol w:w="2340"/>
        <w:gridCol w:w="2142"/>
        <w:gridCol w:w="1746"/>
        <w:gridCol w:w="1080"/>
        <w:gridCol w:w="1872"/>
        <w:gridCol w:w="918"/>
        <w:gridCol w:w="1890"/>
        <w:gridCol w:w="1152"/>
      </w:tblGrid>
      <w:tr w:rsidR="006D1962" w:rsidRPr="0029610F" w14:paraId="7D922C3A" w14:textId="77777777" w:rsidTr="00700D86">
        <w:trPr>
          <w:trHeight w:val="300"/>
        </w:trPr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C4FFAEA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9B48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DC70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Clinical progression</w:t>
            </w:r>
          </w:p>
          <w:p w14:paraId="6F63B93C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(N=692)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61913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9610F">
              <w:rPr>
                <w:rFonts w:ascii="Arial" w:hAnsi="Arial" w:cs="Arial"/>
                <w:b/>
                <w:bCs/>
              </w:rPr>
              <w:t>Metastasis-free Survival</w:t>
            </w:r>
          </w:p>
          <w:p w14:paraId="4DBCC57E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(N=730)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F15993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Overall Survival</w:t>
            </w:r>
          </w:p>
          <w:p w14:paraId="0F063E56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(N=730)</w:t>
            </w:r>
          </w:p>
        </w:tc>
      </w:tr>
      <w:tr w:rsidR="006D1962" w:rsidRPr="0029610F" w14:paraId="0AB0A0EB" w14:textId="77777777" w:rsidTr="00700D86">
        <w:trPr>
          <w:trHeight w:val="300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795BE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Variables</w:t>
            </w:r>
          </w:p>
        </w:tc>
        <w:tc>
          <w:tcPr>
            <w:tcW w:w="21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F890C8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Levels</w:t>
            </w: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7451C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HR (95% CI)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33822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P-value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0D5EF3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HR (95% CI)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0047A7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P-value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98E10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HR (95% CI)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5BBEB9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P-value</w:t>
            </w:r>
          </w:p>
        </w:tc>
      </w:tr>
      <w:tr w:rsidR="006D1962" w:rsidRPr="0029610F" w14:paraId="7EE30D73" w14:textId="77777777" w:rsidTr="00700D86">
        <w:trPr>
          <w:trHeight w:val="300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1A0574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Pathological GS</w:t>
            </w:r>
          </w:p>
        </w:tc>
        <w:tc>
          <w:tcPr>
            <w:tcW w:w="21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5001D1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≥8 vs ≤7</w:t>
            </w: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27E21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1.84(1.31-2.59)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8D6B3D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&lt;.001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57E64B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1.77(1.35-2.33)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2A8AA3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&lt;.001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155C50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1.63(1.20-2.23)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8365BE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0.002</w:t>
            </w:r>
          </w:p>
        </w:tc>
      </w:tr>
      <w:tr w:rsidR="006D1962" w:rsidRPr="0029610F" w14:paraId="39F97E95" w14:textId="77777777" w:rsidTr="00700D86">
        <w:trPr>
          <w:trHeight w:val="300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87F667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PSA at SRT start, ng/mL</w:t>
            </w:r>
          </w:p>
        </w:tc>
        <w:tc>
          <w:tcPr>
            <w:tcW w:w="21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4B08C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≥0.5 vs &lt;0.5</w:t>
            </w: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5D09C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2.02(1.36-3.01)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0E423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&lt;.001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4CE909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1.53(1.15-2.04)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4BB56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0.004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3AD82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1.35(0.98-1.85)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8427DA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0.065</w:t>
            </w:r>
          </w:p>
        </w:tc>
      </w:tr>
      <w:tr w:rsidR="006D1962" w:rsidRPr="0029610F" w14:paraId="6306774C" w14:textId="77777777" w:rsidTr="00700D86">
        <w:trPr>
          <w:trHeight w:val="300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9F04C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Margin status</w:t>
            </w:r>
          </w:p>
        </w:tc>
        <w:tc>
          <w:tcPr>
            <w:tcW w:w="21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4691A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Negative vs positive</w:t>
            </w: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0EDF4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1.61(1.17-2.21)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56582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0.003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40B16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1.38(1.07-1.78)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6A2330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0.012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493E6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1.09(0.81-1.46)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A9F85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0.6</w:t>
            </w:r>
          </w:p>
        </w:tc>
      </w:tr>
      <w:tr w:rsidR="006D1962" w:rsidRPr="0029610F" w14:paraId="106DAD6E" w14:textId="77777777" w:rsidTr="00700D86">
        <w:trPr>
          <w:trHeight w:val="300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B917A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Age at SRT initiation</w:t>
            </w:r>
          </w:p>
        </w:tc>
        <w:tc>
          <w:tcPr>
            <w:tcW w:w="21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8BA41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Per year increase</w:t>
            </w: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FE2DA7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1.00(0.98-1.03)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2A1191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0.8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0E6D5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1.06(1.04-1.08)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4364B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&lt;.001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3CEEF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1.09(1.07-1.12)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6920C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&lt;.001</w:t>
            </w:r>
          </w:p>
        </w:tc>
      </w:tr>
      <w:tr w:rsidR="006D1962" w:rsidRPr="0029610F" w14:paraId="4639C6BA" w14:textId="77777777" w:rsidTr="00700D86">
        <w:trPr>
          <w:trHeight w:val="300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A30AFC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Time from RP to SRT</w:t>
            </w:r>
          </w:p>
        </w:tc>
        <w:tc>
          <w:tcPr>
            <w:tcW w:w="21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E93DF6" w14:textId="77777777" w:rsidR="006D1962" w:rsidRPr="0029610F" w:rsidRDefault="006D1962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&lt;1 vs ≥ 1 years</w:t>
            </w: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FAED17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1.52(1.08-2.12)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668CAF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0.016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FDCD4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1.32(1.01-1.73)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37A741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0.045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83437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1.36(1.00-1.85)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980662" w14:textId="77777777" w:rsidR="006D1962" w:rsidRPr="0029610F" w:rsidRDefault="006D1962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0.047</w:t>
            </w:r>
          </w:p>
        </w:tc>
      </w:tr>
    </w:tbl>
    <w:p w14:paraId="3189A157" w14:textId="77777777" w:rsidR="006D1962" w:rsidRPr="0029610F" w:rsidRDefault="006D1962" w:rsidP="006D1962">
      <w:pPr>
        <w:rPr>
          <w:rFonts w:ascii="Arial" w:hAnsi="Arial" w:cs="Arial"/>
        </w:rPr>
      </w:pPr>
      <w:r w:rsidRPr="0029610F">
        <w:rPr>
          <w:rFonts w:ascii="Arial" w:hAnsi="Arial" w:cs="Arial"/>
        </w:rPr>
        <w:t>CI: confidence interval, HR: hazard ratio, GS: Gleason score;</w:t>
      </w:r>
    </w:p>
    <w:p w14:paraId="7A961B25" w14:textId="77777777" w:rsidR="00636C8D" w:rsidRDefault="00636C8D"/>
    <w:sectPr w:rsidR="00636C8D" w:rsidSect="006D196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62"/>
    <w:rsid w:val="00393E66"/>
    <w:rsid w:val="00636C8D"/>
    <w:rsid w:val="006D1962"/>
    <w:rsid w:val="00724433"/>
    <w:rsid w:val="00ED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0A754"/>
  <w15:chartTrackingRefBased/>
  <w15:docId w15:val="{CB793AF5-7E3D-4001-AB66-B4E447D9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962"/>
    <w:rPr>
      <w:rFonts w:eastAsiaTheme="minorEastAsia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799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Pommier Pascal</dc:creator>
  <cp:keywords/>
  <dc:description/>
  <cp:lastModifiedBy>Pommier Pascal</cp:lastModifiedBy>
  <cp:revision>1</cp:revision>
  <dcterms:created xsi:type="dcterms:W3CDTF">2024-09-03T22:17:00Z</dcterms:created>
  <dcterms:modified xsi:type="dcterms:W3CDTF">2024-09-03T22:17:00Z</dcterms:modified>
</cp:coreProperties>
</file>