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EA87" w14:textId="77777777" w:rsidR="00C6558C" w:rsidRDefault="00C6558C" w:rsidP="00C6558C">
      <w:r w:rsidRPr="003F0329">
        <w:rPr>
          <w:b/>
        </w:rPr>
        <w:t>Table</w:t>
      </w:r>
      <w:r>
        <w:t xml:space="preserve"> 3 (Supplement): Unadjusted and adjusted Regression analysis in MS patients using normalized total and limbic brain volumes</w:t>
      </w:r>
    </w:p>
    <w:p w14:paraId="6A4B52CA" w14:textId="1CE71AA2" w:rsidR="00711AFC" w:rsidRDefault="00711AFC"/>
    <w:tbl>
      <w:tblPr>
        <w:tblpPr w:leftFromText="180" w:rightFromText="180" w:vertAnchor="page" w:horzAnchor="margin" w:tblpY="3208"/>
        <w:tblW w:w="4994" w:type="pct"/>
        <w:tblLayout w:type="fixed"/>
        <w:tblCellMar>
          <w:left w:w="29" w:type="dxa"/>
          <w:right w:w="29" w:type="dxa"/>
        </w:tblCellMar>
        <w:tblLook w:val="04A0" w:firstRow="1" w:lastRow="0" w:firstColumn="1" w:lastColumn="0" w:noHBand="0" w:noVBand="1"/>
      </w:tblPr>
      <w:tblGrid>
        <w:gridCol w:w="2959"/>
        <w:gridCol w:w="2296"/>
        <w:gridCol w:w="752"/>
        <w:gridCol w:w="2360"/>
        <w:gridCol w:w="982"/>
      </w:tblGrid>
      <w:tr w:rsidR="00C6558C" w:rsidRPr="00602073" w14:paraId="7616798E" w14:textId="77777777" w:rsidTr="00B948FB">
        <w:trPr>
          <w:gridAfter w:val="4"/>
          <w:wAfter w:w="3417" w:type="pct"/>
          <w:trHeight w:val="320"/>
        </w:trPr>
        <w:tc>
          <w:tcPr>
            <w:tcW w:w="1583" w:type="pct"/>
            <w:tcBorders>
              <w:top w:val="nil"/>
              <w:left w:val="nil"/>
              <w:bottom w:val="nil"/>
              <w:right w:val="nil"/>
            </w:tcBorders>
            <w:shd w:val="clear" w:color="auto" w:fill="auto"/>
            <w:noWrap/>
            <w:vAlign w:val="bottom"/>
            <w:hideMark/>
          </w:tcPr>
          <w:p w14:paraId="3691FCDE" w14:textId="77777777" w:rsidR="00C6558C" w:rsidRDefault="00C6558C" w:rsidP="00B948FB"/>
          <w:p w14:paraId="199EA46C" w14:textId="77777777" w:rsidR="00C6558C" w:rsidRPr="00602073" w:rsidRDefault="00C6558C" w:rsidP="00B948FB"/>
        </w:tc>
      </w:tr>
      <w:tr w:rsidR="00C6558C" w:rsidRPr="00602073" w14:paraId="500E6B4E" w14:textId="77777777" w:rsidTr="00B948FB">
        <w:trPr>
          <w:trHeight w:val="320"/>
        </w:trPr>
        <w:tc>
          <w:tcPr>
            <w:tcW w:w="1583" w:type="pct"/>
            <w:tcBorders>
              <w:top w:val="nil"/>
              <w:left w:val="nil"/>
              <w:bottom w:val="nil"/>
              <w:right w:val="single" w:sz="4" w:space="0" w:color="auto"/>
            </w:tcBorders>
            <w:shd w:val="clear" w:color="auto" w:fill="auto"/>
            <w:noWrap/>
            <w:vAlign w:val="bottom"/>
          </w:tcPr>
          <w:p w14:paraId="574230E0" w14:textId="77777777" w:rsidR="00C6558C" w:rsidRPr="00602073" w:rsidRDefault="00C6558C" w:rsidP="00B948FB">
            <w:pPr>
              <w:jc w:val="center"/>
              <w:rPr>
                <w:rFonts w:ascii="Calibri" w:hAnsi="Calibri" w:cs="Calibri"/>
                <w:color w:val="000000"/>
              </w:rPr>
            </w:pPr>
          </w:p>
        </w:tc>
        <w:tc>
          <w:tcPr>
            <w:tcW w:w="1630" w:type="pct"/>
            <w:gridSpan w:val="2"/>
            <w:tcBorders>
              <w:top w:val="nil"/>
              <w:left w:val="single" w:sz="4" w:space="0" w:color="auto"/>
              <w:bottom w:val="single" w:sz="4" w:space="0" w:color="auto"/>
              <w:right w:val="single" w:sz="4" w:space="0" w:color="auto"/>
            </w:tcBorders>
            <w:shd w:val="clear" w:color="auto" w:fill="auto"/>
            <w:noWrap/>
            <w:vAlign w:val="center"/>
          </w:tcPr>
          <w:p w14:paraId="2159D79F" w14:textId="77777777" w:rsidR="00C6558C" w:rsidRPr="00184684" w:rsidRDefault="00C6558C" w:rsidP="00B948FB">
            <w:pPr>
              <w:jc w:val="center"/>
              <w:rPr>
                <w:rFonts w:ascii="Calibri" w:hAnsi="Calibri" w:cs="Calibri"/>
                <w:color w:val="000000"/>
              </w:rPr>
            </w:pPr>
            <w:r w:rsidRPr="00184684">
              <w:rPr>
                <w:rFonts w:ascii="Calibri" w:hAnsi="Calibri" w:cs="Calibri"/>
                <w:color w:val="000000"/>
              </w:rPr>
              <w:t>Unadjusted</w:t>
            </w:r>
          </w:p>
        </w:tc>
        <w:tc>
          <w:tcPr>
            <w:tcW w:w="1787" w:type="pct"/>
            <w:gridSpan w:val="2"/>
            <w:tcBorders>
              <w:top w:val="nil"/>
              <w:left w:val="nil"/>
              <w:bottom w:val="single" w:sz="4" w:space="0" w:color="auto"/>
              <w:right w:val="single" w:sz="4" w:space="0" w:color="auto"/>
            </w:tcBorders>
            <w:shd w:val="clear" w:color="auto" w:fill="auto"/>
            <w:noWrap/>
            <w:vAlign w:val="center"/>
          </w:tcPr>
          <w:p w14:paraId="0EB1A4DD" w14:textId="77777777" w:rsidR="00C6558C" w:rsidRPr="00184684" w:rsidRDefault="00C6558C" w:rsidP="00B948FB">
            <w:pPr>
              <w:jc w:val="center"/>
              <w:rPr>
                <w:rFonts w:ascii="Calibri" w:hAnsi="Calibri" w:cs="Calibri"/>
                <w:color w:val="000000"/>
              </w:rPr>
            </w:pPr>
            <w:r w:rsidRPr="00184684">
              <w:rPr>
                <w:rFonts w:ascii="Calibri" w:hAnsi="Calibri" w:cs="Calibri"/>
                <w:color w:val="000000"/>
              </w:rPr>
              <w:t>Adjusted</w:t>
            </w:r>
          </w:p>
        </w:tc>
      </w:tr>
      <w:tr w:rsidR="00C6558C" w:rsidRPr="00602073" w14:paraId="62C4C77F"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543771F1" w14:textId="77777777" w:rsidR="00C6558C" w:rsidRPr="00602073" w:rsidRDefault="00C6558C" w:rsidP="00B948FB">
            <w:pPr>
              <w:jc w:val="center"/>
              <w:rPr>
                <w:rFonts w:ascii="Calibri" w:hAnsi="Calibri" w:cs="Calibri"/>
                <w:color w:val="000000"/>
              </w:rPr>
            </w:pPr>
          </w:p>
        </w:tc>
        <w:tc>
          <w:tcPr>
            <w:tcW w:w="1228" w:type="pct"/>
            <w:tcBorders>
              <w:top w:val="single" w:sz="4" w:space="0" w:color="auto"/>
              <w:left w:val="single" w:sz="4" w:space="0" w:color="auto"/>
              <w:bottom w:val="single" w:sz="4" w:space="0" w:color="auto"/>
              <w:right w:val="nil"/>
            </w:tcBorders>
            <w:shd w:val="clear" w:color="auto" w:fill="auto"/>
            <w:noWrap/>
            <w:vAlign w:val="center"/>
            <w:hideMark/>
          </w:tcPr>
          <w:p w14:paraId="6E1B05E3" w14:textId="77777777" w:rsidR="00C6558C" w:rsidRPr="00602073" w:rsidRDefault="00C6558C" w:rsidP="00B948FB">
            <w:pPr>
              <w:jc w:val="center"/>
              <w:rPr>
                <w:rFonts w:ascii="Calibri" w:hAnsi="Calibri" w:cs="Calibri"/>
                <w:i/>
                <w:iCs/>
                <w:color w:val="000000"/>
              </w:rPr>
            </w:pPr>
            <w:r>
              <w:rPr>
                <w:rFonts w:ascii="Calibri" w:hAnsi="Calibri" w:cs="Calibri"/>
                <w:i/>
                <w:iCs/>
                <w:color w:val="000000"/>
              </w:rPr>
              <w:sym w:font="Symbol" w:char="F062"/>
            </w:r>
            <w:r>
              <w:rPr>
                <w:rFonts w:ascii="Calibri" w:hAnsi="Calibri" w:cs="Calibri"/>
                <w:i/>
                <w:iCs/>
                <w:color w:val="000000"/>
              </w:rPr>
              <w:t xml:space="preserve"> </w:t>
            </w:r>
            <w:r w:rsidRPr="00602073">
              <w:rPr>
                <w:rFonts w:ascii="Calibri" w:hAnsi="Calibri" w:cs="Calibri"/>
                <w:color w:val="000000"/>
              </w:rPr>
              <w:t>(95%CI)</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14:paraId="1DBDBF6A" w14:textId="77777777" w:rsidR="00C6558C" w:rsidRPr="00602073" w:rsidRDefault="00C6558C" w:rsidP="00B948FB">
            <w:pPr>
              <w:jc w:val="center"/>
              <w:rPr>
                <w:rFonts w:ascii="Calibri" w:hAnsi="Calibri" w:cs="Calibri"/>
                <w:i/>
                <w:iCs/>
                <w:color w:val="000000"/>
              </w:rPr>
            </w:pPr>
            <w:r w:rsidRPr="00602073">
              <w:rPr>
                <w:rFonts w:ascii="Calibri" w:hAnsi="Calibri" w:cs="Calibri"/>
                <w:i/>
                <w:iCs/>
                <w:color w:val="000000"/>
              </w:rPr>
              <w:t>p</w:t>
            </w:r>
          </w:p>
        </w:tc>
        <w:tc>
          <w:tcPr>
            <w:tcW w:w="1262" w:type="pct"/>
            <w:tcBorders>
              <w:top w:val="single" w:sz="4" w:space="0" w:color="auto"/>
              <w:left w:val="nil"/>
              <w:bottom w:val="single" w:sz="4" w:space="0" w:color="auto"/>
              <w:right w:val="nil"/>
            </w:tcBorders>
            <w:shd w:val="clear" w:color="auto" w:fill="auto"/>
            <w:noWrap/>
            <w:vAlign w:val="center"/>
            <w:hideMark/>
          </w:tcPr>
          <w:p w14:paraId="1365195B" w14:textId="77777777" w:rsidR="00C6558C" w:rsidRPr="00602073" w:rsidRDefault="00C6558C" w:rsidP="00B948FB">
            <w:pPr>
              <w:jc w:val="center"/>
              <w:rPr>
                <w:rFonts w:ascii="Calibri" w:hAnsi="Calibri" w:cs="Calibri"/>
                <w:i/>
                <w:iCs/>
                <w:color w:val="000000"/>
              </w:rPr>
            </w:pPr>
            <w:r>
              <w:rPr>
                <w:rFonts w:ascii="Calibri" w:hAnsi="Calibri" w:cs="Calibri"/>
                <w:i/>
                <w:iCs/>
                <w:color w:val="000000"/>
              </w:rPr>
              <w:sym w:font="Symbol" w:char="F062"/>
            </w:r>
            <w:r>
              <w:rPr>
                <w:rFonts w:ascii="Calibri" w:hAnsi="Calibri" w:cs="Calibri"/>
                <w:i/>
                <w:iCs/>
                <w:color w:val="000000"/>
              </w:rPr>
              <w:t xml:space="preserve"> </w:t>
            </w:r>
            <w:r w:rsidRPr="00602073">
              <w:rPr>
                <w:rFonts w:ascii="Calibri" w:hAnsi="Calibri" w:cs="Calibri"/>
                <w:color w:val="000000"/>
              </w:rPr>
              <w:t>(95%CI)</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288A755A" w14:textId="77777777" w:rsidR="00C6558C" w:rsidRPr="00602073" w:rsidRDefault="00C6558C" w:rsidP="00B948FB">
            <w:pPr>
              <w:jc w:val="center"/>
              <w:rPr>
                <w:rFonts w:ascii="Calibri" w:hAnsi="Calibri" w:cs="Calibri"/>
                <w:i/>
                <w:iCs/>
                <w:color w:val="000000"/>
              </w:rPr>
            </w:pPr>
            <w:r w:rsidRPr="00602073">
              <w:rPr>
                <w:rFonts w:ascii="Calibri" w:hAnsi="Calibri" w:cs="Calibri"/>
                <w:i/>
                <w:iCs/>
                <w:color w:val="000000"/>
              </w:rPr>
              <w:t>p</w:t>
            </w:r>
          </w:p>
        </w:tc>
      </w:tr>
      <w:tr w:rsidR="00C6558C" w:rsidRPr="00602073" w14:paraId="06723BF2" w14:textId="77777777" w:rsidTr="00B948FB">
        <w:trPr>
          <w:trHeight w:val="320"/>
        </w:trPr>
        <w:tc>
          <w:tcPr>
            <w:tcW w:w="1583" w:type="pct"/>
            <w:tcBorders>
              <w:top w:val="single" w:sz="4" w:space="0" w:color="auto"/>
              <w:left w:val="nil"/>
              <w:bottom w:val="nil"/>
              <w:right w:val="single" w:sz="4" w:space="0" w:color="auto"/>
            </w:tcBorders>
            <w:shd w:val="clear" w:color="auto" w:fill="auto"/>
            <w:noWrap/>
            <w:vAlign w:val="bottom"/>
            <w:hideMark/>
          </w:tcPr>
          <w:p w14:paraId="3226501E" w14:textId="77777777" w:rsidR="00C6558C" w:rsidRPr="00602073" w:rsidRDefault="00C6558C" w:rsidP="00B948FB">
            <w:pPr>
              <w:rPr>
                <w:rFonts w:ascii="Calibri" w:hAnsi="Calibri" w:cs="Calibri"/>
                <w:color w:val="000000"/>
              </w:rPr>
            </w:pPr>
            <w:r w:rsidRPr="00224267">
              <w:rPr>
                <w:rFonts w:ascii="Calibri" w:hAnsi="Calibri" w:cs="Calibri"/>
                <w:color w:val="000000"/>
              </w:rPr>
              <w:t>Norm. Total Brain Vol. (mm</w:t>
            </w:r>
            <w:r w:rsidRPr="00224267">
              <w:rPr>
                <w:rFonts w:ascii="Calibri" w:hAnsi="Calibri" w:cs="Calibri"/>
                <w:color w:val="000000"/>
                <w:vertAlign w:val="superscript"/>
              </w:rPr>
              <w:t>3</w:t>
            </w:r>
            <w:r w:rsidRPr="00224267">
              <w:rPr>
                <w:rFonts w:ascii="Calibri" w:hAnsi="Calibri" w:cs="Calibri"/>
                <w:color w:val="000000"/>
              </w:rPr>
              <w:t>)</w:t>
            </w:r>
          </w:p>
        </w:tc>
        <w:tc>
          <w:tcPr>
            <w:tcW w:w="1228" w:type="pct"/>
            <w:tcBorders>
              <w:top w:val="single" w:sz="4" w:space="0" w:color="auto"/>
              <w:left w:val="single" w:sz="4" w:space="0" w:color="auto"/>
            </w:tcBorders>
            <w:shd w:val="clear" w:color="auto" w:fill="auto"/>
            <w:vAlign w:val="center"/>
            <w:hideMark/>
          </w:tcPr>
          <w:p w14:paraId="02DC67D8"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0.0</w:t>
            </w:r>
            <w:r>
              <w:rPr>
                <w:rFonts w:ascii="Calibri" w:hAnsi="Calibri" w:cs="Calibri"/>
                <w:color w:val="000000"/>
              </w:rPr>
              <w:t>03 (</w:t>
            </w:r>
            <w:r w:rsidRPr="00602073">
              <w:rPr>
                <w:rFonts w:ascii="Calibri" w:hAnsi="Calibri" w:cs="Calibri"/>
                <w:color w:val="000000"/>
              </w:rPr>
              <w:t>0.0</w:t>
            </w:r>
            <w:r>
              <w:rPr>
                <w:rFonts w:ascii="Calibri" w:hAnsi="Calibri" w:cs="Calibri"/>
                <w:color w:val="000000"/>
              </w:rPr>
              <w:t xml:space="preserve">02, </w:t>
            </w:r>
            <w:r w:rsidRPr="00602073">
              <w:rPr>
                <w:rFonts w:ascii="Calibri" w:hAnsi="Calibri" w:cs="Calibri"/>
                <w:color w:val="000000"/>
              </w:rPr>
              <w:t>0.0</w:t>
            </w:r>
            <w:r>
              <w:rPr>
                <w:rFonts w:ascii="Calibri" w:hAnsi="Calibri" w:cs="Calibri"/>
                <w:color w:val="000000"/>
              </w:rPr>
              <w:t>04)</w:t>
            </w:r>
          </w:p>
        </w:tc>
        <w:tc>
          <w:tcPr>
            <w:tcW w:w="402" w:type="pct"/>
            <w:tcBorders>
              <w:top w:val="single" w:sz="4" w:space="0" w:color="auto"/>
              <w:right w:val="single" w:sz="4" w:space="0" w:color="auto"/>
            </w:tcBorders>
            <w:shd w:val="clear" w:color="auto" w:fill="auto"/>
            <w:vAlign w:val="center"/>
            <w:hideMark/>
          </w:tcPr>
          <w:p w14:paraId="5C886DE2" w14:textId="77777777" w:rsidR="00C6558C" w:rsidRPr="00602073" w:rsidRDefault="00C6558C" w:rsidP="00B948FB">
            <w:pPr>
              <w:jc w:val="right"/>
              <w:rPr>
                <w:rFonts w:ascii="Calibri" w:hAnsi="Calibri" w:cs="Calibri"/>
                <w:b/>
                <w:bCs/>
                <w:color w:val="000000"/>
              </w:rPr>
            </w:pPr>
            <w:r w:rsidRPr="00791296">
              <w:rPr>
                <w:rFonts w:ascii="Calibri" w:hAnsi="Calibri" w:cs="Calibri"/>
                <w:b/>
                <w:bCs/>
                <w:color w:val="000000"/>
              </w:rPr>
              <w:t>&lt;.001</w:t>
            </w:r>
          </w:p>
        </w:tc>
        <w:tc>
          <w:tcPr>
            <w:tcW w:w="1262" w:type="pct"/>
            <w:tcBorders>
              <w:top w:val="single" w:sz="4" w:space="0" w:color="auto"/>
              <w:left w:val="single" w:sz="4" w:space="0" w:color="auto"/>
            </w:tcBorders>
            <w:shd w:val="clear" w:color="auto" w:fill="auto"/>
            <w:noWrap/>
            <w:vAlign w:val="center"/>
            <w:hideMark/>
          </w:tcPr>
          <w:p w14:paraId="78EC5B94"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0.0</w:t>
            </w:r>
            <w:r>
              <w:rPr>
                <w:rFonts w:ascii="Calibri" w:hAnsi="Calibri" w:cs="Calibri"/>
                <w:color w:val="000000"/>
              </w:rPr>
              <w:t xml:space="preserve">03 </w:t>
            </w:r>
            <w:r w:rsidRPr="00602073">
              <w:rPr>
                <w:rFonts w:ascii="Calibri" w:hAnsi="Calibri" w:cs="Calibri"/>
                <w:color w:val="000000"/>
              </w:rPr>
              <w:t>0.0</w:t>
            </w:r>
            <w:r>
              <w:rPr>
                <w:rFonts w:ascii="Calibri" w:hAnsi="Calibri" w:cs="Calibri"/>
                <w:color w:val="000000"/>
              </w:rPr>
              <w:t xml:space="preserve">02, </w:t>
            </w:r>
            <w:r w:rsidRPr="00602073">
              <w:rPr>
                <w:rFonts w:ascii="Calibri" w:hAnsi="Calibri" w:cs="Calibri"/>
                <w:color w:val="000000"/>
              </w:rPr>
              <w:t>0.0</w:t>
            </w:r>
            <w:r>
              <w:rPr>
                <w:rFonts w:ascii="Calibri" w:hAnsi="Calibri" w:cs="Calibri"/>
                <w:color w:val="000000"/>
              </w:rPr>
              <w:t>04)</w:t>
            </w:r>
          </w:p>
        </w:tc>
        <w:tc>
          <w:tcPr>
            <w:tcW w:w="525" w:type="pct"/>
            <w:tcBorders>
              <w:top w:val="single" w:sz="4" w:space="0" w:color="auto"/>
              <w:right w:val="single" w:sz="4" w:space="0" w:color="auto"/>
            </w:tcBorders>
            <w:shd w:val="clear" w:color="auto" w:fill="auto"/>
            <w:vAlign w:val="center"/>
            <w:hideMark/>
          </w:tcPr>
          <w:p w14:paraId="1E8243DD" w14:textId="77777777" w:rsidR="00C6558C" w:rsidRPr="00602073" w:rsidRDefault="00C6558C" w:rsidP="00B948FB">
            <w:pPr>
              <w:jc w:val="center"/>
              <w:rPr>
                <w:rFonts w:ascii="Calibri" w:hAnsi="Calibri" w:cs="Calibri"/>
                <w:color w:val="000000"/>
              </w:rPr>
            </w:pPr>
            <w:r w:rsidRPr="00791296">
              <w:rPr>
                <w:rFonts w:ascii="Calibri" w:hAnsi="Calibri" w:cs="Calibri"/>
                <w:b/>
                <w:bCs/>
                <w:color w:val="000000"/>
              </w:rPr>
              <w:t>&lt;.001</w:t>
            </w:r>
          </w:p>
        </w:tc>
      </w:tr>
      <w:tr w:rsidR="00C6558C" w:rsidRPr="00602073" w14:paraId="34269AD5"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67727167" w14:textId="77777777" w:rsidR="00C6558C" w:rsidRPr="00602073" w:rsidRDefault="00C6558C" w:rsidP="00B948FB">
            <w:pPr>
              <w:rPr>
                <w:rFonts w:ascii="Calibri" w:hAnsi="Calibri" w:cs="Calibri"/>
                <w:color w:val="000000"/>
              </w:rPr>
            </w:pPr>
            <w:r w:rsidRPr="00602073">
              <w:rPr>
                <w:rFonts w:ascii="Calibri" w:hAnsi="Calibri" w:cs="Calibri"/>
                <w:color w:val="000000"/>
              </w:rPr>
              <w:t>EDSS - High Severity (Low)</w:t>
            </w:r>
          </w:p>
        </w:tc>
        <w:tc>
          <w:tcPr>
            <w:tcW w:w="1228" w:type="pct"/>
            <w:tcBorders>
              <w:left w:val="single" w:sz="4" w:space="0" w:color="auto"/>
            </w:tcBorders>
            <w:shd w:val="clear" w:color="auto" w:fill="auto"/>
            <w:vAlign w:val="center"/>
            <w:hideMark/>
          </w:tcPr>
          <w:p w14:paraId="2C7568FE"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-83.0</w:t>
            </w:r>
            <w:r>
              <w:rPr>
                <w:rFonts w:ascii="Calibri" w:hAnsi="Calibri" w:cs="Calibri"/>
                <w:color w:val="000000"/>
              </w:rPr>
              <w:t xml:space="preserve"> (</w:t>
            </w:r>
            <w:r w:rsidRPr="00602073">
              <w:rPr>
                <w:rFonts w:ascii="Calibri" w:hAnsi="Calibri" w:cs="Calibri"/>
                <w:color w:val="000000"/>
              </w:rPr>
              <w:t>-306.8</w:t>
            </w:r>
            <w:r>
              <w:rPr>
                <w:rFonts w:ascii="Calibri" w:hAnsi="Calibri" w:cs="Calibri"/>
                <w:color w:val="000000"/>
              </w:rPr>
              <w:t xml:space="preserve">, </w:t>
            </w:r>
            <w:r w:rsidRPr="00602073">
              <w:rPr>
                <w:rFonts w:ascii="Calibri" w:hAnsi="Calibri" w:cs="Calibri"/>
                <w:color w:val="000000"/>
              </w:rPr>
              <w:t>140.7</w:t>
            </w:r>
            <w:r>
              <w:rPr>
                <w:rFonts w:ascii="Calibri" w:hAnsi="Calibri" w:cs="Calibri"/>
                <w:color w:val="000000"/>
              </w:rPr>
              <w:t>)</w:t>
            </w:r>
          </w:p>
        </w:tc>
        <w:tc>
          <w:tcPr>
            <w:tcW w:w="402" w:type="pct"/>
            <w:tcBorders>
              <w:right w:val="single" w:sz="4" w:space="0" w:color="auto"/>
            </w:tcBorders>
            <w:shd w:val="clear" w:color="auto" w:fill="auto"/>
            <w:vAlign w:val="center"/>
            <w:hideMark/>
          </w:tcPr>
          <w:p w14:paraId="2F499351"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0.46</w:t>
            </w:r>
          </w:p>
        </w:tc>
        <w:tc>
          <w:tcPr>
            <w:tcW w:w="1262" w:type="pct"/>
            <w:tcBorders>
              <w:left w:val="single" w:sz="4" w:space="0" w:color="auto"/>
            </w:tcBorders>
            <w:shd w:val="clear" w:color="auto" w:fill="auto"/>
            <w:vAlign w:val="center"/>
            <w:hideMark/>
          </w:tcPr>
          <w:p w14:paraId="34A5695C"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-122.6</w:t>
            </w:r>
            <w:r>
              <w:rPr>
                <w:rFonts w:ascii="Calibri" w:hAnsi="Calibri" w:cs="Calibri"/>
                <w:color w:val="000000"/>
              </w:rPr>
              <w:t xml:space="preserve"> (</w:t>
            </w:r>
            <w:r w:rsidRPr="00602073">
              <w:rPr>
                <w:rFonts w:ascii="Calibri" w:hAnsi="Calibri" w:cs="Calibri"/>
                <w:color w:val="000000"/>
              </w:rPr>
              <w:t>-357.7</w:t>
            </w:r>
            <w:r>
              <w:rPr>
                <w:rFonts w:ascii="Calibri" w:hAnsi="Calibri" w:cs="Calibri"/>
                <w:color w:val="000000"/>
              </w:rPr>
              <w:t xml:space="preserve">, </w:t>
            </w:r>
            <w:r w:rsidRPr="00602073">
              <w:rPr>
                <w:rFonts w:ascii="Calibri" w:hAnsi="Calibri" w:cs="Calibri"/>
                <w:color w:val="000000"/>
              </w:rPr>
              <w:t>112.5</w:t>
            </w:r>
            <w:r>
              <w:rPr>
                <w:rFonts w:ascii="Calibri" w:hAnsi="Calibri" w:cs="Calibri"/>
                <w:color w:val="000000"/>
              </w:rPr>
              <w:t>)</w:t>
            </w:r>
          </w:p>
        </w:tc>
        <w:tc>
          <w:tcPr>
            <w:tcW w:w="525" w:type="pct"/>
            <w:tcBorders>
              <w:right w:val="single" w:sz="4" w:space="0" w:color="auto"/>
            </w:tcBorders>
            <w:shd w:val="clear" w:color="auto" w:fill="auto"/>
            <w:vAlign w:val="center"/>
            <w:hideMark/>
          </w:tcPr>
          <w:p w14:paraId="48C7CD95"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0.30</w:t>
            </w:r>
          </w:p>
        </w:tc>
      </w:tr>
      <w:tr w:rsidR="00C6558C" w:rsidRPr="00602073" w14:paraId="0386113A"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480E9EB7" w14:textId="77777777" w:rsidR="00C6558C" w:rsidRPr="00602073" w:rsidRDefault="00C6558C" w:rsidP="00B948FB">
            <w:pPr>
              <w:rPr>
                <w:rFonts w:ascii="Calibri" w:hAnsi="Calibri" w:cs="Calibri"/>
                <w:color w:val="000000"/>
              </w:rPr>
            </w:pPr>
            <w:r w:rsidRPr="00602073">
              <w:rPr>
                <w:rFonts w:ascii="Calibri" w:hAnsi="Calibri" w:cs="Calibri"/>
                <w:color w:val="000000"/>
              </w:rPr>
              <w:t>Duration MS</w:t>
            </w:r>
          </w:p>
        </w:tc>
        <w:tc>
          <w:tcPr>
            <w:tcW w:w="1228" w:type="pct"/>
            <w:tcBorders>
              <w:top w:val="nil"/>
              <w:left w:val="single" w:sz="4" w:space="0" w:color="auto"/>
            </w:tcBorders>
            <w:shd w:val="clear" w:color="auto" w:fill="auto"/>
            <w:vAlign w:val="center"/>
            <w:hideMark/>
          </w:tcPr>
          <w:p w14:paraId="73EBBB4D"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-570.2</w:t>
            </w:r>
            <w:r>
              <w:rPr>
                <w:rFonts w:ascii="Calibri" w:hAnsi="Calibri" w:cs="Calibri"/>
                <w:color w:val="000000"/>
              </w:rPr>
              <w:t xml:space="preserve"> (</w:t>
            </w:r>
            <w:r w:rsidRPr="00602073">
              <w:rPr>
                <w:rFonts w:ascii="Calibri" w:hAnsi="Calibri" w:cs="Calibri"/>
                <w:color w:val="000000"/>
              </w:rPr>
              <w:t>-1513.9</w:t>
            </w:r>
            <w:r>
              <w:rPr>
                <w:rFonts w:ascii="Calibri" w:hAnsi="Calibri" w:cs="Calibri"/>
                <w:color w:val="000000"/>
              </w:rPr>
              <w:t xml:space="preserve">, </w:t>
            </w:r>
            <w:r w:rsidRPr="00602073">
              <w:rPr>
                <w:rFonts w:ascii="Calibri" w:hAnsi="Calibri" w:cs="Calibri"/>
                <w:color w:val="000000"/>
              </w:rPr>
              <w:t>373.5</w:t>
            </w:r>
            <w:r>
              <w:rPr>
                <w:rFonts w:ascii="Calibri" w:hAnsi="Calibri" w:cs="Calibri"/>
                <w:color w:val="000000"/>
              </w:rPr>
              <w:t>)</w:t>
            </w:r>
          </w:p>
        </w:tc>
        <w:tc>
          <w:tcPr>
            <w:tcW w:w="402" w:type="pct"/>
            <w:tcBorders>
              <w:top w:val="nil"/>
              <w:right w:val="single" w:sz="4" w:space="0" w:color="auto"/>
            </w:tcBorders>
            <w:shd w:val="clear" w:color="auto" w:fill="auto"/>
            <w:vAlign w:val="center"/>
            <w:hideMark/>
          </w:tcPr>
          <w:p w14:paraId="357D7D99"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0.23</w:t>
            </w:r>
          </w:p>
        </w:tc>
        <w:tc>
          <w:tcPr>
            <w:tcW w:w="1262" w:type="pct"/>
            <w:tcBorders>
              <w:top w:val="nil"/>
              <w:left w:val="single" w:sz="4" w:space="0" w:color="auto"/>
            </w:tcBorders>
            <w:shd w:val="clear" w:color="auto" w:fill="auto"/>
            <w:vAlign w:val="center"/>
            <w:hideMark/>
          </w:tcPr>
          <w:p w14:paraId="2A481D8A"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-333.6</w:t>
            </w:r>
            <w:r>
              <w:rPr>
                <w:rFonts w:ascii="Calibri" w:hAnsi="Calibri" w:cs="Calibri"/>
                <w:color w:val="000000"/>
              </w:rPr>
              <w:t xml:space="preserve"> (</w:t>
            </w:r>
            <w:r w:rsidRPr="00602073">
              <w:rPr>
                <w:rFonts w:ascii="Calibri" w:hAnsi="Calibri" w:cs="Calibri"/>
                <w:color w:val="000000"/>
              </w:rPr>
              <w:t>-1363.4</w:t>
            </w:r>
            <w:r>
              <w:rPr>
                <w:rFonts w:ascii="Calibri" w:hAnsi="Calibri" w:cs="Calibri"/>
                <w:color w:val="000000"/>
              </w:rPr>
              <w:t xml:space="preserve">, </w:t>
            </w:r>
            <w:r w:rsidRPr="00602073">
              <w:rPr>
                <w:rFonts w:ascii="Calibri" w:hAnsi="Calibri" w:cs="Calibri"/>
                <w:color w:val="000000"/>
              </w:rPr>
              <w:t>696.3</w:t>
            </w:r>
            <w:r>
              <w:rPr>
                <w:rFonts w:ascii="Calibri" w:hAnsi="Calibri" w:cs="Calibri"/>
                <w:color w:val="000000"/>
              </w:rPr>
              <w:t>)</w:t>
            </w:r>
          </w:p>
        </w:tc>
        <w:tc>
          <w:tcPr>
            <w:tcW w:w="525" w:type="pct"/>
            <w:tcBorders>
              <w:top w:val="nil"/>
              <w:right w:val="single" w:sz="4" w:space="0" w:color="auto"/>
            </w:tcBorders>
            <w:shd w:val="clear" w:color="auto" w:fill="auto"/>
            <w:vAlign w:val="center"/>
            <w:hideMark/>
          </w:tcPr>
          <w:p w14:paraId="2BA2117F"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0.52</w:t>
            </w:r>
          </w:p>
        </w:tc>
      </w:tr>
      <w:tr w:rsidR="00C6558C" w:rsidRPr="00602073" w14:paraId="5C66234B"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494F9A9D" w14:textId="77777777" w:rsidR="00C6558C" w:rsidRPr="00602073" w:rsidRDefault="00C6558C" w:rsidP="00B948FB">
            <w:pPr>
              <w:rPr>
                <w:rFonts w:ascii="Calibri" w:hAnsi="Calibri" w:cs="Calibri"/>
                <w:color w:val="000000"/>
              </w:rPr>
            </w:pPr>
            <w:r w:rsidRPr="00602073">
              <w:rPr>
                <w:rFonts w:ascii="Calibri" w:hAnsi="Calibri" w:cs="Calibri"/>
                <w:color w:val="000000"/>
              </w:rPr>
              <w:t>Duration Treatment</w:t>
            </w:r>
          </w:p>
        </w:tc>
        <w:tc>
          <w:tcPr>
            <w:tcW w:w="1228" w:type="pct"/>
            <w:tcBorders>
              <w:top w:val="nil"/>
              <w:left w:val="single" w:sz="4" w:space="0" w:color="auto"/>
            </w:tcBorders>
            <w:shd w:val="clear" w:color="auto" w:fill="auto"/>
            <w:vAlign w:val="center"/>
            <w:hideMark/>
          </w:tcPr>
          <w:p w14:paraId="0DEB49E3"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-47.3</w:t>
            </w:r>
            <w:r>
              <w:rPr>
                <w:rFonts w:ascii="Calibri" w:hAnsi="Calibri" w:cs="Calibri"/>
                <w:color w:val="000000"/>
              </w:rPr>
              <w:t xml:space="preserve"> (</w:t>
            </w:r>
            <w:r w:rsidRPr="00602073">
              <w:rPr>
                <w:rFonts w:ascii="Calibri" w:hAnsi="Calibri" w:cs="Calibri"/>
                <w:color w:val="000000"/>
              </w:rPr>
              <w:t>-349.3</w:t>
            </w:r>
            <w:r>
              <w:rPr>
                <w:rFonts w:ascii="Calibri" w:hAnsi="Calibri" w:cs="Calibri"/>
                <w:color w:val="000000"/>
              </w:rPr>
              <w:t xml:space="preserve">, </w:t>
            </w:r>
            <w:r w:rsidRPr="00602073">
              <w:rPr>
                <w:rFonts w:ascii="Calibri" w:hAnsi="Calibri" w:cs="Calibri"/>
                <w:color w:val="000000"/>
              </w:rPr>
              <w:t>254.6</w:t>
            </w:r>
            <w:r>
              <w:rPr>
                <w:rFonts w:ascii="Calibri" w:hAnsi="Calibri" w:cs="Calibri"/>
                <w:color w:val="000000"/>
              </w:rPr>
              <w:t>)</w:t>
            </w:r>
          </w:p>
        </w:tc>
        <w:tc>
          <w:tcPr>
            <w:tcW w:w="402" w:type="pct"/>
            <w:tcBorders>
              <w:top w:val="nil"/>
              <w:right w:val="single" w:sz="4" w:space="0" w:color="auto"/>
            </w:tcBorders>
            <w:shd w:val="clear" w:color="auto" w:fill="auto"/>
            <w:vAlign w:val="center"/>
            <w:hideMark/>
          </w:tcPr>
          <w:p w14:paraId="167E3C92"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0.75</w:t>
            </w:r>
          </w:p>
        </w:tc>
        <w:tc>
          <w:tcPr>
            <w:tcW w:w="1262" w:type="pct"/>
            <w:tcBorders>
              <w:top w:val="nil"/>
              <w:left w:val="single" w:sz="4" w:space="0" w:color="auto"/>
            </w:tcBorders>
            <w:shd w:val="clear" w:color="auto" w:fill="auto"/>
            <w:vAlign w:val="center"/>
            <w:hideMark/>
          </w:tcPr>
          <w:p w14:paraId="03E65BE0"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-101.8</w:t>
            </w:r>
            <w:r>
              <w:rPr>
                <w:rFonts w:ascii="Calibri" w:hAnsi="Calibri" w:cs="Calibri"/>
                <w:color w:val="000000"/>
              </w:rPr>
              <w:t xml:space="preserve"> (</w:t>
            </w:r>
            <w:r w:rsidRPr="00602073">
              <w:rPr>
                <w:rFonts w:ascii="Calibri" w:hAnsi="Calibri" w:cs="Calibri"/>
                <w:color w:val="000000"/>
              </w:rPr>
              <w:t>-419.6</w:t>
            </w:r>
            <w:r>
              <w:rPr>
                <w:rFonts w:ascii="Calibri" w:hAnsi="Calibri" w:cs="Calibri"/>
                <w:color w:val="000000"/>
              </w:rPr>
              <w:t xml:space="preserve">, </w:t>
            </w:r>
            <w:r w:rsidRPr="00602073">
              <w:rPr>
                <w:rFonts w:ascii="Calibri" w:hAnsi="Calibri" w:cs="Calibri"/>
                <w:color w:val="000000"/>
              </w:rPr>
              <w:t>216.0</w:t>
            </w:r>
            <w:r>
              <w:rPr>
                <w:rFonts w:ascii="Calibri" w:hAnsi="Calibri" w:cs="Calibri"/>
                <w:color w:val="000000"/>
              </w:rPr>
              <w:t>)</w:t>
            </w:r>
          </w:p>
        </w:tc>
        <w:tc>
          <w:tcPr>
            <w:tcW w:w="525" w:type="pct"/>
            <w:tcBorders>
              <w:top w:val="nil"/>
              <w:right w:val="single" w:sz="4" w:space="0" w:color="auto"/>
            </w:tcBorders>
            <w:shd w:val="clear" w:color="auto" w:fill="auto"/>
            <w:vAlign w:val="center"/>
            <w:hideMark/>
          </w:tcPr>
          <w:p w14:paraId="375F41A5"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0.52</w:t>
            </w:r>
          </w:p>
        </w:tc>
      </w:tr>
      <w:tr w:rsidR="00C6558C" w:rsidRPr="00602073" w14:paraId="66C12FF9"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5564D19B" w14:textId="77777777" w:rsidR="00C6558C" w:rsidRPr="00602073" w:rsidRDefault="00C6558C" w:rsidP="00B948FB">
            <w:pPr>
              <w:rPr>
                <w:rFonts w:ascii="Calibri" w:hAnsi="Calibri" w:cs="Calibri"/>
                <w:color w:val="000000"/>
              </w:rPr>
            </w:pPr>
            <w:r w:rsidRPr="00602073">
              <w:rPr>
                <w:rFonts w:ascii="Calibri" w:hAnsi="Calibri" w:cs="Calibri"/>
                <w:color w:val="000000"/>
              </w:rPr>
              <w:t>Age (years)</w:t>
            </w:r>
          </w:p>
        </w:tc>
        <w:tc>
          <w:tcPr>
            <w:tcW w:w="1228" w:type="pct"/>
            <w:tcBorders>
              <w:top w:val="nil"/>
              <w:left w:val="single" w:sz="4" w:space="0" w:color="auto"/>
            </w:tcBorders>
            <w:shd w:val="clear" w:color="auto" w:fill="auto"/>
            <w:noWrap/>
            <w:vAlign w:val="bottom"/>
            <w:hideMark/>
          </w:tcPr>
          <w:p w14:paraId="17CA0D97" w14:textId="77777777" w:rsidR="00C6558C" w:rsidRPr="00602073" w:rsidRDefault="00C6558C" w:rsidP="00B948FB">
            <w:pPr>
              <w:rPr>
                <w:rFonts w:ascii="Calibri" w:hAnsi="Calibri" w:cs="Calibri"/>
                <w:color w:val="000000"/>
              </w:rPr>
            </w:pPr>
          </w:p>
        </w:tc>
        <w:tc>
          <w:tcPr>
            <w:tcW w:w="402" w:type="pct"/>
            <w:tcBorders>
              <w:top w:val="nil"/>
              <w:right w:val="single" w:sz="4" w:space="0" w:color="auto"/>
            </w:tcBorders>
            <w:shd w:val="clear" w:color="auto" w:fill="auto"/>
            <w:noWrap/>
            <w:vAlign w:val="bottom"/>
            <w:hideMark/>
          </w:tcPr>
          <w:p w14:paraId="3D780B02" w14:textId="77777777" w:rsidR="00C6558C" w:rsidRPr="00602073" w:rsidRDefault="00C6558C" w:rsidP="00B948FB">
            <w:pPr>
              <w:rPr>
                <w:rFonts w:ascii="Calibri" w:hAnsi="Calibri" w:cs="Calibri"/>
                <w:color w:val="000000"/>
              </w:rPr>
            </w:pPr>
            <w:r w:rsidRPr="00602073">
              <w:rPr>
                <w:rFonts w:ascii="Calibri" w:hAnsi="Calibri" w:cs="Calibri"/>
                <w:color w:val="000000"/>
              </w:rPr>
              <w:t> </w:t>
            </w:r>
          </w:p>
        </w:tc>
        <w:tc>
          <w:tcPr>
            <w:tcW w:w="1262" w:type="pct"/>
            <w:tcBorders>
              <w:top w:val="nil"/>
              <w:left w:val="single" w:sz="4" w:space="0" w:color="auto"/>
            </w:tcBorders>
            <w:shd w:val="clear" w:color="auto" w:fill="auto"/>
            <w:vAlign w:val="center"/>
            <w:hideMark/>
          </w:tcPr>
          <w:p w14:paraId="414B2B8F"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2.4</w:t>
            </w:r>
            <w:r>
              <w:rPr>
                <w:rFonts w:ascii="Calibri" w:hAnsi="Calibri" w:cs="Calibri"/>
                <w:color w:val="000000"/>
              </w:rPr>
              <w:t xml:space="preserve"> (</w:t>
            </w:r>
            <w:r w:rsidRPr="00602073">
              <w:rPr>
                <w:rFonts w:ascii="Calibri" w:hAnsi="Calibri" w:cs="Calibri"/>
                <w:color w:val="000000"/>
              </w:rPr>
              <w:t>-6.5</w:t>
            </w:r>
            <w:r>
              <w:rPr>
                <w:rFonts w:ascii="Calibri" w:hAnsi="Calibri" w:cs="Calibri"/>
                <w:color w:val="000000"/>
              </w:rPr>
              <w:t xml:space="preserve">, </w:t>
            </w:r>
            <w:r w:rsidRPr="00602073">
              <w:rPr>
                <w:rFonts w:ascii="Calibri" w:hAnsi="Calibri" w:cs="Calibri"/>
                <w:color w:val="000000"/>
              </w:rPr>
              <w:t>11.3</w:t>
            </w:r>
            <w:r>
              <w:rPr>
                <w:rFonts w:ascii="Calibri" w:hAnsi="Calibri" w:cs="Calibri"/>
                <w:color w:val="000000"/>
              </w:rPr>
              <w:t>)</w:t>
            </w:r>
          </w:p>
        </w:tc>
        <w:tc>
          <w:tcPr>
            <w:tcW w:w="525" w:type="pct"/>
            <w:tcBorders>
              <w:top w:val="nil"/>
              <w:right w:val="single" w:sz="4" w:space="0" w:color="auto"/>
            </w:tcBorders>
            <w:shd w:val="clear" w:color="auto" w:fill="auto"/>
            <w:vAlign w:val="center"/>
            <w:hideMark/>
          </w:tcPr>
          <w:p w14:paraId="7BD2F300"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0.59</w:t>
            </w:r>
          </w:p>
        </w:tc>
      </w:tr>
      <w:tr w:rsidR="00C6558C" w:rsidRPr="00602073" w14:paraId="69D6CF59"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1C5A4FBB" w14:textId="77777777" w:rsidR="00C6558C" w:rsidRPr="00602073" w:rsidRDefault="00C6558C" w:rsidP="00B948FB">
            <w:pPr>
              <w:rPr>
                <w:rFonts w:ascii="Calibri" w:hAnsi="Calibri" w:cs="Calibri"/>
                <w:color w:val="000000"/>
              </w:rPr>
            </w:pPr>
            <w:r w:rsidRPr="00602073">
              <w:rPr>
                <w:rFonts w:ascii="Calibri" w:hAnsi="Calibri" w:cs="Calibri"/>
                <w:color w:val="000000"/>
              </w:rPr>
              <w:t>BMI</w:t>
            </w:r>
          </w:p>
        </w:tc>
        <w:tc>
          <w:tcPr>
            <w:tcW w:w="1228" w:type="pct"/>
            <w:tcBorders>
              <w:top w:val="nil"/>
              <w:left w:val="single" w:sz="4" w:space="0" w:color="auto"/>
            </w:tcBorders>
            <w:shd w:val="clear" w:color="auto" w:fill="auto"/>
            <w:noWrap/>
            <w:vAlign w:val="bottom"/>
            <w:hideMark/>
          </w:tcPr>
          <w:p w14:paraId="4FB17E77" w14:textId="77777777" w:rsidR="00C6558C" w:rsidRPr="00602073" w:rsidRDefault="00C6558C" w:rsidP="00B948FB">
            <w:pPr>
              <w:rPr>
                <w:rFonts w:ascii="Calibri" w:hAnsi="Calibri" w:cs="Calibri"/>
                <w:color w:val="000000"/>
              </w:rPr>
            </w:pPr>
          </w:p>
        </w:tc>
        <w:tc>
          <w:tcPr>
            <w:tcW w:w="402" w:type="pct"/>
            <w:tcBorders>
              <w:top w:val="nil"/>
              <w:right w:val="single" w:sz="4" w:space="0" w:color="auto"/>
            </w:tcBorders>
            <w:shd w:val="clear" w:color="auto" w:fill="auto"/>
            <w:noWrap/>
            <w:vAlign w:val="bottom"/>
            <w:hideMark/>
          </w:tcPr>
          <w:p w14:paraId="674D8AA6" w14:textId="77777777" w:rsidR="00C6558C" w:rsidRPr="00602073" w:rsidRDefault="00C6558C" w:rsidP="00B948FB">
            <w:pPr>
              <w:rPr>
                <w:rFonts w:ascii="Calibri" w:hAnsi="Calibri" w:cs="Calibri"/>
                <w:color w:val="000000"/>
              </w:rPr>
            </w:pPr>
            <w:r w:rsidRPr="00602073">
              <w:rPr>
                <w:rFonts w:ascii="Calibri" w:hAnsi="Calibri" w:cs="Calibri"/>
                <w:color w:val="000000"/>
              </w:rPr>
              <w:t> </w:t>
            </w:r>
          </w:p>
        </w:tc>
        <w:tc>
          <w:tcPr>
            <w:tcW w:w="1262" w:type="pct"/>
            <w:tcBorders>
              <w:top w:val="nil"/>
              <w:left w:val="single" w:sz="4" w:space="0" w:color="auto"/>
            </w:tcBorders>
            <w:shd w:val="clear" w:color="auto" w:fill="auto"/>
            <w:vAlign w:val="center"/>
            <w:hideMark/>
          </w:tcPr>
          <w:p w14:paraId="24CCDFF8"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10.5</w:t>
            </w:r>
            <w:r>
              <w:rPr>
                <w:rFonts w:ascii="Calibri" w:hAnsi="Calibri" w:cs="Calibri"/>
                <w:color w:val="000000"/>
              </w:rPr>
              <w:t xml:space="preserve"> (</w:t>
            </w:r>
            <w:r w:rsidRPr="00602073">
              <w:rPr>
                <w:rFonts w:ascii="Calibri" w:hAnsi="Calibri" w:cs="Calibri"/>
                <w:color w:val="000000"/>
              </w:rPr>
              <w:t>-6.4</w:t>
            </w:r>
            <w:r>
              <w:rPr>
                <w:rFonts w:ascii="Calibri" w:hAnsi="Calibri" w:cs="Calibri"/>
                <w:color w:val="000000"/>
              </w:rPr>
              <w:t xml:space="preserve">, </w:t>
            </w:r>
            <w:r w:rsidRPr="00602073">
              <w:rPr>
                <w:rFonts w:ascii="Calibri" w:hAnsi="Calibri" w:cs="Calibri"/>
                <w:color w:val="000000"/>
              </w:rPr>
              <w:t>27.4</w:t>
            </w:r>
            <w:r>
              <w:rPr>
                <w:rFonts w:ascii="Calibri" w:hAnsi="Calibri" w:cs="Calibri"/>
                <w:color w:val="000000"/>
              </w:rPr>
              <w:t>)</w:t>
            </w:r>
          </w:p>
        </w:tc>
        <w:tc>
          <w:tcPr>
            <w:tcW w:w="525" w:type="pct"/>
            <w:tcBorders>
              <w:top w:val="nil"/>
              <w:right w:val="single" w:sz="4" w:space="0" w:color="auto"/>
            </w:tcBorders>
            <w:shd w:val="clear" w:color="auto" w:fill="auto"/>
            <w:vAlign w:val="center"/>
            <w:hideMark/>
          </w:tcPr>
          <w:p w14:paraId="62B8E284"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0.22</w:t>
            </w:r>
          </w:p>
        </w:tc>
      </w:tr>
      <w:tr w:rsidR="00C6558C" w:rsidRPr="00602073" w14:paraId="3FDE41AE" w14:textId="77777777" w:rsidTr="00B948FB">
        <w:trPr>
          <w:trHeight w:val="320"/>
        </w:trPr>
        <w:tc>
          <w:tcPr>
            <w:tcW w:w="1583" w:type="pct"/>
            <w:tcBorders>
              <w:top w:val="nil"/>
              <w:left w:val="nil"/>
              <w:bottom w:val="nil"/>
              <w:right w:val="single" w:sz="4" w:space="0" w:color="auto"/>
            </w:tcBorders>
            <w:shd w:val="clear" w:color="auto" w:fill="auto"/>
            <w:noWrap/>
            <w:vAlign w:val="bottom"/>
            <w:hideMark/>
          </w:tcPr>
          <w:p w14:paraId="70DD6AA9" w14:textId="77777777" w:rsidR="00C6558C" w:rsidRPr="00602073" w:rsidRDefault="00C6558C" w:rsidP="00B948FB">
            <w:pPr>
              <w:rPr>
                <w:rFonts w:ascii="Calibri" w:hAnsi="Calibri" w:cs="Calibri"/>
                <w:color w:val="000000"/>
              </w:rPr>
            </w:pPr>
            <w:r>
              <w:rPr>
                <w:rFonts w:ascii="Calibri" w:hAnsi="Calibri" w:cs="Calibri"/>
                <w:color w:val="000000"/>
              </w:rPr>
              <w:t>Sex</w:t>
            </w:r>
            <w:r w:rsidRPr="00602073">
              <w:rPr>
                <w:rFonts w:ascii="Calibri" w:hAnsi="Calibri" w:cs="Calibri"/>
                <w:color w:val="000000"/>
              </w:rPr>
              <w:t xml:space="preserve"> - Male (Female)</w:t>
            </w:r>
          </w:p>
        </w:tc>
        <w:tc>
          <w:tcPr>
            <w:tcW w:w="1228" w:type="pct"/>
            <w:tcBorders>
              <w:top w:val="nil"/>
              <w:left w:val="single" w:sz="4" w:space="0" w:color="auto"/>
            </w:tcBorders>
            <w:shd w:val="clear" w:color="auto" w:fill="auto"/>
            <w:noWrap/>
            <w:vAlign w:val="bottom"/>
            <w:hideMark/>
          </w:tcPr>
          <w:p w14:paraId="7951D3B8" w14:textId="77777777" w:rsidR="00C6558C" w:rsidRPr="00602073" w:rsidRDefault="00C6558C" w:rsidP="00B948FB">
            <w:pPr>
              <w:rPr>
                <w:rFonts w:ascii="Calibri" w:hAnsi="Calibri" w:cs="Calibri"/>
                <w:color w:val="000000"/>
              </w:rPr>
            </w:pPr>
          </w:p>
        </w:tc>
        <w:tc>
          <w:tcPr>
            <w:tcW w:w="402" w:type="pct"/>
            <w:tcBorders>
              <w:top w:val="nil"/>
              <w:right w:val="single" w:sz="4" w:space="0" w:color="auto"/>
            </w:tcBorders>
            <w:shd w:val="clear" w:color="auto" w:fill="auto"/>
            <w:noWrap/>
            <w:vAlign w:val="bottom"/>
            <w:hideMark/>
          </w:tcPr>
          <w:p w14:paraId="533443A3" w14:textId="77777777" w:rsidR="00C6558C" w:rsidRPr="00602073" w:rsidRDefault="00C6558C" w:rsidP="00B948FB">
            <w:pPr>
              <w:rPr>
                <w:rFonts w:ascii="Calibri" w:hAnsi="Calibri" w:cs="Calibri"/>
                <w:color w:val="000000"/>
              </w:rPr>
            </w:pPr>
            <w:r w:rsidRPr="00602073">
              <w:rPr>
                <w:rFonts w:ascii="Calibri" w:hAnsi="Calibri" w:cs="Calibri"/>
                <w:color w:val="000000"/>
              </w:rPr>
              <w:t> </w:t>
            </w:r>
          </w:p>
        </w:tc>
        <w:tc>
          <w:tcPr>
            <w:tcW w:w="1262" w:type="pct"/>
            <w:tcBorders>
              <w:top w:val="nil"/>
              <w:left w:val="single" w:sz="4" w:space="0" w:color="auto"/>
            </w:tcBorders>
            <w:shd w:val="clear" w:color="auto" w:fill="auto"/>
            <w:vAlign w:val="center"/>
            <w:hideMark/>
          </w:tcPr>
          <w:p w14:paraId="17139F8E"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-98.8</w:t>
            </w:r>
            <w:r>
              <w:rPr>
                <w:rFonts w:ascii="Calibri" w:hAnsi="Calibri" w:cs="Calibri"/>
                <w:color w:val="000000"/>
              </w:rPr>
              <w:t xml:space="preserve"> (</w:t>
            </w:r>
            <w:r w:rsidRPr="00602073">
              <w:rPr>
                <w:rFonts w:ascii="Calibri" w:hAnsi="Calibri" w:cs="Calibri"/>
                <w:color w:val="000000"/>
              </w:rPr>
              <w:t>-332.8</w:t>
            </w:r>
            <w:r>
              <w:rPr>
                <w:rFonts w:ascii="Calibri" w:hAnsi="Calibri" w:cs="Calibri"/>
                <w:color w:val="000000"/>
              </w:rPr>
              <w:t xml:space="preserve">, </w:t>
            </w:r>
            <w:r w:rsidRPr="00602073">
              <w:rPr>
                <w:rFonts w:ascii="Calibri" w:hAnsi="Calibri" w:cs="Calibri"/>
                <w:color w:val="000000"/>
              </w:rPr>
              <w:t>135.3</w:t>
            </w:r>
            <w:r>
              <w:rPr>
                <w:rFonts w:ascii="Calibri" w:hAnsi="Calibri" w:cs="Calibri"/>
                <w:color w:val="000000"/>
              </w:rPr>
              <w:t>)</w:t>
            </w:r>
          </w:p>
        </w:tc>
        <w:tc>
          <w:tcPr>
            <w:tcW w:w="525" w:type="pct"/>
            <w:tcBorders>
              <w:top w:val="nil"/>
              <w:right w:val="single" w:sz="4" w:space="0" w:color="auto"/>
            </w:tcBorders>
            <w:shd w:val="clear" w:color="auto" w:fill="auto"/>
            <w:vAlign w:val="center"/>
            <w:hideMark/>
          </w:tcPr>
          <w:p w14:paraId="66DCCE2B"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0.40</w:t>
            </w:r>
          </w:p>
        </w:tc>
      </w:tr>
      <w:tr w:rsidR="00C6558C" w:rsidRPr="00602073" w14:paraId="6769C2F7" w14:textId="77777777" w:rsidTr="00B948FB">
        <w:trPr>
          <w:trHeight w:val="320"/>
        </w:trPr>
        <w:tc>
          <w:tcPr>
            <w:tcW w:w="1583" w:type="pct"/>
            <w:tcBorders>
              <w:top w:val="nil"/>
              <w:left w:val="nil"/>
              <w:bottom w:val="single" w:sz="4" w:space="0" w:color="auto"/>
              <w:right w:val="single" w:sz="4" w:space="0" w:color="auto"/>
            </w:tcBorders>
            <w:shd w:val="clear" w:color="auto" w:fill="auto"/>
            <w:noWrap/>
            <w:vAlign w:val="bottom"/>
            <w:hideMark/>
          </w:tcPr>
          <w:p w14:paraId="4C8A85EE" w14:textId="77777777" w:rsidR="00C6558C" w:rsidRPr="00602073" w:rsidRDefault="00C6558C" w:rsidP="00B948FB">
            <w:pPr>
              <w:rPr>
                <w:rFonts w:ascii="Calibri" w:hAnsi="Calibri" w:cs="Calibri"/>
                <w:color w:val="000000"/>
              </w:rPr>
            </w:pPr>
            <w:r w:rsidRPr="00602073">
              <w:rPr>
                <w:rFonts w:ascii="Calibri" w:hAnsi="Calibri" w:cs="Calibri"/>
                <w:color w:val="000000"/>
              </w:rPr>
              <w:t>Race - Black (White)</w:t>
            </w:r>
          </w:p>
        </w:tc>
        <w:tc>
          <w:tcPr>
            <w:tcW w:w="1228" w:type="pct"/>
            <w:tcBorders>
              <w:top w:val="nil"/>
              <w:left w:val="single" w:sz="4" w:space="0" w:color="auto"/>
              <w:bottom w:val="single" w:sz="4" w:space="0" w:color="auto"/>
            </w:tcBorders>
            <w:shd w:val="clear" w:color="auto" w:fill="auto"/>
            <w:noWrap/>
            <w:vAlign w:val="bottom"/>
            <w:hideMark/>
          </w:tcPr>
          <w:p w14:paraId="7940CD81" w14:textId="77777777" w:rsidR="00C6558C" w:rsidRPr="00602073" w:rsidRDefault="00C6558C" w:rsidP="00B948FB">
            <w:pPr>
              <w:rPr>
                <w:rFonts w:ascii="Calibri" w:hAnsi="Calibri" w:cs="Calibri"/>
                <w:color w:val="000000"/>
              </w:rPr>
            </w:pPr>
            <w:r w:rsidRPr="00602073">
              <w:rPr>
                <w:rFonts w:ascii="Calibri" w:hAnsi="Calibri" w:cs="Calibri"/>
                <w:color w:val="000000"/>
              </w:rPr>
              <w:t> </w:t>
            </w:r>
          </w:p>
        </w:tc>
        <w:tc>
          <w:tcPr>
            <w:tcW w:w="402" w:type="pct"/>
            <w:tcBorders>
              <w:top w:val="nil"/>
              <w:bottom w:val="single" w:sz="4" w:space="0" w:color="auto"/>
              <w:right w:val="single" w:sz="4" w:space="0" w:color="auto"/>
            </w:tcBorders>
            <w:shd w:val="clear" w:color="auto" w:fill="auto"/>
            <w:noWrap/>
            <w:vAlign w:val="bottom"/>
            <w:hideMark/>
          </w:tcPr>
          <w:p w14:paraId="4618CA18" w14:textId="77777777" w:rsidR="00C6558C" w:rsidRPr="00602073" w:rsidRDefault="00C6558C" w:rsidP="00B948FB">
            <w:pPr>
              <w:rPr>
                <w:rFonts w:ascii="Calibri" w:hAnsi="Calibri" w:cs="Calibri"/>
                <w:color w:val="000000"/>
              </w:rPr>
            </w:pPr>
            <w:r w:rsidRPr="00602073">
              <w:rPr>
                <w:rFonts w:ascii="Calibri" w:hAnsi="Calibri" w:cs="Calibri"/>
                <w:color w:val="000000"/>
              </w:rPr>
              <w:t> </w:t>
            </w:r>
          </w:p>
        </w:tc>
        <w:tc>
          <w:tcPr>
            <w:tcW w:w="1262" w:type="pct"/>
            <w:tcBorders>
              <w:top w:val="nil"/>
              <w:left w:val="single" w:sz="4" w:space="0" w:color="auto"/>
              <w:bottom w:val="single" w:sz="4" w:space="0" w:color="auto"/>
            </w:tcBorders>
            <w:shd w:val="clear" w:color="auto" w:fill="auto"/>
            <w:vAlign w:val="center"/>
            <w:hideMark/>
          </w:tcPr>
          <w:p w14:paraId="400DDADA"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22.0</w:t>
            </w:r>
            <w:r>
              <w:rPr>
                <w:rFonts w:ascii="Calibri" w:hAnsi="Calibri" w:cs="Calibri"/>
                <w:color w:val="000000"/>
              </w:rPr>
              <w:t xml:space="preserve"> (</w:t>
            </w:r>
            <w:r w:rsidRPr="00602073">
              <w:rPr>
                <w:rFonts w:ascii="Calibri" w:hAnsi="Calibri" w:cs="Calibri"/>
                <w:color w:val="000000"/>
              </w:rPr>
              <w:t>-169.7</w:t>
            </w:r>
            <w:r>
              <w:rPr>
                <w:rFonts w:ascii="Calibri" w:hAnsi="Calibri" w:cs="Calibri"/>
                <w:color w:val="000000"/>
              </w:rPr>
              <w:t xml:space="preserve">, </w:t>
            </w:r>
            <w:r w:rsidRPr="00602073">
              <w:rPr>
                <w:rFonts w:ascii="Calibri" w:hAnsi="Calibri" w:cs="Calibri"/>
                <w:color w:val="000000"/>
              </w:rPr>
              <w:t>213.8</w:t>
            </w:r>
            <w:r>
              <w:rPr>
                <w:rFonts w:ascii="Calibri" w:hAnsi="Calibri" w:cs="Calibri"/>
                <w:color w:val="000000"/>
              </w:rPr>
              <w:t>)</w:t>
            </w:r>
          </w:p>
        </w:tc>
        <w:tc>
          <w:tcPr>
            <w:tcW w:w="525" w:type="pct"/>
            <w:tcBorders>
              <w:top w:val="nil"/>
              <w:bottom w:val="single" w:sz="4" w:space="0" w:color="auto"/>
              <w:right w:val="single" w:sz="4" w:space="0" w:color="auto"/>
            </w:tcBorders>
            <w:shd w:val="clear" w:color="auto" w:fill="auto"/>
            <w:vAlign w:val="center"/>
            <w:hideMark/>
          </w:tcPr>
          <w:p w14:paraId="6E91B8C1" w14:textId="77777777" w:rsidR="00C6558C" w:rsidRPr="00602073" w:rsidRDefault="00C6558C" w:rsidP="00B948FB">
            <w:pPr>
              <w:jc w:val="center"/>
              <w:rPr>
                <w:rFonts w:ascii="Calibri" w:hAnsi="Calibri" w:cs="Calibri"/>
                <w:color w:val="000000"/>
              </w:rPr>
            </w:pPr>
            <w:r w:rsidRPr="00602073">
              <w:rPr>
                <w:rFonts w:ascii="Calibri" w:hAnsi="Calibri" w:cs="Calibri"/>
                <w:color w:val="000000"/>
              </w:rPr>
              <w:t>0.82</w:t>
            </w:r>
          </w:p>
        </w:tc>
      </w:tr>
    </w:tbl>
    <w:p w14:paraId="68F572C5" w14:textId="5F696B80" w:rsidR="00C6558C" w:rsidRDefault="00C6558C"/>
    <w:p w14:paraId="6A4DEB4F" w14:textId="4A491F6C" w:rsidR="00C6558C" w:rsidRDefault="00C6558C"/>
    <w:p w14:paraId="4EAFBE76" w14:textId="77777777" w:rsidR="00C6558C" w:rsidRPr="00904A41" w:rsidRDefault="00C6558C" w:rsidP="00C6558C">
      <w:r>
        <w:t>Linear regression analyses predicting normalized, total limbic system volume and normalized total brain volume as the main independent variable. Analyses were run twice, the first model contained only MS disease characteristics and the second model adjusted for patient demographic characteristics (</w:t>
      </w:r>
      <w:r>
        <w:rPr>
          <w:i/>
          <w:iCs/>
        </w:rPr>
        <w:t>n</w:t>
      </w:r>
      <w:r>
        <w:t xml:space="preserve"> = 52). </w:t>
      </w:r>
    </w:p>
    <w:p w14:paraId="72475763" w14:textId="77777777" w:rsidR="00C6558C" w:rsidRDefault="00C6558C"/>
    <w:sectPr w:rsidR="00C65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8C"/>
    <w:rsid w:val="001336A4"/>
    <w:rsid w:val="00711AFC"/>
    <w:rsid w:val="00C6558C"/>
    <w:rsid w:val="00F1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1A45"/>
  <w15:chartTrackingRefBased/>
  <w15:docId w15:val="{AA271B78-DA0D-4E80-B8D7-C46743B3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 OFF33</dc:creator>
  <cp:keywords/>
  <dc:description/>
  <cp:lastModifiedBy>HYD OFF33</cp:lastModifiedBy>
  <cp:revision>1</cp:revision>
  <dcterms:created xsi:type="dcterms:W3CDTF">2022-09-13T09:07:00Z</dcterms:created>
  <dcterms:modified xsi:type="dcterms:W3CDTF">2022-09-13T09:08:00Z</dcterms:modified>
</cp:coreProperties>
</file>